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C9E" w:rsidRDefault="00C11C9E" w:rsidP="00C11C9E">
      <w:pPr>
        <w:pStyle w:val="Portada1"/>
      </w:pPr>
      <w:bookmarkStart w:id="0" w:name="_GoBack"/>
      <w:bookmarkEnd w:id="0"/>
      <w:r>
        <w:t>TRIBUNAL CONSTITUCIONAL</w:t>
      </w:r>
    </w:p>
    <w:p w:rsidR="00DE14C9" w:rsidRDefault="00DE14C9" w:rsidP="00C11C9E">
      <w:pPr>
        <w:pStyle w:val="Portada1"/>
      </w:pPr>
    </w:p>
    <w:p w:rsidR="00C11C9E" w:rsidRDefault="00C11C9E" w:rsidP="00C11C9E">
      <w:pPr>
        <w:pStyle w:val="Portada2"/>
      </w:pPr>
      <w:r>
        <w:t>SECRETARÍA GENERAL</w:t>
      </w:r>
    </w:p>
    <w:p w:rsidR="00C11C9E" w:rsidRDefault="00C11C9E" w:rsidP="00C11C9E">
      <w:pPr>
        <w:pStyle w:val="Portada2"/>
      </w:pPr>
    </w:p>
    <w:p w:rsidR="00C11C9E" w:rsidRDefault="00C11C9E" w:rsidP="00C11C9E">
      <w:pPr>
        <w:pStyle w:val="Portada2"/>
      </w:pPr>
    </w:p>
    <w:p w:rsidR="00C11C9E" w:rsidRDefault="00C11C9E" w:rsidP="00C11C9E">
      <w:pPr>
        <w:pStyle w:val="Portada2"/>
      </w:pPr>
    </w:p>
    <w:p w:rsidR="00C11C9E" w:rsidRDefault="00C11C9E" w:rsidP="00C11C9E">
      <w:pPr>
        <w:pStyle w:val="Portada2"/>
      </w:pPr>
    </w:p>
    <w:p w:rsidR="00C11C9E" w:rsidRDefault="00C11C9E" w:rsidP="00C11C9E">
      <w:pPr>
        <w:pStyle w:val="Portada2"/>
      </w:pPr>
    </w:p>
    <w:p w:rsidR="00C11C9E" w:rsidRDefault="00C11C9E" w:rsidP="00C11C9E">
      <w:pPr>
        <w:pStyle w:val="Portada2"/>
      </w:pPr>
    </w:p>
    <w:p w:rsidR="00C11C9E" w:rsidRDefault="00C11C9E" w:rsidP="00C11C9E">
      <w:pPr>
        <w:pStyle w:val="Portada2"/>
      </w:pPr>
    </w:p>
    <w:p w:rsidR="00C11C9E" w:rsidRDefault="00C11C9E" w:rsidP="00C11C9E">
      <w:pPr>
        <w:pStyle w:val="Portada2"/>
      </w:pPr>
    </w:p>
    <w:p w:rsidR="00C11C9E" w:rsidRDefault="00C11C9E" w:rsidP="00C11C9E">
      <w:pPr>
        <w:pStyle w:val="PortadaPrincipal"/>
      </w:pPr>
      <w:r>
        <w:t>JURISPRUDENCIA</w:t>
      </w:r>
    </w:p>
    <w:p w:rsidR="00C11C9E" w:rsidRDefault="00C11C9E" w:rsidP="00C11C9E">
      <w:pPr>
        <w:pStyle w:val="PortadaPrincipal"/>
      </w:pPr>
      <w:r>
        <w:t>CONSTITUCIONAL</w:t>
      </w:r>
    </w:p>
    <w:p w:rsidR="00C11C9E" w:rsidRDefault="00C11C9E" w:rsidP="00C11C9E">
      <w:pPr>
        <w:pStyle w:val="PortadaPrincipal"/>
      </w:pPr>
    </w:p>
    <w:p w:rsidR="00C11C9E" w:rsidRPr="00C11C9E" w:rsidRDefault="00C11C9E" w:rsidP="00C11C9E">
      <w:pPr>
        <w:pStyle w:val="Portada1"/>
        <w:rPr>
          <w:b/>
        </w:rPr>
      </w:pPr>
      <w:r w:rsidRPr="00C11C9E">
        <w:rPr>
          <w:b/>
        </w:rPr>
        <w:t>TOMO SEPTUAGÉSIMO OCTAVO</w:t>
      </w:r>
    </w:p>
    <w:p w:rsidR="00C11C9E" w:rsidRPr="00C11C9E" w:rsidRDefault="00C11C9E" w:rsidP="00C11C9E">
      <w:pPr>
        <w:pStyle w:val="Portada1"/>
        <w:rPr>
          <w:b/>
        </w:rPr>
      </w:pPr>
      <w:r w:rsidRPr="00C11C9E">
        <w:rPr>
          <w:b/>
        </w:rPr>
        <w:t>(mayo - agosto 2007)</w:t>
      </w:r>
    </w:p>
    <w:p w:rsidR="00C11C9E" w:rsidRDefault="00C11C9E" w:rsidP="00C11C9E">
      <w:pPr>
        <w:pStyle w:val="Portada1"/>
      </w:pPr>
    </w:p>
    <w:p w:rsidR="00C11C9E" w:rsidRDefault="00C11C9E" w:rsidP="00C11C9E">
      <w:pPr>
        <w:pStyle w:val="Portada1"/>
      </w:pPr>
    </w:p>
    <w:p w:rsidR="00C11C9E" w:rsidRDefault="00C11C9E" w:rsidP="00C11C9E">
      <w:pPr>
        <w:pStyle w:val="Portada1"/>
      </w:pPr>
    </w:p>
    <w:p w:rsidR="00C11C9E" w:rsidRDefault="00C11C9E" w:rsidP="00C11C9E">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C11C9E" w:rsidRDefault="00C11C9E" w:rsidP="00C11C9E">
      <w:pPr>
        <w:pStyle w:val="Portada1"/>
      </w:pPr>
    </w:p>
    <w:p w:rsidR="00C11C9E" w:rsidRDefault="00C11C9E" w:rsidP="00C11C9E">
      <w:pPr>
        <w:pStyle w:val="Portada1"/>
      </w:pPr>
    </w:p>
    <w:p w:rsidR="00C11C9E" w:rsidRDefault="00C11C9E" w:rsidP="00C11C9E">
      <w:pPr>
        <w:pStyle w:val="Portada1"/>
      </w:pPr>
    </w:p>
    <w:p w:rsidR="00C11C9E" w:rsidRDefault="00C11C9E" w:rsidP="00C11C9E">
      <w:pPr>
        <w:pStyle w:val="Portada1"/>
      </w:pPr>
    </w:p>
    <w:p w:rsidR="00C11C9E" w:rsidRDefault="00C11C9E" w:rsidP="00C11C9E">
      <w:pPr>
        <w:pStyle w:val="Portada1"/>
      </w:pPr>
    </w:p>
    <w:p w:rsidR="00C11C9E" w:rsidRDefault="00C11C9E" w:rsidP="00C11C9E">
      <w:pPr>
        <w:pStyle w:val="Portada2"/>
      </w:pPr>
      <w:r>
        <w:t>MADRID 2007</w:t>
      </w:r>
    </w:p>
    <w:p w:rsidR="005E2304" w:rsidRDefault="005E2304">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5E2304" w:rsidRDefault="005E2304" w:rsidP="005E2304">
      <w:pPr>
        <w:pStyle w:val="CabeceraApartadoDerecha"/>
      </w:pPr>
      <w:r>
        <w:lastRenderedPageBreak/>
        <w:t>CONTENIDO</w:t>
      </w:r>
    </w:p>
    <w:p w:rsidR="00DE14C9" w:rsidRDefault="00DE14C9" w:rsidP="005E2304">
      <w:pPr>
        <w:pStyle w:val="CabeceraApartadoDerecha"/>
      </w:pPr>
    </w:p>
    <w:p w:rsidR="005E2304" w:rsidRDefault="005E2304" w:rsidP="005E2304">
      <w:pPr>
        <w:pStyle w:val="EntradandiceSumario"/>
        <w:keepNext w:val="0"/>
      </w:pPr>
      <w:r>
        <w:t>1. SENTENCIAS: STC 91/2007 A STC 178/2007</w:t>
      </w:r>
      <w:r>
        <w:tab/>
      </w:r>
      <w:r>
        <w:tab/>
      </w:r>
      <w:r>
        <w:fldChar w:fldCharType="begin"/>
      </w:r>
      <w:r>
        <w:instrText xml:space="preserve"> PAGEREF SUMARIOSENTENCIAS \h </w:instrText>
      </w:r>
      <w:r>
        <w:fldChar w:fldCharType="separate"/>
      </w:r>
      <w:r w:rsidR="00993288">
        <w:rPr>
          <w:noProof/>
        </w:rPr>
        <w:t>3</w:t>
      </w:r>
      <w:r>
        <w:fldChar w:fldCharType="end"/>
      </w:r>
    </w:p>
    <w:p w:rsidR="005E2304" w:rsidRDefault="005E2304" w:rsidP="005E2304">
      <w:pPr>
        <w:pStyle w:val="EntradandiceSumario"/>
        <w:keepNext w:val="0"/>
      </w:pPr>
    </w:p>
    <w:p w:rsidR="005E2304" w:rsidRDefault="005E2304" w:rsidP="005E2304">
      <w:pPr>
        <w:pStyle w:val="EntradandiceSumario"/>
        <w:keepNext w:val="0"/>
      </w:pPr>
      <w:bookmarkStart w:id="1" w:name="SUMARIOSINDICES"/>
      <w:r>
        <w:t>2. AUTOS: ATC 228/2007 A ATC 356/2007</w:t>
      </w:r>
      <w:r>
        <w:tab/>
      </w:r>
      <w:r>
        <w:tab/>
      </w:r>
      <w:r>
        <w:fldChar w:fldCharType="begin"/>
      </w:r>
      <w:r>
        <w:instrText xml:space="preserve"> PAGEREF SUMARIOSAUTOS \h </w:instrText>
      </w:r>
      <w:r>
        <w:fldChar w:fldCharType="separate"/>
      </w:r>
      <w:r w:rsidR="00993288">
        <w:rPr>
          <w:noProof/>
        </w:rPr>
        <w:t>19</w:t>
      </w:r>
      <w:r>
        <w:fldChar w:fldCharType="end"/>
      </w:r>
    </w:p>
    <w:bookmarkEnd w:id="1"/>
    <w:p w:rsidR="005E2304" w:rsidRDefault="005E2304" w:rsidP="005E2304">
      <w:pPr>
        <w:pStyle w:val="EntradandiceSumario"/>
        <w:keepNext w:val="0"/>
      </w:pPr>
    </w:p>
    <w:p w:rsidR="005E2304" w:rsidRDefault="005E2304" w:rsidP="005E2304">
      <w:pPr>
        <w:pStyle w:val="EntradandiceSumario"/>
        <w:keepNext w:val="0"/>
      </w:pPr>
      <w:r>
        <w:t>3.</w:t>
      </w:r>
      <w:r w:rsidR="00375206">
        <w:t xml:space="preserve"> ÍNDICE DE DISPOSICIONES CON FUERZA DE LEY IMPUGNADAS</w:t>
      </w:r>
      <w:r>
        <w:t>:</w:t>
      </w:r>
    </w:p>
    <w:p w:rsidR="005E2304" w:rsidRDefault="005E2304" w:rsidP="005E2304">
      <w:pPr>
        <w:pStyle w:val="EntradandiceSumario"/>
        <w:keepNext w:val="0"/>
      </w:pPr>
    </w:p>
    <w:p w:rsidR="005E2304" w:rsidRDefault="001C20A5" w:rsidP="005E2304">
      <w:pPr>
        <w:pStyle w:val="EntradandiceSumarioNivel2"/>
        <w:keepNext w:val="0"/>
      </w:pPr>
      <w:r>
        <w:t>A) Disposiciones con fuerza de ley del Estado</w:t>
      </w:r>
      <w:r w:rsidR="005E2304">
        <w:tab/>
      </w:r>
      <w:r w:rsidR="005E2304">
        <w:tab/>
      </w:r>
      <w:r w:rsidR="005E2304">
        <w:fldChar w:fldCharType="begin"/>
      </w:r>
      <w:r w:rsidR="005E2304">
        <w:instrText xml:space="preserve"> PAGEREF INDICE22802 \h </w:instrText>
      </w:r>
      <w:r w:rsidR="005E2304">
        <w:fldChar w:fldCharType="separate"/>
      </w:r>
      <w:r w:rsidR="00993288">
        <w:rPr>
          <w:noProof/>
        </w:rPr>
        <w:t>1520</w:t>
      </w:r>
      <w:r w:rsidR="005E2304">
        <w:fldChar w:fldCharType="end"/>
      </w:r>
    </w:p>
    <w:p w:rsidR="005E2304" w:rsidRDefault="00C7232C" w:rsidP="005E2304">
      <w:pPr>
        <w:pStyle w:val="EntradandiceSumarioNivel2"/>
        <w:keepNext w:val="0"/>
      </w:pPr>
      <w:r>
        <w:t>B) Disposiciones con fuerza de ley de las Comunidades Autónomas</w:t>
      </w:r>
      <w:r w:rsidR="005E2304">
        <w:tab/>
      </w:r>
      <w:r w:rsidR="005E2304">
        <w:tab/>
      </w:r>
      <w:r w:rsidR="005E2304">
        <w:fldChar w:fldCharType="begin"/>
      </w:r>
      <w:r w:rsidR="005E2304">
        <w:instrText xml:space="preserve"> PAGEREF INDICE22806 \h </w:instrText>
      </w:r>
      <w:r w:rsidR="005E2304">
        <w:fldChar w:fldCharType="separate"/>
      </w:r>
      <w:r w:rsidR="00993288">
        <w:rPr>
          <w:noProof/>
        </w:rPr>
        <w:t>1521</w:t>
      </w:r>
      <w:r w:rsidR="005E2304">
        <w:fldChar w:fldCharType="end"/>
      </w:r>
    </w:p>
    <w:p w:rsidR="005E2304" w:rsidRDefault="005E2304" w:rsidP="005E2304"/>
    <w:p w:rsidR="005E2304" w:rsidRDefault="005E2304" w:rsidP="005E2304">
      <w:pPr>
        <w:pStyle w:val="EntradandiceSumario"/>
        <w:keepNext w:val="0"/>
      </w:pPr>
      <w:r>
        <w:t xml:space="preserve">4. ÍNDICE DE </w:t>
      </w:r>
      <w:r w:rsidR="00F26144" w:rsidRPr="00F26144">
        <w:t>DISPOSICIONES GENERALES IMPUGNADAS</w:t>
      </w:r>
      <w:r>
        <w:t>:</w:t>
      </w:r>
    </w:p>
    <w:p w:rsidR="005E2304" w:rsidRDefault="005E2304" w:rsidP="005E2304">
      <w:pPr>
        <w:pStyle w:val="EntradandiceSumario"/>
        <w:keepNext w:val="0"/>
      </w:pPr>
    </w:p>
    <w:p w:rsidR="005E2304" w:rsidRDefault="005E2304" w:rsidP="005E2304">
      <w:pPr>
        <w:pStyle w:val="EntradandiceSumarioNivel2"/>
        <w:keepNext w:val="0"/>
      </w:pPr>
      <w:r>
        <w:t>A) Disposiciones del Estado</w:t>
      </w:r>
      <w:r>
        <w:tab/>
      </w:r>
      <w:r>
        <w:tab/>
      </w:r>
      <w:r>
        <w:fldChar w:fldCharType="begin"/>
      </w:r>
      <w:r>
        <w:instrText xml:space="preserve"> PAGEREF INDICE22803 \h </w:instrText>
      </w:r>
      <w:r>
        <w:fldChar w:fldCharType="separate"/>
      </w:r>
      <w:r w:rsidR="00993288">
        <w:rPr>
          <w:noProof/>
        </w:rPr>
        <w:t>1523</w:t>
      </w:r>
      <w:r>
        <w:fldChar w:fldCharType="end"/>
      </w:r>
    </w:p>
    <w:p w:rsidR="005E2304" w:rsidRDefault="005E2304" w:rsidP="005E2304"/>
    <w:p w:rsidR="005E2304" w:rsidRDefault="005E2304" w:rsidP="005E2304">
      <w:pPr>
        <w:pStyle w:val="EntradandiceSumario"/>
        <w:keepNext w:val="0"/>
      </w:pPr>
      <w:r>
        <w:t>5. ÍNDICE DE DISPOSICIONES CITADAS:</w:t>
      </w:r>
    </w:p>
    <w:p w:rsidR="005E2304" w:rsidRDefault="005E2304" w:rsidP="005E2304">
      <w:pPr>
        <w:pStyle w:val="EntradandiceSumario"/>
        <w:keepNext w:val="0"/>
      </w:pPr>
    </w:p>
    <w:p w:rsidR="005E2304" w:rsidRDefault="005E2304" w:rsidP="005E2304">
      <w:pPr>
        <w:pStyle w:val="EntradandiceSumarioNivel2"/>
        <w:keepNext w:val="0"/>
      </w:pPr>
      <w:r>
        <w:t>A) Constitución</w:t>
      </w:r>
      <w:r>
        <w:tab/>
      </w:r>
      <w:r>
        <w:tab/>
      </w:r>
      <w:r>
        <w:fldChar w:fldCharType="begin"/>
      </w:r>
      <w:r>
        <w:instrText xml:space="preserve"> PAGEREF INDICE22804 \h </w:instrText>
      </w:r>
      <w:r>
        <w:fldChar w:fldCharType="separate"/>
      </w:r>
      <w:r w:rsidR="00993288">
        <w:rPr>
          <w:noProof/>
        </w:rPr>
        <w:t>1524</w:t>
      </w:r>
      <w:r>
        <w:fldChar w:fldCharType="end"/>
      </w:r>
    </w:p>
    <w:p w:rsidR="005E2304" w:rsidRDefault="005E2304" w:rsidP="005E2304">
      <w:pPr>
        <w:pStyle w:val="EntradandiceSumarioNivel2"/>
        <w:keepNext w:val="0"/>
      </w:pPr>
      <w:r>
        <w:t>B) Tribunal Constitucional</w:t>
      </w:r>
      <w:r>
        <w:tab/>
      </w:r>
      <w:r>
        <w:tab/>
      </w:r>
      <w:r>
        <w:fldChar w:fldCharType="begin"/>
      </w:r>
      <w:r>
        <w:instrText xml:space="preserve"> PAGEREF INDICE22843 \h </w:instrText>
      </w:r>
      <w:r>
        <w:fldChar w:fldCharType="separate"/>
      </w:r>
      <w:r w:rsidR="00993288">
        <w:rPr>
          <w:noProof/>
        </w:rPr>
        <w:t>1528</w:t>
      </w:r>
      <w:r>
        <w:fldChar w:fldCharType="end"/>
      </w:r>
    </w:p>
    <w:p w:rsidR="005E2304" w:rsidRDefault="005E2304" w:rsidP="005E2304">
      <w:pPr>
        <w:pStyle w:val="EntradandiceSumarioNivel2"/>
        <w:keepNext w:val="0"/>
      </w:pPr>
      <w:r>
        <w:t>C) Cortes Generales</w:t>
      </w:r>
      <w:r>
        <w:tab/>
      </w:r>
      <w:r>
        <w:tab/>
      </w:r>
      <w:r>
        <w:fldChar w:fldCharType="begin"/>
      </w:r>
      <w:r>
        <w:instrText xml:space="preserve"> PAGEREF INDICE22844 \h </w:instrText>
      </w:r>
      <w:r>
        <w:fldChar w:fldCharType="separate"/>
      </w:r>
      <w:r w:rsidR="00993288">
        <w:rPr>
          <w:noProof/>
        </w:rPr>
        <w:t>1530</w:t>
      </w:r>
      <w:r>
        <w:fldChar w:fldCharType="end"/>
      </w:r>
    </w:p>
    <w:p w:rsidR="005E2304" w:rsidRDefault="005E2304" w:rsidP="005E2304">
      <w:pPr>
        <w:pStyle w:val="EntradandiceSumarioNivel2"/>
        <w:keepNext w:val="0"/>
      </w:pPr>
      <w:r>
        <w:t>D) Leyes Orgánicas</w:t>
      </w:r>
      <w:r>
        <w:tab/>
      </w:r>
      <w:r>
        <w:tab/>
      </w:r>
      <w:r>
        <w:fldChar w:fldCharType="begin"/>
      </w:r>
      <w:r>
        <w:instrText xml:space="preserve"> PAGEREF INDICE22845 \h </w:instrText>
      </w:r>
      <w:r>
        <w:fldChar w:fldCharType="separate"/>
      </w:r>
      <w:r w:rsidR="00993288">
        <w:rPr>
          <w:noProof/>
        </w:rPr>
        <w:t>1530</w:t>
      </w:r>
      <w:r>
        <w:fldChar w:fldCharType="end"/>
      </w:r>
    </w:p>
    <w:p w:rsidR="005E2304" w:rsidRDefault="005E2304" w:rsidP="005E2304">
      <w:pPr>
        <w:pStyle w:val="EntradandiceSumarioNivel2"/>
        <w:keepNext w:val="0"/>
      </w:pPr>
      <w:r>
        <w:t>E) Leyes de las Cortes Generales</w:t>
      </w:r>
      <w:r>
        <w:tab/>
      </w:r>
      <w:r>
        <w:tab/>
      </w:r>
      <w:r>
        <w:fldChar w:fldCharType="begin"/>
      </w:r>
      <w:r>
        <w:instrText xml:space="preserve"> PAGEREF INDICE22846 \h </w:instrText>
      </w:r>
      <w:r>
        <w:fldChar w:fldCharType="separate"/>
      </w:r>
      <w:r w:rsidR="00993288">
        <w:rPr>
          <w:noProof/>
        </w:rPr>
        <w:t>1535</w:t>
      </w:r>
      <w:r>
        <w:fldChar w:fldCharType="end"/>
      </w:r>
    </w:p>
    <w:p w:rsidR="005E2304" w:rsidRDefault="005E2304" w:rsidP="005E2304">
      <w:pPr>
        <w:pStyle w:val="EntradandiceSumarioNivel2"/>
        <w:keepNext w:val="0"/>
      </w:pPr>
      <w:r>
        <w:t>F) Reales Decretos Legislativos</w:t>
      </w:r>
      <w:r>
        <w:tab/>
      </w:r>
      <w:r>
        <w:tab/>
      </w:r>
      <w:r>
        <w:fldChar w:fldCharType="begin"/>
      </w:r>
      <w:r>
        <w:instrText xml:space="preserve"> PAGEREF INDICE22847 \h </w:instrText>
      </w:r>
      <w:r>
        <w:fldChar w:fldCharType="separate"/>
      </w:r>
      <w:r w:rsidR="00993288">
        <w:rPr>
          <w:noProof/>
        </w:rPr>
        <w:t>1538</w:t>
      </w:r>
      <w:r>
        <w:fldChar w:fldCharType="end"/>
      </w:r>
    </w:p>
    <w:p w:rsidR="005E2304" w:rsidRDefault="005E2304" w:rsidP="005E2304">
      <w:pPr>
        <w:pStyle w:val="EntradandiceSumarioNivel2"/>
        <w:keepNext w:val="0"/>
      </w:pPr>
      <w:r>
        <w:t>G) Reales Decretos-leyes</w:t>
      </w:r>
      <w:r>
        <w:tab/>
      </w:r>
      <w:r>
        <w:tab/>
      </w:r>
      <w:r>
        <w:fldChar w:fldCharType="begin"/>
      </w:r>
      <w:r>
        <w:instrText xml:space="preserve"> PAGEREF INDICE22848 \h </w:instrText>
      </w:r>
      <w:r>
        <w:fldChar w:fldCharType="separate"/>
      </w:r>
      <w:r w:rsidR="00993288">
        <w:rPr>
          <w:noProof/>
        </w:rPr>
        <w:t>1540</w:t>
      </w:r>
      <w:r>
        <w:fldChar w:fldCharType="end"/>
      </w:r>
    </w:p>
    <w:p w:rsidR="005E2304" w:rsidRDefault="005E2304" w:rsidP="005E2304">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993288">
        <w:rPr>
          <w:noProof/>
        </w:rPr>
        <w:t>1540</w:t>
      </w:r>
      <w:r>
        <w:fldChar w:fldCharType="end"/>
      </w:r>
    </w:p>
    <w:p w:rsidR="005E2304" w:rsidRDefault="005E2304" w:rsidP="005E2304">
      <w:pPr>
        <w:pStyle w:val="EntradandiceSumarioNivel2"/>
        <w:keepNext w:val="0"/>
      </w:pPr>
      <w:r>
        <w:t>I) Legislación preconstitucional</w:t>
      </w:r>
      <w:r>
        <w:tab/>
      </w:r>
      <w:r>
        <w:tab/>
      </w:r>
      <w:r>
        <w:fldChar w:fldCharType="begin"/>
      </w:r>
      <w:r>
        <w:instrText xml:space="preserve"> PAGEREF INDICE22850 \h </w:instrText>
      </w:r>
      <w:r>
        <w:fldChar w:fldCharType="separate"/>
      </w:r>
      <w:r w:rsidR="00993288">
        <w:rPr>
          <w:noProof/>
        </w:rPr>
        <w:t>1541</w:t>
      </w:r>
      <w:r>
        <w:fldChar w:fldCharType="end"/>
      </w:r>
    </w:p>
    <w:p w:rsidR="005E2304" w:rsidRDefault="005E2304" w:rsidP="005E2304">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993288">
        <w:rPr>
          <w:noProof/>
        </w:rPr>
        <w:t>1542</w:t>
      </w:r>
      <w:r>
        <w:fldChar w:fldCharType="end"/>
      </w:r>
    </w:p>
    <w:p w:rsidR="005E2304" w:rsidRDefault="005E2304" w:rsidP="005E2304">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993288">
        <w:rPr>
          <w:noProof/>
        </w:rPr>
        <w:t>1545</w:t>
      </w:r>
      <w:r>
        <w:fldChar w:fldCharType="end"/>
      </w:r>
    </w:p>
    <w:p w:rsidR="005E2304" w:rsidRDefault="005E2304" w:rsidP="005E2304">
      <w:pPr>
        <w:pStyle w:val="EntradandiceSumarioNivel2"/>
        <w:keepNext w:val="0"/>
      </w:pPr>
      <w:r>
        <w:t>M) Unión Europea</w:t>
      </w:r>
      <w:r>
        <w:tab/>
      </w:r>
      <w:r>
        <w:tab/>
      </w:r>
      <w:r>
        <w:fldChar w:fldCharType="begin"/>
      </w:r>
      <w:r>
        <w:instrText xml:space="preserve"> PAGEREF INDICE22871 \h </w:instrText>
      </w:r>
      <w:r>
        <w:fldChar w:fldCharType="separate"/>
      </w:r>
      <w:r w:rsidR="00993288">
        <w:rPr>
          <w:noProof/>
        </w:rPr>
        <w:t>1546</w:t>
      </w:r>
      <w:r>
        <w:fldChar w:fldCharType="end"/>
      </w:r>
    </w:p>
    <w:p w:rsidR="005E2304" w:rsidRDefault="005E2304" w:rsidP="005E2304">
      <w:pPr>
        <w:pStyle w:val="EntradandiceSumarioNivel2"/>
        <w:keepNext w:val="0"/>
      </w:pPr>
      <w:r>
        <w:t>N) Consejo de Europa</w:t>
      </w:r>
      <w:r>
        <w:tab/>
      </w:r>
      <w:r>
        <w:tab/>
      </w:r>
      <w:r>
        <w:fldChar w:fldCharType="begin"/>
      </w:r>
      <w:r>
        <w:instrText xml:space="preserve"> PAGEREF INDICE27994 \h </w:instrText>
      </w:r>
      <w:r>
        <w:fldChar w:fldCharType="separate"/>
      </w:r>
      <w:r w:rsidR="00993288">
        <w:rPr>
          <w:noProof/>
        </w:rPr>
        <w:t>1546</w:t>
      </w:r>
      <w:r>
        <w:fldChar w:fldCharType="end"/>
      </w:r>
    </w:p>
    <w:p w:rsidR="005E2304" w:rsidRDefault="005E2304" w:rsidP="005E2304">
      <w:pPr>
        <w:pStyle w:val="EntradandiceSumarioNivel2"/>
        <w:keepNext w:val="0"/>
      </w:pPr>
      <w:r>
        <w:t>Ñ) Legislación extranjera</w:t>
      </w:r>
      <w:r>
        <w:tab/>
      </w:r>
      <w:r>
        <w:tab/>
      </w:r>
      <w:r>
        <w:fldChar w:fldCharType="begin"/>
      </w:r>
      <w:r>
        <w:instrText xml:space="preserve"> PAGEREF INDICE22872 \h </w:instrText>
      </w:r>
      <w:r>
        <w:fldChar w:fldCharType="separate"/>
      </w:r>
      <w:r w:rsidR="00993288">
        <w:rPr>
          <w:noProof/>
        </w:rPr>
        <w:t>1546</w:t>
      </w:r>
      <w:r>
        <w:fldChar w:fldCharType="end"/>
      </w:r>
    </w:p>
    <w:p w:rsidR="005E2304" w:rsidRDefault="005E2304" w:rsidP="005E2304"/>
    <w:p w:rsidR="005E2304" w:rsidRDefault="005E2304" w:rsidP="005E2304">
      <w:pPr>
        <w:pStyle w:val="EntradandiceSumario"/>
        <w:keepNext w:val="0"/>
      </w:pPr>
      <w:r>
        <w:t>6.</w:t>
      </w:r>
      <w:r w:rsidR="00D42DC0">
        <w:t xml:space="preserve"> ÍNDICE DE RESOLUCIONES JUDICIALES DE OTROS TRIBUNALES CITADAS</w:t>
      </w:r>
      <w:r>
        <w:t>:</w:t>
      </w:r>
    </w:p>
    <w:p w:rsidR="005E2304" w:rsidRDefault="005E2304" w:rsidP="005E2304">
      <w:pPr>
        <w:pStyle w:val="EntradandiceSumario"/>
        <w:keepNext w:val="0"/>
      </w:pPr>
    </w:p>
    <w:p w:rsidR="005E2304" w:rsidRDefault="005E2304" w:rsidP="005E2304">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993288">
        <w:rPr>
          <w:noProof/>
        </w:rPr>
        <w:t>1548</w:t>
      </w:r>
      <w:r>
        <w:fldChar w:fldCharType="end"/>
      </w:r>
    </w:p>
    <w:p w:rsidR="005E2304" w:rsidRDefault="005E2304" w:rsidP="005E2304">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993288">
        <w:rPr>
          <w:noProof/>
        </w:rPr>
        <w:t>1550</w:t>
      </w:r>
      <w:r>
        <w:fldChar w:fldCharType="end"/>
      </w:r>
    </w:p>
    <w:p w:rsidR="005E2304" w:rsidRDefault="005E2304" w:rsidP="005E2304">
      <w:pPr>
        <w:pStyle w:val="EntradandiceSumarioNivel2"/>
        <w:keepNext w:val="0"/>
      </w:pPr>
      <w:r>
        <w:t>C) Tribunal Supremo</w:t>
      </w:r>
      <w:r>
        <w:tab/>
      </w:r>
      <w:r>
        <w:tab/>
      </w:r>
      <w:r>
        <w:fldChar w:fldCharType="begin"/>
      </w:r>
      <w:r>
        <w:instrText xml:space="preserve"> PAGEREF INDICE22925 \h </w:instrText>
      </w:r>
      <w:r>
        <w:fldChar w:fldCharType="separate"/>
      </w:r>
      <w:r w:rsidR="00993288">
        <w:rPr>
          <w:noProof/>
        </w:rPr>
        <w:t>1551</w:t>
      </w:r>
      <w:r>
        <w:fldChar w:fldCharType="end"/>
      </w:r>
    </w:p>
    <w:p w:rsidR="005E2304" w:rsidRDefault="005E2304" w:rsidP="005E2304"/>
    <w:p w:rsidR="005E2304" w:rsidRDefault="005E2304" w:rsidP="005E2304">
      <w:pPr>
        <w:pStyle w:val="EntradandiceSumario"/>
        <w:keepNext w:val="0"/>
      </w:pPr>
      <w:r>
        <w:t>7. ÍNDICE ANALÍTICO</w:t>
      </w:r>
      <w:r>
        <w:tab/>
      </w:r>
      <w:r>
        <w:tab/>
      </w:r>
      <w:r>
        <w:fldChar w:fldCharType="begin"/>
      </w:r>
      <w:r>
        <w:instrText xml:space="preserve"> PAGEREF INDICE5ALFABETICO \h </w:instrText>
      </w:r>
      <w:r>
        <w:fldChar w:fldCharType="separate"/>
      </w:r>
      <w:r w:rsidR="00993288">
        <w:rPr>
          <w:noProof/>
        </w:rPr>
        <w:t>1552</w:t>
      </w:r>
      <w:r>
        <w:fldChar w:fldCharType="end"/>
      </w:r>
    </w:p>
    <w:p w:rsidR="005E2304" w:rsidRDefault="005E2304" w:rsidP="005E2304"/>
    <w:p w:rsidR="005E2304" w:rsidRDefault="005E2304" w:rsidP="005E2304">
      <w:pPr>
        <w:pStyle w:val="EntradandiceSumario"/>
        <w:keepNext w:val="0"/>
      </w:pPr>
      <w:r>
        <w:t>8. ABREVIATURAS Y ACRÓNIMOS</w:t>
      </w:r>
      <w:r>
        <w:tab/>
      </w:r>
      <w:r>
        <w:tab/>
      </w:r>
      <w:r>
        <w:fldChar w:fldCharType="begin"/>
      </w:r>
      <w:r>
        <w:instrText xml:space="preserve"> PAGEREF ACRONIMOS \h </w:instrText>
      </w:r>
      <w:r>
        <w:fldChar w:fldCharType="separate"/>
      </w:r>
      <w:r w:rsidR="00993288">
        <w:rPr>
          <w:noProof/>
        </w:rPr>
        <w:t>1571</w:t>
      </w:r>
      <w:r>
        <w:fldChar w:fldCharType="end"/>
      </w:r>
    </w:p>
    <w:p w:rsidR="005E2304" w:rsidRDefault="005E2304">
      <w:pPr>
        <w:spacing w:after="160" w:line="259" w:lineRule="auto"/>
        <w:rPr>
          <w:rFonts w:ascii="Times New Roman" w:eastAsia="Times New Roman" w:hAnsi="Times New Roman" w:cs="Times New Roman"/>
          <w:sz w:val="24"/>
          <w:szCs w:val="24"/>
          <w:lang w:eastAsia="es-ES"/>
        </w:rPr>
      </w:pPr>
      <w:r>
        <w:br w:type="page"/>
      </w:r>
    </w:p>
    <w:p w:rsidR="005E2304" w:rsidRDefault="005E2304" w:rsidP="005E2304">
      <w:pPr>
        <w:pStyle w:val="EntradandiceSumario"/>
        <w:keepNext w:val="0"/>
      </w:pPr>
    </w:p>
    <w:p w:rsidR="005E2304" w:rsidRDefault="005E2304" w:rsidP="005E2304"/>
    <w:p w:rsidR="005E2304" w:rsidRDefault="005E2304" w:rsidP="005E2304"/>
    <w:p w:rsidR="005E2304" w:rsidRDefault="005E2304" w:rsidP="005E2304">
      <w:pPr>
        <w:pStyle w:val="Ttulondice"/>
      </w:pPr>
      <w:bookmarkStart w:id="2" w:name="SUMARIOSENTENCIAS"/>
      <w:r>
        <w:t>1. SENTENCIAS: STC 91/2007 A STC 178/2007</w:t>
      </w:r>
    </w:p>
    <w:bookmarkEnd w:id="2"/>
    <w:p w:rsidR="005E2304" w:rsidRDefault="005E2304" w:rsidP="005E2304">
      <w:pPr>
        <w:pStyle w:val="Ttulondice"/>
      </w:pPr>
    </w:p>
    <w:p w:rsidR="005E2304" w:rsidRDefault="005E2304" w:rsidP="005E2304">
      <w:pPr>
        <w:pStyle w:val="Ttulondice"/>
      </w:pPr>
    </w:p>
    <w:p w:rsidR="005E2304" w:rsidRDefault="005E2304" w:rsidP="005E2304">
      <w:pPr>
        <w:pStyle w:val="Ttulondice"/>
      </w:pPr>
    </w:p>
    <w:p w:rsidR="005E2304" w:rsidRDefault="005E2304" w:rsidP="005E2304">
      <w:pPr>
        <w:pStyle w:val="Ttulondice"/>
      </w:pPr>
    </w:p>
    <w:p w:rsidR="005E2304" w:rsidRDefault="005E2304" w:rsidP="005E2304">
      <w:pPr>
        <w:pStyle w:val="Ttulondice"/>
      </w:pPr>
    </w:p>
    <w:p w:rsidR="005E2304" w:rsidRDefault="005E2304" w:rsidP="005E2304">
      <w:pPr>
        <w:pStyle w:val="Ttulondice"/>
      </w:pPr>
    </w:p>
    <w:p w:rsidR="005E2304" w:rsidRDefault="005E2304" w:rsidP="005E2304">
      <w:pPr>
        <w:pStyle w:val="EntradandiceSentencia"/>
      </w:pPr>
      <w:r>
        <w:t>Sala Segunda. Sentencia 91/2007, de 7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Recursos de amparo 5435-2001 y 1144-2002 (acumulados). </w:t>
      </w:r>
      <w:r w:rsidRPr="005E2304">
        <w:rPr>
          <w:rStyle w:val="TextoNormalCursivaCaracter"/>
        </w:rPr>
        <w:t xml:space="preserve"> Supuesta vulneración del derecho a la igualdad: ámbito tributario; ley que vulnera una norma constitucional que no es un derecho fundamental amparable (STC 159/1997).</w:t>
      </w:r>
      <w:r>
        <w:tab/>
      </w:r>
      <w:r>
        <w:tab/>
      </w:r>
      <w:r>
        <w:fldChar w:fldCharType="begin"/>
      </w:r>
      <w:r>
        <w:instrText xml:space="preserve"> PAGEREF SENTENCIA_2007_91 \h </w:instrText>
      </w:r>
      <w:r>
        <w:fldChar w:fldCharType="separate"/>
      </w:r>
      <w:r w:rsidR="00993288">
        <w:rPr>
          <w:noProof/>
        </w:rPr>
        <w:t>35</w:t>
      </w:r>
      <w:r>
        <w:fldChar w:fldCharType="end"/>
      </w:r>
    </w:p>
    <w:p w:rsidR="00DE14C9" w:rsidRDefault="00DE14C9" w:rsidP="005E2304"/>
    <w:p w:rsidR="005E2304" w:rsidRDefault="005E2304" w:rsidP="005E2304">
      <w:pPr>
        <w:pStyle w:val="EntradandiceSentencia"/>
      </w:pPr>
      <w:r>
        <w:t>Sala Segunda. Sentencia 92/2007, de 7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2476-2003. </w:t>
      </w:r>
      <w:r w:rsidRPr="005E2304">
        <w:rPr>
          <w:rStyle w:val="TextoNormalCursivaCaracter"/>
        </w:rPr>
        <w:t xml:space="preserve"> Vulneración del derecho a la tutela judicial efectiva: negativa a incoar, en grado de apelación de un pleito civil, un incidente de nulidad de actuaciones sin motivación.</w:t>
      </w:r>
      <w:r>
        <w:tab/>
      </w:r>
      <w:r>
        <w:tab/>
      </w:r>
      <w:r>
        <w:fldChar w:fldCharType="begin"/>
      </w:r>
      <w:r>
        <w:instrText xml:space="preserve"> PAGEREF SENTENCIA_2007_92 \h </w:instrText>
      </w:r>
      <w:r>
        <w:fldChar w:fldCharType="separate"/>
      </w:r>
      <w:r w:rsidR="00993288">
        <w:rPr>
          <w:noProof/>
        </w:rPr>
        <w:t>47</w:t>
      </w:r>
      <w:r>
        <w:fldChar w:fldCharType="end"/>
      </w:r>
    </w:p>
    <w:p w:rsidR="005E2304" w:rsidRDefault="005E2304" w:rsidP="005E2304"/>
    <w:p w:rsidR="005E2304" w:rsidRDefault="005E2304" w:rsidP="005E2304">
      <w:pPr>
        <w:pStyle w:val="EntradandiceSentencia"/>
      </w:pPr>
      <w:r>
        <w:t>Sala Segunda. Sentencia 93/2007, de 7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2259-2004. </w:t>
      </w:r>
      <w:r w:rsidRPr="005E2304">
        <w:rPr>
          <w:rStyle w:val="TextoNormalCursivaCaracter"/>
        </w:rPr>
        <w:t xml:space="preserve"> Alegada vulneración del derecho a la tutela judicial efectiva: falta de invocación tempestiva de los derechos en la inadmisión de un recurso de apelación civil.</w:t>
      </w:r>
      <w:r>
        <w:tab/>
      </w:r>
      <w:r>
        <w:tab/>
      </w:r>
      <w:r>
        <w:fldChar w:fldCharType="begin"/>
      </w:r>
      <w:r>
        <w:instrText xml:space="preserve"> PAGEREF SENTENCIA_2007_93 \h </w:instrText>
      </w:r>
      <w:r>
        <w:fldChar w:fldCharType="separate"/>
      </w:r>
      <w:r w:rsidR="00993288">
        <w:rPr>
          <w:noProof/>
        </w:rPr>
        <w:t>55</w:t>
      </w:r>
      <w:r>
        <w:fldChar w:fldCharType="end"/>
      </w:r>
    </w:p>
    <w:p w:rsidR="005E2304" w:rsidRDefault="005E2304" w:rsidP="005E2304"/>
    <w:p w:rsidR="005E2304" w:rsidRDefault="005E2304" w:rsidP="005E2304">
      <w:pPr>
        <w:pStyle w:val="EntradandiceSentencia"/>
      </w:pPr>
      <w:r>
        <w:t>Sala Segunda. Sentencia 94/2007, de 7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5703-2004. </w:t>
      </w:r>
      <w:r w:rsidRPr="005E2304">
        <w:rPr>
          <w:rStyle w:val="TextoNormalCursivaCaracter"/>
        </w:rPr>
        <w:t xml:space="preserve"> Supuesta vulneración de los derechos a la prueba y a la tutela judicial efectiva: denegación de prueba motivada; adjudicación de puestos de trabajo de policía científica.</w:t>
      </w:r>
      <w:r>
        <w:tab/>
      </w:r>
      <w:r>
        <w:tab/>
      </w:r>
      <w:r>
        <w:fldChar w:fldCharType="begin"/>
      </w:r>
      <w:r>
        <w:instrText xml:space="preserve"> PAGEREF SENTENCIA_2007_94 \h </w:instrText>
      </w:r>
      <w:r>
        <w:fldChar w:fldCharType="separate"/>
      </w:r>
      <w:r w:rsidR="00993288">
        <w:rPr>
          <w:noProof/>
        </w:rPr>
        <w:t>63</w:t>
      </w:r>
      <w:r>
        <w:fldChar w:fldCharType="end"/>
      </w:r>
    </w:p>
    <w:p w:rsidR="005E2304" w:rsidRDefault="005E2304" w:rsidP="005E2304"/>
    <w:p w:rsidR="005E2304" w:rsidRDefault="005E2304" w:rsidP="005E2304">
      <w:pPr>
        <w:pStyle w:val="EntradandiceSentencia"/>
      </w:pPr>
      <w:r>
        <w:lastRenderedPageBreak/>
        <w:t>Sala Segunda. Sentencia 95/2007, de 7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2555-2006. </w:t>
      </w:r>
      <w:r w:rsidRPr="005E2304">
        <w:rPr>
          <w:rStyle w:val="TextoNormalCursivaCaracter"/>
        </w:rPr>
        <w:t xml:space="preserve"> Vulneración de la libertad personal: incumplimiento del plazo máximo legal de prisión provisional en procedimiento de euroorden (STC 99/2006), no justificado por la pendencia de otra causa penal ante la jurisdicción española.</w:t>
      </w:r>
      <w:r>
        <w:tab/>
      </w:r>
      <w:r>
        <w:tab/>
      </w:r>
      <w:r>
        <w:fldChar w:fldCharType="begin"/>
      </w:r>
      <w:r>
        <w:instrText xml:space="preserve"> PAGEREF SENTENCIA_2007_95 \h </w:instrText>
      </w:r>
      <w:r>
        <w:fldChar w:fldCharType="separate"/>
      </w:r>
      <w:r w:rsidR="00993288">
        <w:rPr>
          <w:noProof/>
        </w:rPr>
        <w:t>76</w:t>
      </w:r>
      <w:r>
        <w:fldChar w:fldCharType="end"/>
      </w:r>
    </w:p>
    <w:p w:rsidR="005E2304" w:rsidRDefault="005E2304" w:rsidP="005E2304"/>
    <w:p w:rsidR="005E2304" w:rsidRDefault="005E2304" w:rsidP="005E2304">
      <w:pPr>
        <w:pStyle w:val="EntradandiceSentencia"/>
      </w:pPr>
      <w:r>
        <w:t>Sala Primera. Sentencia 96/2007, de 8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electoral 3983-2007. </w:t>
      </w:r>
      <w:r w:rsidRPr="005E2304">
        <w:rPr>
          <w:rStyle w:val="TextoNormalCursivaCaracter"/>
        </w:rPr>
        <w:t xml:space="preserve"> Vulneración de los derechos a la tutela judicial sin indefensión y a acceder a los cargos representativos: contencioso-electoral sin contradicción; anulación de candidatura electoral por infringir la paridad entre mujeres y hombres sin permitir su subsanación.</w:t>
      </w:r>
      <w:r>
        <w:tab/>
      </w:r>
      <w:r>
        <w:tab/>
      </w:r>
      <w:r>
        <w:fldChar w:fldCharType="begin"/>
      </w:r>
      <w:r>
        <w:instrText xml:space="preserve"> PAGEREF SENTENCIA_2007_96 \h </w:instrText>
      </w:r>
      <w:r>
        <w:fldChar w:fldCharType="separate"/>
      </w:r>
      <w:r w:rsidR="00993288">
        <w:rPr>
          <w:noProof/>
        </w:rPr>
        <w:t>86</w:t>
      </w:r>
      <w:r>
        <w:fldChar w:fldCharType="end"/>
      </w:r>
    </w:p>
    <w:p w:rsidR="005E2304" w:rsidRDefault="005E2304" w:rsidP="005E2304"/>
    <w:p w:rsidR="005E2304" w:rsidRDefault="005E2304" w:rsidP="005E2304">
      <w:pPr>
        <w:pStyle w:val="EntradandiceSentencia"/>
      </w:pPr>
      <w:r>
        <w:t>Sala Primera. Sentencia 97/2007, de 8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electoral 3984-2007. </w:t>
      </w:r>
      <w:r w:rsidRPr="005E2304">
        <w:rPr>
          <w:rStyle w:val="TextoNormalCursivaCaracter"/>
        </w:rPr>
        <w:t xml:space="preserve"> Vulneración de los derechos a la tutela judicial sin indefensión y a acceder a los cargos representativos: contencioso-electoral sin contradicción; anulación de candidatura electoral por infringir la paridad entre mujeres y hombres sin permitir su subsanación (STC 96/2007).</w:t>
      </w:r>
      <w:r>
        <w:tab/>
      </w:r>
      <w:r>
        <w:tab/>
      </w:r>
      <w:r>
        <w:fldChar w:fldCharType="begin"/>
      </w:r>
      <w:r>
        <w:instrText xml:space="preserve"> PAGEREF SENTENCIA_2007_97 \h </w:instrText>
      </w:r>
      <w:r>
        <w:fldChar w:fldCharType="separate"/>
      </w:r>
      <w:r w:rsidR="00993288">
        <w:rPr>
          <w:noProof/>
        </w:rPr>
        <w:t>95</w:t>
      </w:r>
      <w:r>
        <w:fldChar w:fldCharType="end"/>
      </w:r>
    </w:p>
    <w:p w:rsidR="005E2304" w:rsidRDefault="005E2304" w:rsidP="005E2304"/>
    <w:p w:rsidR="005E2304" w:rsidRDefault="005E2304" w:rsidP="005E2304">
      <w:pPr>
        <w:pStyle w:val="EntradandiceSentencia"/>
      </w:pPr>
      <w:r>
        <w:t>Sala Primera. Sentencia 98/2007, de 8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electoral 4009-2007. </w:t>
      </w:r>
      <w:r w:rsidRPr="005E2304">
        <w:rPr>
          <w:rStyle w:val="TextoNormalCursivaCaracter"/>
        </w:rPr>
        <w:t xml:space="preserve"> Vulneración de los derechos a la tutela judicial sin indefensión y a acceder a los cargos representativos: STC 96/2007.</w:t>
      </w:r>
      <w:r>
        <w:tab/>
      </w:r>
      <w:r>
        <w:tab/>
      </w:r>
      <w:r>
        <w:fldChar w:fldCharType="begin"/>
      </w:r>
      <w:r>
        <w:instrText xml:space="preserve"> PAGEREF SENTENCIA_2007_98 \h </w:instrText>
      </w:r>
      <w:r>
        <w:fldChar w:fldCharType="separate"/>
      </w:r>
      <w:r w:rsidR="00993288">
        <w:rPr>
          <w:noProof/>
        </w:rPr>
        <w:t>104</w:t>
      </w:r>
      <w:r>
        <w:fldChar w:fldCharType="end"/>
      </w:r>
    </w:p>
    <w:p w:rsidR="005E2304" w:rsidRDefault="005E2304" w:rsidP="005E2304"/>
    <w:p w:rsidR="005E2304" w:rsidRDefault="005E2304" w:rsidP="005E2304">
      <w:pPr>
        <w:pStyle w:val="EntradandiceSentencia"/>
      </w:pPr>
      <w:r>
        <w:t>Sala Primera. Sentencia 99/2007, de 9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electoral 4007-2007. </w:t>
      </w:r>
      <w:r w:rsidRPr="005E2304">
        <w:rPr>
          <w:rStyle w:val="TextoNormalCursivaCaracter"/>
        </w:rPr>
        <w:t xml:space="preserve"> Vulneración de los derechos a la tutela judicial sin indefensión y a acceder a los cargos representativos: STC 96/2007.</w:t>
      </w:r>
      <w:r>
        <w:tab/>
      </w:r>
      <w:r>
        <w:tab/>
      </w:r>
      <w:r>
        <w:fldChar w:fldCharType="begin"/>
      </w:r>
      <w:r>
        <w:instrText xml:space="preserve"> PAGEREF SENTENCIA_2007_99 \h </w:instrText>
      </w:r>
      <w:r>
        <w:fldChar w:fldCharType="separate"/>
      </w:r>
      <w:r w:rsidR="00993288">
        <w:rPr>
          <w:noProof/>
        </w:rPr>
        <w:t>113</w:t>
      </w:r>
      <w:r>
        <w:fldChar w:fldCharType="end"/>
      </w:r>
    </w:p>
    <w:p w:rsidR="005E2304" w:rsidRDefault="005E2304" w:rsidP="005E2304"/>
    <w:p w:rsidR="005E2304" w:rsidRDefault="005E2304" w:rsidP="005E2304">
      <w:pPr>
        <w:pStyle w:val="EntradandiceSentencia"/>
      </w:pPr>
      <w:r>
        <w:t>Sala Primera. Sentencia 100/2007, de 9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electoral 4008-2007. </w:t>
      </w:r>
      <w:r w:rsidRPr="005E2304">
        <w:rPr>
          <w:rStyle w:val="TextoNormalCursivaCaracter"/>
        </w:rPr>
        <w:t xml:space="preserve"> Vulneración de los derechos a la tutela judicial sin indefensión y a acceder a los cargos representativos: contencioso-electoral sin contradicción; anulación de candidatura electoral por infringir la paridad entre mujeres y hombres sin permitir su subsanación (STC 96/2007).</w:t>
      </w:r>
      <w:r>
        <w:tab/>
      </w:r>
      <w:r>
        <w:tab/>
      </w:r>
      <w:r>
        <w:fldChar w:fldCharType="begin"/>
      </w:r>
      <w:r>
        <w:instrText xml:space="preserve"> PAGEREF SENTENCIA_2007_100 \h </w:instrText>
      </w:r>
      <w:r>
        <w:fldChar w:fldCharType="separate"/>
      </w:r>
      <w:r w:rsidR="00993288">
        <w:rPr>
          <w:noProof/>
        </w:rPr>
        <w:t>123</w:t>
      </w:r>
      <w:r>
        <w:fldChar w:fldCharType="end"/>
      </w:r>
    </w:p>
    <w:p w:rsidR="005E2304" w:rsidRDefault="005E2304" w:rsidP="005E2304"/>
    <w:p w:rsidR="005E2304" w:rsidRDefault="005E2304" w:rsidP="005E2304">
      <w:pPr>
        <w:pStyle w:val="EntradandiceSentencia"/>
      </w:pPr>
      <w:r>
        <w:lastRenderedPageBreak/>
        <w:t>Sala Primera. Sentencia 101/2007, de 9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electoral 4011-2007. </w:t>
      </w:r>
      <w:r w:rsidRPr="005E2304">
        <w:rPr>
          <w:rStyle w:val="TextoNormalCursivaCaracter"/>
        </w:rPr>
        <w:t xml:space="preserve"> Vulneración de los derechos a acceder a los cargos representativos y a la tutela judicial sin indefensión: anulación de candidatura electoral por infringir la paridad entre mujeres y hombres sin permitir su subsanación; contencioso-electoral sin contradicción (STC 96/2007).</w:t>
      </w:r>
      <w:r>
        <w:tab/>
      </w:r>
      <w:r>
        <w:tab/>
      </w:r>
      <w:r>
        <w:fldChar w:fldCharType="begin"/>
      </w:r>
      <w:r>
        <w:instrText xml:space="preserve"> PAGEREF SENTENCIA_2007_101 \h </w:instrText>
      </w:r>
      <w:r>
        <w:fldChar w:fldCharType="separate"/>
      </w:r>
      <w:r w:rsidR="00993288">
        <w:rPr>
          <w:noProof/>
        </w:rPr>
        <w:t>130</w:t>
      </w:r>
      <w:r>
        <w:fldChar w:fldCharType="end"/>
      </w:r>
    </w:p>
    <w:p w:rsidR="005E2304" w:rsidRDefault="005E2304" w:rsidP="005E2304"/>
    <w:p w:rsidR="005E2304" w:rsidRDefault="005E2304" w:rsidP="005E2304">
      <w:pPr>
        <w:pStyle w:val="EntradandiceSentencia"/>
      </w:pPr>
      <w:r>
        <w:t>Sala Primera. Sentencia 102/2007, de 9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electoral 4106-2007. </w:t>
      </w:r>
      <w:r w:rsidRPr="005E2304">
        <w:rPr>
          <w:rStyle w:val="TextoNormalCursivaCaracter"/>
        </w:rPr>
        <w:t xml:space="preserve"> Vulneración de los derechos a acceder a los cargos representativos y a la tutela judicial sin indefensión: anulación de candidatura electoral por infringir la paridad entre mujeres y hombres sin permitir su subsanación; contencioso-electoral sin contradicción (STC 96/2007).</w:t>
      </w:r>
      <w:r>
        <w:tab/>
      </w:r>
      <w:r>
        <w:tab/>
      </w:r>
      <w:r>
        <w:fldChar w:fldCharType="begin"/>
      </w:r>
      <w:r>
        <w:instrText xml:space="preserve"> PAGEREF SENTENCIA_2007_102 \h </w:instrText>
      </w:r>
      <w:r>
        <w:fldChar w:fldCharType="separate"/>
      </w:r>
      <w:r w:rsidR="00993288">
        <w:rPr>
          <w:noProof/>
        </w:rPr>
        <w:t>139</w:t>
      </w:r>
      <w:r>
        <w:fldChar w:fldCharType="end"/>
      </w:r>
    </w:p>
    <w:p w:rsidR="005E2304" w:rsidRDefault="005E2304" w:rsidP="005E2304"/>
    <w:p w:rsidR="005E2304" w:rsidRDefault="005E2304" w:rsidP="005E2304">
      <w:pPr>
        <w:pStyle w:val="EntradandiceSentencia"/>
      </w:pPr>
      <w:r>
        <w:t>Sala Primera. Sentencia 103/2007, de 9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electoral 4158-2007. </w:t>
      </w:r>
      <w:r w:rsidRPr="005E2304">
        <w:rPr>
          <w:rStyle w:val="TextoNormalCursivaCaracter"/>
        </w:rPr>
        <w:t xml:space="preserve"> Vulneración del derecho a la tutela judicial sin indefensión y a acceder a los cargos representativos: STC 96/2007.</w:t>
      </w:r>
      <w:r>
        <w:tab/>
      </w:r>
      <w:r>
        <w:tab/>
      </w:r>
      <w:r>
        <w:fldChar w:fldCharType="begin"/>
      </w:r>
      <w:r>
        <w:instrText xml:space="preserve"> PAGEREF SENTENCIA_2007_103 \h </w:instrText>
      </w:r>
      <w:r>
        <w:fldChar w:fldCharType="separate"/>
      </w:r>
      <w:r w:rsidR="00993288">
        <w:rPr>
          <w:noProof/>
        </w:rPr>
        <w:t>148</w:t>
      </w:r>
      <w:r>
        <w:fldChar w:fldCharType="end"/>
      </w:r>
    </w:p>
    <w:p w:rsidR="005E2304" w:rsidRDefault="005E2304" w:rsidP="005E2304"/>
    <w:p w:rsidR="005E2304" w:rsidRDefault="005E2304" w:rsidP="005E2304">
      <w:pPr>
        <w:pStyle w:val="EntradandiceSentencia"/>
      </w:pPr>
      <w:r>
        <w:t>Sala Primera. Sentencia 104/2007, de 9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electoral 4170-2007. </w:t>
      </w:r>
      <w:r w:rsidRPr="005E2304">
        <w:rPr>
          <w:rStyle w:val="TextoNormalCursivaCaracter"/>
        </w:rPr>
        <w:t xml:space="preserve"> Vulneración del derecho a acceder a los cargos representativos: anulación de candidatura electoral por infringir la paridad entre mujeres y hombres sin permitir su subsanación (STC 96/2007).</w:t>
      </w:r>
      <w:r>
        <w:tab/>
      </w:r>
      <w:r>
        <w:tab/>
      </w:r>
      <w:r>
        <w:fldChar w:fldCharType="begin"/>
      </w:r>
      <w:r>
        <w:instrText xml:space="preserve"> PAGEREF SENTENCIA_2007_104 \h </w:instrText>
      </w:r>
      <w:r>
        <w:fldChar w:fldCharType="separate"/>
      </w:r>
      <w:r w:rsidR="00993288">
        <w:rPr>
          <w:noProof/>
        </w:rPr>
        <w:t>157</w:t>
      </w:r>
      <w:r>
        <w:fldChar w:fldCharType="end"/>
      </w:r>
    </w:p>
    <w:p w:rsidR="005E2304" w:rsidRDefault="005E2304" w:rsidP="005E2304"/>
    <w:p w:rsidR="005E2304" w:rsidRDefault="005E2304" w:rsidP="005E2304">
      <w:pPr>
        <w:pStyle w:val="EntradandiceSentencia"/>
      </w:pPr>
      <w:r>
        <w:t>Sala Primera. Sentencia 105/2007, de 10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electoral 3994-2007. </w:t>
      </w:r>
      <w:r w:rsidRPr="005E2304">
        <w:rPr>
          <w:rStyle w:val="TextoNormalCursivaCaracter"/>
        </w:rPr>
        <w:t xml:space="preserve"> Vulneración del derecho a acceder a los cargos representativos: anulación de candidatura electoral por infringir la paridad entre mujeres y hombres sin permitir su subsanación (STC 96/2007).</w:t>
      </w:r>
      <w:r>
        <w:tab/>
      </w:r>
      <w:r>
        <w:tab/>
      </w:r>
      <w:r>
        <w:fldChar w:fldCharType="begin"/>
      </w:r>
      <w:r>
        <w:instrText xml:space="preserve"> PAGEREF SENTENCIA_2007_105 \h </w:instrText>
      </w:r>
      <w:r>
        <w:fldChar w:fldCharType="separate"/>
      </w:r>
      <w:r w:rsidR="00993288">
        <w:rPr>
          <w:noProof/>
        </w:rPr>
        <w:t>165</w:t>
      </w:r>
      <w:r>
        <w:fldChar w:fldCharType="end"/>
      </w:r>
    </w:p>
    <w:p w:rsidR="005E2304" w:rsidRDefault="005E2304" w:rsidP="005E2304"/>
    <w:p w:rsidR="005E2304" w:rsidRDefault="005E2304" w:rsidP="005E2304">
      <w:pPr>
        <w:pStyle w:val="EntradandiceSentencia"/>
      </w:pPr>
      <w:r>
        <w:t>Sala Primera. Sentencia 106/2007, de 10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electoral 4000-2007. </w:t>
      </w:r>
      <w:r w:rsidRPr="005E2304">
        <w:rPr>
          <w:rStyle w:val="TextoNormalCursivaCaracter"/>
        </w:rPr>
        <w:t xml:space="preserve"> Vulneración de los derechos a la tutela judicial sin indefensión y a acceder a los cargos representativos: STC 96/2007.</w:t>
      </w:r>
      <w:r>
        <w:tab/>
      </w:r>
      <w:r>
        <w:tab/>
      </w:r>
      <w:r>
        <w:fldChar w:fldCharType="begin"/>
      </w:r>
      <w:r>
        <w:instrText xml:space="preserve"> PAGEREF SENTENCIA_2007_106 \h </w:instrText>
      </w:r>
      <w:r>
        <w:fldChar w:fldCharType="separate"/>
      </w:r>
      <w:r w:rsidR="00993288">
        <w:rPr>
          <w:noProof/>
        </w:rPr>
        <w:t>173</w:t>
      </w:r>
      <w:r>
        <w:fldChar w:fldCharType="end"/>
      </w:r>
    </w:p>
    <w:p w:rsidR="005E2304" w:rsidRDefault="005E2304" w:rsidP="005E2304"/>
    <w:p w:rsidR="005E2304" w:rsidRDefault="005E2304" w:rsidP="005E2304">
      <w:pPr>
        <w:pStyle w:val="EntradandiceSentencia"/>
      </w:pPr>
      <w:r>
        <w:lastRenderedPageBreak/>
        <w:t>Sala Primera. Sentencia 107/2007, de 10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electoral 4010-2007. </w:t>
      </w:r>
      <w:r w:rsidRPr="005E2304">
        <w:rPr>
          <w:rStyle w:val="TextoNormalCursivaCaracter"/>
        </w:rPr>
        <w:t xml:space="preserve"> Vulneración de los derechos a la tutela judicial sin indefensión y a acceder a los cargos representativos: STC 96/2007.</w:t>
      </w:r>
      <w:r>
        <w:tab/>
      </w:r>
      <w:r>
        <w:tab/>
      </w:r>
      <w:r>
        <w:fldChar w:fldCharType="begin"/>
      </w:r>
      <w:r>
        <w:instrText xml:space="preserve"> PAGEREF SENTENCIA_2007_107 \h </w:instrText>
      </w:r>
      <w:r>
        <w:fldChar w:fldCharType="separate"/>
      </w:r>
      <w:r w:rsidR="00993288">
        <w:rPr>
          <w:noProof/>
        </w:rPr>
        <w:t>182</w:t>
      </w:r>
      <w:r>
        <w:fldChar w:fldCharType="end"/>
      </w:r>
    </w:p>
    <w:p w:rsidR="005E2304" w:rsidRDefault="005E2304" w:rsidP="005E2304"/>
    <w:p w:rsidR="005E2304" w:rsidRDefault="005E2304" w:rsidP="005E2304">
      <w:pPr>
        <w:pStyle w:val="EntradandiceSentencia"/>
      </w:pPr>
      <w:r>
        <w:t>Sala Primera. Sentencia 108/2007, de 10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electoral 4039-2007. </w:t>
      </w:r>
      <w:r w:rsidRPr="005E2304">
        <w:rPr>
          <w:rStyle w:val="TextoNormalCursivaCaracter"/>
        </w:rPr>
        <w:t xml:space="preserve"> Vulneración del derecho a acceder a los cargos representativos: denegación de candidatura electoral por infringir la paridad entre mujeres y hombres sin permitir su subsanación (STC 96/2007). Voto particular.</w:t>
      </w:r>
      <w:r>
        <w:tab/>
      </w:r>
      <w:r>
        <w:tab/>
      </w:r>
      <w:r>
        <w:fldChar w:fldCharType="begin"/>
      </w:r>
      <w:r>
        <w:instrText xml:space="preserve"> PAGEREF SENTENCIA_2007_108 \h </w:instrText>
      </w:r>
      <w:r>
        <w:fldChar w:fldCharType="separate"/>
      </w:r>
      <w:r w:rsidR="00993288">
        <w:rPr>
          <w:noProof/>
        </w:rPr>
        <w:t>191</w:t>
      </w:r>
      <w:r>
        <w:fldChar w:fldCharType="end"/>
      </w:r>
    </w:p>
    <w:p w:rsidR="005E2304" w:rsidRDefault="005E2304" w:rsidP="005E2304"/>
    <w:p w:rsidR="005E2304" w:rsidRDefault="005E2304" w:rsidP="005E2304">
      <w:pPr>
        <w:pStyle w:val="EntradandiceSentencia"/>
      </w:pPr>
      <w:r>
        <w:t>Sala Primera. Sentencia 109/2007, de 10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electoral 4105-2007. </w:t>
      </w:r>
      <w:r w:rsidRPr="005E2304">
        <w:rPr>
          <w:rStyle w:val="TextoNormalCursivaCaracter"/>
        </w:rPr>
        <w:t xml:space="preserve"> Vulneración del derecho a la tutela judicial sin indefensión y a acceder a los cargos representativos: rechazo de las alegaciones presentadas en el Juzgado de guardia; anulación de candidatura electoral por haber presentado dos y no permitir la subsanación.</w:t>
      </w:r>
      <w:r>
        <w:tab/>
      </w:r>
      <w:r>
        <w:tab/>
      </w:r>
      <w:r>
        <w:fldChar w:fldCharType="begin"/>
      </w:r>
      <w:r>
        <w:instrText xml:space="preserve"> PAGEREF SENTENCIA_2007_109 \h </w:instrText>
      </w:r>
      <w:r>
        <w:fldChar w:fldCharType="separate"/>
      </w:r>
      <w:r w:rsidR="00993288">
        <w:rPr>
          <w:noProof/>
        </w:rPr>
        <w:t>200</w:t>
      </w:r>
      <w:r>
        <w:fldChar w:fldCharType="end"/>
      </w:r>
    </w:p>
    <w:p w:rsidR="005E2304" w:rsidRDefault="005E2304" w:rsidP="005E2304"/>
    <w:p w:rsidR="005E2304" w:rsidRDefault="005E2304" w:rsidP="005E2304">
      <w:pPr>
        <w:pStyle w:val="EntradandiceSentencia"/>
      </w:pPr>
      <w:r>
        <w:t>Sala Primera. Sentencia 110/2007, de 10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Recursos de amparo electoral 4107-2007 y otros 22 acumulados. </w:t>
      </w:r>
      <w:r w:rsidRPr="005E2304">
        <w:rPr>
          <w:rStyle w:val="TextoNormalCursivaCaracter"/>
        </w:rPr>
        <w:t xml:space="preserve"> Supuesta vulneración de los derechos a la defensa, a un proceso con garantías, a un juez imparcial, a la prueba, a la intimidad personal y a acceder a los cargos representativos: perentoriedad de los recursos electorales; datos personales; agrupaciones electorales que de hecho continúan o suceden la actividad de un partido político ilegal (STC 85/2003).</w:t>
      </w:r>
      <w:r>
        <w:tab/>
      </w:r>
      <w:r>
        <w:tab/>
      </w:r>
      <w:r>
        <w:fldChar w:fldCharType="begin"/>
      </w:r>
      <w:r>
        <w:instrText xml:space="preserve"> PAGEREF SENTENCIA_2007_110 \h </w:instrText>
      </w:r>
      <w:r>
        <w:fldChar w:fldCharType="separate"/>
      </w:r>
      <w:r w:rsidR="00993288">
        <w:rPr>
          <w:noProof/>
        </w:rPr>
        <w:t>207</w:t>
      </w:r>
      <w:r>
        <w:fldChar w:fldCharType="end"/>
      </w:r>
    </w:p>
    <w:p w:rsidR="005E2304" w:rsidRDefault="005E2304" w:rsidP="005E2304"/>
    <w:p w:rsidR="005E2304" w:rsidRDefault="005E2304" w:rsidP="005E2304">
      <w:pPr>
        <w:pStyle w:val="EntradandiceSentencia"/>
      </w:pPr>
      <w:r>
        <w:t>Sala Primera. Sentencia 111/2007, de 10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electoral 4144-2007. </w:t>
      </w:r>
      <w:r w:rsidRPr="005E2304">
        <w:rPr>
          <w:rStyle w:val="TextoNormalCursivaCaracter"/>
        </w:rPr>
        <w:t xml:space="preserve"> Vulneración de los derechos a la tutela judicial sin indefensión y a acceder a los cargos representativos: SSTC 96/2007 y 97/2007.</w:t>
      </w:r>
      <w:r>
        <w:tab/>
      </w:r>
      <w:r>
        <w:tab/>
      </w:r>
      <w:r>
        <w:fldChar w:fldCharType="begin"/>
      </w:r>
      <w:r>
        <w:instrText xml:space="preserve"> PAGEREF SENTENCIA_2007_111 \h </w:instrText>
      </w:r>
      <w:r>
        <w:fldChar w:fldCharType="separate"/>
      </w:r>
      <w:r w:rsidR="00993288">
        <w:rPr>
          <w:noProof/>
        </w:rPr>
        <w:t>266</w:t>
      </w:r>
      <w:r>
        <w:fldChar w:fldCharType="end"/>
      </w:r>
    </w:p>
    <w:p w:rsidR="005E2304" w:rsidRDefault="005E2304" w:rsidP="005E2304"/>
    <w:p w:rsidR="005E2304" w:rsidRDefault="005E2304" w:rsidP="005E2304">
      <w:pPr>
        <w:pStyle w:val="EntradandiceSentencia"/>
      </w:pPr>
      <w:r>
        <w:t>Sala Primera. Sentencia 112/2007, de 10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electoral 4215-2007. </w:t>
      </w:r>
      <w:r w:rsidRPr="005E2304">
        <w:rPr>
          <w:rStyle w:val="TextoNormalCursivaCaracter"/>
        </w:rPr>
        <w:t xml:space="preserve"> Supuesta vulneración de los derechos a la tutela judicial efectiva, a un proceso con garantías y a acceder a los cargos </w:t>
      </w:r>
      <w:r w:rsidRPr="005E2304">
        <w:rPr>
          <w:rStyle w:val="TextoNormalCursivaCaracter"/>
        </w:rPr>
        <w:lastRenderedPageBreak/>
        <w:t>representativos: cauce judicial procedente; candidaturas electorales de un partido político que de hecho continúan o suceden la actividad de un partido político ilegal (STC 85/2003).</w:t>
      </w:r>
      <w:r>
        <w:tab/>
      </w:r>
      <w:r>
        <w:tab/>
      </w:r>
      <w:r>
        <w:fldChar w:fldCharType="begin"/>
      </w:r>
      <w:r>
        <w:instrText xml:space="preserve"> PAGEREF SENTENCIA_2007_112 \h </w:instrText>
      </w:r>
      <w:r>
        <w:fldChar w:fldCharType="separate"/>
      </w:r>
      <w:r w:rsidR="00993288">
        <w:rPr>
          <w:noProof/>
        </w:rPr>
        <w:t>272</w:t>
      </w:r>
      <w:r>
        <w:fldChar w:fldCharType="end"/>
      </w:r>
    </w:p>
    <w:p w:rsidR="005E2304" w:rsidRDefault="005E2304" w:rsidP="005E2304"/>
    <w:p w:rsidR="005E2304" w:rsidRDefault="005E2304" w:rsidP="005E2304">
      <w:pPr>
        <w:pStyle w:val="EntradandiceSentencia"/>
      </w:pPr>
      <w:r>
        <w:t>Sala Primera. Sentencia 113/2007, de 10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electoral 4218-2007. </w:t>
      </w:r>
      <w:r w:rsidRPr="005E2304">
        <w:rPr>
          <w:rStyle w:val="TextoNormalCursivaCaracter"/>
        </w:rPr>
        <w:t xml:space="preserve"> Vulneración de los derechos a la tutela judicial sin indefensión y a acceder a los cargos representativos: SSTC 96/2007 y 97/2007.</w:t>
      </w:r>
      <w:r>
        <w:tab/>
      </w:r>
      <w:r>
        <w:tab/>
      </w:r>
      <w:r>
        <w:fldChar w:fldCharType="begin"/>
      </w:r>
      <w:r>
        <w:instrText xml:space="preserve"> PAGEREF SENTENCIA_2007_113 \h </w:instrText>
      </w:r>
      <w:r>
        <w:fldChar w:fldCharType="separate"/>
      </w:r>
      <w:r w:rsidR="00993288">
        <w:rPr>
          <w:noProof/>
        </w:rPr>
        <w:t>307</w:t>
      </w:r>
      <w:r>
        <w:fldChar w:fldCharType="end"/>
      </w:r>
    </w:p>
    <w:p w:rsidR="005E2304" w:rsidRDefault="005E2304" w:rsidP="005E2304"/>
    <w:p w:rsidR="005E2304" w:rsidRDefault="005E2304" w:rsidP="005E2304">
      <w:pPr>
        <w:pStyle w:val="EntradandiceSentencia"/>
      </w:pPr>
      <w:r>
        <w:t>Sala Primera. Sentencia 114/2007, de 10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electoral 4220-2007. </w:t>
      </w:r>
      <w:r w:rsidRPr="005E2304">
        <w:rPr>
          <w:rStyle w:val="TextoNormalCursivaCaracter"/>
        </w:rPr>
        <w:t xml:space="preserve"> Vulneración del derecho a acceder a los cargos representativos: STC 96/2007.</w:t>
      </w:r>
      <w:r>
        <w:tab/>
      </w:r>
      <w:r>
        <w:tab/>
      </w:r>
      <w:r>
        <w:fldChar w:fldCharType="begin"/>
      </w:r>
      <w:r>
        <w:instrText xml:space="preserve"> PAGEREF SENTENCIA_2007_114 \h </w:instrText>
      </w:r>
      <w:r>
        <w:fldChar w:fldCharType="separate"/>
      </w:r>
      <w:r w:rsidR="00993288">
        <w:rPr>
          <w:noProof/>
        </w:rPr>
        <w:t>314</w:t>
      </w:r>
      <w:r>
        <w:fldChar w:fldCharType="end"/>
      </w:r>
    </w:p>
    <w:p w:rsidR="005E2304" w:rsidRDefault="005E2304" w:rsidP="005E2304"/>
    <w:p w:rsidR="005E2304" w:rsidRDefault="005E2304" w:rsidP="005E2304">
      <w:pPr>
        <w:pStyle w:val="EntradandiceSentencia"/>
      </w:pPr>
      <w:r>
        <w:t>Sala Primera. Sentencia 115/2007, de 10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electoral 4266-2007. </w:t>
      </w:r>
      <w:r w:rsidRPr="005E2304">
        <w:rPr>
          <w:rStyle w:val="TextoNormalCursivaCaracter"/>
        </w:rPr>
        <w:t xml:space="preserve"> Vulneración del derecho a acceder a los cargos representativos: STC 96/2007.</w:t>
      </w:r>
      <w:r>
        <w:tab/>
      </w:r>
      <w:r>
        <w:tab/>
      </w:r>
      <w:r>
        <w:fldChar w:fldCharType="begin"/>
      </w:r>
      <w:r>
        <w:instrText xml:space="preserve"> PAGEREF SENTENCIA_2007_115 \h </w:instrText>
      </w:r>
      <w:r>
        <w:fldChar w:fldCharType="separate"/>
      </w:r>
      <w:r w:rsidR="00993288">
        <w:rPr>
          <w:noProof/>
        </w:rPr>
        <w:t>321</w:t>
      </w:r>
      <w:r>
        <w:fldChar w:fldCharType="end"/>
      </w:r>
    </w:p>
    <w:p w:rsidR="005E2304" w:rsidRDefault="005E2304" w:rsidP="005E2304"/>
    <w:p w:rsidR="005E2304" w:rsidRDefault="005E2304" w:rsidP="005E2304">
      <w:pPr>
        <w:pStyle w:val="EntradandiceSentencia"/>
      </w:pPr>
      <w:r>
        <w:t>Sala Primera. Sentencia 116/2007, de 21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2805-2002. </w:t>
      </w:r>
      <w:r w:rsidRPr="005E2304">
        <w:rPr>
          <w:rStyle w:val="TextoNormalCursivaCaracter"/>
        </w:rPr>
        <w:t xml:space="preserve"> Supuesta vulneración de los derechos a la tutela judicial sin indefensión, a la presunción de inocencia y a la legalidad penal: garantías del procedimiento administrativo sancionador; prueba de cargo sobre el interés indirecto de una juez en un proceso; sanciones administrativas con cobertura legal, motivadas, que no incurren en bis in idem ni son retroactivas.</w:t>
      </w:r>
      <w:r>
        <w:tab/>
      </w:r>
      <w:r>
        <w:tab/>
      </w:r>
      <w:r>
        <w:fldChar w:fldCharType="begin"/>
      </w:r>
      <w:r>
        <w:instrText xml:space="preserve"> PAGEREF SENTENCIA_2007_116 \h </w:instrText>
      </w:r>
      <w:r>
        <w:fldChar w:fldCharType="separate"/>
      </w:r>
      <w:r w:rsidR="00993288">
        <w:rPr>
          <w:noProof/>
        </w:rPr>
        <w:t>328</w:t>
      </w:r>
      <w:r>
        <w:fldChar w:fldCharType="end"/>
      </w:r>
    </w:p>
    <w:p w:rsidR="005E2304" w:rsidRDefault="005E2304" w:rsidP="005E2304"/>
    <w:p w:rsidR="005E2304" w:rsidRDefault="005E2304" w:rsidP="005E2304">
      <w:pPr>
        <w:pStyle w:val="EntradandiceSentencia"/>
      </w:pPr>
      <w:r>
        <w:t>Sala Primera. Sentencia 117/2007, de 21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Recursos de amparo 5625-2002, 5757-2002 y 5761-2002 (acumulados). </w:t>
      </w:r>
      <w:r w:rsidRPr="005E2304">
        <w:rPr>
          <w:rStyle w:val="TextoNormalCursivaCaracter"/>
        </w:rPr>
        <w:t xml:space="preserve"> Supuesta vulneración del derecho a la presunción de inocencia: condenas penales fundadas en testimonio directo y no de referencia y en prueba indiciaria válida.</w:t>
      </w:r>
      <w:r>
        <w:tab/>
      </w:r>
      <w:r>
        <w:tab/>
      </w:r>
      <w:r>
        <w:fldChar w:fldCharType="begin"/>
      </w:r>
      <w:r>
        <w:instrText xml:space="preserve"> PAGEREF SENTENCIA_2007_117 \h </w:instrText>
      </w:r>
      <w:r>
        <w:fldChar w:fldCharType="separate"/>
      </w:r>
      <w:r w:rsidR="00993288">
        <w:rPr>
          <w:noProof/>
        </w:rPr>
        <w:t>348</w:t>
      </w:r>
      <w:r>
        <w:fldChar w:fldCharType="end"/>
      </w:r>
    </w:p>
    <w:p w:rsidR="005E2304" w:rsidRDefault="005E2304" w:rsidP="005E2304"/>
    <w:p w:rsidR="005E2304" w:rsidRDefault="005E2304" w:rsidP="005E2304">
      <w:pPr>
        <w:pStyle w:val="EntradandiceSentencia"/>
      </w:pPr>
      <w:r>
        <w:t>Sala Primera. Sentencia 118/2007, de 21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3265-2003. </w:t>
      </w:r>
      <w:r w:rsidRPr="005E2304">
        <w:rPr>
          <w:rStyle w:val="TextoNormalCursivaCaracter"/>
        </w:rPr>
        <w:t xml:space="preserve"> Alegada vulneración del derecho a la tutela judicial efectiva: extinción del proceso de amparo por satisfacción extraprocesal </w:t>
      </w:r>
      <w:r w:rsidRPr="005E2304">
        <w:rPr>
          <w:rStyle w:val="TextoNormalCursivaCaracter"/>
        </w:rPr>
        <w:lastRenderedPageBreak/>
        <w:t>en relación con la inadmisión de un recurso contencioso-administrativo sobre silencio administrativo negativo (STC 118/2005).</w:t>
      </w:r>
      <w:r>
        <w:tab/>
      </w:r>
      <w:r>
        <w:tab/>
      </w:r>
      <w:r>
        <w:fldChar w:fldCharType="begin"/>
      </w:r>
      <w:r>
        <w:instrText xml:space="preserve"> PAGEREF SENTENCIA_2007_118 \h </w:instrText>
      </w:r>
      <w:r>
        <w:fldChar w:fldCharType="separate"/>
      </w:r>
      <w:r w:rsidR="00993288">
        <w:rPr>
          <w:noProof/>
        </w:rPr>
        <w:t>363</w:t>
      </w:r>
      <w:r>
        <w:fldChar w:fldCharType="end"/>
      </w:r>
    </w:p>
    <w:p w:rsidR="005E2304" w:rsidRDefault="005E2304" w:rsidP="005E2304"/>
    <w:p w:rsidR="005E2304" w:rsidRDefault="005E2304" w:rsidP="005E2304">
      <w:pPr>
        <w:pStyle w:val="EntradandiceSentencia"/>
      </w:pPr>
      <w:r>
        <w:t>Sala Primera. Sentencia 119/2007, de 21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2518-2004. </w:t>
      </w:r>
      <w:r w:rsidRPr="005E2304">
        <w:rPr>
          <w:rStyle w:val="TextoNormalCursivaCaracter"/>
        </w:rPr>
        <w:t xml:space="preserve"> Vulneración del derecho a la tutela judicial efectiva (acceso a la justicia): inadmisión de demanda social por no haber subsanado un defecto, relativo a la acreditación de la conciliación previa y apreciado en la vista del juicio, que es desproporcionada.</w:t>
      </w:r>
      <w:r>
        <w:tab/>
      </w:r>
      <w:r>
        <w:tab/>
      </w:r>
      <w:r>
        <w:fldChar w:fldCharType="begin"/>
      </w:r>
      <w:r>
        <w:instrText xml:space="preserve"> PAGEREF SENTENCIA_2007_119 \h </w:instrText>
      </w:r>
      <w:r>
        <w:fldChar w:fldCharType="separate"/>
      </w:r>
      <w:r w:rsidR="00993288">
        <w:rPr>
          <w:noProof/>
        </w:rPr>
        <w:t>371</w:t>
      </w:r>
      <w:r>
        <w:fldChar w:fldCharType="end"/>
      </w:r>
    </w:p>
    <w:p w:rsidR="005E2304" w:rsidRDefault="005E2304" w:rsidP="005E2304"/>
    <w:p w:rsidR="005E2304" w:rsidRDefault="005E2304" w:rsidP="005E2304">
      <w:pPr>
        <w:pStyle w:val="EntradandiceSentencia"/>
      </w:pPr>
      <w:r>
        <w:t>Sala Primera. Sentencia 120/2007, de 21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3041-2004. </w:t>
      </w:r>
      <w:r w:rsidRPr="005E2304">
        <w:rPr>
          <w:rStyle w:val="TextoNormalCursivaCaracter"/>
        </w:rPr>
        <w:t xml:space="preserve"> Vulneración del derecho a la tutela judicial efectiva: imposición de costas procesales en el trámite de oposición a la ejecución provisional de un fallo civil sin motivación.</w:t>
      </w:r>
      <w:r>
        <w:tab/>
      </w:r>
      <w:r>
        <w:tab/>
      </w:r>
      <w:r>
        <w:fldChar w:fldCharType="begin"/>
      </w:r>
      <w:r>
        <w:instrText xml:space="preserve"> PAGEREF SENTENCIA_2007_120 \h </w:instrText>
      </w:r>
      <w:r>
        <w:fldChar w:fldCharType="separate"/>
      </w:r>
      <w:r w:rsidR="00993288">
        <w:rPr>
          <w:noProof/>
        </w:rPr>
        <w:t>385</w:t>
      </w:r>
      <w:r>
        <w:fldChar w:fldCharType="end"/>
      </w:r>
    </w:p>
    <w:p w:rsidR="005E2304" w:rsidRDefault="005E2304" w:rsidP="005E2304"/>
    <w:p w:rsidR="005E2304" w:rsidRDefault="005E2304" w:rsidP="005E2304">
      <w:pPr>
        <w:pStyle w:val="EntradandiceSentencia"/>
      </w:pPr>
      <w:r>
        <w:t>Sala Primera. Sentencia 121/2007, de 21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3686-2004. </w:t>
      </w:r>
      <w:r w:rsidRPr="005E2304">
        <w:rPr>
          <w:rStyle w:val="TextoNormalCursivaCaracter"/>
        </w:rPr>
        <w:t xml:space="preserve"> Vulneración del derecho a la tutela judicial efectiva (ejecución): denegación de requerimiento de pago al condenado principal para el abono de la responsabilidad civil directa en la parte no cubierta por el Consorcio de Compensación de Seguros.</w:t>
      </w:r>
      <w:r>
        <w:tab/>
      </w:r>
      <w:r>
        <w:tab/>
      </w:r>
      <w:r>
        <w:fldChar w:fldCharType="begin"/>
      </w:r>
      <w:r>
        <w:instrText xml:space="preserve"> PAGEREF SENTENCIA_2007_121 \h </w:instrText>
      </w:r>
      <w:r>
        <w:fldChar w:fldCharType="separate"/>
      </w:r>
      <w:r w:rsidR="00993288">
        <w:rPr>
          <w:noProof/>
        </w:rPr>
        <w:t>391</w:t>
      </w:r>
      <w:r>
        <w:fldChar w:fldCharType="end"/>
      </w:r>
    </w:p>
    <w:p w:rsidR="005E2304" w:rsidRDefault="005E2304" w:rsidP="005E2304"/>
    <w:p w:rsidR="005E2304" w:rsidRDefault="005E2304" w:rsidP="005E2304">
      <w:pPr>
        <w:pStyle w:val="EntradandiceSentencia"/>
      </w:pPr>
      <w:r>
        <w:t>Sala Segunda. Sentencia 122/2007, de 21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3996-2004. </w:t>
      </w:r>
      <w:r w:rsidRPr="005E2304">
        <w:rPr>
          <w:rStyle w:val="TextoNormalCursivaCaracter"/>
        </w:rPr>
        <w:t xml:space="preserve"> Vulneración parcial del derecho a la tutela judicial efectiva (acceso al recurso legal): forma de la resolución judicial; inadmisión por extemporánea de la apelación contra una sentencia dictada en juicio de faltas que resulta arbitraria, porque considera hábiles todos los días y el mes de agosto (STC 133/2000).</w:t>
      </w:r>
      <w:r>
        <w:tab/>
      </w:r>
      <w:r>
        <w:tab/>
      </w:r>
      <w:r>
        <w:fldChar w:fldCharType="begin"/>
      </w:r>
      <w:r>
        <w:instrText xml:space="preserve"> PAGEREF SENTENCIA_2007_122 \h </w:instrText>
      </w:r>
      <w:r>
        <w:fldChar w:fldCharType="separate"/>
      </w:r>
      <w:r w:rsidR="00993288">
        <w:rPr>
          <w:noProof/>
        </w:rPr>
        <w:t>399</w:t>
      </w:r>
      <w:r>
        <w:fldChar w:fldCharType="end"/>
      </w:r>
    </w:p>
    <w:p w:rsidR="005E2304" w:rsidRDefault="005E2304" w:rsidP="005E2304"/>
    <w:p w:rsidR="005E2304" w:rsidRDefault="005E2304" w:rsidP="005E2304">
      <w:pPr>
        <w:pStyle w:val="EntradandiceSentencia"/>
      </w:pPr>
      <w:r>
        <w:t>Sala Segunda. Sentencia 123/2007, de 21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563-2005. </w:t>
      </w:r>
      <w:r w:rsidRPr="005E2304">
        <w:rPr>
          <w:rStyle w:val="TextoNormalCursivaCaracter"/>
        </w:rPr>
        <w:t xml:space="preserve"> Supuesta vulneración del derecho a la tutela judicial efectiva: desistimiento de demanda social aceptado tras celebrar el juicio oral y practicar pruebas (STC 187/1990).</w:t>
      </w:r>
      <w:r>
        <w:tab/>
      </w:r>
      <w:r>
        <w:tab/>
      </w:r>
      <w:r>
        <w:fldChar w:fldCharType="begin"/>
      </w:r>
      <w:r>
        <w:instrText xml:space="preserve"> PAGEREF SENTENCIA_2007_123 \h </w:instrText>
      </w:r>
      <w:r>
        <w:fldChar w:fldCharType="separate"/>
      </w:r>
      <w:r w:rsidR="00993288">
        <w:rPr>
          <w:noProof/>
        </w:rPr>
        <w:t>410</w:t>
      </w:r>
      <w:r>
        <w:fldChar w:fldCharType="end"/>
      </w:r>
    </w:p>
    <w:p w:rsidR="005E2304" w:rsidRDefault="005E2304" w:rsidP="005E2304"/>
    <w:p w:rsidR="005E2304" w:rsidRDefault="005E2304" w:rsidP="005E2304">
      <w:pPr>
        <w:pStyle w:val="EntradandiceSentencia"/>
      </w:pPr>
      <w:r>
        <w:lastRenderedPageBreak/>
        <w:t>Sala Segunda. Sentencia 124/2007, de 21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711-2005. </w:t>
      </w:r>
      <w:r w:rsidRPr="005E2304">
        <w:rPr>
          <w:rStyle w:val="TextoNormalCursivaCaracter"/>
        </w:rPr>
        <w:t xml:space="preserve"> Vulneración del derecho a la tutela judicial efectiva (motivación): resoluciones judiciales estereotipadas.</w:t>
      </w:r>
      <w:r>
        <w:tab/>
      </w:r>
      <w:r>
        <w:tab/>
      </w:r>
      <w:r>
        <w:fldChar w:fldCharType="begin"/>
      </w:r>
      <w:r>
        <w:instrText xml:space="preserve"> PAGEREF SENTENCIA_2007_124 \h </w:instrText>
      </w:r>
      <w:r>
        <w:fldChar w:fldCharType="separate"/>
      </w:r>
      <w:r w:rsidR="00993288">
        <w:rPr>
          <w:noProof/>
        </w:rPr>
        <w:t>418</w:t>
      </w:r>
      <w:r>
        <w:fldChar w:fldCharType="end"/>
      </w:r>
    </w:p>
    <w:p w:rsidR="005E2304" w:rsidRDefault="005E2304" w:rsidP="005E2304"/>
    <w:p w:rsidR="005E2304" w:rsidRDefault="005E2304" w:rsidP="005E2304">
      <w:pPr>
        <w:pStyle w:val="EntradandiceSentencia"/>
      </w:pPr>
      <w:r>
        <w:t>Sala Primera. Sentencia 125/2007, de 21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1609-2005. </w:t>
      </w:r>
      <w:r w:rsidRPr="005E2304">
        <w:rPr>
          <w:rStyle w:val="TextoNormalCursivaCaracter"/>
        </w:rPr>
        <w:t xml:space="preserve"> Vulneración del derecho a la libertad de expresión: denegación de autorización al redactor de un periódico con dedicación exclusiva para que siga participando en un programa de televisión tras haber criticado a su empresa en relación con una huelga general.</w:t>
      </w:r>
      <w:r>
        <w:tab/>
      </w:r>
      <w:r>
        <w:tab/>
      </w:r>
      <w:r>
        <w:fldChar w:fldCharType="begin"/>
      </w:r>
      <w:r>
        <w:instrText xml:space="preserve"> PAGEREF SENTENCIA_2007_125 \h </w:instrText>
      </w:r>
      <w:r>
        <w:fldChar w:fldCharType="separate"/>
      </w:r>
      <w:r w:rsidR="00993288">
        <w:rPr>
          <w:noProof/>
        </w:rPr>
        <w:t>430</w:t>
      </w:r>
      <w:r>
        <w:fldChar w:fldCharType="end"/>
      </w:r>
    </w:p>
    <w:p w:rsidR="005E2304" w:rsidRDefault="005E2304" w:rsidP="005E2304"/>
    <w:p w:rsidR="005E2304" w:rsidRDefault="005E2304" w:rsidP="005E2304">
      <w:pPr>
        <w:pStyle w:val="EntradandiceSentencia"/>
      </w:pPr>
      <w:r>
        <w:t>Sala Segunda. Sentencia 126/2007, de 21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Recursos de amparo 4532-2005 y 4673-2005 (acumulados). </w:t>
      </w:r>
      <w:r w:rsidRPr="005E2304">
        <w:rPr>
          <w:rStyle w:val="TextoNormalCursivaCaracter"/>
        </w:rPr>
        <w:t xml:space="preserve"> Vulneración de los derechos a un proceso con garantías y a la presunción de inocencia: citación de los absueltos en la instancia a la vista oral del recurso no solicitada; condena pronunciada en apelación, tras haber celebrado vista pública sin practicar todas las pruebas de cargo (STC 167/2002).</w:t>
      </w:r>
      <w:r>
        <w:tab/>
      </w:r>
      <w:r>
        <w:tab/>
      </w:r>
      <w:r>
        <w:fldChar w:fldCharType="begin"/>
      </w:r>
      <w:r>
        <w:instrText xml:space="preserve"> PAGEREF SENTENCIA_2007_126 \h </w:instrText>
      </w:r>
      <w:r>
        <w:fldChar w:fldCharType="separate"/>
      </w:r>
      <w:r w:rsidR="00993288">
        <w:rPr>
          <w:noProof/>
        </w:rPr>
        <w:t>447</w:t>
      </w:r>
      <w:r>
        <w:fldChar w:fldCharType="end"/>
      </w:r>
    </w:p>
    <w:p w:rsidR="005E2304" w:rsidRDefault="005E2304" w:rsidP="005E2304"/>
    <w:p w:rsidR="005E2304" w:rsidRDefault="005E2304" w:rsidP="005E2304">
      <w:pPr>
        <w:pStyle w:val="EntradandiceSentencia"/>
      </w:pPr>
      <w:r>
        <w:t>Sala Primera. Sentencia 127/2007, de 22 de mayo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electoral 4513-2007. </w:t>
      </w:r>
      <w:r w:rsidRPr="005E2304">
        <w:rPr>
          <w:rStyle w:val="TextoNormalCursivaCaracter"/>
        </w:rPr>
        <w:t xml:space="preserve"> Supuesta vulneración del derecho a acceder a los cargos representativos: denegación de proclamación de candidatura electoral por infringir la paridad entre mujeres y hombres para poner en cuestión la ley. Voto particular.</w:t>
      </w:r>
      <w:r>
        <w:tab/>
      </w:r>
      <w:r>
        <w:tab/>
      </w:r>
      <w:r>
        <w:fldChar w:fldCharType="begin"/>
      </w:r>
      <w:r>
        <w:instrText xml:space="preserve"> PAGEREF SENTENCIA_2007_127 \h </w:instrText>
      </w:r>
      <w:r>
        <w:fldChar w:fldCharType="separate"/>
      </w:r>
      <w:r w:rsidR="00993288">
        <w:rPr>
          <w:noProof/>
        </w:rPr>
        <w:t>460</w:t>
      </w:r>
      <w:r>
        <w:fldChar w:fldCharType="end"/>
      </w:r>
    </w:p>
    <w:p w:rsidR="005E2304" w:rsidRDefault="005E2304" w:rsidP="005E2304"/>
    <w:p w:rsidR="005E2304" w:rsidRDefault="005E2304" w:rsidP="005E2304">
      <w:pPr>
        <w:pStyle w:val="EntradandiceSentencia"/>
      </w:pPr>
      <w:r>
        <w:t>Sala Segunda. Sentencia 128/2007, de 4 de junio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1656-2001. </w:t>
      </w:r>
      <w:r w:rsidRPr="005E2304">
        <w:rPr>
          <w:rStyle w:val="TextoNormalCursivaCaracter"/>
        </w:rPr>
        <w:t xml:space="preserve"> Supuesta vulneración de los derechos a la igualdad, la intimidad personal y familiar, la libertad religiosa y de expresión: cese como profesor de religión católica de un sacerdote secularizado por hacerse pública su condición de casado y con hijos y su pertenencia a un movimiento contrario a la ortodoxia (STC 38/2007). Voto particular.</w:t>
      </w:r>
      <w:r>
        <w:tab/>
      </w:r>
      <w:r>
        <w:tab/>
      </w:r>
      <w:r>
        <w:fldChar w:fldCharType="begin"/>
      </w:r>
      <w:r>
        <w:instrText xml:space="preserve"> PAGEREF SENTENCIA_2007_128 \h </w:instrText>
      </w:r>
      <w:r>
        <w:fldChar w:fldCharType="separate"/>
      </w:r>
      <w:r w:rsidR="00993288">
        <w:rPr>
          <w:noProof/>
        </w:rPr>
        <w:t>469</w:t>
      </w:r>
      <w:r>
        <w:fldChar w:fldCharType="end"/>
      </w:r>
    </w:p>
    <w:p w:rsidR="005E2304" w:rsidRDefault="005E2304" w:rsidP="005E2304"/>
    <w:p w:rsidR="005E2304" w:rsidRDefault="005E2304" w:rsidP="005E2304">
      <w:pPr>
        <w:pStyle w:val="EntradandiceSentencia"/>
      </w:pPr>
      <w:r>
        <w:t>Sala Primera. Sentencia 129/2007, de 4 de junio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1266-2003. </w:t>
      </w:r>
      <w:r w:rsidRPr="005E2304">
        <w:rPr>
          <w:rStyle w:val="TextoNormalCursivaCaracter"/>
        </w:rPr>
        <w:t xml:space="preserve"> Vulneración del derecho a la igualdad en el acceso a las funciones públicas: exclusión de los docentes de la provisión de puestos de trabajo en la Administración pública (STC 48/1998).</w:t>
      </w:r>
      <w:r>
        <w:tab/>
      </w:r>
      <w:r>
        <w:tab/>
      </w:r>
      <w:r>
        <w:fldChar w:fldCharType="begin"/>
      </w:r>
      <w:r>
        <w:instrText xml:space="preserve"> PAGEREF SENTENCIA_2007_129 \h </w:instrText>
      </w:r>
      <w:r>
        <w:fldChar w:fldCharType="separate"/>
      </w:r>
      <w:r w:rsidR="00993288">
        <w:rPr>
          <w:noProof/>
        </w:rPr>
        <w:t>512</w:t>
      </w:r>
      <w:r>
        <w:fldChar w:fldCharType="end"/>
      </w:r>
    </w:p>
    <w:p w:rsidR="005E2304" w:rsidRDefault="005E2304" w:rsidP="005E2304"/>
    <w:p w:rsidR="005E2304" w:rsidRDefault="005E2304" w:rsidP="005E2304">
      <w:pPr>
        <w:pStyle w:val="EntradandiceSentencia"/>
      </w:pPr>
      <w:r>
        <w:t>Sala Segunda. Sentencia 130/2007, de 4 de junio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4323-2003. </w:t>
      </w:r>
      <w:r w:rsidRPr="005E2304">
        <w:rPr>
          <w:rStyle w:val="TextoNormalCursivaCaracter"/>
        </w:rPr>
        <w:t xml:space="preserve"> Vulneración del derecho a la tutela judicial efectiva (acceso a la justicia): inadmisión de demanda contencioso-administrativa por extemporánea, presentada en la mañana siguiente al día en que fue notificada la caducidad del recurso, a tenor de la nueva Ley de enjuiciamiento civil (STC 64/2005).</w:t>
      </w:r>
      <w:r>
        <w:tab/>
      </w:r>
      <w:r>
        <w:tab/>
      </w:r>
      <w:r>
        <w:fldChar w:fldCharType="begin"/>
      </w:r>
      <w:r>
        <w:instrText xml:space="preserve"> PAGEREF SENTENCIA_2007_130 \h </w:instrText>
      </w:r>
      <w:r>
        <w:fldChar w:fldCharType="separate"/>
      </w:r>
      <w:r w:rsidR="00993288">
        <w:rPr>
          <w:noProof/>
        </w:rPr>
        <w:t>520</w:t>
      </w:r>
      <w:r>
        <w:fldChar w:fldCharType="end"/>
      </w:r>
    </w:p>
    <w:p w:rsidR="005E2304" w:rsidRDefault="005E2304" w:rsidP="005E2304"/>
    <w:p w:rsidR="005E2304" w:rsidRDefault="005E2304" w:rsidP="005E2304">
      <w:pPr>
        <w:pStyle w:val="EntradandiceSentencia"/>
      </w:pPr>
      <w:r>
        <w:t>Sala Primera. Sentencia 131/2007, de 4 de junio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4664-2003. </w:t>
      </w:r>
      <w:r w:rsidRPr="005E2304">
        <w:rPr>
          <w:rStyle w:val="TextoNormalCursivaCaracter"/>
        </w:rPr>
        <w:t xml:space="preserve"> Supuesta vulneración del derecho a la tutela judicial efectiva (acceso a la justicia): demanda que no acumula un recurso de amparo judicial y un recurso ordinario (STC 70/2002).</w:t>
      </w:r>
      <w:r>
        <w:tab/>
      </w:r>
      <w:r>
        <w:tab/>
      </w:r>
      <w:r>
        <w:fldChar w:fldCharType="begin"/>
      </w:r>
      <w:r>
        <w:instrText xml:space="preserve"> PAGEREF SENTENCIA_2007_131 \h </w:instrText>
      </w:r>
      <w:r>
        <w:fldChar w:fldCharType="separate"/>
      </w:r>
      <w:r w:rsidR="00993288">
        <w:rPr>
          <w:noProof/>
        </w:rPr>
        <w:t>528</w:t>
      </w:r>
      <w:r>
        <w:fldChar w:fldCharType="end"/>
      </w:r>
    </w:p>
    <w:p w:rsidR="005E2304" w:rsidRDefault="005E2304" w:rsidP="005E2304"/>
    <w:p w:rsidR="005E2304" w:rsidRDefault="005E2304" w:rsidP="005E2304">
      <w:pPr>
        <w:pStyle w:val="EntradandiceSentencia"/>
      </w:pPr>
      <w:r>
        <w:t>Sala Segunda. Sentencia 132/2007, de 4 de junio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7015-2003. </w:t>
      </w:r>
      <w:r w:rsidRPr="005E2304">
        <w:rPr>
          <w:rStyle w:val="TextoNormalCursivaCaracter"/>
        </w:rPr>
        <w:t xml:space="preserve"> Vulneración del derecho a la tutela judicial efectiva (sentencia fundada en Derecho): incidente de nulidad de actuaciones; demanda sobre embargo de cuenta bancaria desestimada por acto consentido, a pesar de que el expediente administrativo incompleto solo acreditaba la notificación de una de las varias providencias de apremio.</w:t>
      </w:r>
      <w:r>
        <w:tab/>
      </w:r>
      <w:r>
        <w:tab/>
      </w:r>
      <w:r>
        <w:fldChar w:fldCharType="begin"/>
      </w:r>
      <w:r>
        <w:instrText xml:space="preserve"> PAGEREF SENTENCIA_2007_132 \h </w:instrText>
      </w:r>
      <w:r>
        <w:fldChar w:fldCharType="separate"/>
      </w:r>
      <w:r w:rsidR="00993288">
        <w:rPr>
          <w:noProof/>
        </w:rPr>
        <w:t>536</w:t>
      </w:r>
      <w:r>
        <w:fldChar w:fldCharType="end"/>
      </w:r>
    </w:p>
    <w:p w:rsidR="005E2304" w:rsidRDefault="005E2304" w:rsidP="005E2304"/>
    <w:p w:rsidR="005E2304" w:rsidRDefault="005E2304" w:rsidP="005E2304">
      <w:pPr>
        <w:pStyle w:val="EntradandiceSentencia"/>
      </w:pPr>
      <w:r>
        <w:t>Sala Primera. Sentencia 133/2007, de 4 de junio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1790-2004. </w:t>
      </w:r>
      <w:r w:rsidRPr="005E2304">
        <w:rPr>
          <w:rStyle w:val="TextoNormalCursivaCaracter"/>
        </w:rPr>
        <w:t xml:space="preserve"> Alegada vulneración del derecho a la tutela judicial efectiva (acceso a la justicia): extinción del recurso constitucional de amparo por satisfacción extraprocesal de la pretensión.</w:t>
      </w:r>
      <w:r>
        <w:tab/>
      </w:r>
      <w:r>
        <w:tab/>
      </w:r>
      <w:r>
        <w:fldChar w:fldCharType="begin"/>
      </w:r>
      <w:r>
        <w:instrText xml:space="preserve"> PAGEREF SENTENCIA_2007_133 \h </w:instrText>
      </w:r>
      <w:r>
        <w:fldChar w:fldCharType="separate"/>
      </w:r>
      <w:r w:rsidR="00993288">
        <w:rPr>
          <w:noProof/>
        </w:rPr>
        <w:t>548</w:t>
      </w:r>
      <w:r>
        <w:fldChar w:fldCharType="end"/>
      </w:r>
    </w:p>
    <w:p w:rsidR="005E2304" w:rsidRDefault="005E2304" w:rsidP="005E2304"/>
    <w:p w:rsidR="005E2304" w:rsidRDefault="005E2304" w:rsidP="005E2304">
      <w:pPr>
        <w:pStyle w:val="EntradandiceSentencia"/>
      </w:pPr>
      <w:r>
        <w:t>Sala Primera. Sentencia 134/2007, de 4 de junio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5494-2004. </w:t>
      </w:r>
      <w:r w:rsidRPr="005E2304">
        <w:rPr>
          <w:rStyle w:val="TextoNormalCursivaCaracter"/>
        </w:rPr>
        <w:t xml:space="preserve"> Vulneración de los derechos a un proceso con garantías y a la presunción de inocencia: condena pronunciada en apelación sin haber celebrado vista pública (STC 167/2002); prueba alcoholimétrica.</w:t>
      </w:r>
      <w:r>
        <w:tab/>
      </w:r>
      <w:r>
        <w:tab/>
      </w:r>
      <w:r>
        <w:fldChar w:fldCharType="begin"/>
      </w:r>
      <w:r>
        <w:instrText xml:space="preserve"> PAGEREF SENTENCIA_2007_134 \h </w:instrText>
      </w:r>
      <w:r>
        <w:fldChar w:fldCharType="separate"/>
      </w:r>
      <w:r w:rsidR="00993288">
        <w:rPr>
          <w:noProof/>
        </w:rPr>
        <w:t>555</w:t>
      </w:r>
      <w:r>
        <w:fldChar w:fldCharType="end"/>
      </w:r>
    </w:p>
    <w:p w:rsidR="005E2304" w:rsidRDefault="005E2304" w:rsidP="005E2304"/>
    <w:p w:rsidR="005E2304" w:rsidRDefault="005E2304" w:rsidP="005E2304">
      <w:pPr>
        <w:pStyle w:val="EntradandiceSentencia"/>
      </w:pPr>
      <w:r>
        <w:lastRenderedPageBreak/>
        <w:t>Sala Segunda. Sentencia 135/2007, de 4 de junio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6320-2004. </w:t>
      </w:r>
      <w:r w:rsidRPr="005E2304">
        <w:rPr>
          <w:rStyle w:val="TextoNormalCursivaCaracter"/>
        </w:rPr>
        <w:t xml:space="preserve"> Vulneración del derecho a la tutela judicial efectiva: incidente de nulidad de actuaciones; sala que no corrige una incongruencia por haber solicitado la nulidad en vez del complemento de pronunciamiento; sentencia de suplicación que revoca el fallo de instancia y deja sin resolver las pretensiones subsidiarias.</w:t>
      </w:r>
      <w:r>
        <w:tab/>
      </w:r>
      <w:r>
        <w:tab/>
      </w:r>
      <w:r>
        <w:fldChar w:fldCharType="begin"/>
      </w:r>
      <w:r>
        <w:instrText xml:space="preserve"> PAGEREF SENTENCIA_2007_135 \h </w:instrText>
      </w:r>
      <w:r>
        <w:fldChar w:fldCharType="separate"/>
      </w:r>
      <w:r w:rsidR="00993288">
        <w:rPr>
          <w:noProof/>
        </w:rPr>
        <w:t>562</w:t>
      </w:r>
      <w:r>
        <w:fldChar w:fldCharType="end"/>
      </w:r>
    </w:p>
    <w:p w:rsidR="005E2304" w:rsidRDefault="005E2304" w:rsidP="005E2304"/>
    <w:p w:rsidR="005E2304" w:rsidRDefault="005E2304" w:rsidP="005E2304">
      <w:pPr>
        <w:pStyle w:val="EntradandiceSentencia"/>
      </w:pPr>
      <w:r>
        <w:t>Sala Primera. Sentencia 136/2007, de 4 de junio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6716-2004. </w:t>
      </w:r>
      <w:r w:rsidRPr="005E2304">
        <w:rPr>
          <w:rStyle w:val="TextoNormalCursivaCaracter"/>
        </w:rPr>
        <w:t xml:space="preserve"> Vulneración del derecho a la prueba: sentencia de apelación civil que desestima una demanda por prescripción, tras haber inadmitido unas pruebas sobre ese extremo no practicadas en la instancia.</w:t>
      </w:r>
      <w:r>
        <w:tab/>
      </w:r>
      <w:r>
        <w:tab/>
      </w:r>
      <w:r>
        <w:fldChar w:fldCharType="begin"/>
      </w:r>
      <w:r>
        <w:instrText xml:space="preserve"> PAGEREF SENTENCIA_2007_136 \h </w:instrText>
      </w:r>
      <w:r>
        <w:fldChar w:fldCharType="separate"/>
      </w:r>
      <w:r w:rsidR="00993288">
        <w:rPr>
          <w:noProof/>
        </w:rPr>
        <w:t>576</w:t>
      </w:r>
      <w:r>
        <w:fldChar w:fldCharType="end"/>
      </w:r>
    </w:p>
    <w:p w:rsidR="005E2304" w:rsidRDefault="005E2304" w:rsidP="005E2304"/>
    <w:p w:rsidR="005E2304" w:rsidRDefault="005E2304" w:rsidP="005E2304">
      <w:pPr>
        <w:pStyle w:val="EntradandiceSentencia"/>
      </w:pPr>
      <w:r>
        <w:t>Sala Primera. Sentencia 137/2007, de 4 de junio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6894-2004. </w:t>
      </w:r>
      <w:r w:rsidRPr="005E2304">
        <w:rPr>
          <w:rStyle w:val="TextoNormalCursivaCaracter"/>
        </w:rPr>
        <w:t xml:space="preserve"> Vulneración del derecho a la presunción de inocencia: condena penal fundada en prueba indiciaria  insuficiente sobre el plagio de una obra.</w:t>
      </w:r>
      <w:r>
        <w:tab/>
      </w:r>
      <w:r>
        <w:tab/>
      </w:r>
      <w:r>
        <w:fldChar w:fldCharType="begin"/>
      </w:r>
      <w:r>
        <w:instrText xml:space="preserve"> PAGEREF SENTENCIA_2007_137 \h </w:instrText>
      </w:r>
      <w:r>
        <w:fldChar w:fldCharType="separate"/>
      </w:r>
      <w:r w:rsidR="00993288">
        <w:rPr>
          <w:noProof/>
        </w:rPr>
        <w:t>585</w:t>
      </w:r>
      <w:r>
        <w:fldChar w:fldCharType="end"/>
      </w:r>
    </w:p>
    <w:p w:rsidR="005E2304" w:rsidRDefault="005E2304" w:rsidP="005E2304"/>
    <w:p w:rsidR="005E2304" w:rsidRDefault="005E2304" w:rsidP="005E2304">
      <w:pPr>
        <w:pStyle w:val="EntradandiceSentencia"/>
      </w:pPr>
      <w:r>
        <w:t>Sala Segunda. Sentencia 138/2007, de 4 de junio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7026-2004. </w:t>
      </w:r>
      <w:r w:rsidRPr="005E2304">
        <w:rPr>
          <w:rStyle w:val="TextoNormalCursivaCaracter"/>
        </w:rPr>
        <w:t xml:space="preserve"> Vulneración del derecho a la tutela judicial efectiva: sentencia de apelación penal que deja sin resolver los dos motivos subsidiarios del recurso y otras peticiones sobre prueba y vista.</w:t>
      </w:r>
      <w:r>
        <w:tab/>
      </w:r>
      <w:r>
        <w:tab/>
      </w:r>
      <w:r>
        <w:fldChar w:fldCharType="begin"/>
      </w:r>
      <w:r>
        <w:instrText xml:space="preserve"> PAGEREF SENTENCIA_2007_138 \h </w:instrText>
      </w:r>
      <w:r>
        <w:fldChar w:fldCharType="separate"/>
      </w:r>
      <w:r w:rsidR="00993288">
        <w:rPr>
          <w:noProof/>
        </w:rPr>
        <w:t>595</w:t>
      </w:r>
      <w:r>
        <w:fldChar w:fldCharType="end"/>
      </w:r>
    </w:p>
    <w:p w:rsidR="005E2304" w:rsidRDefault="005E2304" w:rsidP="005E2304"/>
    <w:p w:rsidR="005E2304" w:rsidRDefault="005E2304" w:rsidP="005E2304">
      <w:pPr>
        <w:pStyle w:val="EntradandiceSentencia"/>
      </w:pPr>
      <w:r>
        <w:t>Sala Primera. Sentencia 139/2007, de 4 de junio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7172-2004. </w:t>
      </w:r>
      <w:r w:rsidRPr="005E2304">
        <w:rPr>
          <w:rStyle w:val="TextoNormalCursivaCaracter"/>
        </w:rPr>
        <w:t xml:space="preserve"> Vulneración del derecho al honor: programa de televisión donde se vierten acusaciones de asesinato que no está protegido por la libertad de información de las entrevistadas ni es un reportaje neutral.</w:t>
      </w:r>
      <w:r>
        <w:tab/>
      </w:r>
      <w:r>
        <w:tab/>
      </w:r>
      <w:r>
        <w:fldChar w:fldCharType="begin"/>
      </w:r>
      <w:r>
        <w:instrText xml:space="preserve"> PAGEREF SENTENCIA_2007_139 \h </w:instrText>
      </w:r>
      <w:r>
        <w:fldChar w:fldCharType="separate"/>
      </w:r>
      <w:r w:rsidR="00993288">
        <w:rPr>
          <w:noProof/>
        </w:rPr>
        <w:t>604</w:t>
      </w:r>
      <w:r>
        <w:fldChar w:fldCharType="end"/>
      </w:r>
    </w:p>
    <w:p w:rsidR="005E2304" w:rsidRDefault="005E2304" w:rsidP="005E2304"/>
    <w:p w:rsidR="005E2304" w:rsidRDefault="005E2304" w:rsidP="005E2304">
      <w:pPr>
        <w:pStyle w:val="EntradandiceSentencia"/>
      </w:pPr>
      <w:r>
        <w:t>Sala Segunda. Sentencia 140/2007, de 4 de junio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4603-2006. </w:t>
      </w:r>
      <w:r w:rsidRPr="005E2304">
        <w:rPr>
          <w:rStyle w:val="TextoNormalCursivaCaracter"/>
        </w:rPr>
        <w:t xml:space="preserve"> Vulneración del derecho a la tutela judicial efectiva en relación con la integridad personal: extradición pasiva sin indagar ni motivar sobre las alegaciones de que el reclamado será sometido a tratos inhumanos o degradantes en la cárcel (STC 181/2004).</w:t>
      </w:r>
      <w:r>
        <w:tab/>
      </w:r>
      <w:r>
        <w:tab/>
      </w:r>
      <w:r>
        <w:fldChar w:fldCharType="begin"/>
      </w:r>
      <w:r>
        <w:instrText xml:space="preserve"> PAGEREF SENTENCIA_2007_140 \h </w:instrText>
      </w:r>
      <w:r>
        <w:fldChar w:fldCharType="separate"/>
      </w:r>
      <w:r w:rsidR="00993288">
        <w:rPr>
          <w:noProof/>
        </w:rPr>
        <w:t>619</w:t>
      </w:r>
      <w:r>
        <w:fldChar w:fldCharType="end"/>
      </w:r>
    </w:p>
    <w:p w:rsidR="005E2304" w:rsidRDefault="005E2304" w:rsidP="005E2304"/>
    <w:p w:rsidR="005E2304" w:rsidRDefault="005E2304" w:rsidP="005E2304">
      <w:pPr>
        <w:pStyle w:val="EntradandiceSentencia"/>
      </w:pPr>
      <w:r>
        <w:lastRenderedPageBreak/>
        <w:t>Sala Primera. Sentencia 141/2007, de 18 de junio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4142-2001. </w:t>
      </w:r>
      <w:r w:rsidRPr="005E2304">
        <w:rPr>
          <w:rStyle w:val="TextoNormalCursivaCaracter"/>
        </w:rPr>
        <w:t xml:space="preserve"> Vulneración del derecho al ejercicio del cargo parlamentario: aplicación no discriminatoria pero inmediata de una reforma del reglamento parlamentario, sin disposiciones transitorias, que eleva el umbral de diputados requerido para constituir grupo propio.</w:t>
      </w:r>
      <w:r>
        <w:tab/>
      </w:r>
      <w:r>
        <w:tab/>
      </w:r>
      <w:r>
        <w:fldChar w:fldCharType="begin"/>
      </w:r>
      <w:r>
        <w:instrText xml:space="preserve"> PAGEREF SENTENCIA_2007_141 \h </w:instrText>
      </w:r>
      <w:r>
        <w:fldChar w:fldCharType="separate"/>
      </w:r>
      <w:r w:rsidR="00993288">
        <w:rPr>
          <w:noProof/>
        </w:rPr>
        <w:t>630</w:t>
      </w:r>
      <w:r>
        <w:fldChar w:fldCharType="end"/>
      </w:r>
    </w:p>
    <w:p w:rsidR="005E2304" w:rsidRDefault="005E2304" w:rsidP="005E2304"/>
    <w:p w:rsidR="005E2304" w:rsidRDefault="005E2304" w:rsidP="005E2304">
      <w:pPr>
        <w:pStyle w:val="EntradandiceSentencia"/>
      </w:pPr>
      <w:r>
        <w:t>Sala Primera. Sentencia 142/2007, de 18 de junio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2325-2003. </w:t>
      </w:r>
      <w:r w:rsidRPr="005E2304">
        <w:rPr>
          <w:rStyle w:val="TextoNormalCursivaCaracter"/>
        </w:rPr>
        <w:t xml:space="preserve"> Vulneración del derecho a un proceso con garantías: condena pronunciada en apelación, tras haber celebrado vista pública sin practicar las pruebas testificales de cargo (STC 167/2002).</w:t>
      </w:r>
      <w:r>
        <w:tab/>
      </w:r>
      <w:r>
        <w:tab/>
      </w:r>
      <w:r>
        <w:fldChar w:fldCharType="begin"/>
      </w:r>
      <w:r>
        <w:instrText xml:space="preserve"> PAGEREF SENTENCIA_2007_142 \h </w:instrText>
      </w:r>
      <w:r>
        <w:fldChar w:fldCharType="separate"/>
      </w:r>
      <w:r w:rsidR="00993288">
        <w:rPr>
          <w:noProof/>
        </w:rPr>
        <w:t>646</w:t>
      </w:r>
      <w:r>
        <w:fldChar w:fldCharType="end"/>
      </w:r>
    </w:p>
    <w:p w:rsidR="005E2304" w:rsidRDefault="005E2304" w:rsidP="005E2304"/>
    <w:p w:rsidR="005E2304" w:rsidRDefault="005E2304" w:rsidP="005E2304">
      <w:pPr>
        <w:pStyle w:val="EntradandiceSentencia"/>
      </w:pPr>
      <w:r>
        <w:t>Sala Primera. Sentencia 143/2007, de 18 de junio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7530-2003. </w:t>
      </w:r>
      <w:r w:rsidRPr="005E2304">
        <w:rPr>
          <w:rStyle w:val="TextoNormalCursivaCaracter"/>
        </w:rPr>
        <w:t xml:space="preserve"> Supuesta vulneración del derecho a la tutela judicial efectiva: STC 166/2006.</w:t>
      </w:r>
      <w:r>
        <w:tab/>
      </w:r>
      <w:r>
        <w:tab/>
      </w:r>
      <w:r>
        <w:fldChar w:fldCharType="begin"/>
      </w:r>
      <w:r>
        <w:instrText xml:space="preserve"> PAGEREF SENTENCIA_2007_143 \h </w:instrText>
      </w:r>
      <w:r>
        <w:fldChar w:fldCharType="separate"/>
      </w:r>
      <w:r w:rsidR="00993288">
        <w:rPr>
          <w:noProof/>
        </w:rPr>
        <w:t>654</w:t>
      </w:r>
      <w:r>
        <w:fldChar w:fldCharType="end"/>
      </w:r>
    </w:p>
    <w:p w:rsidR="005E2304" w:rsidRDefault="005E2304" w:rsidP="005E2304"/>
    <w:p w:rsidR="005E2304" w:rsidRDefault="005E2304" w:rsidP="005E2304">
      <w:pPr>
        <w:pStyle w:val="EntradandiceSentencia"/>
      </w:pPr>
      <w:r>
        <w:t>Sala Primera. Sentencia 144/2007, de 18 de junio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3877-2004. </w:t>
      </w:r>
      <w:r w:rsidRPr="005E2304">
        <w:rPr>
          <w:rStyle w:val="TextoNormalCursivaCaracter"/>
        </w:rPr>
        <w:t xml:space="preserve"> Vulneración del derecho a la tutela judicial efectiva (incongruencia): incidente de nulidad de actuaciones y complemento de sentencia; sentencia contencioso-administrativa motivada, pero que deja sin resolver una alegación sustancial sobre sectores de actividad diferenciados.</w:t>
      </w:r>
      <w:r>
        <w:tab/>
      </w:r>
      <w:r>
        <w:tab/>
      </w:r>
      <w:r>
        <w:fldChar w:fldCharType="begin"/>
      </w:r>
      <w:r>
        <w:instrText xml:space="preserve"> PAGEREF SENTENCIA_2007_144 \h </w:instrText>
      </w:r>
      <w:r>
        <w:fldChar w:fldCharType="separate"/>
      </w:r>
      <w:r w:rsidR="00993288">
        <w:rPr>
          <w:noProof/>
        </w:rPr>
        <w:t>662</w:t>
      </w:r>
      <w:r>
        <w:fldChar w:fldCharType="end"/>
      </w:r>
    </w:p>
    <w:p w:rsidR="005E2304" w:rsidRDefault="005E2304" w:rsidP="005E2304"/>
    <w:p w:rsidR="005E2304" w:rsidRDefault="005E2304" w:rsidP="005E2304">
      <w:pPr>
        <w:pStyle w:val="EntradandiceSentencia"/>
      </w:pPr>
      <w:r>
        <w:t>Sala Primera. Sentencia 145/2007, de 18 de junio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4420-2004. </w:t>
      </w:r>
      <w:r w:rsidRPr="005E2304">
        <w:rPr>
          <w:rStyle w:val="TextoNormalCursivaCaracter"/>
        </w:rPr>
        <w:t xml:space="preserve"> Vulneración del derecho a la libertad de expresión en el ejercicio de la defensa letrada: corrección procesal a un abogado por las críticas vertidas en un escrito forense sobre el reparto de asuntos y su despacho ordinario que no incurren en insultos ni descalificaciones personales (STC 157/1996).</w:t>
      </w:r>
      <w:r>
        <w:tab/>
      </w:r>
      <w:r>
        <w:tab/>
      </w:r>
      <w:r>
        <w:fldChar w:fldCharType="begin"/>
      </w:r>
      <w:r>
        <w:instrText xml:space="preserve"> PAGEREF SENTENCIA_2007_145 \h </w:instrText>
      </w:r>
      <w:r>
        <w:fldChar w:fldCharType="separate"/>
      </w:r>
      <w:r w:rsidR="00993288">
        <w:rPr>
          <w:noProof/>
        </w:rPr>
        <w:t>686</w:t>
      </w:r>
      <w:r>
        <w:fldChar w:fldCharType="end"/>
      </w:r>
    </w:p>
    <w:p w:rsidR="005E2304" w:rsidRDefault="005E2304" w:rsidP="005E2304"/>
    <w:p w:rsidR="005E2304" w:rsidRDefault="005E2304" w:rsidP="005E2304">
      <w:pPr>
        <w:pStyle w:val="EntradandiceSentencia"/>
      </w:pPr>
      <w:r>
        <w:t>Sala Segunda. Sentencia 146/2007, de 18 de junio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4947-2004. </w:t>
      </w:r>
      <w:r w:rsidRPr="005E2304">
        <w:rPr>
          <w:rStyle w:val="TextoNormalCursivaCaracter"/>
        </w:rPr>
        <w:t xml:space="preserve"> Vulneración del derecho a la asistencia letrada: irregularidad en la forma de la resolución judicial; archivo de plano de una solicitud de revisión de condena penal sin resolver la solicitud de nombramiento de Procurador y Abogado de oficio.</w:t>
      </w:r>
      <w:r>
        <w:tab/>
      </w:r>
      <w:r>
        <w:tab/>
      </w:r>
      <w:r>
        <w:fldChar w:fldCharType="begin"/>
      </w:r>
      <w:r>
        <w:instrText xml:space="preserve"> PAGEREF SENTENCIA_2007_146 \h </w:instrText>
      </w:r>
      <w:r>
        <w:fldChar w:fldCharType="separate"/>
      </w:r>
      <w:r w:rsidR="00993288">
        <w:rPr>
          <w:noProof/>
        </w:rPr>
        <w:t>696</w:t>
      </w:r>
      <w:r>
        <w:fldChar w:fldCharType="end"/>
      </w:r>
    </w:p>
    <w:p w:rsidR="005E2304" w:rsidRDefault="005E2304" w:rsidP="005E2304"/>
    <w:p w:rsidR="005E2304" w:rsidRDefault="005E2304" w:rsidP="005E2304">
      <w:pPr>
        <w:pStyle w:val="EntradandiceSentencia"/>
      </w:pPr>
      <w:r>
        <w:lastRenderedPageBreak/>
        <w:t>Sala Primera. Sentencia 147/2007, de 18 de junio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5540-2004. </w:t>
      </w:r>
      <w:r w:rsidRPr="005E2304">
        <w:rPr>
          <w:rStyle w:val="TextoNormalCursivaCaracter"/>
        </w:rPr>
        <w:t xml:space="preserve"> Supuesta vulneración del derecho a la igualdad en la aplicación de la ley: sentencia contencioso-administrativa que no resuelve un caso idéntico y cuyo criterio es general y ha sido seguido en fallos posteriores.</w:t>
      </w:r>
      <w:r>
        <w:tab/>
      </w:r>
      <w:r>
        <w:tab/>
      </w:r>
      <w:r>
        <w:fldChar w:fldCharType="begin"/>
      </w:r>
      <w:r>
        <w:instrText xml:space="preserve"> PAGEREF SENTENCIA_2007_147 \h </w:instrText>
      </w:r>
      <w:r>
        <w:fldChar w:fldCharType="separate"/>
      </w:r>
      <w:r w:rsidR="00993288">
        <w:rPr>
          <w:noProof/>
        </w:rPr>
        <w:t>706</w:t>
      </w:r>
      <w:r>
        <w:fldChar w:fldCharType="end"/>
      </w:r>
    </w:p>
    <w:p w:rsidR="005E2304" w:rsidRDefault="005E2304" w:rsidP="005E2304"/>
    <w:p w:rsidR="005E2304" w:rsidRDefault="005E2304" w:rsidP="005E2304">
      <w:pPr>
        <w:pStyle w:val="EntradandiceSentencia"/>
      </w:pPr>
      <w:r>
        <w:t>Sala Primera. Sentencia 148/2007, de 18 de junio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7545-2004. </w:t>
      </w:r>
      <w:r w:rsidRPr="005E2304">
        <w:rPr>
          <w:rStyle w:val="TextoNormalCursivaCaracter"/>
        </w:rPr>
        <w:t xml:space="preserve"> Vulneración del derecho a la tutela judicial efectiva (acceso a la justicia): inadmisión de demanda contencioso-administrativa por extemporánea, que impide la asistencia jurídica gratuita (STC 219/2003).</w:t>
      </w:r>
      <w:r>
        <w:tab/>
      </w:r>
      <w:r>
        <w:tab/>
      </w:r>
      <w:r>
        <w:fldChar w:fldCharType="begin"/>
      </w:r>
      <w:r>
        <w:instrText xml:space="preserve"> PAGEREF SENTENCIA_2007_148 \h </w:instrText>
      </w:r>
      <w:r>
        <w:fldChar w:fldCharType="separate"/>
      </w:r>
      <w:r w:rsidR="00993288">
        <w:rPr>
          <w:noProof/>
        </w:rPr>
        <w:t>714</w:t>
      </w:r>
      <w:r>
        <w:fldChar w:fldCharType="end"/>
      </w:r>
    </w:p>
    <w:p w:rsidR="005E2304" w:rsidRDefault="005E2304" w:rsidP="005E2304"/>
    <w:p w:rsidR="005E2304" w:rsidRDefault="005E2304" w:rsidP="005E2304">
      <w:pPr>
        <w:pStyle w:val="EntradandiceSentencia"/>
      </w:pPr>
      <w:r>
        <w:t>Sala Segunda. Sentencia 149/2007, de 18 de junio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22-2005. </w:t>
      </w:r>
      <w:r w:rsidRPr="005E2304">
        <w:rPr>
          <w:rStyle w:val="TextoNormalCursivaCaracter"/>
        </w:rPr>
        <w:t xml:space="preserve"> Supuesta vulneración del derecho a la libertad personal: prisión provisional, ante la proximidad del juicio oral, suficientemente motivada (STC 35/2007).</w:t>
      </w:r>
      <w:r>
        <w:tab/>
      </w:r>
      <w:r>
        <w:tab/>
      </w:r>
      <w:r>
        <w:fldChar w:fldCharType="begin"/>
      </w:r>
      <w:r>
        <w:instrText xml:space="preserve"> PAGEREF SENTENCIA_2007_149 \h </w:instrText>
      </w:r>
      <w:r>
        <w:fldChar w:fldCharType="separate"/>
      </w:r>
      <w:r w:rsidR="00993288">
        <w:rPr>
          <w:noProof/>
        </w:rPr>
        <w:t>720</w:t>
      </w:r>
      <w:r>
        <w:fldChar w:fldCharType="end"/>
      </w:r>
    </w:p>
    <w:p w:rsidR="005E2304" w:rsidRDefault="005E2304" w:rsidP="005E2304"/>
    <w:p w:rsidR="005E2304" w:rsidRDefault="005E2304" w:rsidP="005E2304">
      <w:pPr>
        <w:pStyle w:val="EntradandiceSentencia"/>
      </w:pPr>
      <w:r>
        <w:t>Sala Segunda. Sentencia 150/2007, de 18 de junio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23-2005. </w:t>
      </w:r>
      <w:r w:rsidRPr="005E2304">
        <w:rPr>
          <w:rStyle w:val="TextoNormalCursivaCaracter"/>
        </w:rPr>
        <w:t xml:space="preserve"> Supuesta vulneración del derecho a la libertad personal: prisión provisional, ante la proximidad del juicio oral, suficientemente motivada (STC 35/2007).</w:t>
      </w:r>
      <w:r>
        <w:tab/>
      </w:r>
      <w:r>
        <w:tab/>
      </w:r>
      <w:r>
        <w:fldChar w:fldCharType="begin"/>
      </w:r>
      <w:r>
        <w:instrText xml:space="preserve"> PAGEREF SENTENCIA_2007_150 \h </w:instrText>
      </w:r>
      <w:r>
        <w:fldChar w:fldCharType="separate"/>
      </w:r>
      <w:r w:rsidR="00993288">
        <w:rPr>
          <w:noProof/>
        </w:rPr>
        <w:t>733</w:t>
      </w:r>
      <w:r>
        <w:fldChar w:fldCharType="end"/>
      </w:r>
    </w:p>
    <w:p w:rsidR="005E2304" w:rsidRDefault="005E2304" w:rsidP="005E2304"/>
    <w:p w:rsidR="005E2304" w:rsidRDefault="005E2304" w:rsidP="005E2304">
      <w:pPr>
        <w:pStyle w:val="EntradandiceSentencia"/>
      </w:pPr>
      <w:r>
        <w:t>Sala Segunda. Sentencia 151/2007, de 18 de junio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281-2005. </w:t>
      </w:r>
      <w:r w:rsidRPr="005E2304">
        <w:rPr>
          <w:rStyle w:val="TextoNormalCursivaCaracter"/>
        </w:rPr>
        <w:t xml:space="preserve"> Supuesta vulneración del derecho a la libertad personal: prisión provisional, ante la proximidad del juicio oral, suficientemente motivada (STC 35/2007).</w:t>
      </w:r>
      <w:r>
        <w:tab/>
      </w:r>
      <w:r>
        <w:tab/>
      </w:r>
      <w:r>
        <w:fldChar w:fldCharType="begin"/>
      </w:r>
      <w:r>
        <w:instrText xml:space="preserve"> PAGEREF SENTENCIA_2007_151 \h </w:instrText>
      </w:r>
      <w:r>
        <w:fldChar w:fldCharType="separate"/>
      </w:r>
      <w:r w:rsidR="00993288">
        <w:rPr>
          <w:noProof/>
        </w:rPr>
        <w:t>746</w:t>
      </w:r>
      <w:r>
        <w:fldChar w:fldCharType="end"/>
      </w:r>
    </w:p>
    <w:p w:rsidR="005E2304" w:rsidRDefault="005E2304" w:rsidP="005E2304"/>
    <w:p w:rsidR="005E2304" w:rsidRDefault="005E2304" w:rsidP="005E2304">
      <w:pPr>
        <w:pStyle w:val="EntradandiceSentencia"/>
      </w:pPr>
      <w:r>
        <w:t>Sala Segunda. Sentencia 152/2007, de 18 de junio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343-2005. </w:t>
      </w:r>
      <w:r w:rsidRPr="005E2304">
        <w:rPr>
          <w:rStyle w:val="TextoNormalCursivaCaracter"/>
        </w:rPr>
        <w:t xml:space="preserve"> Supuesta vulneración del derecho a la libertad personal: prisión provisional, ante la proximidad del juicio oral, suficientemente motivada (STC 35/2007).</w:t>
      </w:r>
      <w:r>
        <w:tab/>
      </w:r>
      <w:r>
        <w:tab/>
      </w:r>
      <w:r>
        <w:fldChar w:fldCharType="begin"/>
      </w:r>
      <w:r>
        <w:instrText xml:space="preserve"> PAGEREF SENTENCIA_2007_152 \h </w:instrText>
      </w:r>
      <w:r>
        <w:fldChar w:fldCharType="separate"/>
      </w:r>
      <w:r w:rsidR="00993288">
        <w:rPr>
          <w:noProof/>
        </w:rPr>
        <w:t>760</w:t>
      </w:r>
      <w:r>
        <w:fldChar w:fldCharType="end"/>
      </w:r>
    </w:p>
    <w:p w:rsidR="005E2304" w:rsidRDefault="005E2304" w:rsidP="005E2304"/>
    <w:p w:rsidR="005E2304" w:rsidRDefault="005E2304" w:rsidP="005E2304">
      <w:pPr>
        <w:pStyle w:val="EntradandiceSentencia"/>
      </w:pPr>
      <w:r>
        <w:lastRenderedPageBreak/>
        <w:t>Sala Segunda. Sentencia 153/2007, de 18 de junio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423-2005. </w:t>
      </w:r>
      <w:r w:rsidRPr="005E2304">
        <w:rPr>
          <w:rStyle w:val="TextoNormalCursivaCaracter"/>
        </w:rPr>
        <w:t xml:space="preserve"> Vulneración del derecho a la tutela judicial efectiva (acceso a la justicia): inadmisión de recurso contencioso-administrativo por falta de legitimación del sindicato, ignorando su legítimo interés profesional o económico (STC 101/1996).</w:t>
      </w:r>
      <w:r>
        <w:tab/>
      </w:r>
      <w:r>
        <w:tab/>
      </w:r>
      <w:r>
        <w:fldChar w:fldCharType="begin"/>
      </w:r>
      <w:r>
        <w:instrText xml:space="preserve"> PAGEREF SENTENCIA_2007_153 \h </w:instrText>
      </w:r>
      <w:r>
        <w:fldChar w:fldCharType="separate"/>
      </w:r>
      <w:r w:rsidR="00993288">
        <w:rPr>
          <w:noProof/>
        </w:rPr>
        <w:t>775</w:t>
      </w:r>
      <w:r>
        <w:fldChar w:fldCharType="end"/>
      </w:r>
    </w:p>
    <w:p w:rsidR="005E2304" w:rsidRDefault="005E2304" w:rsidP="005E2304"/>
    <w:p w:rsidR="005E2304" w:rsidRDefault="005E2304" w:rsidP="005E2304">
      <w:pPr>
        <w:pStyle w:val="EntradandiceSentencia"/>
      </w:pPr>
      <w:r>
        <w:t>Sala Segunda. Sentencia 154/2007, de 18 de junio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7634-2006. </w:t>
      </w:r>
      <w:r w:rsidRPr="005E2304">
        <w:rPr>
          <w:rStyle w:val="TextoNormalCursivaCaracter"/>
        </w:rPr>
        <w:t xml:space="preserve"> Vulneración del derecho a la tutela judicial efectiva: desestimación de un incidente de nulidad de actuaciones en pleito civil seguido inaudita parte por haber formulado otra solicitud en la primera comparecencia judicial.</w:t>
      </w:r>
      <w:r>
        <w:tab/>
      </w:r>
      <w:r>
        <w:tab/>
      </w:r>
      <w:r>
        <w:fldChar w:fldCharType="begin"/>
      </w:r>
      <w:r>
        <w:instrText xml:space="preserve"> PAGEREF SENTENCIA_2007_154 \h </w:instrText>
      </w:r>
      <w:r>
        <w:fldChar w:fldCharType="separate"/>
      </w:r>
      <w:r w:rsidR="00993288">
        <w:rPr>
          <w:noProof/>
        </w:rPr>
        <w:t>785</w:t>
      </w:r>
      <w:r>
        <w:fldChar w:fldCharType="end"/>
      </w:r>
    </w:p>
    <w:p w:rsidR="005E2304" w:rsidRDefault="005E2304" w:rsidP="005E2304"/>
    <w:p w:rsidR="005E2304" w:rsidRDefault="005E2304" w:rsidP="005E2304">
      <w:pPr>
        <w:pStyle w:val="EntradandiceSentencia"/>
      </w:pPr>
      <w:r>
        <w:t>Sala Segunda. Sentencia 155/2007, de 2 de julio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4590-2003. </w:t>
      </w:r>
      <w:r w:rsidRPr="005E2304">
        <w:rPr>
          <w:rStyle w:val="TextoNormalCursivaCaracter"/>
        </w:rPr>
        <w:t xml:space="preserve"> Vulneración parcial del derecho a la tutela judicial efectiva (acceso al recurso legal y motivación): indicación de recursos (STC 167/2003); resoluciones judiciales estereotipadas.</w:t>
      </w:r>
      <w:r>
        <w:tab/>
      </w:r>
      <w:r>
        <w:tab/>
      </w:r>
      <w:r>
        <w:fldChar w:fldCharType="begin"/>
      </w:r>
      <w:r>
        <w:instrText xml:space="preserve"> PAGEREF SENTENCIA_2007_155 \h </w:instrText>
      </w:r>
      <w:r>
        <w:fldChar w:fldCharType="separate"/>
      </w:r>
      <w:r w:rsidR="00993288">
        <w:rPr>
          <w:noProof/>
        </w:rPr>
        <w:t>794</w:t>
      </w:r>
      <w:r>
        <w:fldChar w:fldCharType="end"/>
      </w:r>
    </w:p>
    <w:p w:rsidR="005E2304" w:rsidRDefault="005E2304" w:rsidP="005E2304"/>
    <w:p w:rsidR="005E2304" w:rsidRDefault="005E2304" w:rsidP="005E2304">
      <w:pPr>
        <w:pStyle w:val="EntradandiceSentencia"/>
      </w:pPr>
      <w:r>
        <w:t>Sala Primera. Sentencia 156/2007, de 2 de julio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3128-2004. </w:t>
      </w:r>
      <w:r w:rsidRPr="005E2304">
        <w:rPr>
          <w:rStyle w:val="TextoNormalCursivaCaracter"/>
        </w:rPr>
        <w:t xml:space="preserve"> Supuesta vulneración del derecho al juez legal y vulneración del derecho al juez imparcial: causa penal que por razones de conexión no es competencia del tribunal del jurado; sala de enjuiciamiento formada por un magistrado que había confirmado el procesamiento del reo, mediante auto que prejuzgaba su culpabilidad.</w:t>
      </w:r>
      <w:r>
        <w:tab/>
      </w:r>
      <w:r>
        <w:tab/>
      </w:r>
      <w:r>
        <w:fldChar w:fldCharType="begin"/>
      </w:r>
      <w:r>
        <w:instrText xml:space="preserve"> PAGEREF SENTENCIA_2007_156 \h </w:instrText>
      </w:r>
      <w:r>
        <w:fldChar w:fldCharType="separate"/>
      </w:r>
      <w:r w:rsidR="00993288">
        <w:rPr>
          <w:noProof/>
        </w:rPr>
        <w:t>803</w:t>
      </w:r>
      <w:r>
        <w:fldChar w:fldCharType="end"/>
      </w:r>
    </w:p>
    <w:p w:rsidR="005E2304" w:rsidRDefault="005E2304" w:rsidP="005E2304"/>
    <w:p w:rsidR="005E2304" w:rsidRDefault="005E2304" w:rsidP="005E2304">
      <w:pPr>
        <w:pStyle w:val="EntradandiceSentencia"/>
      </w:pPr>
      <w:r>
        <w:t>Sala Segunda. Sentencia 157/2007, de 2 de julio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4059-2004. </w:t>
      </w:r>
      <w:r w:rsidRPr="005E2304">
        <w:rPr>
          <w:rStyle w:val="TextoNormalCursivaCaracter"/>
        </w:rPr>
        <w:t xml:space="preserve"> Vulneración del derecho de defensa en el procedimiento administrativo sancionador: emplazamiento edictal de la empresa titular del vehículo infractor (STC 54/2003).</w:t>
      </w:r>
      <w:r>
        <w:tab/>
      </w:r>
      <w:r>
        <w:tab/>
      </w:r>
      <w:r>
        <w:fldChar w:fldCharType="begin"/>
      </w:r>
      <w:r>
        <w:instrText xml:space="preserve"> PAGEREF SENTENCIA_2007_157 \h </w:instrText>
      </w:r>
      <w:r>
        <w:fldChar w:fldCharType="separate"/>
      </w:r>
      <w:r w:rsidR="00993288">
        <w:rPr>
          <w:noProof/>
        </w:rPr>
        <w:t>816</w:t>
      </w:r>
      <w:r>
        <w:fldChar w:fldCharType="end"/>
      </w:r>
    </w:p>
    <w:p w:rsidR="005E2304" w:rsidRDefault="005E2304" w:rsidP="005E2304"/>
    <w:p w:rsidR="005E2304" w:rsidRDefault="005E2304" w:rsidP="005E2304">
      <w:pPr>
        <w:pStyle w:val="EntradandiceSentencia"/>
      </w:pPr>
      <w:r>
        <w:t>Sala Primera. Sentencia 158/2007, de 2 de julio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6223-2004. </w:t>
      </w:r>
      <w:r w:rsidRPr="005E2304">
        <w:rPr>
          <w:rStyle w:val="TextoNormalCursivaCaracter"/>
        </w:rPr>
        <w:t xml:space="preserve"> Vulneración del derecho a la tutela judicial sin indefensión: emplazamiento edictal sin agotar los medios de comunicación efectiva con uno de los demandados, quien no actuó con negligencia.</w:t>
      </w:r>
      <w:r>
        <w:tab/>
      </w:r>
      <w:r>
        <w:tab/>
      </w:r>
      <w:r>
        <w:fldChar w:fldCharType="begin"/>
      </w:r>
      <w:r>
        <w:instrText xml:space="preserve"> PAGEREF SENTENCIA_2007_158 \h </w:instrText>
      </w:r>
      <w:r>
        <w:fldChar w:fldCharType="separate"/>
      </w:r>
      <w:r w:rsidR="00993288">
        <w:rPr>
          <w:noProof/>
        </w:rPr>
        <w:t>827</w:t>
      </w:r>
      <w:r>
        <w:fldChar w:fldCharType="end"/>
      </w:r>
    </w:p>
    <w:p w:rsidR="005E2304" w:rsidRDefault="005E2304" w:rsidP="005E2304"/>
    <w:p w:rsidR="005E2304" w:rsidRDefault="005E2304" w:rsidP="005E2304">
      <w:pPr>
        <w:pStyle w:val="EntradandiceSentencia"/>
      </w:pPr>
      <w:r>
        <w:lastRenderedPageBreak/>
        <w:t>Sala Segunda. Sentencia 159/2007, de 2 de julio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6465-2004. </w:t>
      </w:r>
      <w:r w:rsidRPr="005E2304">
        <w:rPr>
          <w:rStyle w:val="TextoNormalCursivaCaracter"/>
        </w:rPr>
        <w:t xml:space="preserve"> Vulneración del derecho a la tutela judicial efectiva (acceso a la justicia): inadmisión de demanda contencioso-administrativa por extemporánea, presentada en la mañana siguiente al día en que fue notificada la caducidad del recurso, a tenor de la nueva Ley de enjuiciamiento civil (STC 64/2005).</w:t>
      </w:r>
      <w:r>
        <w:tab/>
      </w:r>
      <w:r>
        <w:tab/>
      </w:r>
      <w:r>
        <w:fldChar w:fldCharType="begin"/>
      </w:r>
      <w:r>
        <w:instrText xml:space="preserve"> PAGEREF SENTENCIA_2007_159 \h </w:instrText>
      </w:r>
      <w:r>
        <w:fldChar w:fldCharType="separate"/>
      </w:r>
      <w:r w:rsidR="00993288">
        <w:rPr>
          <w:noProof/>
        </w:rPr>
        <w:t>834</w:t>
      </w:r>
      <w:r>
        <w:fldChar w:fldCharType="end"/>
      </w:r>
    </w:p>
    <w:p w:rsidR="005E2304" w:rsidRDefault="005E2304" w:rsidP="005E2304"/>
    <w:p w:rsidR="005E2304" w:rsidRDefault="005E2304" w:rsidP="005E2304">
      <w:pPr>
        <w:pStyle w:val="EntradandiceSentencia"/>
      </w:pPr>
      <w:r>
        <w:t>Sala Primera. Sentencia 160/2007, de 2 de julio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7142-2004. </w:t>
      </w:r>
      <w:r w:rsidRPr="005E2304">
        <w:rPr>
          <w:rStyle w:val="TextoNormalCursivaCaracter"/>
        </w:rPr>
        <w:t xml:space="preserve"> Vulneración del derecho a la integridad física: orden de reincorporación a puesto de trabajo bajo la dirección inmediata de un jefe sujeto a procedimientos penales y disciplinarios por denuncia de la funcionaria afectada que causa un grave riesgo a su salud (STC 62/2007). Voto particular.</w:t>
      </w:r>
      <w:r>
        <w:tab/>
      </w:r>
      <w:r>
        <w:tab/>
      </w:r>
      <w:r>
        <w:fldChar w:fldCharType="begin"/>
      </w:r>
      <w:r>
        <w:instrText xml:space="preserve"> PAGEREF SENTENCIA_2007_160 \h </w:instrText>
      </w:r>
      <w:r>
        <w:fldChar w:fldCharType="separate"/>
      </w:r>
      <w:r w:rsidR="00993288">
        <w:rPr>
          <w:noProof/>
        </w:rPr>
        <w:t>844</w:t>
      </w:r>
      <w:r>
        <w:fldChar w:fldCharType="end"/>
      </w:r>
    </w:p>
    <w:p w:rsidR="005E2304" w:rsidRDefault="005E2304" w:rsidP="005E2304"/>
    <w:p w:rsidR="005E2304" w:rsidRDefault="005E2304" w:rsidP="005E2304">
      <w:pPr>
        <w:pStyle w:val="EntradandiceSentencia"/>
      </w:pPr>
      <w:r>
        <w:t>Sala Segunda. Sentencia 161/2007, de 2 de julio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182-2005. </w:t>
      </w:r>
      <w:r w:rsidRPr="005E2304">
        <w:rPr>
          <w:rStyle w:val="TextoNormalCursivaCaracter"/>
        </w:rPr>
        <w:t xml:space="preserve"> Vulneración del derecho a la tutela judicial efectiva (sentencia fundada en Derecho): sentencia contencioso-administrativa que confunde el acto administrativo impugnado de 2000 con otro de 1997, aportado como contraste.</w:t>
      </w:r>
      <w:r>
        <w:tab/>
      </w:r>
      <w:r>
        <w:tab/>
      </w:r>
      <w:r>
        <w:fldChar w:fldCharType="begin"/>
      </w:r>
      <w:r>
        <w:instrText xml:space="preserve"> PAGEREF SENTENCIA_2007_161 \h </w:instrText>
      </w:r>
      <w:r>
        <w:fldChar w:fldCharType="separate"/>
      </w:r>
      <w:r w:rsidR="00993288">
        <w:rPr>
          <w:noProof/>
        </w:rPr>
        <w:t>859</w:t>
      </w:r>
      <w:r>
        <w:fldChar w:fldCharType="end"/>
      </w:r>
    </w:p>
    <w:p w:rsidR="005E2304" w:rsidRDefault="005E2304" w:rsidP="005E2304"/>
    <w:p w:rsidR="005E2304" w:rsidRDefault="005E2304" w:rsidP="005E2304">
      <w:pPr>
        <w:pStyle w:val="EntradandiceSentencia"/>
      </w:pPr>
      <w:r>
        <w:t>Sala Primera. Sentencia 162/2007, de 2 de julio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752-2005. </w:t>
      </w:r>
      <w:r w:rsidRPr="005E2304">
        <w:rPr>
          <w:rStyle w:val="TextoNormalCursivaCaracter"/>
        </w:rPr>
        <w:t xml:space="preserve"> Vulneración del derecho a la tutela judicial sin indefensión: emplazamiento edictal sin agotar los medios de comunicación efectiva con uno de los demandados, quien no actuó con negligencia.</w:t>
      </w:r>
      <w:r>
        <w:tab/>
      </w:r>
      <w:r>
        <w:tab/>
      </w:r>
      <w:r>
        <w:fldChar w:fldCharType="begin"/>
      </w:r>
      <w:r>
        <w:instrText xml:space="preserve"> PAGEREF SENTENCIA_2007_162 \h </w:instrText>
      </w:r>
      <w:r>
        <w:fldChar w:fldCharType="separate"/>
      </w:r>
      <w:r w:rsidR="00993288">
        <w:rPr>
          <w:noProof/>
        </w:rPr>
        <w:t>868</w:t>
      </w:r>
      <w:r>
        <w:fldChar w:fldCharType="end"/>
      </w:r>
    </w:p>
    <w:p w:rsidR="005E2304" w:rsidRDefault="005E2304" w:rsidP="005E2304"/>
    <w:p w:rsidR="005E2304" w:rsidRDefault="005E2304" w:rsidP="005E2304">
      <w:pPr>
        <w:pStyle w:val="EntradandiceSentencia"/>
      </w:pPr>
      <w:r>
        <w:t>Sala Primera. Sentencia 163/2007, de 2 de julio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1356-2005. </w:t>
      </w:r>
      <w:r w:rsidRPr="005E2304">
        <w:rPr>
          <w:rStyle w:val="TextoNormalCursivaCaracter"/>
        </w:rPr>
        <w:t xml:space="preserve"> Vulneración del derecho a la tutela judicial sin indefensión: emplazamiento edictal de un profesional colegiado sin agotar los medios de comunicación efectiva.</w:t>
      </w:r>
      <w:r>
        <w:tab/>
      </w:r>
      <w:r>
        <w:tab/>
      </w:r>
      <w:r>
        <w:fldChar w:fldCharType="begin"/>
      </w:r>
      <w:r>
        <w:instrText xml:space="preserve"> PAGEREF SENTENCIA_2007_163 \h </w:instrText>
      </w:r>
      <w:r>
        <w:fldChar w:fldCharType="separate"/>
      </w:r>
      <w:r w:rsidR="00993288">
        <w:rPr>
          <w:noProof/>
        </w:rPr>
        <w:t>877</w:t>
      </w:r>
      <w:r>
        <w:fldChar w:fldCharType="end"/>
      </w:r>
    </w:p>
    <w:p w:rsidR="005E2304" w:rsidRDefault="005E2304" w:rsidP="005E2304"/>
    <w:p w:rsidR="005E2304" w:rsidRDefault="005E2304" w:rsidP="005E2304">
      <w:pPr>
        <w:pStyle w:val="EntradandiceSentencia"/>
      </w:pPr>
      <w:r>
        <w:t>Sala Primera. Sentencia 164/2007, de 2 de julio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3872-2005. </w:t>
      </w:r>
      <w:r w:rsidRPr="005E2304">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SENTENCIA_2007_164 \h </w:instrText>
      </w:r>
      <w:r>
        <w:fldChar w:fldCharType="separate"/>
      </w:r>
      <w:r w:rsidR="00993288">
        <w:rPr>
          <w:noProof/>
        </w:rPr>
        <w:t>883</w:t>
      </w:r>
      <w:r>
        <w:fldChar w:fldCharType="end"/>
      </w:r>
    </w:p>
    <w:p w:rsidR="005E2304" w:rsidRDefault="005E2304" w:rsidP="005E2304"/>
    <w:p w:rsidR="005E2304" w:rsidRDefault="005E2304" w:rsidP="005E2304">
      <w:pPr>
        <w:pStyle w:val="EntradandiceSentencia"/>
      </w:pPr>
      <w:r>
        <w:t>Sala Primera. Sentencia 165/2007, de 2 de julio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4796-2006. </w:t>
      </w:r>
      <w:r w:rsidRPr="005E2304">
        <w:rPr>
          <w:rStyle w:val="TextoNormalCursivaCaracter"/>
        </w:rPr>
        <w:t xml:space="preserve"> Vulneración del derecho a la libertad personal: detención preventiva que duró más del tiempo estrictamente necesario, e inadmisión a trámite de una petición de habeas corpus por razones de fondo (STC 86/1996).</w:t>
      </w:r>
      <w:r>
        <w:tab/>
      </w:r>
      <w:r>
        <w:tab/>
      </w:r>
      <w:r>
        <w:fldChar w:fldCharType="begin"/>
      </w:r>
      <w:r>
        <w:instrText xml:space="preserve"> PAGEREF SENTENCIA_2007_165 \h </w:instrText>
      </w:r>
      <w:r>
        <w:fldChar w:fldCharType="separate"/>
      </w:r>
      <w:r w:rsidR="00993288">
        <w:rPr>
          <w:noProof/>
        </w:rPr>
        <w:t>892</w:t>
      </w:r>
      <w:r>
        <w:fldChar w:fldCharType="end"/>
      </w:r>
    </w:p>
    <w:p w:rsidR="005E2304" w:rsidRDefault="005E2304" w:rsidP="005E2304"/>
    <w:p w:rsidR="005E2304" w:rsidRDefault="005E2304" w:rsidP="005E2304">
      <w:pPr>
        <w:pStyle w:val="EntradandiceSentencia"/>
      </w:pPr>
      <w:r>
        <w:t>Pleno. Sentencia 166/2007, de 4 de julio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Cuestión de inconstitucionalidad 1780-1999. </w:t>
      </w:r>
      <w:r w:rsidRPr="005E2304">
        <w:rPr>
          <w:rStyle w:val="TextoNormalCursivaCaracter"/>
        </w:rPr>
        <w:t xml:space="preserve"> Potestad legislativa: cuestión de inconstitucionalidad, acerca de una refundición legislativa viciada de ultra vires, inviable.</w:t>
      </w:r>
      <w:r>
        <w:tab/>
      </w:r>
      <w:r>
        <w:tab/>
      </w:r>
      <w:r>
        <w:fldChar w:fldCharType="begin"/>
      </w:r>
      <w:r>
        <w:instrText xml:space="preserve"> PAGEREF SENTENCIA_2007_166 \h </w:instrText>
      </w:r>
      <w:r>
        <w:fldChar w:fldCharType="separate"/>
      </w:r>
      <w:r w:rsidR="00993288">
        <w:rPr>
          <w:noProof/>
        </w:rPr>
        <w:t>903</w:t>
      </w:r>
      <w:r>
        <w:fldChar w:fldCharType="end"/>
      </w:r>
    </w:p>
    <w:p w:rsidR="005E2304" w:rsidRDefault="005E2304" w:rsidP="005E2304"/>
    <w:p w:rsidR="005E2304" w:rsidRDefault="005E2304" w:rsidP="005E2304">
      <w:pPr>
        <w:pStyle w:val="EntradandiceSentencia"/>
      </w:pPr>
      <w:r>
        <w:t>Sala Segunda. Sentencia 167/2007, de 18 de julio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electoral 5922-2007. </w:t>
      </w:r>
      <w:r w:rsidRPr="005E2304">
        <w:rPr>
          <w:rStyle w:val="TextoNormalCursivaCaracter"/>
        </w:rPr>
        <w:t xml:space="preserve"> Supuesta vulneración del derecho a acceder a los cargos representativos: voto en elecciones locales mediante papeletas con alteraciones (STC 156/1991).</w:t>
      </w:r>
      <w:r>
        <w:tab/>
      </w:r>
      <w:r>
        <w:tab/>
      </w:r>
      <w:r>
        <w:fldChar w:fldCharType="begin"/>
      </w:r>
      <w:r>
        <w:instrText xml:space="preserve"> PAGEREF SENTENCIA_2007_167 \h </w:instrText>
      </w:r>
      <w:r>
        <w:fldChar w:fldCharType="separate"/>
      </w:r>
      <w:r w:rsidR="00993288">
        <w:rPr>
          <w:noProof/>
        </w:rPr>
        <w:t>924</w:t>
      </w:r>
      <w:r>
        <w:fldChar w:fldCharType="end"/>
      </w:r>
    </w:p>
    <w:p w:rsidR="005E2304" w:rsidRDefault="005E2304" w:rsidP="005E2304"/>
    <w:p w:rsidR="005E2304" w:rsidRDefault="005E2304" w:rsidP="005E2304">
      <w:pPr>
        <w:pStyle w:val="EntradandiceSentencia"/>
      </w:pPr>
      <w:r>
        <w:t>Sala Segunda. Sentencia 168/2007, de 18 de julio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electoral 5923-2007. </w:t>
      </w:r>
      <w:r w:rsidRPr="005E2304">
        <w:rPr>
          <w:rStyle w:val="TextoNormalCursivaCaracter"/>
        </w:rPr>
        <w:t xml:space="preserve"> Vulneración del derecho a acceder a los cargos representativos: voto en elecciones locales mediante papeletas con alteraciones (STC 167/2007).</w:t>
      </w:r>
      <w:r>
        <w:tab/>
      </w:r>
      <w:r>
        <w:tab/>
      </w:r>
      <w:r>
        <w:fldChar w:fldCharType="begin"/>
      </w:r>
      <w:r>
        <w:instrText xml:space="preserve"> PAGEREF SENTENCIA_2007_168 \h </w:instrText>
      </w:r>
      <w:r>
        <w:fldChar w:fldCharType="separate"/>
      </w:r>
      <w:r w:rsidR="00993288">
        <w:rPr>
          <w:noProof/>
        </w:rPr>
        <w:t>938</w:t>
      </w:r>
      <w:r>
        <w:fldChar w:fldCharType="end"/>
      </w:r>
    </w:p>
    <w:p w:rsidR="005E2304" w:rsidRDefault="005E2304" w:rsidP="005E2304"/>
    <w:p w:rsidR="005E2304" w:rsidRDefault="005E2304" w:rsidP="005E2304">
      <w:pPr>
        <w:pStyle w:val="EntradandiceSentencia"/>
      </w:pPr>
      <w:r>
        <w:t>Sala Segunda. Sentencia 169/2007, de 18 de julio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electoral 5953-2007. </w:t>
      </w:r>
      <w:r w:rsidRPr="005E2304">
        <w:rPr>
          <w:rStyle w:val="TextoNormalCursivaCaracter"/>
        </w:rPr>
        <w:t xml:space="preserve"> Vulneración del derecho a acceder a los cargos representativos: STC 168/2007 (voto en elecciones locales mediante papeletas con alteraciones).</w:t>
      </w:r>
      <w:r>
        <w:tab/>
      </w:r>
      <w:r>
        <w:tab/>
      </w:r>
      <w:r>
        <w:fldChar w:fldCharType="begin"/>
      </w:r>
      <w:r>
        <w:instrText xml:space="preserve"> PAGEREF SENTENCIA_2007_169 \h </w:instrText>
      </w:r>
      <w:r>
        <w:fldChar w:fldCharType="separate"/>
      </w:r>
      <w:r w:rsidR="00993288">
        <w:rPr>
          <w:noProof/>
        </w:rPr>
        <w:t>950</w:t>
      </w:r>
      <w:r>
        <w:fldChar w:fldCharType="end"/>
      </w:r>
    </w:p>
    <w:p w:rsidR="005E2304" w:rsidRDefault="005E2304" w:rsidP="005E2304"/>
    <w:p w:rsidR="005E2304" w:rsidRDefault="005E2304" w:rsidP="005E2304">
      <w:pPr>
        <w:pStyle w:val="EntradandiceSentencia"/>
      </w:pPr>
      <w:r>
        <w:t>Sala Segunda. Sentencia 170/2007, de 18 de julio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electoral 5956-2007. </w:t>
      </w:r>
      <w:r w:rsidRPr="005E2304">
        <w:rPr>
          <w:rStyle w:val="TextoNormalCursivaCaracter"/>
        </w:rPr>
        <w:t xml:space="preserve"> Vulneración del derecho a acceder a los cargos representativos: STC 168/2007 (voto en elecciones locales mediante papeletas con alteraciones).</w:t>
      </w:r>
      <w:r>
        <w:tab/>
      </w:r>
      <w:r>
        <w:tab/>
      </w:r>
      <w:r>
        <w:fldChar w:fldCharType="begin"/>
      </w:r>
      <w:r>
        <w:instrText xml:space="preserve"> PAGEREF SENTENCIA_2007_170 \h </w:instrText>
      </w:r>
      <w:r>
        <w:fldChar w:fldCharType="separate"/>
      </w:r>
      <w:r w:rsidR="00993288">
        <w:rPr>
          <w:noProof/>
        </w:rPr>
        <w:t>965</w:t>
      </w:r>
      <w:r>
        <w:fldChar w:fldCharType="end"/>
      </w:r>
    </w:p>
    <w:p w:rsidR="005E2304" w:rsidRDefault="005E2304" w:rsidP="005E2304"/>
    <w:p w:rsidR="005E2304" w:rsidRDefault="005E2304" w:rsidP="005E2304">
      <w:pPr>
        <w:pStyle w:val="EntradandiceSentencia"/>
      </w:pPr>
      <w:r>
        <w:lastRenderedPageBreak/>
        <w:t>Sala Primera. Sentencia 171/2007, de 23 de julio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82-2004. </w:t>
      </w:r>
      <w:r w:rsidRPr="005E2304">
        <w:rPr>
          <w:rStyle w:val="TextoNormalCursivaCaracter"/>
        </w:rPr>
        <w:t xml:space="preserve"> Vulneración del derecho a la tutela judicial efectiva (inmodificabilidad): rectificación del porcentaje litigioso, de una centésima por ciento, que no es un error aritmético.</w:t>
      </w:r>
      <w:r>
        <w:tab/>
      </w:r>
      <w:r>
        <w:tab/>
      </w:r>
      <w:r>
        <w:fldChar w:fldCharType="begin"/>
      </w:r>
      <w:r>
        <w:instrText xml:space="preserve"> PAGEREF SENTENCIA_2007_171 \h </w:instrText>
      </w:r>
      <w:r>
        <w:fldChar w:fldCharType="separate"/>
      </w:r>
      <w:r w:rsidR="00993288">
        <w:rPr>
          <w:noProof/>
        </w:rPr>
        <w:t>980</w:t>
      </w:r>
      <w:r>
        <w:fldChar w:fldCharType="end"/>
      </w:r>
    </w:p>
    <w:p w:rsidR="005E2304" w:rsidRDefault="005E2304" w:rsidP="005E2304"/>
    <w:p w:rsidR="005E2304" w:rsidRDefault="005E2304" w:rsidP="005E2304">
      <w:pPr>
        <w:pStyle w:val="EntradandiceSentencia"/>
      </w:pPr>
      <w:r>
        <w:t>Sala Primera. Sentencia 172/2007, de 23 de julio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133-2004. </w:t>
      </w:r>
      <w:r w:rsidRPr="005E2304">
        <w:rPr>
          <w:rStyle w:val="TextoNormalCursivaCaracter"/>
        </w:rPr>
        <w:t xml:space="preserve"> Vulneración del derecho a la tutela judicial efectiva (acceso a la justicia): inadmisión de demanda social por no formular reclamación previa en la cooperativa, cuando se había celebrado conciliación y no se requirió la subsanación.</w:t>
      </w:r>
      <w:r>
        <w:tab/>
      </w:r>
      <w:r>
        <w:tab/>
      </w:r>
      <w:r>
        <w:fldChar w:fldCharType="begin"/>
      </w:r>
      <w:r>
        <w:instrText xml:space="preserve"> PAGEREF SENTENCIA_2007_172 \h </w:instrText>
      </w:r>
      <w:r>
        <w:fldChar w:fldCharType="separate"/>
      </w:r>
      <w:r w:rsidR="00993288">
        <w:rPr>
          <w:noProof/>
        </w:rPr>
        <w:t>990</w:t>
      </w:r>
      <w:r>
        <w:fldChar w:fldCharType="end"/>
      </w:r>
    </w:p>
    <w:p w:rsidR="005E2304" w:rsidRDefault="005E2304" w:rsidP="005E2304"/>
    <w:p w:rsidR="005E2304" w:rsidRDefault="005E2304" w:rsidP="005E2304">
      <w:pPr>
        <w:pStyle w:val="EntradandiceSentencia"/>
      </w:pPr>
      <w:r>
        <w:t>Sala Segunda. Sentencia 173/2007, de 23 de julio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3257-2004. </w:t>
      </w:r>
      <w:r w:rsidRPr="005E2304">
        <w:rPr>
          <w:rStyle w:val="TextoNormalCursivaCaracter"/>
        </w:rPr>
        <w:t xml:space="preserve"> Supuesta vulneración del derecho a la tutela judicial efectiva (acceso a la justicia): conjunto de actos administrativos declarado firme y consentido por no haber impugnado judicialmente la desestimación expresa de uno de los recursos administrativos.</w:t>
      </w:r>
      <w:r>
        <w:tab/>
      </w:r>
      <w:r>
        <w:tab/>
      </w:r>
      <w:r>
        <w:fldChar w:fldCharType="begin"/>
      </w:r>
      <w:r>
        <w:instrText xml:space="preserve"> PAGEREF SENTENCIA_2007_173 \h </w:instrText>
      </w:r>
      <w:r>
        <w:fldChar w:fldCharType="separate"/>
      </w:r>
      <w:r w:rsidR="00993288">
        <w:rPr>
          <w:noProof/>
        </w:rPr>
        <w:t>998</w:t>
      </w:r>
      <w:r>
        <w:fldChar w:fldCharType="end"/>
      </w:r>
    </w:p>
    <w:p w:rsidR="005E2304" w:rsidRDefault="005E2304" w:rsidP="005E2304"/>
    <w:p w:rsidR="005E2304" w:rsidRDefault="005E2304" w:rsidP="005E2304">
      <w:pPr>
        <w:pStyle w:val="EntradandiceSentencia"/>
      </w:pPr>
      <w:r>
        <w:t>Sala Primera. Sentencia 174/2007, de 23 de julio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7928-2004. </w:t>
      </w:r>
      <w:r w:rsidRPr="005E2304">
        <w:rPr>
          <w:rStyle w:val="TextoNormalCursivaCaracter"/>
        </w:rPr>
        <w:t xml:space="preserve"> Alegada vulneración del derecho de defensa en el procedimiento administrativo sancionador: inadmisión del recurso de amparo por fuera de plazo, que no se reinicia al comunicar la sentencia.</w:t>
      </w:r>
      <w:r>
        <w:tab/>
      </w:r>
      <w:r>
        <w:tab/>
      </w:r>
      <w:r>
        <w:fldChar w:fldCharType="begin"/>
      </w:r>
      <w:r>
        <w:instrText xml:space="preserve"> PAGEREF SENTENCIA_2007_174 \h </w:instrText>
      </w:r>
      <w:r>
        <w:fldChar w:fldCharType="separate"/>
      </w:r>
      <w:r w:rsidR="00993288">
        <w:rPr>
          <w:noProof/>
        </w:rPr>
        <w:t>1006</w:t>
      </w:r>
      <w:r>
        <w:fldChar w:fldCharType="end"/>
      </w:r>
    </w:p>
    <w:p w:rsidR="005E2304" w:rsidRDefault="005E2304" w:rsidP="005E2304"/>
    <w:p w:rsidR="005E2304" w:rsidRDefault="005E2304" w:rsidP="005E2304">
      <w:pPr>
        <w:pStyle w:val="EntradandiceSentencia"/>
      </w:pPr>
      <w:r>
        <w:t>Sala Primera. Sentencia 175/2007, de 23 de julio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1655-2005. </w:t>
      </w:r>
      <w:r w:rsidRPr="005E2304">
        <w:rPr>
          <w:rStyle w:val="TextoNormalCursivaCaracter"/>
        </w:rPr>
        <w:t xml:space="preserve"> Vulneración del derecho de defensa en el procedimiento administrativo sancionador: emplazamiento edictal del denunciado por error de la Administración al consignar su domicilio (STC 54/2003).</w:t>
      </w:r>
      <w:r>
        <w:tab/>
      </w:r>
      <w:r>
        <w:tab/>
      </w:r>
      <w:r>
        <w:fldChar w:fldCharType="begin"/>
      </w:r>
      <w:r>
        <w:instrText xml:space="preserve"> PAGEREF SENTENCIA_2007_175 \h </w:instrText>
      </w:r>
      <w:r>
        <w:fldChar w:fldCharType="separate"/>
      </w:r>
      <w:r w:rsidR="00993288">
        <w:rPr>
          <w:noProof/>
        </w:rPr>
        <w:t>1012</w:t>
      </w:r>
      <w:r>
        <w:fldChar w:fldCharType="end"/>
      </w:r>
    </w:p>
    <w:p w:rsidR="005E2304" w:rsidRDefault="005E2304" w:rsidP="005E2304"/>
    <w:p w:rsidR="005E2304" w:rsidRDefault="005E2304" w:rsidP="005E2304">
      <w:pPr>
        <w:pStyle w:val="EntradandiceSentencia"/>
      </w:pPr>
      <w:r>
        <w:t>Sala Primera. Sentencia 176/2007, de 23 de julio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3980-2005. </w:t>
      </w:r>
      <w:r w:rsidRPr="005E2304">
        <w:rPr>
          <w:rStyle w:val="TextoNormalCursivaCaracter"/>
        </w:rPr>
        <w:t xml:space="preserve"> Vulneración del derecho a la tutela judicial efectiva (incongruencia omisiva): sentencia de apelación penal que deja sin resolver un motivo del recurso, acerca de la sustitución de la pena de prisión impuesta.</w:t>
      </w:r>
      <w:r>
        <w:tab/>
      </w:r>
      <w:r>
        <w:tab/>
      </w:r>
      <w:r>
        <w:fldChar w:fldCharType="begin"/>
      </w:r>
      <w:r>
        <w:instrText xml:space="preserve"> PAGEREF SENTENCIA_2007_176 \h </w:instrText>
      </w:r>
      <w:r>
        <w:fldChar w:fldCharType="separate"/>
      </w:r>
      <w:r w:rsidR="00993288">
        <w:rPr>
          <w:noProof/>
        </w:rPr>
        <w:t>1020</w:t>
      </w:r>
      <w:r>
        <w:fldChar w:fldCharType="end"/>
      </w:r>
    </w:p>
    <w:p w:rsidR="005E2304" w:rsidRDefault="005E2304" w:rsidP="005E2304"/>
    <w:p w:rsidR="005E2304" w:rsidRDefault="005E2304" w:rsidP="005E2304">
      <w:pPr>
        <w:pStyle w:val="EntradandiceSentencia"/>
      </w:pPr>
      <w:r>
        <w:lastRenderedPageBreak/>
        <w:t>Sala Primera. Sentencia 177/2007, de 23 de julio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6276-2005. </w:t>
      </w:r>
      <w:r w:rsidRPr="005E2304">
        <w:rPr>
          <w:rStyle w:val="TextoNormalCursivaCaracter"/>
        </w:rPr>
        <w:t xml:space="preserve"> Vulneración del derecho a la tutela judicial efectiva (resolución fundada en Derecho): sentencias civiles que declaran una paternidad con apoyo en la negativa injustificada del demandado a someterse a una prueba biológica que no había sido acordada. Voto particular.</w:t>
      </w:r>
      <w:r>
        <w:tab/>
      </w:r>
      <w:r>
        <w:tab/>
      </w:r>
      <w:r>
        <w:fldChar w:fldCharType="begin"/>
      </w:r>
      <w:r>
        <w:instrText xml:space="preserve"> PAGEREF SENTENCIA_2007_177 \h </w:instrText>
      </w:r>
      <w:r>
        <w:fldChar w:fldCharType="separate"/>
      </w:r>
      <w:r w:rsidR="00993288">
        <w:rPr>
          <w:noProof/>
        </w:rPr>
        <w:t>1028</w:t>
      </w:r>
      <w:r>
        <w:fldChar w:fldCharType="end"/>
      </w:r>
    </w:p>
    <w:p w:rsidR="005E2304" w:rsidRDefault="005E2304" w:rsidP="005E2304"/>
    <w:p w:rsidR="005E2304" w:rsidRDefault="005E2304" w:rsidP="005E2304">
      <w:pPr>
        <w:pStyle w:val="EntradandiceSentencia"/>
      </w:pPr>
      <w:r>
        <w:t>Sala Segunda. Sentencia 178/2007, de 23 de julio de 2007</w:t>
      </w:r>
    </w:p>
    <w:p w:rsidR="005E2304" w:rsidRDefault="005E2304" w:rsidP="005E2304">
      <w:pPr>
        <w:pStyle w:val="EntradandiceSentencia"/>
      </w:pPr>
    </w:p>
    <w:p w:rsidR="005E2304" w:rsidRDefault="005E2304" w:rsidP="005E2304">
      <w:pPr>
        <w:pStyle w:val="EntradaSumario"/>
      </w:pPr>
      <w:r w:rsidRPr="005E2304">
        <w:rPr>
          <w:rStyle w:val="TextoNormalCaracter"/>
        </w:rPr>
        <w:t xml:space="preserve">Recurso de amparo 1362-2007. </w:t>
      </w:r>
      <w:r w:rsidRPr="005E2304">
        <w:rPr>
          <w:rStyle w:val="TextoNormalCursivaCaracter"/>
        </w:rPr>
        <w:t xml:space="preserve"> Vulneración del derecho a un proceso sin dilaciones indebidas: demora de más de veintiún meses para dictar sentencia en litigio civil.</w:t>
      </w:r>
      <w:r>
        <w:tab/>
      </w:r>
      <w:r>
        <w:tab/>
      </w:r>
      <w:r>
        <w:fldChar w:fldCharType="begin"/>
      </w:r>
      <w:r>
        <w:instrText xml:space="preserve"> PAGEREF SENTENCIA_2007_178 \h </w:instrText>
      </w:r>
      <w:r>
        <w:fldChar w:fldCharType="separate"/>
      </w:r>
      <w:r w:rsidR="00993288">
        <w:rPr>
          <w:noProof/>
        </w:rPr>
        <w:t>1038</w:t>
      </w:r>
      <w:r>
        <w:fldChar w:fldCharType="end"/>
      </w:r>
    </w:p>
    <w:p w:rsidR="005E2304" w:rsidRDefault="005E2304">
      <w:pPr>
        <w:spacing w:after="160" w:line="259" w:lineRule="auto"/>
      </w:pPr>
      <w:r>
        <w:br w:type="page"/>
      </w:r>
    </w:p>
    <w:p w:rsidR="005E2304" w:rsidRDefault="005E2304" w:rsidP="005E2304"/>
    <w:p w:rsidR="005E2304" w:rsidRDefault="005E2304" w:rsidP="005E2304"/>
    <w:p w:rsidR="005E2304" w:rsidRDefault="005E2304" w:rsidP="005E2304"/>
    <w:p w:rsidR="005E2304" w:rsidRDefault="005E2304" w:rsidP="005E2304">
      <w:pPr>
        <w:pStyle w:val="Ttulondice"/>
      </w:pPr>
      <w:bookmarkStart w:id="3" w:name="SUMARIOSAUTOS"/>
      <w:r>
        <w:t>2. AUTOS: ATC 228/2007 A ATC 356/2007</w:t>
      </w:r>
    </w:p>
    <w:bookmarkEnd w:id="3"/>
    <w:p w:rsidR="005E2304" w:rsidRDefault="005E2304" w:rsidP="005E2304">
      <w:pPr>
        <w:pStyle w:val="Ttulondice"/>
      </w:pPr>
    </w:p>
    <w:p w:rsidR="005E2304" w:rsidRDefault="005E2304" w:rsidP="005E2304">
      <w:pPr>
        <w:pStyle w:val="Ttulondice"/>
      </w:pPr>
    </w:p>
    <w:p w:rsidR="005E2304" w:rsidRDefault="005E2304" w:rsidP="005E2304">
      <w:pPr>
        <w:pStyle w:val="Ttulondice"/>
      </w:pPr>
    </w:p>
    <w:p w:rsidR="005E2304" w:rsidRDefault="005E2304" w:rsidP="005E2304">
      <w:pPr>
        <w:pStyle w:val="Ttulondice"/>
      </w:pPr>
    </w:p>
    <w:p w:rsidR="005E2304" w:rsidRDefault="005E2304" w:rsidP="005E2304">
      <w:pPr>
        <w:pStyle w:val="Ttulondice"/>
      </w:pPr>
    </w:p>
    <w:p w:rsidR="005E2304" w:rsidRDefault="005E2304" w:rsidP="005E2304">
      <w:pPr>
        <w:pStyle w:val="Ttulondice"/>
      </w:pPr>
    </w:p>
    <w:p w:rsidR="005E2304" w:rsidRDefault="005E2304" w:rsidP="005E2304">
      <w:pPr>
        <w:pStyle w:val="Ttulondice"/>
      </w:pPr>
    </w:p>
    <w:p w:rsidR="005E2304" w:rsidRDefault="005E2304" w:rsidP="005E2304">
      <w:pPr>
        <w:pStyle w:val="EntradandiceAuto"/>
      </w:pPr>
      <w:r>
        <w:t>Sección Primera. Auto 228/2007, de 3 de mayo de 2007. Acuerda el desistimiento en el recurso de amparo 7302-2006, promovido por Construcciones J. Arruti, S.L.</w:t>
      </w:r>
      <w:r>
        <w:tab/>
      </w:r>
      <w:r>
        <w:tab/>
      </w:r>
      <w:r>
        <w:fldChar w:fldCharType="begin"/>
      </w:r>
      <w:r>
        <w:instrText xml:space="preserve"> PAGEREF AUTO_2007_228 \h </w:instrText>
      </w:r>
      <w:r>
        <w:fldChar w:fldCharType="separate"/>
      </w:r>
      <w:r w:rsidR="00993288">
        <w:rPr>
          <w:noProof/>
        </w:rPr>
        <w:t>1044</w:t>
      </w:r>
      <w:r>
        <w:fldChar w:fldCharType="end"/>
      </w:r>
    </w:p>
    <w:p w:rsidR="00DE14C9" w:rsidRDefault="00DE14C9" w:rsidP="005E2304"/>
    <w:p w:rsidR="005E2304" w:rsidRDefault="005E2304" w:rsidP="005E2304">
      <w:pPr>
        <w:pStyle w:val="EntradandiceAuto"/>
      </w:pPr>
      <w:r>
        <w:t>Sala Segunda. Auto 229/2007, de 7 de mayo de 2007. Extinción del incidente de suspensión en el recurso de amparo 5025-2004, promovido por Síntoma Galán, S.L., en contencioso acerca de clausura de establecimiento.</w:t>
      </w:r>
      <w:r>
        <w:tab/>
      </w:r>
      <w:r>
        <w:tab/>
      </w:r>
      <w:r>
        <w:fldChar w:fldCharType="begin"/>
      </w:r>
      <w:r>
        <w:instrText xml:space="preserve"> PAGEREF AUTO_2007_229 \h </w:instrText>
      </w:r>
      <w:r>
        <w:fldChar w:fldCharType="separate"/>
      </w:r>
      <w:r w:rsidR="00993288">
        <w:rPr>
          <w:noProof/>
        </w:rPr>
        <w:t>1045</w:t>
      </w:r>
      <w:r>
        <w:fldChar w:fldCharType="end"/>
      </w:r>
    </w:p>
    <w:p w:rsidR="005E2304" w:rsidRDefault="005E2304" w:rsidP="005E2304"/>
    <w:p w:rsidR="005E2304" w:rsidRDefault="005E2304" w:rsidP="005E2304">
      <w:pPr>
        <w:pStyle w:val="EntradandiceAuto"/>
      </w:pPr>
      <w:r>
        <w:t>Sala Segunda. Auto 230/2007, de 7 de mayo de 2007. Deniega la suspensión y ordena la anotación preventiva en el recurso de amparo 7540-2004, promovido por doña Margaret Hurley en litigio sobre abono de cuotas.</w:t>
      </w:r>
      <w:r>
        <w:tab/>
      </w:r>
      <w:r>
        <w:tab/>
      </w:r>
      <w:r>
        <w:fldChar w:fldCharType="begin"/>
      </w:r>
      <w:r>
        <w:instrText xml:space="preserve"> PAGEREF AUTO_2007_230 \h </w:instrText>
      </w:r>
      <w:r>
        <w:fldChar w:fldCharType="separate"/>
      </w:r>
      <w:r w:rsidR="00993288">
        <w:rPr>
          <w:noProof/>
        </w:rPr>
        <w:t>1048</w:t>
      </w:r>
      <w:r>
        <w:fldChar w:fldCharType="end"/>
      </w:r>
    </w:p>
    <w:p w:rsidR="005E2304" w:rsidRDefault="005E2304" w:rsidP="005E2304"/>
    <w:p w:rsidR="005E2304" w:rsidRDefault="005E2304" w:rsidP="005E2304">
      <w:pPr>
        <w:pStyle w:val="EntradandiceAuto"/>
      </w:pPr>
      <w:r>
        <w:t>Sección Cuarta. Auto 231/2007, de 7 de mayo de 2007. Inadmite a trámite el recurso de amparo 2747-2005, promovido por el Banco Bilbao Vizcaya Argentaria, S.A., en contencioso sobre sanción de protección de datos personales.</w:t>
      </w:r>
      <w:r>
        <w:tab/>
      </w:r>
      <w:r>
        <w:tab/>
      </w:r>
      <w:r>
        <w:fldChar w:fldCharType="begin"/>
      </w:r>
      <w:r>
        <w:instrText xml:space="preserve"> PAGEREF AUTO_2007_231 \h </w:instrText>
      </w:r>
      <w:r>
        <w:fldChar w:fldCharType="separate"/>
      </w:r>
      <w:r w:rsidR="00993288">
        <w:rPr>
          <w:noProof/>
        </w:rPr>
        <w:t>1052</w:t>
      </w:r>
      <w:r>
        <w:fldChar w:fldCharType="end"/>
      </w:r>
    </w:p>
    <w:p w:rsidR="005E2304" w:rsidRDefault="005E2304" w:rsidP="005E2304"/>
    <w:p w:rsidR="005E2304" w:rsidRDefault="005E2304" w:rsidP="005E2304">
      <w:pPr>
        <w:pStyle w:val="EntradandiceAuto"/>
      </w:pPr>
      <w:r>
        <w:t>Sala Segunda. Auto 232/2007, de 7 de mayo de 2007. Finaliza el incidente de suspensión por pérdida de objeto en el recurso de amparo 4029-2005, promovido por el Gobierno de Cantabria en causa penal.</w:t>
      </w:r>
      <w:r>
        <w:tab/>
      </w:r>
      <w:r>
        <w:tab/>
      </w:r>
      <w:r>
        <w:fldChar w:fldCharType="begin"/>
      </w:r>
      <w:r>
        <w:instrText xml:space="preserve"> PAGEREF AUTO_2007_232 \h </w:instrText>
      </w:r>
      <w:r>
        <w:fldChar w:fldCharType="separate"/>
      </w:r>
      <w:r w:rsidR="00993288">
        <w:rPr>
          <w:noProof/>
        </w:rPr>
        <w:t>1056</w:t>
      </w:r>
      <w:r>
        <w:fldChar w:fldCharType="end"/>
      </w:r>
    </w:p>
    <w:p w:rsidR="005E2304" w:rsidRDefault="005E2304" w:rsidP="005E2304"/>
    <w:p w:rsidR="005E2304" w:rsidRDefault="005E2304" w:rsidP="005E2304">
      <w:pPr>
        <w:pStyle w:val="EntradandiceAuto"/>
      </w:pPr>
      <w:r>
        <w:t>Sala Segunda. Auto 233/2007, de 7 de mayo de 2007. Deniega la suspensión en el recurso de amparo 1140-2006, promovido por la Junta de Andalucía en procedimiento civil de desamparo de menor.</w:t>
      </w:r>
      <w:r>
        <w:tab/>
      </w:r>
      <w:r>
        <w:tab/>
      </w:r>
      <w:r>
        <w:fldChar w:fldCharType="begin"/>
      </w:r>
      <w:r>
        <w:instrText xml:space="preserve"> PAGEREF AUTO_2007_233 \h </w:instrText>
      </w:r>
      <w:r>
        <w:fldChar w:fldCharType="separate"/>
      </w:r>
      <w:r w:rsidR="00993288">
        <w:rPr>
          <w:noProof/>
        </w:rPr>
        <w:t>1058</w:t>
      </w:r>
      <w:r>
        <w:fldChar w:fldCharType="end"/>
      </w:r>
    </w:p>
    <w:p w:rsidR="005E2304" w:rsidRDefault="005E2304" w:rsidP="005E2304"/>
    <w:p w:rsidR="005E2304" w:rsidRDefault="005E2304" w:rsidP="005E2304">
      <w:pPr>
        <w:pStyle w:val="EntradandiceAuto"/>
      </w:pPr>
      <w:r>
        <w:lastRenderedPageBreak/>
        <w:t>Sección Tercera. Auto 234/2007, de 7 de mayo de 2007. Desestima el recurso de súplica sobre inadmisión del recurso de amparo 4226-2006, promovido por don Antonio Serrano-Arnal y Domper en contencioso sobre sanción disciplinaria judicial.</w:t>
      </w:r>
      <w:r>
        <w:tab/>
      </w:r>
      <w:r>
        <w:tab/>
      </w:r>
      <w:r>
        <w:fldChar w:fldCharType="begin"/>
      </w:r>
      <w:r>
        <w:instrText xml:space="preserve"> PAGEREF AUTO_2007_234 \h </w:instrText>
      </w:r>
      <w:r>
        <w:fldChar w:fldCharType="separate"/>
      </w:r>
      <w:r w:rsidR="00993288">
        <w:rPr>
          <w:noProof/>
        </w:rPr>
        <w:t>1062</w:t>
      </w:r>
      <w:r>
        <w:fldChar w:fldCharType="end"/>
      </w:r>
    </w:p>
    <w:p w:rsidR="005E2304" w:rsidRDefault="005E2304" w:rsidP="005E2304"/>
    <w:p w:rsidR="005E2304" w:rsidRDefault="005E2304" w:rsidP="005E2304">
      <w:pPr>
        <w:pStyle w:val="EntradandiceAuto"/>
      </w:pPr>
      <w:r>
        <w:t>Sala Segunda. Auto 235/2007, de 7 de mayo de 2007. Deniega la suspensión en el recurso de amparo 5590-2006, promovido por don Francisco Javier Tomás Puchol en relación con varias resoluciones de las Cortes Valencianas sobre el grupo mixto.</w:t>
      </w:r>
      <w:r>
        <w:tab/>
      </w:r>
      <w:r>
        <w:tab/>
      </w:r>
      <w:r>
        <w:fldChar w:fldCharType="begin"/>
      </w:r>
      <w:r>
        <w:instrText xml:space="preserve"> PAGEREF AUTO_2007_235 \h </w:instrText>
      </w:r>
      <w:r>
        <w:fldChar w:fldCharType="separate"/>
      </w:r>
      <w:r w:rsidR="00993288">
        <w:rPr>
          <w:noProof/>
        </w:rPr>
        <w:t>1066</w:t>
      </w:r>
      <w:r>
        <w:fldChar w:fldCharType="end"/>
      </w:r>
    </w:p>
    <w:p w:rsidR="005E2304" w:rsidRDefault="005E2304" w:rsidP="005E2304"/>
    <w:p w:rsidR="005E2304" w:rsidRDefault="005E2304" w:rsidP="005E2304">
      <w:pPr>
        <w:pStyle w:val="EntradandiceAuto"/>
      </w:pPr>
      <w:r>
        <w:t>Sección Tercera. Auto 236/2007, de 7 de mayo de 2007. Acuerda el desistimiento en el recurso de amparo 7281-2006, promovido por Lostal y Cia., S.A.</w:t>
      </w:r>
      <w:r>
        <w:tab/>
      </w:r>
      <w:r>
        <w:tab/>
      </w:r>
      <w:r>
        <w:fldChar w:fldCharType="begin"/>
      </w:r>
      <w:r>
        <w:instrText xml:space="preserve"> PAGEREF AUTO_2007_236 \h </w:instrText>
      </w:r>
      <w:r>
        <w:fldChar w:fldCharType="separate"/>
      </w:r>
      <w:r w:rsidR="00993288">
        <w:rPr>
          <w:noProof/>
        </w:rPr>
        <w:t>1070</w:t>
      </w:r>
      <w:r>
        <w:fldChar w:fldCharType="end"/>
      </w:r>
    </w:p>
    <w:p w:rsidR="005E2304" w:rsidRDefault="005E2304" w:rsidP="005E2304"/>
    <w:p w:rsidR="005E2304" w:rsidRDefault="005E2304" w:rsidP="005E2304">
      <w:pPr>
        <w:pStyle w:val="EntradandiceAuto"/>
      </w:pPr>
      <w:r>
        <w:t>Sección Cuarta. Auto 237/2007, de 9 de mayo de 2007. Inadmite a trámite el recurso de amparo 7060-2004, promovido por doña María Eugenia de la Huerta Rojo en contencioso sobre disciplina urbanística.</w:t>
      </w:r>
      <w:r>
        <w:tab/>
      </w:r>
      <w:r>
        <w:tab/>
      </w:r>
      <w:r>
        <w:fldChar w:fldCharType="begin"/>
      </w:r>
      <w:r>
        <w:instrText xml:space="preserve"> PAGEREF AUTO_2007_237 \h </w:instrText>
      </w:r>
      <w:r>
        <w:fldChar w:fldCharType="separate"/>
      </w:r>
      <w:r w:rsidR="00993288">
        <w:rPr>
          <w:noProof/>
        </w:rPr>
        <w:t>1071</w:t>
      </w:r>
      <w:r>
        <w:fldChar w:fldCharType="end"/>
      </w:r>
    </w:p>
    <w:p w:rsidR="005E2304" w:rsidRDefault="005E2304" w:rsidP="005E2304"/>
    <w:p w:rsidR="005E2304" w:rsidRDefault="005E2304" w:rsidP="005E2304">
      <w:pPr>
        <w:pStyle w:val="EntradandiceAuto"/>
      </w:pPr>
      <w:r>
        <w:t>Sala Primera. Auto 238/2007, de 10 de mayo de 2007. Acuerda resolver en sentencia única el recurso de amparo electoral 4107-2007 y otros 23, promovidos por agrupaciones electorales sobre proclamación de candidaturas.</w:t>
      </w:r>
      <w:r>
        <w:tab/>
      </w:r>
      <w:r>
        <w:tab/>
      </w:r>
      <w:r>
        <w:fldChar w:fldCharType="begin"/>
      </w:r>
      <w:r>
        <w:instrText xml:space="preserve"> PAGEREF AUTO_2007_238 \h </w:instrText>
      </w:r>
      <w:r>
        <w:fldChar w:fldCharType="separate"/>
      </w:r>
      <w:r w:rsidR="00993288">
        <w:rPr>
          <w:noProof/>
        </w:rPr>
        <w:t>1076</w:t>
      </w:r>
      <w:r>
        <w:fldChar w:fldCharType="end"/>
      </w:r>
    </w:p>
    <w:p w:rsidR="005E2304" w:rsidRDefault="005E2304" w:rsidP="005E2304"/>
    <w:p w:rsidR="005E2304" w:rsidRDefault="005E2304" w:rsidP="005E2304">
      <w:pPr>
        <w:pStyle w:val="EntradandiceAuto"/>
      </w:pPr>
      <w:r>
        <w:t>Sala Primera. Auto 239/2007, de 11 de mayo de 2007. Acuerda la aclaración de la Sentencia 112/2007, de 10 de mayo, en el recurso de amparo electoral 4215-2007, promovido por el partido político Eusko Abertzale Ekintza-Acción Nacionalista Vasco.</w:t>
      </w:r>
      <w:r>
        <w:tab/>
      </w:r>
      <w:r>
        <w:tab/>
      </w:r>
      <w:r>
        <w:fldChar w:fldCharType="begin"/>
      </w:r>
      <w:r>
        <w:instrText xml:space="preserve"> PAGEREF AUTO_2007_239 \h </w:instrText>
      </w:r>
      <w:r>
        <w:fldChar w:fldCharType="separate"/>
      </w:r>
      <w:r w:rsidR="00993288">
        <w:rPr>
          <w:noProof/>
        </w:rPr>
        <w:t>1078</w:t>
      </w:r>
      <w:r>
        <w:fldChar w:fldCharType="end"/>
      </w:r>
    </w:p>
    <w:p w:rsidR="005E2304" w:rsidRDefault="005E2304" w:rsidP="005E2304"/>
    <w:p w:rsidR="005E2304" w:rsidRDefault="005E2304" w:rsidP="005E2304">
      <w:pPr>
        <w:pStyle w:val="EntradandiceAuto"/>
      </w:pPr>
      <w:r>
        <w:t>Sala Primera. Auto 240/2007, de 14 de mayo de 2007. Acuerda la rectificación de la Sentencia 114/2007, de 10 de mayo, en el recurso de amparo electoral 4220-2007, promovido por Independientes por Porto do Son.</w:t>
      </w:r>
      <w:r>
        <w:tab/>
      </w:r>
      <w:r>
        <w:tab/>
      </w:r>
      <w:r>
        <w:fldChar w:fldCharType="begin"/>
      </w:r>
      <w:r>
        <w:instrText xml:space="preserve"> PAGEREF AUTO_2007_240 \h </w:instrText>
      </w:r>
      <w:r>
        <w:fldChar w:fldCharType="separate"/>
      </w:r>
      <w:r w:rsidR="00993288">
        <w:rPr>
          <w:noProof/>
        </w:rPr>
        <w:t>1079</w:t>
      </w:r>
      <w:r>
        <w:fldChar w:fldCharType="end"/>
      </w:r>
    </w:p>
    <w:p w:rsidR="005E2304" w:rsidRDefault="005E2304" w:rsidP="005E2304"/>
    <w:p w:rsidR="005E2304" w:rsidRDefault="005E2304" w:rsidP="005E2304">
      <w:pPr>
        <w:pStyle w:val="EntradandiceAuto"/>
      </w:pPr>
      <w:r>
        <w:t>Sala Segunda. Auto 241/2007, de 21 de mayo de 2007. Acuerda la rectificación de la Sentencia 285/2005, de 7 de noviembre, en el recurso de amparo 1012-2003, promovido por don Miguel Huguet Viñas.</w:t>
      </w:r>
      <w:r>
        <w:tab/>
      </w:r>
      <w:r>
        <w:tab/>
      </w:r>
      <w:r>
        <w:fldChar w:fldCharType="begin"/>
      </w:r>
      <w:r>
        <w:instrText xml:space="preserve"> PAGEREF AUTO_2007_241 \h </w:instrText>
      </w:r>
      <w:r>
        <w:fldChar w:fldCharType="separate"/>
      </w:r>
      <w:r w:rsidR="00993288">
        <w:rPr>
          <w:noProof/>
        </w:rPr>
        <w:t>1080</w:t>
      </w:r>
      <w:r>
        <w:fldChar w:fldCharType="end"/>
      </w:r>
    </w:p>
    <w:p w:rsidR="005E2304" w:rsidRDefault="005E2304" w:rsidP="005E2304"/>
    <w:p w:rsidR="005E2304" w:rsidRDefault="005E2304" w:rsidP="005E2304">
      <w:pPr>
        <w:pStyle w:val="EntradandiceAuto"/>
      </w:pPr>
      <w:r>
        <w:t>Sala Segunda. Auto 242/2007, de 21 de mayo de 2007. Deniega una abstención en el recurso de amparo 1907-2003, promovido por don Alberto Cortina de Alcocer en causa penal.</w:t>
      </w:r>
      <w:r>
        <w:tab/>
      </w:r>
      <w:r>
        <w:tab/>
      </w:r>
      <w:r>
        <w:fldChar w:fldCharType="begin"/>
      </w:r>
      <w:r>
        <w:instrText xml:space="preserve"> PAGEREF AUTO_2007_242 \h </w:instrText>
      </w:r>
      <w:r>
        <w:fldChar w:fldCharType="separate"/>
      </w:r>
      <w:r w:rsidR="00993288">
        <w:rPr>
          <w:noProof/>
        </w:rPr>
        <w:t>1083</w:t>
      </w:r>
      <w:r>
        <w:fldChar w:fldCharType="end"/>
      </w:r>
    </w:p>
    <w:p w:rsidR="005E2304" w:rsidRDefault="005E2304" w:rsidP="005E2304"/>
    <w:p w:rsidR="005E2304" w:rsidRDefault="005E2304" w:rsidP="005E2304">
      <w:pPr>
        <w:pStyle w:val="EntradandiceAuto"/>
      </w:pPr>
      <w:r>
        <w:t>Sala Primera. Auto 243/2007, de 21 de mayo de 2007. Acuerda la extinción del recurso de amparo 4941-2006, promovido por don José Elicegui Michelena en causa penal.</w:t>
      </w:r>
      <w:r>
        <w:tab/>
      </w:r>
      <w:r>
        <w:tab/>
      </w:r>
      <w:r>
        <w:fldChar w:fldCharType="begin"/>
      </w:r>
      <w:r>
        <w:instrText xml:space="preserve"> PAGEREF AUTO_2007_243 \h </w:instrText>
      </w:r>
      <w:r>
        <w:fldChar w:fldCharType="separate"/>
      </w:r>
      <w:r w:rsidR="00993288">
        <w:rPr>
          <w:noProof/>
        </w:rPr>
        <w:t>1085</w:t>
      </w:r>
      <w:r>
        <w:fldChar w:fldCharType="end"/>
      </w:r>
    </w:p>
    <w:p w:rsidR="005E2304" w:rsidRDefault="005E2304" w:rsidP="005E2304"/>
    <w:p w:rsidR="005E2304" w:rsidRDefault="005E2304" w:rsidP="005E2304">
      <w:pPr>
        <w:pStyle w:val="EntradandiceAuto"/>
      </w:pPr>
      <w:r>
        <w:t>Sección Cuarta. Auto 244/2007, de 21 de mayo de 2007. Acuerda el desistimiento en el recurso de amparo 9014-2006, promovido en causa penal.</w:t>
      </w:r>
      <w:r>
        <w:tab/>
      </w:r>
      <w:r>
        <w:tab/>
      </w:r>
      <w:r>
        <w:fldChar w:fldCharType="begin"/>
      </w:r>
      <w:r>
        <w:instrText xml:space="preserve"> PAGEREF AUTO_2007_244 \h </w:instrText>
      </w:r>
      <w:r>
        <w:fldChar w:fldCharType="separate"/>
      </w:r>
      <w:r w:rsidR="00993288">
        <w:rPr>
          <w:noProof/>
        </w:rPr>
        <w:t>1088</w:t>
      </w:r>
      <w:r>
        <w:fldChar w:fldCharType="end"/>
      </w:r>
    </w:p>
    <w:p w:rsidR="005E2304" w:rsidRDefault="005E2304" w:rsidP="005E2304"/>
    <w:p w:rsidR="005E2304" w:rsidRDefault="005E2304" w:rsidP="005E2304">
      <w:pPr>
        <w:pStyle w:val="EntradandiceAuto"/>
      </w:pPr>
      <w:r>
        <w:t>Sección Tercera. Auto 245/2007, de 22 de mayo de 2007. Inadmite a trámite el recurso de amparo 2066-2003, promovido por don Juan Carlos López Cortés en causa por delito contra la salud pública.</w:t>
      </w:r>
      <w:r>
        <w:tab/>
      </w:r>
      <w:r>
        <w:tab/>
      </w:r>
      <w:r>
        <w:fldChar w:fldCharType="begin"/>
      </w:r>
      <w:r>
        <w:instrText xml:space="preserve"> PAGEREF AUTO_2007_245 \h </w:instrText>
      </w:r>
      <w:r>
        <w:fldChar w:fldCharType="separate"/>
      </w:r>
      <w:r w:rsidR="00993288">
        <w:rPr>
          <w:noProof/>
        </w:rPr>
        <w:t>1089</w:t>
      </w:r>
      <w:r>
        <w:fldChar w:fldCharType="end"/>
      </w:r>
    </w:p>
    <w:p w:rsidR="005E2304" w:rsidRDefault="005E2304" w:rsidP="005E2304"/>
    <w:p w:rsidR="005E2304" w:rsidRDefault="005E2304" w:rsidP="005E2304">
      <w:pPr>
        <w:pStyle w:val="EntradandiceAuto"/>
      </w:pPr>
      <w:r>
        <w:t>Sección Tercera. Auto 246/2007, de 22 de mayo de 2007. Inadmite a trámite el recurso de amparo 2300-2004, promovido por don Luis Martín Olivo y otros en diligencias previas por fallecimiento.</w:t>
      </w:r>
      <w:r>
        <w:tab/>
      </w:r>
      <w:r>
        <w:tab/>
      </w:r>
      <w:r>
        <w:fldChar w:fldCharType="begin"/>
      </w:r>
      <w:r>
        <w:instrText xml:space="preserve"> PAGEREF AUTO_2007_246 \h </w:instrText>
      </w:r>
      <w:r>
        <w:fldChar w:fldCharType="separate"/>
      </w:r>
      <w:r w:rsidR="00993288">
        <w:rPr>
          <w:noProof/>
        </w:rPr>
        <w:t>1096</w:t>
      </w:r>
      <w:r>
        <w:fldChar w:fldCharType="end"/>
      </w:r>
    </w:p>
    <w:p w:rsidR="005E2304" w:rsidRDefault="005E2304" w:rsidP="005E2304"/>
    <w:p w:rsidR="005E2304" w:rsidRDefault="005E2304" w:rsidP="005E2304">
      <w:pPr>
        <w:pStyle w:val="EntradandiceAuto"/>
      </w:pPr>
      <w:r>
        <w:t>Sección Tercera. Auto 247/2007, de 22 de mayo de 2007. Inadmite a trámite el recurso de amparo 5957-2004, promovido por Félix Fumero, S.L., en contencioso sobre liquidaciones y sanciones del impuesto general indirecto canario.</w:t>
      </w:r>
      <w:r>
        <w:tab/>
      </w:r>
      <w:r>
        <w:tab/>
      </w:r>
      <w:r>
        <w:fldChar w:fldCharType="begin"/>
      </w:r>
      <w:r>
        <w:instrText xml:space="preserve"> PAGEREF AUTO_2007_247 \h </w:instrText>
      </w:r>
      <w:r>
        <w:fldChar w:fldCharType="separate"/>
      </w:r>
      <w:r w:rsidR="00993288">
        <w:rPr>
          <w:noProof/>
        </w:rPr>
        <w:t>1106</w:t>
      </w:r>
      <w:r>
        <w:fldChar w:fldCharType="end"/>
      </w:r>
    </w:p>
    <w:p w:rsidR="005E2304" w:rsidRDefault="005E2304" w:rsidP="005E2304"/>
    <w:p w:rsidR="005E2304" w:rsidRDefault="005E2304" w:rsidP="005E2304">
      <w:pPr>
        <w:pStyle w:val="EntradandiceAuto"/>
      </w:pPr>
      <w:r>
        <w:t>Sala Primera. Auto 248/2007, de 22 de mayo de 2007. Acuerda la suspensión parcial en el recurso de amparo 4615-2005, promovido por don Sebastián de Pasqual Coll en causa por delito contra la hacienda pública.</w:t>
      </w:r>
      <w:r>
        <w:tab/>
      </w:r>
      <w:r>
        <w:tab/>
      </w:r>
      <w:r>
        <w:fldChar w:fldCharType="begin"/>
      </w:r>
      <w:r>
        <w:instrText xml:space="preserve"> PAGEREF AUTO_2007_248 \h </w:instrText>
      </w:r>
      <w:r>
        <w:fldChar w:fldCharType="separate"/>
      </w:r>
      <w:r w:rsidR="00993288">
        <w:rPr>
          <w:noProof/>
        </w:rPr>
        <w:t>1113</w:t>
      </w:r>
      <w:r>
        <w:fldChar w:fldCharType="end"/>
      </w:r>
    </w:p>
    <w:p w:rsidR="005E2304" w:rsidRDefault="005E2304" w:rsidP="005E2304"/>
    <w:p w:rsidR="005E2304" w:rsidRDefault="005E2304" w:rsidP="005E2304">
      <w:pPr>
        <w:pStyle w:val="EntradandiceAuto"/>
      </w:pPr>
      <w:r>
        <w:t>Sala Primera. Auto 249/2007, de 22 de mayo de 2007. Acuerda la suspensión parcial en el recurso de amparo 4712-2005, promovido por don Carlos Folchi Bonafonte en causa por delito contra la hacienda pública.</w:t>
      </w:r>
      <w:r>
        <w:tab/>
      </w:r>
      <w:r>
        <w:tab/>
      </w:r>
      <w:r>
        <w:fldChar w:fldCharType="begin"/>
      </w:r>
      <w:r>
        <w:instrText xml:space="preserve"> PAGEREF AUTO_2007_249 \h </w:instrText>
      </w:r>
      <w:r>
        <w:fldChar w:fldCharType="separate"/>
      </w:r>
      <w:r w:rsidR="00993288">
        <w:rPr>
          <w:noProof/>
        </w:rPr>
        <w:t>1117</w:t>
      </w:r>
      <w:r>
        <w:fldChar w:fldCharType="end"/>
      </w:r>
    </w:p>
    <w:p w:rsidR="005E2304" w:rsidRDefault="005E2304" w:rsidP="005E2304"/>
    <w:p w:rsidR="005E2304" w:rsidRDefault="005E2304" w:rsidP="005E2304">
      <w:pPr>
        <w:pStyle w:val="EntradandiceAuto"/>
      </w:pPr>
      <w:r>
        <w:t>Sección Tercera. Auto 250/2007, de 22 de mayo de 2007. Acuerda el desistimiento en el recurso de amparo 8154-2005, promovido en causa penal.</w:t>
      </w:r>
      <w:r>
        <w:tab/>
      </w:r>
      <w:r>
        <w:tab/>
      </w:r>
      <w:r>
        <w:fldChar w:fldCharType="begin"/>
      </w:r>
      <w:r>
        <w:instrText xml:space="preserve"> PAGEREF AUTO_2007_250 \h </w:instrText>
      </w:r>
      <w:r>
        <w:fldChar w:fldCharType="separate"/>
      </w:r>
      <w:r w:rsidR="00993288">
        <w:rPr>
          <w:noProof/>
        </w:rPr>
        <w:t>1121</w:t>
      </w:r>
      <w:r>
        <w:fldChar w:fldCharType="end"/>
      </w:r>
    </w:p>
    <w:p w:rsidR="005E2304" w:rsidRDefault="005E2304" w:rsidP="005E2304"/>
    <w:p w:rsidR="005E2304" w:rsidRDefault="005E2304" w:rsidP="005E2304">
      <w:pPr>
        <w:pStyle w:val="EntradandiceAuto"/>
      </w:pPr>
      <w:r>
        <w:t>Sección Tercera. Auto 251/2007, de 22 de mayo de 2007. Acuerda el desistimiento en el recurso de amparo 4829-2006, promovido en proceso contencioso-administrativo.</w:t>
      </w:r>
      <w:r>
        <w:tab/>
      </w:r>
      <w:r>
        <w:tab/>
      </w:r>
      <w:r>
        <w:fldChar w:fldCharType="begin"/>
      </w:r>
      <w:r>
        <w:instrText xml:space="preserve"> PAGEREF AUTO_2007_251 \h </w:instrText>
      </w:r>
      <w:r>
        <w:fldChar w:fldCharType="separate"/>
      </w:r>
      <w:r w:rsidR="00993288">
        <w:rPr>
          <w:noProof/>
        </w:rPr>
        <w:t>1122</w:t>
      </w:r>
      <w:r>
        <w:fldChar w:fldCharType="end"/>
      </w:r>
    </w:p>
    <w:p w:rsidR="005E2304" w:rsidRDefault="005E2304" w:rsidP="005E2304"/>
    <w:p w:rsidR="005E2304" w:rsidRDefault="005E2304" w:rsidP="005E2304">
      <w:pPr>
        <w:pStyle w:val="EntradandiceAuto"/>
      </w:pPr>
      <w:r>
        <w:t>Sección Tercera. Auto 252/2007, de 22 de mayo de 2007. Acuerda el desistimiento en el recurso de amparo 4877-2006, promovido por el Colegio Oficial de Pilotos de la Aviación Comercial.</w:t>
      </w:r>
      <w:r>
        <w:tab/>
      </w:r>
      <w:r>
        <w:tab/>
      </w:r>
      <w:r>
        <w:fldChar w:fldCharType="begin"/>
      </w:r>
      <w:r>
        <w:instrText xml:space="preserve"> PAGEREF AUTO_2007_252 \h </w:instrText>
      </w:r>
      <w:r>
        <w:fldChar w:fldCharType="separate"/>
      </w:r>
      <w:r w:rsidR="00993288">
        <w:rPr>
          <w:noProof/>
        </w:rPr>
        <w:t>1123</w:t>
      </w:r>
      <w:r>
        <w:fldChar w:fldCharType="end"/>
      </w:r>
    </w:p>
    <w:p w:rsidR="005E2304" w:rsidRDefault="005E2304" w:rsidP="005E2304"/>
    <w:p w:rsidR="005E2304" w:rsidRDefault="005E2304" w:rsidP="005E2304">
      <w:pPr>
        <w:pStyle w:val="EntradandiceAuto"/>
      </w:pPr>
      <w:r>
        <w:t>Pleno. Auto 253/2007, de 22 de mayo de 2007. Inadmite una recusación en el recurso de inconstitucionalidad 8675-2006, promovido por el Defensor del Pueblo contra la Ley Orgánica 6/2006, de 19 de julio, de reforma del Estatuto de Autonomía de Cataluña.</w:t>
      </w:r>
      <w:r>
        <w:tab/>
      </w:r>
      <w:r>
        <w:tab/>
      </w:r>
      <w:r>
        <w:fldChar w:fldCharType="begin"/>
      </w:r>
      <w:r>
        <w:instrText xml:space="preserve"> PAGEREF AUTO_2007_253 \h </w:instrText>
      </w:r>
      <w:r>
        <w:fldChar w:fldCharType="separate"/>
      </w:r>
      <w:r w:rsidR="00993288">
        <w:rPr>
          <w:noProof/>
        </w:rPr>
        <w:t>1124</w:t>
      </w:r>
      <w:r>
        <w:fldChar w:fldCharType="end"/>
      </w:r>
    </w:p>
    <w:p w:rsidR="005E2304" w:rsidRDefault="005E2304" w:rsidP="005E2304"/>
    <w:p w:rsidR="005E2304" w:rsidRDefault="005E2304" w:rsidP="005E2304">
      <w:pPr>
        <w:pStyle w:val="EntradandiceAuto"/>
      </w:pPr>
      <w:r>
        <w:lastRenderedPageBreak/>
        <w:t>Sección Segunda. Auto 254/2007, de 23 de mayo de 2007. Inadmite a trámite el recurso de amparo 3911-2004, promovido por Omega Arquitectos, S.L., en contencioso sobre devolución del impuesto de sociedades.</w:t>
      </w:r>
      <w:r>
        <w:tab/>
      </w:r>
      <w:r>
        <w:tab/>
      </w:r>
      <w:r>
        <w:fldChar w:fldCharType="begin"/>
      </w:r>
      <w:r>
        <w:instrText xml:space="preserve"> PAGEREF AUTO_2007_254 \h </w:instrText>
      </w:r>
      <w:r>
        <w:fldChar w:fldCharType="separate"/>
      </w:r>
      <w:r w:rsidR="00993288">
        <w:rPr>
          <w:noProof/>
        </w:rPr>
        <w:t>1126</w:t>
      </w:r>
      <w:r>
        <w:fldChar w:fldCharType="end"/>
      </w:r>
    </w:p>
    <w:p w:rsidR="005E2304" w:rsidRDefault="005E2304" w:rsidP="005E2304"/>
    <w:p w:rsidR="005E2304" w:rsidRDefault="005E2304" w:rsidP="005E2304">
      <w:pPr>
        <w:pStyle w:val="EntradandiceAuto"/>
      </w:pPr>
      <w:r>
        <w:t>Sección Primera. Auto 255/2007, de 23 de mayo de 2007. Inadmite a trámite el recurso de amparo 7276-2004, promovido por don Alejandro Atilio Locatelli y otra en juicio de desahucio por impago de rentas.</w:t>
      </w:r>
      <w:r>
        <w:tab/>
      </w:r>
      <w:r>
        <w:tab/>
      </w:r>
      <w:r>
        <w:fldChar w:fldCharType="begin"/>
      </w:r>
      <w:r>
        <w:instrText xml:space="preserve"> PAGEREF AUTO_2007_255 \h </w:instrText>
      </w:r>
      <w:r>
        <w:fldChar w:fldCharType="separate"/>
      </w:r>
      <w:r w:rsidR="00993288">
        <w:rPr>
          <w:noProof/>
        </w:rPr>
        <w:t>1130</w:t>
      </w:r>
      <w:r>
        <w:fldChar w:fldCharType="end"/>
      </w:r>
    </w:p>
    <w:p w:rsidR="005E2304" w:rsidRDefault="005E2304" w:rsidP="005E2304"/>
    <w:p w:rsidR="005E2304" w:rsidRDefault="005E2304" w:rsidP="005E2304">
      <w:pPr>
        <w:pStyle w:val="EntradandiceAuto"/>
      </w:pPr>
      <w:r>
        <w:t>Sección Primera. Auto 256/2007, de 23 de mayo de 2007. Inadmite a trámite el recurso de amparo 1208-2005, promovido por la Diputación Foral de Guipúzcoa en contencioso acerca de normas forales de 1996, reguladoras del impuesto sobre sociedades.</w:t>
      </w:r>
      <w:r>
        <w:tab/>
      </w:r>
      <w:r>
        <w:tab/>
      </w:r>
      <w:r>
        <w:fldChar w:fldCharType="begin"/>
      </w:r>
      <w:r>
        <w:instrText xml:space="preserve"> PAGEREF AUTO_2007_256 \h </w:instrText>
      </w:r>
      <w:r>
        <w:fldChar w:fldCharType="separate"/>
      </w:r>
      <w:r w:rsidR="00993288">
        <w:rPr>
          <w:noProof/>
        </w:rPr>
        <w:t>1134</w:t>
      </w:r>
      <w:r>
        <w:fldChar w:fldCharType="end"/>
      </w:r>
    </w:p>
    <w:p w:rsidR="005E2304" w:rsidRDefault="005E2304" w:rsidP="005E2304"/>
    <w:p w:rsidR="005E2304" w:rsidRDefault="005E2304" w:rsidP="005E2304">
      <w:pPr>
        <w:pStyle w:val="EntradandiceAuto"/>
      </w:pPr>
      <w:r>
        <w:t>Pleno. Auto 257/2007, de 23 de mayo de 2007. Inadmite a trámite por infundada la cuestión de inconstitucionalidad 163-2007, planteada por la Sala de lo Social del Tribunal Superior de Justicia de Canarias en relación con la disposición adicional segunda de la Ley Orgánica 1/1990, de 3 de octubre, de ordenación general del sistema educativo.</w:t>
      </w:r>
      <w:r>
        <w:tab/>
      </w:r>
      <w:r>
        <w:tab/>
      </w:r>
      <w:r>
        <w:fldChar w:fldCharType="begin"/>
      </w:r>
      <w:r>
        <w:instrText xml:space="preserve"> PAGEREF AUTO_2007_257 \h </w:instrText>
      </w:r>
      <w:r>
        <w:fldChar w:fldCharType="separate"/>
      </w:r>
      <w:r w:rsidR="00993288">
        <w:rPr>
          <w:noProof/>
        </w:rPr>
        <w:t>1142</w:t>
      </w:r>
      <w:r>
        <w:fldChar w:fldCharType="end"/>
      </w:r>
    </w:p>
    <w:p w:rsidR="005E2304" w:rsidRDefault="005E2304" w:rsidP="005E2304"/>
    <w:p w:rsidR="005E2304" w:rsidRDefault="005E2304" w:rsidP="005E2304">
      <w:pPr>
        <w:pStyle w:val="EntradandiceAuto"/>
      </w:pPr>
      <w:r>
        <w:t>Pleno. Auto 258/2007, de 23 de mayo de 2007. Acuerda denegar la suspensión en el conflicto positivo de competencias 1301-2007, planteado por el Consejo de Gobierno de la Comunidad de Madrid en relación con el Real Decreto 1301/2006, de 10 de noviembre, por el que se establecen normas de calidad y seguridad de células y tejidos humanos.</w:t>
      </w:r>
      <w:r>
        <w:tab/>
      </w:r>
      <w:r>
        <w:tab/>
      </w:r>
      <w:r>
        <w:fldChar w:fldCharType="begin"/>
      </w:r>
      <w:r>
        <w:instrText xml:space="preserve"> PAGEREF AUTO_2007_258 \h </w:instrText>
      </w:r>
      <w:r>
        <w:fldChar w:fldCharType="separate"/>
      </w:r>
      <w:r w:rsidR="00993288">
        <w:rPr>
          <w:noProof/>
        </w:rPr>
        <w:t>1150</w:t>
      </w:r>
      <w:r>
        <w:fldChar w:fldCharType="end"/>
      </w:r>
    </w:p>
    <w:p w:rsidR="005E2304" w:rsidRDefault="005E2304" w:rsidP="005E2304"/>
    <w:p w:rsidR="005E2304" w:rsidRDefault="005E2304" w:rsidP="005E2304">
      <w:pPr>
        <w:pStyle w:val="EntradandiceAuto"/>
      </w:pPr>
      <w:r>
        <w:t>Sección Primera. Auto 259/2007, de 24 de mayo de 2007. Inadmite a trámite el recurso de amparo 1207-2005, promovido por las Juntas Generales de Guipúzcoa en contencioso acerca de normas forales de 1996, reguladoras del impuesto sobre sociedades.</w:t>
      </w:r>
      <w:r>
        <w:tab/>
      </w:r>
      <w:r>
        <w:tab/>
      </w:r>
      <w:r>
        <w:fldChar w:fldCharType="begin"/>
      </w:r>
      <w:r>
        <w:instrText xml:space="preserve"> PAGEREF AUTO_2007_259 \h </w:instrText>
      </w:r>
      <w:r>
        <w:fldChar w:fldCharType="separate"/>
      </w:r>
      <w:r w:rsidR="00993288">
        <w:rPr>
          <w:noProof/>
        </w:rPr>
        <w:t>1157</w:t>
      </w:r>
      <w:r>
        <w:fldChar w:fldCharType="end"/>
      </w:r>
    </w:p>
    <w:p w:rsidR="005E2304" w:rsidRDefault="005E2304" w:rsidP="005E2304"/>
    <w:p w:rsidR="005E2304" w:rsidRDefault="005E2304" w:rsidP="005E2304">
      <w:pPr>
        <w:pStyle w:val="EntradandiceAuto"/>
      </w:pPr>
      <w:r>
        <w:t>Sección Tercera. Auto 260/2007, de 24 de mayo de 2007. Estima el recurso de súplica e inadmite el recurso de amparo 3779-2006, promovido por doña Paloma Vanessa Velásquez Valencia en contencioso sobre denegación de entrada en territorio español.</w:t>
      </w:r>
      <w:r>
        <w:tab/>
      </w:r>
      <w:r>
        <w:tab/>
      </w:r>
      <w:r>
        <w:fldChar w:fldCharType="begin"/>
      </w:r>
      <w:r>
        <w:instrText xml:space="preserve"> PAGEREF AUTO_2007_260 \h </w:instrText>
      </w:r>
      <w:r>
        <w:fldChar w:fldCharType="separate"/>
      </w:r>
      <w:r w:rsidR="00993288">
        <w:rPr>
          <w:noProof/>
        </w:rPr>
        <w:t>1165</w:t>
      </w:r>
      <w:r>
        <w:fldChar w:fldCharType="end"/>
      </w:r>
    </w:p>
    <w:p w:rsidR="005E2304" w:rsidRDefault="005E2304" w:rsidP="005E2304"/>
    <w:p w:rsidR="005E2304" w:rsidRDefault="005E2304" w:rsidP="005E2304">
      <w:pPr>
        <w:pStyle w:val="EntradandiceAuto"/>
      </w:pPr>
      <w:r>
        <w:t>Pleno. Auto 261/2007, de 24 de mayo de 2007. Deniega la acumulación de seis recursos de inconstitucionalidad al 8045-2006, interpuesto por más de cincuenta Diputados del Grupo Parlamentario Popular del Congreso de los Diputados en relación con la Ley Orgánica 6/2006, de 19 de julio, de reforma del Estatuto de Autonomía de Cataluña.</w:t>
      </w:r>
      <w:r>
        <w:tab/>
      </w:r>
      <w:r>
        <w:tab/>
      </w:r>
      <w:r>
        <w:fldChar w:fldCharType="begin"/>
      </w:r>
      <w:r>
        <w:instrText xml:space="preserve"> PAGEREF AUTO_2007_261 \h </w:instrText>
      </w:r>
      <w:r>
        <w:fldChar w:fldCharType="separate"/>
      </w:r>
      <w:r w:rsidR="00993288">
        <w:rPr>
          <w:noProof/>
        </w:rPr>
        <w:t>1168</w:t>
      </w:r>
      <w:r>
        <w:fldChar w:fldCharType="end"/>
      </w:r>
    </w:p>
    <w:p w:rsidR="005E2304" w:rsidRDefault="005E2304" w:rsidP="005E2304"/>
    <w:p w:rsidR="005E2304" w:rsidRDefault="005E2304" w:rsidP="005E2304">
      <w:pPr>
        <w:pStyle w:val="EntradandiceAuto"/>
      </w:pPr>
      <w:r>
        <w:lastRenderedPageBreak/>
        <w:t>Sección Primera. Auto 262/2007, de 25 de mayo de 2007. Inadmite a trámite el recurso de amparo 4564-2004, promovido por el Grupo Parlamentario Popular del Congreso de los Diputados en relación con los Acuerdos de la Mesa del Congreso de los Diputados sobre constitución del grupo parlamentario Esquerra Republicana.</w:t>
      </w:r>
      <w:r>
        <w:tab/>
      </w:r>
      <w:r>
        <w:tab/>
      </w:r>
      <w:r>
        <w:fldChar w:fldCharType="begin"/>
      </w:r>
      <w:r>
        <w:instrText xml:space="preserve"> PAGEREF AUTO_2007_262 \h </w:instrText>
      </w:r>
      <w:r>
        <w:fldChar w:fldCharType="separate"/>
      </w:r>
      <w:r w:rsidR="00993288">
        <w:rPr>
          <w:noProof/>
        </w:rPr>
        <w:t>1175</w:t>
      </w:r>
      <w:r>
        <w:fldChar w:fldCharType="end"/>
      </w:r>
    </w:p>
    <w:p w:rsidR="005E2304" w:rsidRDefault="005E2304" w:rsidP="005E2304"/>
    <w:p w:rsidR="005E2304" w:rsidRDefault="005E2304" w:rsidP="005E2304">
      <w:pPr>
        <w:pStyle w:val="EntradandiceAuto"/>
      </w:pPr>
      <w:r>
        <w:t>Sección Segunda. Auto 263/2007, de 25 de mayo de 2007. Inadmite a trámite el recurso de amparo 1209-2005, promovido por las Juntas Generales de Álava en contencioso acerca de normas forales de 1996, reguladoras del impuesto sobre sociedades.</w:t>
      </w:r>
      <w:r>
        <w:tab/>
      </w:r>
      <w:r>
        <w:tab/>
      </w:r>
      <w:r>
        <w:fldChar w:fldCharType="begin"/>
      </w:r>
      <w:r>
        <w:instrText xml:space="preserve"> PAGEREF AUTO_2007_263 \h </w:instrText>
      </w:r>
      <w:r>
        <w:fldChar w:fldCharType="separate"/>
      </w:r>
      <w:r w:rsidR="00993288">
        <w:rPr>
          <w:noProof/>
        </w:rPr>
        <w:t>1187</w:t>
      </w:r>
      <w:r>
        <w:fldChar w:fldCharType="end"/>
      </w:r>
    </w:p>
    <w:p w:rsidR="005E2304" w:rsidRDefault="005E2304" w:rsidP="005E2304"/>
    <w:p w:rsidR="005E2304" w:rsidRDefault="005E2304" w:rsidP="005E2304">
      <w:pPr>
        <w:pStyle w:val="EntradandiceAuto"/>
      </w:pPr>
      <w:r>
        <w:t>Sección Segunda. Auto 264/2007, de 25 de mayo de 2007. Inadmite a trámite el recurso de amparo 1350-2005, promovido por don Stan Marian en causa por delitos de detención ilegal y prostitución.</w:t>
      </w:r>
      <w:r>
        <w:tab/>
      </w:r>
      <w:r>
        <w:tab/>
      </w:r>
      <w:r>
        <w:fldChar w:fldCharType="begin"/>
      </w:r>
      <w:r>
        <w:instrText xml:space="preserve"> PAGEREF AUTO_2007_264 \h </w:instrText>
      </w:r>
      <w:r>
        <w:fldChar w:fldCharType="separate"/>
      </w:r>
      <w:r w:rsidR="00993288">
        <w:rPr>
          <w:noProof/>
        </w:rPr>
        <w:t>1196</w:t>
      </w:r>
      <w:r>
        <w:fldChar w:fldCharType="end"/>
      </w:r>
    </w:p>
    <w:p w:rsidR="005E2304" w:rsidRDefault="005E2304" w:rsidP="005E2304"/>
    <w:p w:rsidR="005E2304" w:rsidRDefault="005E2304" w:rsidP="005E2304">
      <w:pPr>
        <w:pStyle w:val="EntradandiceAuto"/>
      </w:pPr>
      <w:r>
        <w:t>Sección Primera. Auto 265/2007, de 25 de mayo de 2007. Desestima el recurso de súplica del recurso de amparo 3850-2005, promovido por Bodegas Méndez, S.L., en contencioso por sanción en materia agraria.</w:t>
      </w:r>
      <w:r>
        <w:tab/>
      </w:r>
      <w:r>
        <w:tab/>
      </w:r>
      <w:r>
        <w:fldChar w:fldCharType="begin"/>
      </w:r>
      <w:r>
        <w:instrText xml:space="preserve"> PAGEREF AUTO_2007_265 \h </w:instrText>
      </w:r>
      <w:r>
        <w:fldChar w:fldCharType="separate"/>
      </w:r>
      <w:r w:rsidR="00993288">
        <w:rPr>
          <w:noProof/>
        </w:rPr>
        <w:t>1206</w:t>
      </w:r>
      <w:r>
        <w:fldChar w:fldCharType="end"/>
      </w:r>
    </w:p>
    <w:p w:rsidR="005E2304" w:rsidRDefault="005E2304" w:rsidP="005E2304"/>
    <w:p w:rsidR="005E2304" w:rsidRDefault="005E2304" w:rsidP="005E2304">
      <w:pPr>
        <w:pStyle w:val="EntradandiceAuto"/>
      </w:pPr>
      <w:r>
        <w:t>Sección Primera. Auto 266/2007, de 25 de mayo de 2007. Inadmite a trámite el recurso de amparo 8799-2005, promovido por don Jesús de la Merced Santán Dumpierrez en causa por delito contra la salud pública.</w:t>
      </w:r>
      <w:r>
        <w:tab/>
      </w:r>
      <w:r>
        <w:tab/>
      </w:r>
      <w:r>
        <w:fldChar w:fldCharType="begin"/>
      </w:r>
      <w:r>
        <w:instrText xml:space="preserve"> PAGEREF AUTO_2007_266 \h </w:instrText>
      </w:r>
      <w:r>
        <w:fldChar w:fldCharType="separate"/>
      </w:r>
      <w:r w:rsidR="00993288">
        <w:rPr>
          <w:noProof/>
        </w:rPr>
        <w:t>1209</w:t>
      </w:r>
      <w:r>
        <w:fldChar w:fldCharType="end"/>
      </w:r>
    </w:p>
    <w:p w:rsidR="005E2304" w:rsidRDefault="005E2304" w:rsidP="005E2304"/>
    <w:p w:rsidR="005E2304" w:rsidRDefault="005E2304" w:rsidP="005E2304">
      <w:pPr>
        <w:pStyle w:val="EntradandiceAuto"/>
      </w:pPr>
      <w:r>
        <w:t>Sección Segunda. Auto 267/2007, de 25 de mayo de 2007. Acuerda el desistimiento en el recurso de amparo 10322-2006, promovido en causa penal.</w:t>
      </w:r>
      <w:r>
        <w:tab/>
      </w:r>
      <w:r>
        <w:tab/>
      </w:r>
      <w:r>
        <w:fldChar w:fldCharType="begin"/>
      </w:r>
      <w:r>
        <w:instrText xml:space="preserve"> PAGEREF AUTO_2007_267 \h </w:instrText>
      </w:r>
      <w:r>
        <w:fldChar w:fldCharType="separate"/>
      </w:r>
      <w:r w:rsidR="00993288">
        <w:rPr>
          <w:noProof/>
        </w:rPr>
        <w:t>1216</w:t>
      </w:r>
      <w:r>
        <w:fldChar w:fldCharType="end"/>
      </w:r>
    </w:p>
    <w:p w:rsidR="005E2304" w:rsidRDefault="005E2304" w:rsidP="005E2304"/>
    <w:p w:rsidR="005E2304" w:rsidRDefault="005E2304" w:rsidP="005E2304">
      <w:pPr>
        <w:pStyle w:val="EntradandiceAuto"/>
      </w:pPr>
      <w:r>
        <w:t>Sala Segunda. Auto 268/2007, de 4 de junio de 2007. Deniega la acumulación de tres recursos de amparo al 22-2005, promovidos por don Waheed Koshagi Kelani.</w:t>
      </w:r>
      <w:r>
        <w:tab/>
      </w:r>
      <w:r>
        <w:tab/>
      </w:r>
      <w:r>
        <w:fldChar w:fldCharType="begin"/>
      </w:r>
      <w:r>
        <w:instrText xml:space="preserve"> PAGEREF AUTO_2007_268 \h </w:instrText>
      </w:r>
      <w:r>
        <w:fldChar w:fldCharType="separate"/>
      </w:r>
      <w:r w:rsidR="00993288">
        <w:rPr>
          <w:noProof/>
        </w:rPr>
        <w:t>1217</w:t>
      </w:r>
      <w:r>
        <w:fldChar w:fldCharType="end"/>
      </w:r>
    </w:p>
    <w:p w:rsidR="005E2304" w:rsidRDefault="005E2304" w:rsidP="005E2304"/>
    <w:p w:rsidR="005E2304" w:rsidRDefault="005E2304" w:rsidP="005E2304">
      <w:pPr>
        <w:pStyle w:val="EntradandiceAuto"/>
      </w:pPr>
      <w:r>
        <w:t>Sección Tercera. Auto 269/2007, de 4 de junio de 2007. Inadmite a trámite el recurso de amparo 665-2005, promovido por J.C. Decaux España, S.A., en contencioso sobre concesión administrativa para explotación publicitaria.</w:t>
      </w:r>
      <w:r>
        <w:tab/>
      </w:r>
      <w:r>
        <w:tab/>
      </w:r>
      <w:r>
        <w:fldChar w:fldCharType="begin"/>
      </w:r>
      <w:r>
        <w:instrText xml:space="preserve"> PAGEREF AUTO_2007_269 \h </w:instrText>
      </w:r>
      <w:r>
        <w:fldChar w:fldCharType="separate"/>
      </w:r>
      <w:r w:rsidR="00993288">
        <w:rPr>
          <w:noProof/>
        </w:rPr>
        <w:t>1221</w:t>
      </w:r>
      <w:r>
        <w:fldChar w:fldCharType="end"/>
      </w:r>
    </w:p>
    <w:p w:rsidR="005E2304" w:rsidRDefault="005E2304" w:rsidP="005E2304"/>
    <w:p w:rsidR="005E2304" w:rsidRDefault="005E2304" w:rsidP="005E2304">
      <w:pPr>
        <w:pStyle w:val="EntradandiceAuto"/>
      </w:pPr>
      <w:r>
        <w:t>Sala Primera. Auto 270/2007, de 4 de junio de 2007. Deniega la suspensión en el recurso de amparo 752-2005, promovido por don Juan Manuel Martín Espinosa en litigio por despido.</w:t>
      </w:r>
      <w:r>
        <w:tab/>
      </w:r>
      <w:r>
        <w:tab/>
      </w:r>
      <w:r>
        <w:fldChar w:fldCharType="begin"/>
      </w:r>
      <w:r>
        <w:instrText xml:space="preserve"> PAGEREF AUTO_2007_270 \h </w:instrText>
      </w:r>
      <w:r>
        <w:fldChar w:fldCharType="separate"/>
      </w:r>
      <w:r w:rsidR="00993288">
        <w:rPr>
          <w:noProof/>
        </w:rPr>
        <w:t>1225</w:t>
      </w:r>
      <w:r>
        <w:fldChar w:fldCharType="end"/>
      </w:r>
    </w:p>
    <w:p w:rsidR="005E2304" w:rsidRDefault="005E2304" w:rsidP="005E2304"/>
    <w:p w:rsidR="005E2304" w:rsidRDefault="005E2304" w:rsidP="005E2304">
      <w:pPr>
        <w:pStyle w:val="EntradandiceAuto"/>
      </w:pPr>
      <w:r>
        <w:t>Sala Segunda. Auto 271/2007, de 4 de junio de 2007. Inadmite a trámite el recurso de amparo 811-2005, promovido por doña Catalina Barbosa Rodríguez y otros en pleito por resolución de contratos de reserva de viviendas.</w:t>
      </w:r>
      <w:r>
        <w:tab/>
      </w:r>
      <w:r>
        <w:tab/>
      </w:r>
      <w:r>
        <w:fldChar w:fldCharType="begin"/>
      </w:r>
      <w:r>
        <w:instrText xml:space="preserve"> PAGEREF AUTO_2007_271 \h </w:instrText>
      </w:r>
      <w:r>
        <w:fldChar w:fldCharType="separate"/>
      </w:r>
      <w:r w:rsidR="00993288">
        <w:rPr>
          <w:noProof/>
        </w:rPr>
        <w:t>1228</w:t>
      </w:r>
      <w:r>
        <w:fldChar w:fldCharType="end"/>
      </w:r>
    </w:p>
    <w:p w:rsidR="005E2304" w:rsidRDefault="005E2304" w:rsidP="005E2304"/>
    <w:p w:rsidR="005E2304" w:rsidRDefault="005E2304" w:rsidP="005E2304">
      <w:pPr>
        <w:pStyle w:val="EntradandiceAuto"/>
      </w:pPr>
      <w:r>
        <w:t>Sección Cuarta. Auto 272/2007, de 4 de junio de 2007. Acuerda el desistimiento en el recurso de amparo 8714-2005, promovido en causa penal.</w:t>
      </w:r>
      <w:r>
        <w:tab/>
      </w:r>
      <w:r>
        <w:tab/>
      </w:r>
      <w:r>
        <w:fldChar w:fldCharType="begin"/>
      </w:r>
      <w:r>
        <w:instrText xml:space="preserve"> PAGEREF AUTO_2007_272 \h </w:instrText>
      </w:r>
      <w:r>
        <w:fldChar w:fldCharType="separate"/>
      </w:r>
      <w:r w:rsidR="00993288">
        <w:rPr>
          <w:noProof/>
        </w:rPr>
        <w:t>1232</w:t>
      </w:r>
      <w:r>
        <w:fldChar w:fldCharType="end"/>
      </w:r>
    </w:p>
    <w:p w:rsidR="005E2304" w:rsidRDefault="005E2304" w:rsidP="005E2304"/>
    <w:p w:rsidR="005E2304" w:rsidRDefault="005E2304" w:rsidP="005E2304">
      <w:pPr>
        <w:pStyle w:val="EntradandiceAuto"/>
      </w:pPr>
      <w:r>
        <w:t>Sala Segunda. Auto 273/2007, de 4 de junio de 2007. Acuerda la suspensión en el recurso de amparo 8079-2006, promovido por don Miguel A. Dalmau Lloret en causa por delito contra la salud pública.</w:t>
      </w:r>
      <w:r>
        <w:tab/>
      </w:r>
      <w:r>
        <w:tab/>
      </w:r>
      <w:r>
        <w:fldChar w:fldCharType="begin"/>
      </w:r>
      <w:r>
        <w:instrText xml:space="preserve"> PAGEREF AUTO_2007_273 \h </w:instrText>
      </w:r>
      <w:r>
        <w:fldChar w:fldCharType="separate"/>
      </w:r>
      <w:r w:rsidR="00993288">
        <w:rPr>
          <w:noProof/>
        </w:rPr>
        <w:t>1233</w:t>
      </w:r>
      <w:r>
        <w:fldChar w:fldCharType="end"/>
      </w:r>
    </w:p>
    <w:p w:rsidR="005E2304" w:rsidRDefault="005E2304" w:rsidP="005E2304"/>
    <w:p w:rsidR="005E2304" w:rsidRDefault="005E2304" w:rsidP="005E2304">
      <w:pPr>
        <w:pStyle w:val="EntradandiceAuto"/>
      </w:pPr>
      <w:r>
        <w:t>Sección Cuarta. Auto 274/2007, de 4 de junio de 2007. Acuerda el desistimiento en el recurso de amparo 772-2007, promovido en litigio social.</w:t>
      </w:r>
      <w:r>
        <w:tab/>
      </w:r>
      <w:r>
        <w:tab/>
      </w:r>
      <w:r>
        <w:fldChar w:fldCharType="begin"/>
      </w:r>
      <w:r>
        <w:instrText xml:space="preserve"> PAGEREF AUTO_2007_274 \h </w:instrText>
      </w:r>
      <w:r>
        <w:fldChar w:fldCharType="separate"/>
      </w:r>
      <w:r w:rsidR="00993288">
        <w:rPr>
          <w:noProof/>
        </w:rPr>
        <w:t>1237</w:t>
      </w:r>
      <w:r>
        <w:fldChar w:fldCharType="end"/>
      </w:r>
    </w:p>
    <w:p w:rsidR="005E2304" w:rsidRDefault="005E2304" w:rsidP="005E2304"/>
    <w:p w:rsidR="005E2304" w:rsidRDefault="005E2304" w:rsidP="005E2304">
      <w:pPr>
        <w:pStyle w:val="EntradandiceAuto"/>
      </w:pPr>
      <w:r>
        <w:t>Sección Segunda. Auto 275/2007, de 7 de junio de 2007. Inadmite la solicitud de nulidad y desestima el recurso de súplica sobre inadmisión del recurso de amparo 1830-2004, promovido por don Deogracias Talaverano Rico en pleito sobre responsabilidad civil.</w:t>
      </w:r>
      <w:r>
        <w:tab/>
      </w:r>
      <w:r>
        <w:tab/>
      </w:r>
      <w:r>
        <w:fldChar w:fldCharType="begin"/>
      </w:r>
      <w:r>
        <w:instrText xml:space="preserve"> PAGEREF AUTO_2007_275 \h </w:instrText>
      </w:r>
      <w:r>
        <w:fldChar w:fldCharType="separate"/>
      </w:r>
      <w:r w:rsidR="00993288">
        <w:rPr>
          <w:noProof/>
        </w:rPr>
        <w:t>1238</w:t>
      </w:r>
      <w:r>
        <w:fldChar w:fldCharType="end"/>
      </w:r>
    </w:p>
    <w:p w:rsidR="005E2304" w:rsidRDefault="005E2304" w:rsidP="005E2304"/>
    <w:p w:rsidR="005E2304" w:rsidRDefault="005E2304" w:rsidP="005E2304">
      <w:pPr>
        <w:pStyle w:val="EntradandiceAuto"/>
      </w:pPr>
      <w:r>
        <w:t>Sección Segunda. Auto 276/2007, de 7 de junio de 2007. Inadmite la solicitud de nulidad y desestima el recurso de súplica sobre inadmisión del recurso de amparo 1834-2004, promovido por don Deogracias Talaverano Rico en pleito sobre responsabilidad civil.</w:t>
      </w:r>
      <w:r>
        <w:tab/>
      </w:r>
      <w:r>
        <w:tab/>
      </w:r>
      <w:r>
        <w:fldChar w:fldCharType="begin"/>
      </w:r>
      <w:r>
        <w:instrText xml:space="preserve"> PAGEREF AUTO_2007_276 \h </w:instrText>
      </w:r>
      <w:r>
        <w:fldChar w:fldCharType="separate"/>
      </w:r>
      <w:r w:rsidR="00993288">
        <w:rPr>
          <w:noProof/>
        </w:rPr>
        <w:t>1241</w:t>
      </w:r>
      <w:r>
        <w:fldChar w:fldCharType="end"/>
      </w:r>
    </w:p>
    <w:p w:rsidR="005E2304" w:rsidRDefault="005E2304" w:rsidP="005E2304"/>
    <w:p w:rsidR="005E2304" w:rsidRDefault="005E2304" w:rsidP="005E2304">
      <w:pPr>
        <w:pStyle w:val="EntradandiceAuto"/>
      </w:pPr>
      <w:r>
        <w:t>Sección Segunda. Auto 277/2007, de 7 de junio de 2007. Inadmite la solicitud de nulidad y desestima el recurso de súplica sobre inadmisión del recurso de amparo 1836-2004, promovido por don Deogracias Talaverano Rico en pleito sobre responsabilidad civil.</w:t>
      </w:r>
      <w:r>
        <w:tab/>
      </w:r>
      <w:r>
        <w:tab/>
      </w:r>
      <w:r>
        <w:fldChar w:fldCharType="begin"/>
      </w:r>
      <w:r>
        <w:instrText xml:space="preserve"> PAGEREF AUTO_2007_277 \h </w:instrText>
      </w:r>
      <w:r>
        <w:fldChar w:fldCharType="separate"/>
      </w:r>
      <w:r w:rsidR="00993288">
        <w:rPr>
          <w:noProof/>
        </w:rPr>
        <w:t>1244</w:t>
      </w:r>
      <w:r>
        <w:fldChar w:fldCharType="end"/>
      </w:r>
    </w:p>
    <w:p w:rsidR="005E2304" w:rsidRDefault="005E2304" w:rsidP="005E2304"/>
    <w:p w:rsidR="005E2304" w:rsidRDefault="005E2304" w:rsidP="005E2304">
      <w:pPr>
        <w:pStyle w:val="EntradandiceAuto"/>
      </w:pPr>
      <w:r>
        <w:t>Sección Segunda. Auto 278/2007, de 7 de junio de 2007. Desestima el recurso de súplica sobre inadmisión del recurso de amparo 9424-2006, promovido por Abysal Systems, S.A., en litigio por despido.</w:t>
      </w:r>
      <w:r>
        <w:tab/>
      </w:r>
      <w:r>
        <w:tab/>
      </w:r>
      <w:r>
        <w:fldChar w:fldCharType="begin"/>
      </w:r>
      <w:r>
        <w:instrText xml:space="preserve"> PAGEREF AUTO_2007_278 \h </w:instrText>
      </w:r>
      <w:r>
        <w:fldChar w:fldCharType="separate"/>
      </w:r>
      <w:r w:rsidR="00993288">
        <w:rPr>
          <w:noProof/>
        </w:rPr>
        <w:t>1247</w:t>
      </w:r>
      <w:r>
        <w:fldChar w:fldCharType="end"/>
      </w:r>
    </w:p>
    <w:p w:rsidR="005E2304" w:rsidRDefault="005E2304" w:rsidP="005E2304"/>
    <w:p w:rsidR="005E2304" w:rsidRDefault="005E2304" w:rsidP="005E2304">
      <w:pPr>
        <w:pStyle w:val="EntradandiceAuto"/>
      </w:pPr>
      <w:r>
        <w:t>Sala Primera. Auto 279/2007, de 12 de junio de 2007. Acuerda la rectificación de un error material de la Sentencia 139/2007, de 4 de junio, en el recurso de amparo 7172-2004, promovido por don Joaquín Prieto Pérez y otras.</w:t>
      </w:r>
      <w:r>
        <w:tab/>
      </w:r>
      <w:r>
        <w:tab/>
      </w:r>
      <w:r>
        <w:fldChar w:fldCharType="begin"/>
      </w:r>
      <w:r>
        <w:instrText xml:space="preserve"> PAGEREF AUTO_2007_279 \h </w:instrText>
      </w:r>
      <w:r>
        <w:fldChar w:fldCharType="separate"/>
      </w:r>
      <w:r w:rsidR="00993288">
        <w:rPr>
          <w:noProof/>
        </w:rPr>
        <w:t>1250</w:t>
      </w:r>
      <w:r>
        <w:fldChar w:fldCharType="end"/>
      </w:r>
    </w:p>
    <w:p w:rsidR="005E2304" w:rsidRDefault="005E2304" w:rsidP="005E2304"/>
    <w:p w:rsidR="005E2304" w:rsidRDefault="005E2304" w:rsidP="005E2304">
      <w:pPr>
        <w:pStyle w:val="EntradandiceAuto"/>
      </w:pPr>
      <w:r>
        <w:t>Sala Primera. Auto 280/2007, de 18 de junio de 2007. Deniega la suspensión en el recurso de amparo 6902-2004, promovido por don Mariano Aguirán Esqués en pleito sobre rendición de cuentas de una herencia.</w:t>
      </w:r>
      <w:r>
        <w:tab/>
      </w:r>
      <w:r>
        <w:tab/>
      </w:r>
      <w:r>
        <w:fldChar w:fldCharType="begin"/>
      </w:r>
      <w:r>
        <w:instrText xml:space="preserve"> PAGEREF AUTO_2007_280 \h </w:instrText>
      </w:r>
      <w:r>
        <w:fldChar w:fldCharType="separate"/>
      </w:r>
      <w:r w:rsidR="00993288">
        <w:rPr>
          <w:noProof/>
        </w:rPr>
        <w:t>1252</w:t>
      </w:r>
      <w:r>
        <w:fldChar w:fldCharType="end"/>
      </w:r>
    </w:p>
    <w:p w:rsidR="005E2304" w:rsidRDefault="005E2304" w:rsidP="005E2304"/>
    <w:p w:rsidR="005E2304" w:rsidRDefault="005E2304" w:rsidP="005E2304">
      <w:pPr>
        <w:pStyle w:val="EntradandiceAuto"/>
      </w:pPr>
      <w:r>
        <w:t xml:space="preserve">Sección Cuarta. Auto 281/2007, de 18 de junio de 2007. Inadmite a trámite el recurso de amparo 1885-2005, promovido por don Manuel-Pedro Junín Devesa y </w:t>
      </w:r>
      <w:r>
        <w:lastRenderedPageBreak/>
        <w:t>otros en contencioso por responsabilidad patrimonial de las Administraciones públicas por señalización defectuosa.</w:t>
      </w:r>
      <w:r>
        <w:tab/>
      </w:r>
      <w:r>
        <w:tab/>
      </w:r>
      <w:r>
        <w:fldChar w:fldCharType="begin"/>
      </w:r>
      <w:r>
        <w:instrText xml:space="preserve"> PAGEREF AUTO_2007_281 \h </w:instrText>
      </w:r>
      <w:r>
        <w:fldChar w:fldCharType="separate"/>
      </w:r>
      <w:r w:rsidR="00993288">
        <w:rPr>
          <w:noProof/>
        </w:rPr>
        <w:t>1255</w:t>
      </w:r>
      <w:r>
        <w:fldChar w:fldCharType="end"/>
      </w:r>
    </w:p>
    <w:p w:rsidR="005E2304" w:rsidRDefault="005E2304" w:rsidP="005E2304"/>
    <w:p w:rsidR="005E2304" w:rsidRDefault="005E2304" w:rsidP="005E2304">
      <w:pPr>
        <w:pStyle w:val="EntradandiceAuto"/>
      </w:pPr>
      <w:r>
        <w:t>Sala Segunda. Auto 282/2007, de 18 de junio de 2007. Inadmite a trámite el recurso de amparo 2536-2005, promovido por doña María Luisa Picazo Alba en pleito por liquidación de la sociedad de gananciales.</w:t>
      </w:r>
      <w:r>
        <w:tab/>
      </w:r>
      <w:r>
        <w:tab/>
      </w:r>
      <w:r>
        <w:fldChar w:fldCharType="begin"/>
      </w:r>
      <w:r>
        <w:instrText xml:space="preserve"> PAGEREF AUTO_2007_282 \h </w:instrText>
      </w:r>
      <w:r>
        <w:fldChar w:fldCharType="separate"/>
      </w:r>
      <w:r w:rsidR="00993288">
        <w:rPr>
          <w:noProof/>
        </w:rPr>
        <w:t>1261</w:t>
      </w:r>
      <w:r>
        <w:fldChar w:fldCharType="end"/>
      </w:r>
    </w:p>
    <w:p w:rsidR="005E2304" w:rsidRDefault="005E2304" w:rsidP="005E2304"/>
    <w:p w:rsidR="005E2304" w:rsidRDefault="005E2304" w:rsidP="005E2304">
      <w:pPr>
        <w:pStyle w:val="EntradandiceAuto"/>
      </w:pPr>
      <w:r>
        <w:t>Sala Segunda. Auto 283/2007, de 18 de junio de 2007. Acuerda la suspensión parcial en el recurso de amparo 3674-2005, promovido por don José María Ferrández Ezquerra en causa por delitos contra la hacienda pública.</w:t>
      </w:r>
      <w:r>
        <w:tab/>
      </w:r>
      <w:r>
        <w:tab/>
      </w:r>
      <w:r>
        <w:fldChar w:fldCharType="begin"/>
      </w:r>
      <w:r>
        <w:instrText xml:space="preserve"> PAGEREF AUTO_2007_283 \h </w:instrText>
      </w:r>
      <w:r>
        <w:fldChar w:fldCharType="separate"/>
      </w:r>
      <w:r w:rsidR="00993288">
        <w:rPr>
          <w:noProof/>
        </w:rPr>
        <w:t>1265</w:t>
      </w:r>
      <w:r>
        <w:fldChar w:fldCharType="end"/>
      </w:r>
    </w:p>
    <w:p w:rsidR="005E2304" w:rsidRDefault="005E2304" w:rsidP="005E2304"/>
    <w:p w:rsidR="005E2304" w:rsidRDefault="005E2304" w:rsidP="005E2304">
      <w:pPr>
        <w:pStyle w:val="EntradandiceAuto"/>
      </w:pPr>
      <w:r>
        <w:t>Sala Primera. Auto 284/2007, de 18 de junio de 2007. Extinción del incidente de suspensión en el recurso de amparo 4028-2005, promovido por el Gobierno de Cantabria en causa penal.</w:t>
      </w:r>
      <w:r>
        <w:tab/>
      </w:r>
      <w:r>
        <w:tab/>
      </w:r>
      <w:r>
        <w:fldChar w:fldCharType="begin"/>
      </w:r>
      <w:r>
        <w:instrText xml:space="preserve"> PAGEREF AUTO_2007_284 \h </w:instrText>
      </w:r>
      <w:r>
        <w:fldChar w:fldCharType="separate"/>
      </w:r>
      <w:r w:rsidR="00993288">
        <w:rPr>
          <w:noProof/>
        </w:rPr>
        <w:t>1269</w:t>
      </w:r>
      <w:r>
        <w:fldChar w:fldCharType="end"/>
      </w:r>
    </w:p>
    <w:p w:rsidR="005E2304" w:rsidRDefault="005E2304" w:rsidP="005E2304"/>
    <w:p w:rsidR="005E2304" w:rsidRDefault="005E2304" w:rsidP="005E2304">
      <w:pPr>
        <w:pStyle w:val="EntradandiceAuto"/>
      </w:pPr>
      <w:r>
        <w:t>Sala Primera. Auto 285/2007, de 18 de junio de 2007. Deniega la solicitud de completar o aclarar la Sentencia 67/2007, de 27 de marzo, en el recurso de amparo 6280-2005, promovido por don Henrik Stamm Kristensen.</w:t>
      </w:r>
      <w:r>
        <w:tab/>
      </w:r>
      <w:r>
        <w:tab/>
      </w:r>
      <w:r>
        <w:fldChar w:fldCharType="begin"/>
      </w:r>
      <w:r>
        <w:instrText xml:space="preserve"> PAGEREF AUTO_2007_285 \h </w:instrText>
      </w:r>
      <w:r>
        <w:fldChar w:fldCharType="separate"/>
      </w:r>
      <w:r w:rsidR="00993288">
        <w:rPr>
          <w:noProof/>
        </w:rPr>
        <w:t>1271</w:t>
      </w:r>
      <w:r>
        <w:fldChar w:fldCharType="end"/>
      </w:r>
    </w:p>
    <w:p w:rsidR="005E2304" w:rsidRDefault="005E2304" w:rsidP="005E2304"/>
    <w:p w:rsidR="005E2304" w:rsidRDefault="005E2304" w:rsidP="005E2304">
      <w:pPr>
        <w:pStyle w:val="EntradandiceAuto"/>
      </w:pPr>
      <w:r>
        <w:t>Sala Segunda. Auto 286/2007, de 18 de junio de 2007. Acuerda la suspensión parcial en el recurso de amparo 925-2006, promovido por don José María Botella Alfaro y otro en causa por delito de calumnias.</w:t>
      </w:r>
      <w:r>
        <w:tab/>
      </w:r>
      <w:r>
        <w:tab/>
      </w:r>
      <w:r>
        <w:fldChar w:fldCharType="begin"/>
      </w:r>
      <w:r>
        <w:instrText xml:space="preserve"> PAGEREF AUTO_2007_286 \h </w:instrText>
      </w:r>
      <w:r>
        <w:fldChar w:fldCharType="separate"/>
      </w:r>
      <w:r w:rsidR="00993288">
        <w:rPr>
          <w:noProof/>
        </w:rPr>
        <w:t>1273</w:t>
      </w:r>
      <w:r>
        <w:fldChar w:fldCharType="end"/>
      </w:r>
    </w:p>
    <w:p w:rsidR="005E2304" w:rsidRDefault="005E2304" w:rsidP="005E2304"/>
    <w:p w:rsidR="005E2304" w:rsidRDefault="005E2304" w:rsidP="005E2304">
      <w:pPr>
        <w:pStyle w:val="EntradandiceAuto"/>
      </w:pPr>
      <w:r>
        <w:t>Sala Segunda. Auto 287/2007, de 18 de junio de 2007. Deniega la suspensión en el recurso de amparo 10112-2006, promovido por don Jon Aguirre Aguiriano en procedimiento penitenciario sobre licenciamiento definitivo.</w:t>
      </w:r>
      <w:r>
        <w:tab/>
      </w:r>
      <w:r>
        <w:tab/>
      </w:r>
      <w:r>
        <w:fldChar w:fldCharType="begin"/>
      </w:r>
      <w:r>
        <w:instrText xml:space="preserve"> PAGEREF AUTO_2007_287 \h </w:instrText>
      </w:r>
      <w:r>
        <w:fldChar w:fldCharType="separate"/>
      </w:r>
      <w:r w:rsidR="00993288">
        <w:rPr>
          <w:noProof/>
        </w:rPr>
        <w:t>1277</w:t>
      </w:r>
      <w:r>
        <w:fldChar w:fldCharType="end"/>
      </w:r>
    </w:p>
    <w:p w:rsidR="005E2304" w:rsidRDefault="005E2304" w:rsidP="005E2304"/>
    <w:p w:rsidR="005E2304" w:rsidRDefault="005E2304" w:rsidP="005E2304">
      <w:pPr>
        <w:pStyle w:val="EntradandiceAuto"/>
      </w:pPr>
      <w:r>
        <w:t>Sala Primera. Auto 288/2007, de 18 de junio de 2007. Extinción del incidente de suspensión en el recurso de amparo 4234-2007, promovido por don Adrian John Wilson en procedimiento de euroorden a Rumanía por delito de agresión sexual.</w:t>
      </w:r>
      <w:r>
        <w:tab/>
      </w:r>
      <w:r>
        <w:tab/>
      </w:r>
      <w:r>
        <w:fldChar w:fldCharType="begin"/>
      </w:r>
      <w:r>
        <w:instrText xml:space="preserve"> PAGEREF AUTO_2007_288 \h </w:instrText>
      </w:r>
      <w:r>
        <w:fldChar w:fldCharType="separate"/>
      </w:r>
      <w:r w:rsidR="00993288">
        <w:rPr>
          <w:noProof/>
        </w:rPr>
        <w:t>1281</w:t>
      </w:r>
      <w:r>
        <w:fldChar w:fldCharType="end"/>
      </w:r>
    </w:p>
    <w:p w:rsidR="005E2304" w:rsidRDefault="005E2304" w:rsidP="005E2304"/>
    <w:p w:rsidR="005E2304" w:rsidRDefault="005E2304" w:rsidP="005E2304">
      <w:pPr>
        <w:pStyle w:val="EntradandiceAuto"/>
      </w:pPr>
      <w:r>
        <w:t>Pleno. Auto 289/2007, de 19 de junio de 2007. Deniega una abstención en la cuestión de inconstitucionalidad 1780-1999, planteada por el Juzgado de Primera Instancia núm. 46 de Madrid en relación con el artículo 150 del texto refundido de la Ley de propiedad intelectual.</w:t>
      </w:r>
      <w:r>
        <w:tab/>
      </w:r>
      <w:r>
        <w:tab/>
      </w:r>
      <w:r>
        <w:fldChar w:fldCharType="begin"/>
      </w:r>
      <w:r>
        <w:instrText xml:space="preserve"> PAGEREF AUTO_2007_289 \h </w:instrText>
      </w:r>
      <w:r>
        <w:fldChar w:fldCharType="separate"/>
      </w:r>
      <w:r w:rsidR="00993288">
        <w:rPr>
          <w:noProof/>
        </w:rPr>
        <w:t>1285</w:t>
      </w:r>
      <w:r>
        <w:fldChar w:fldCharType="end"/>
      </w:r>
    </w:p>
    <w:p w:rsidR="005E2304" w:rsidRDefault="005E2304" w:rsidP="005E2304"/>
    <w:p w:rsidR="005E2304" w:rsidRDefault="005E2304" w:rsidP="005E2304">
      <w:pPr>
        <w:pStyle w:val="EntradandiceAuto"/>
      </w:pPr>
      <w:r>
        <w:t xml:space="preserve">Pleno. Auto 290/2007, de 19 de junio de 2007. Acuerda la extinción de la cuestión de inconstitucionalidad 4814-2002, planteada por el Juzgado de lo Social núm. 2 de Badajoz en relación con el artículo 2, apartado 3, del Real Decreto-ley 5/2002, </w:t>
      </w:r>
      <w:r>
        <w:lastRenderedPageBreak/>
        <w:t>de 24 de  mayo, de medidas urgentes para la reforma del sistema de protección por desempleo y mejora de la ocupabilidad.</w:t>
      </w:r>
      <w:r>
        <w:tab/>
      </w:r>
      <w:r>
        <w:tab/>
      </w:r>
      <w:r>
        <w:fldChar w:fldCharType="begin"/>
      </w:r>
      <w:r>
        <w:instrText xml:space="preserve"> PAGEREF AUTO_2007_290 \h </w:instrText>
      </w:r>
      <w:r>
        <w:fldChar w:fldCharType="separate"/>
      </w:r>
      <w:r w:rsidR="00993288">
        <w:rPr>
          <w:noProof/>
        </w:rPr>
        <w:t>1290</w:t>
      </w:r>
      <w:r>
        <w:fldChar w:fldCharType="end"/>
      </w:r>
    </w:p>
    <w:p w:rsidR="005E2304" w:rsidRDefault="005E2304" w:rsidP="005E2304"/>
    <w:p w:rsidR="005E2304" w:rsidRDefault="005E2304" w:rsidP="005E2304">
      <w:pPr>
        <w:pStyle w:val="EntradandiceAuto"/>
      </w:pPr>
      <w:r>
        <w:t>Pleno. Auto 291/2007, de 19 de junio de 2007. Acuerda la extinción de la cuestión de inconstitucionalidad 5931-2002, planteada por el Juzgado de lo Social núm. 2 de Badajoz en relación con el Real Decreto-ley 5/2002, de 24 de mayo.</w:t>
      </w:r>
      <w:r>
        <w:tab/>
      </w:r>
      <w:r>
        <w:tab/>
      </w:r>
      <w:r>
        <w:fldChar w:fldCharType="begin"/>
      </w:r>
      <w:r>
        <w:instrText xml:space="preserve"> PAGEREF AUTO_2007_291 \h </w:instrText>
      </w:r>
      <w:r>
        <w:fldChar w:fldCharType="separate"/>
      </w:r>
      <w:r w:rsidR="00993288">
        <w:rPr>
          <w:noProof/>
        </w:rPr>
        <w:t>1294</w:t>
      </w:r>
      <w:r>
        <w:fldChar w:fldCharType="end"/>
      </w:r>
    </w:p>
    <w:p w:rsidR="005E2304" w:rsidRDefault="005E2304" w:rsidP="005E2304"/>
    <w:p w:rsidR="005E2304" w:rsidRDefault="005E2304" w:rsidP="005E2304">
      <w:pPr>
        <w:pStyle w:val="EntradandiceAuto"/>
      </w:pPr>
      <w:r>
        <w:t>Pleno. Auto 292/2007, de 19 de junio de 2007. Acuerda la extinción de la cuestión de inconstitucionalidad 6480-2002, planteada por el Juzgado de lo Social núm. 2 de Badajoz en relación con el Real Decreto-ley 5/2002, de 24 de mayo.</w:t>
      </w:r>
      <w:r>
        <w:tab/>
      </w:r>
      <w:r>
        <w:tab/>
      </w:r>
      <w:r>
        <w:fldChar w:fldCharType="begin"/>
      </w:r>
      <w:r>
        <w:instrText xml:space="preserve"> PAGEREF AUTO_2007_292 \h </w:instrText>
      </w:r>
      <w:r>
        <w:fldChar w:fldCharType="separate"/>
      </w:r>
      <w:r w:rsidR="00993288">
        <w:rPr>
          <w:noProof/>
        </w:rPr>
        <w:t>1298</w:t>
      </w:r>
      <w:r>
        <w:fldChar w:fldCharType="end"/>
      </w:r>
    </w:p>
    <w:p w:rsidR="005E2304" w:rsidRDefault="005E2304" w:rsidP="005E2304"/>
    <w:p w:rsidR="005E2304" w:rsidRDefault="005E2304" w:rsidP="005E2304">
      <w:pPr>
        <w:pStyle w:val="EntradandiceAuto"/>
      </w:pPr>
      <w:r>
        <w:t>Pleno. Auto 293/2007, de 19 de junio de 2007. Acuerda la extinción de la cuestión de inconstitucionalidad 6566-2002, planteada por el Juzgado de lo Social núm. 2 de Badajoz en relación con el Real Decreto-ley 5/2002, de 24 de mayo.</w:t>
      </w:r>
      <w:r>
        <w:tab/>
      </w:r>
      <w:r>
        <w:tab/>
      </w:r>
      <w:r>
        <w:fldChar w:fldCharType="begin"/>
      </w:r>
      <w:r>
        <w:instrText xml:space="preserve"> PAGEREF AUTO_2007_293 \h </w:instrText>
      </w:r>
      <w:r>
        <w:fldChar w:fldCharType="separate"/>
      </w:r>
      <w:r w:rsidR="00993288">
        <w:rPr>
          <w:noProof/>
        </w:rPr>
        <w:t>1302</w:t>
      </w:r>
      <w:r>
        <w:fldChar w:fldCharType="end"/>
      </w:r>
    </w:p>
    <w:p w:rsidR="005E2304" w:rsidRDefault="005E2304" w:rsidP="005E2304"/>
    <w:p w:rsidR="005E2304" w:rsidRDefault="005E2304" w:rsidP="005E2304">
      <w:pPr>
        <w:pStyle w:val="EntradandiceAuto"/>
      </w:pPr>
      <w:r>
        <w:t>Pleno. Auto 294/2007, de 19 de junio de 2007. Acuerda la extinción de la cuestión de inconstitucionalidad 6917-2002, planteada por el Juzgado de lo Social núm. 2 de Badajoz en relación con el Real Decreto-ley 5/2002, de 24 de mayo.</w:t>
      </w:r>
      <w:r>
        <w:tab/>
      </w:r>
      <w:r>
        <w:tab/>
      </w:r>
      <w:r>
        <w:fldChar w:fldCharType="begin"/>
      </w:r>
      <w:r>
        <w:instrText xml:space="preserve"> PAGEREF AUTO_2007_294 \h </w:instrText>
      </w:r>
      <w:r>
        <w:fldChar w:fldCharType="separate"/>
      </w:r>
      <w:r w:rsidR="00993288">
        <w:rPr>
          <w:noProof/>
        </w:rPr>
        <w:t>1306</w:t>
      </w:r>
      <w:r>
        <w:fldChar w:fldCharType="end"/>
      </w:r>
    </w:p>
    <w:p w:rsidR="005E2304" w:rsidRDefault="005E2304" w:rsidP="005E2304"/>
    <w:p w:rsidR="005E2304" w:rsidRDefault="005E2304" w:rsidP="005E2304">
      <w:pPr>
        <w:pStyle w:val="EntradandiceAuto"/>
      </w:pPr>
      <w:r>
        <w:t>Pleno. Auto 295/2007, de 19 de junio de 2007. Acuerda la extinción de la cuestión de inconstitucionalidad 7016-2002, planteada por el Juzgado de lo Social núm. 2 de Badajoz en relación con el Real Decreto-ley 5/2002, de 24 de mayo.</w:t>
      </w:r>
      <w:r>
        <w:tab/>
      </w:r>
      <w:r>
        <w:tab/>
      </w:r>
      <w:r>
        <w:fldChar w:fldCharType="begin"/>
      </w:r>
      <w:r>
        <w:instrText xml:space="preserve"> PAGEREF AUTO_2007_295 \h </w:instrText>
      </w:r>
      <w:r>
        <w:fldChar w:fldCharType="separate"/>
      </w:r>
      <w:r w:rsidR="00993288">
        <w:rPr>
          <w:noProof/>
        </w:rPr>
        <w:t>1310</w:t>
      </w:r>
      <w:r>
        <w:fldChar w:fldCharType="end"/>
      </w:r>
    </w:p>
    <w:p w:rsidR="005E2304" w:rsidRDefault="005E2304" w:rsidP="005E2304"/>
    <w:p w:rsidR="005E2304" w:rsidRDefault="005E2304" w:rsidP="005E2304">
      <w:pPr>
        <w:pStyle w:val="EntradandiceAuto"/>
      </w:pPr>
      <w:r>
        <w:t>Pleno. Auto 296/2007, de 19 de junio de 2007. Acuerda la extinción de la cuestión de inconstitucionalidad 7168-2002, planteada por el Juzgado de lo Social núm. 2 de Badajoz en relación con el Real Decreto-ley 5/2002, de 24 de mayo.</w:t>
      </w:r>
      <w:r>
        <w:tab/>
      </w:r>
      <w:r>
        <w:tab/>
      </w:r>
      <w:r>
        <w:fldChar w:fldCharType="begin"/>
      </w:r>
      <w:r>
        <w:instrText xml:space="preserve"> PAGEREF AUTO_2007_296 \h </w:instrText>
      </w:r>
      <w:r>
        <w:fldChar w:fldCharType="separate"/>
      </w:r>
      <w:r w:rsidR="00993288">
        <w:rPr>
          <w:noProof/>
        </w:rPr>
        <w:t>1314</w:t>
      </w:r>
      <w:r>
        <w:fldChar w:fldCharType="end"/>
      </w:r>
    </w:p>
    <w:p w:rsidR="005E2304" w:rsidRDefault="005E2304" w:rsidP="005E2304"/>
    <w:p w:rsidR="005E2304" w:rsidRDefault="005E2304" w:rsidP="005E2304">
      <w:pPr>
        <w:pStyle w:val="EntradandiceAuto"/>
      </w:pPr>
      <w:r>
        <w:t>Pleno. Auto 297/2007, de 19 de junio de 2007. Acuerda la extinción de la cuestión de inconstitucionalidad 7363-2002, planteada por el Juzgado de lo Social núm. 2 de Badajoz en relación con el Real Decreto-ley 5/2002, de 24 de mayo.</w:t>
      </w:r>
      <w:r>
        <w:tab/>
      </w:r>
      <w:r>
        <w:tab/>
      </w:r>
      <w:r>
        <w:fldChar w:fldCharType="begin"/>
      </w:r>
      <w:r>
        <w:instrText xml:space="preserve"> PAGEREF AUTO_2007_297 \h </w:instrText>
      </w:r>
      <w:r>
        <w:fldChar w:fldCharType="separate"/>
      </w:r>
      <w:r w:rsidR="00993288">
        <w:rPr>
          <w:noProof/>
        </w:rPr>
        <w:t>1318</w:t>
      </w:r>
      <w:r>
        <w:fldChar w:fldCharType="end"/>
      </w:r>
    </w:p>
    <w:p w:rsidR="005E2304" w:rsidRDefault="005E2304" w:rsidP="005E2304"/>
    <w:p w:rsidR="005E2304" w:rsidRDefault="005E2304" w:rsidP="005E2304">
      <w:pPr>
        <w:pStyle w:val="EntradandiceAuto"/>
      </w:pPr>
      <w:r>
        <w:t>Pleno. Auto 298/2007, de 19 de junio de 2007. Acuerda la extinción de la cuestión de inconstitucionalidad 295-2003, planteada por el Juzgado de lo Social núm. 2 de Badajoz en relación con el Real Decreto-ley 5/2002, de 24 de mayo.</w:t>
      </w:r>
      <w:r>
        <w:tab/>
      </w:r>
      <w:r>
        <w:tab/>
      </w:r>
      <w:r>
        <w:fldChar w:fldCharType="begin"/>
      </w:r>
      <w:r>
        <w:instrText xml:space="preserve"> PAGEREF AUTO_2007_298 \h </w:instrText>
      </w:r>
      <w:r>
        <w:fldChar w:fldCharType="separate"/>
      </w:r>
      <w:r w:rsidR="00993288">
        <w:rPr>
          <w:noProof/>
        </w:rPr>
        <w:t>1322</w:t>
      </w:r>
      <w:r>
        <w:fldChar w:fldCharType="end"/>
      </w:r>
    </w:p>
    <w:p w:rsidR="005E2304" w:rsidRDefault="005E2304" w:rsidP="005E2304"/>
    <w:p w:rsidR="005E2304" w:rsidRDefault="005E2304" w:rsidP="005E2304">
      <w:pPr>
        <w:pStyle w:val="EntradandiceAuto"/>
      </w:pPr>
      <w:r>
        <w:t>Pleno. Auto 299/2007, de 19 de junio de 2007. Acuerda la extinción de la cuestión de inconstitucionalidad 568-2003, planteada por el Juzgado de lo Social núm. 2 de Badajoz en relación con el Real Decreto-ley 5/2002, de 24 de mayo.</w:t>
      </w:r>
      <w:r>
        <w:tab/>
      </w:r>
      <w:r>
        <w:tab/>
      </w:r>
      <w:r>
        <w:fldChar w:fldCharType="begin"/>
      </w:r>
      <w:r>
        <w:instrText xml:space="preserve"> PAGEREF AUTO_2007_299 \h </w:instrText>
      </w:r>
      <w:r>
        <w:fldChar w:fldCharType="separate"/>
      </w:r>
      <w:r w:rsidR="00993288">
        <w:rPr>
          <w:noProof/>
        </w:rPr>
        <w:t>1326</w:t>
      </w:r>
      <w:r>
        <w:fldChar w:fldCharType="end"/>
      </w:r>
    </w:p>
    <w:p w:rsidR="005E2304" w:rsidRDefault="005E2304" w:rsidP="005E2304"/>
    <w:p w:rsidR="005E2304" w:rsidRDefault="005E2304" w:rsidP="005E2304">
      <w:pPr>
        <w:pStyle w:val="EntradandiceAuto"/>
      </w:pPr>
      <w:r>
        <w:lastRenderedPageBreak/>
        <w:t>Pleno. Auto 300/2007, de 19 de junio de 2007. Acuerda la extinción de la cuestión de inconstitucionalidad 749-2003, planteada por el Juzgado de lo Social núm. 2 de Badajoz en relación con el Real Decreto-ley 5/2002, de 24 de mayo.</w:t>
      </w:r>
      <w:r>
        <w:tab/>
      </w:r>
      <w:r>
        <w:tab/>
      </w:r>
      <w:r>
        <w:fldChar w:fldCharType="begin"/>
      </w:r>
      <w:r>
        <w:instrText xml:space="preserve"> PAGEREF AUTO_2007_300 \h </w:instrText>
      </w:r>
      <w:r>
        <w:fldChar w:fldCharType="separate"/>
      </w:r>
      <w:r w:rsidR="00993288">
        <w:rPr>
          <w:noProof/>
        </w:rPr>
        <w:t>1330</w:t>
      </w:r>
      <w:r>
        <w:fldChar w:fldCharType="end"/>
      </w:r>
    </w:p>
    <w:p w:rsidR="005E2304" w:rsidRDefault="005E2304" w:rsidP="005E2304"/>
    <w:p w:rsidR="005E2304" w:rsidRDefault="005E2304" w:rsidP="005E2304">
      <w:pPr>
        <w:pStyle w:val="EntradandiceAuto"/>
      </w:pPr>
      <w:r>
        <w:t>Pleno. Auto 301/2007, de 19 de junio de 2007. Acuerda la extinción de la cuestión de inconstitucionalidad 922-2003, planteada por el Juzgado de lo Social núm. 2 de Badajoz en relación con el Real Decreto-ley 5/2002, de 24 de mayo.</w:t>
      </w:r>
      <w:r>
        <w:tab/>
      </w:r>
      <w:r>
        <w:tab/>
      </w:r>
      <w:r>
        <w:fldChar w:fldCharType="begin"/>
      </w:r>
      <w:r>
        <w:instrText xml:space="preserve"> PAGEREF AUTO_2007_301 \h </w:instrText>
      </w:r>
      <w:r>
        <w:fldChar w:fldCharType="separate"/>
      </w:r>
      <w:r w:rsidR="00993288">
        <w:rPr>
          <w:noProof/>
        </w:rPr>
        <w:t>1334</w:t>
      </w:r>
      <w:r>
        <w:fldChar w:fldCharType="end"/>
      </w:r>
    </w:p>
    <w:p w:rsidR="005E2304" w:rsidRDefault="005E2304" w:rsidP="005E2304"/>
    <w:p w:rsidR="005E2304" w:rsidRDefault="005E2304" w:rsidP="005E2304">
      <w:pPr>
        <w:pStyle w:val="EntradandiceAuto"/>
      </w:pPr>
      <w:r>
        <w:t>Pleno. Auto 302/2007, de 19 de junio de 2007. Acuerda la extinción de la cuestión de inconstitucionalidad 1147-2003, planteada por el Juzgado de lo Social núm. 2 de Badajoz en relación con el Real Decreto-ley 5/2002, de 24 de mayo.</w:t>
      </w:r>
      <w:r>
        <w:tab/>
      </w:r>
      <w:r>
        <w:tab/>
      </w:r>
      <w:r>
        <w:fldChar w:fldCharType="begin"/>
      </w:r>
      <w:r>
        <w:instrText xml:space="preserve"> PAGEREF AUTO_2007_302 \h </w:instrText>
      </w:r>
      <w:r>
        <w:fldChar w:fldCharType="separate"/>
      </w:r>
      <w:r w:rsidR="00993288">
        <w:rPr>
          <w:noProof/>
        </w:rPr>
        <w:t>1338</w:t>
      </w:r>
      <w:r>
        <w:fldChar w:fldCharType="end"/>
      </w:r>
    </w:p>
    <w:p w:rsidR="005E2304" w:rsidRDefault="005E2304" w:rsidP="005E2304"/>
    <w:p w:rsidR="005E2304" w:rsidRDefault="005E2304" w:rsidP="005E2304">
      <w:pPr>
        <w:pStyle w:val="EntradandiceAuto"/>
      </w:pPr>
      <w:r>
        <w:t>Pleno. Auto 303/2007, de 19 de junio de 2007. Acuerda la extinción de la cuestión de inconstitucionalidad 1148-2003, planteada por el Juzgado de lo Social núm. 2 de Badajoz en relación con el Real Decreto-ley 5/2002, de 24 de mayo.</w:t>
      </w:r>
      <w:r>
        <w:tab/>
      </w:r>
      <w:r>
        <w:tab/>
      </w:r>
      <w:r>
        <w:fldChar w:fldCharType="begin"/>
      </w:r>
      <w:r>
        <w:instrText xml:space="preserve"> PAGEREF AUTO_2007_303 \h </w:instrText>
      </w:r>
      <w:r>
        <w:fldChar w:fldCharType="separate"/>
      </w:r>
      <w:r w:rsidR="00993288">
        <w:rPr>
          <w:noProof/>
        </w:rPr>
        <w:t>1342</w:t>
      </w:r>
      <w:r>
        <w:fldChar w:fldCharType="end"/>
      </w:r>
    </w:p>
    <w:p w:rsidR="005E2304" w:rsidRDefault="005E2304" w:rsidP="005E2304"/>
    <w:p w:rsidR="005E2304" w:rsidRDefault="005E2304" w:rsidP="005E2304">
      <w:pPr>
        <w:pStyle w:val="EntradandiceAuto"/>
      </w:pPr>
      <w:r>
        <w:t>Pleno. Auto 304/2007, de 19 de junio de 2007. Acuerda la extinción de la cuestión de inconstitucionalidad 1196-2003, planteada por el Juzgado de lo Social núm. 2 de Badajoz en relación con el Real Decreto-ley 5/2002, de 24 de mayo.</w:t>
      </w:r>
      <w:r>
        <w:tab/>
      </w:r>
      <w:r>
        <w:tab/>
      </w:r>
      <w:r>
        <w:fldChar w:fldCharType="begin"/>
      </w:r>
      <w:r>
        <w:instrText xml:space="preserve"> PAGEREF AUTO_2007_304 \h </w:instrText>
      </w:r>
      <w:r>
        <w:fldChar w:fldCharType="separate"/>
      </w:r>
      <w:r w:rsidR="00993288">
        <w:rPr>
          <w:noProof/>
        </w:rPr>
        <w:t>1346</w:t>
      </w:r>
      <w:r>
        <w:fldChar w:fldCharType="end"/>
      </w:r>
    </w:p>
    <w:p w:rsidR="005E2304" w:rsidRDefault="005E2304" w:rsidP="005E2304"/>
    <w:p w:rsidR="005E2304" w:rsidRDefault="005E2304" w:rsidP="005E2304">
      <w:pPr>
        <w:pStyle w:val="EntradandiceAuto"/>
      </w:pPr>
      <w:r>
        <w:t>Pleno. Auto 305/2007, de 19 de junio de 2007. Acuerda la extinción de la cuestión de inconstitucionalidad 1306-2003, planteada por el Juzgado de lo Social núm. 2 de Badajoz en relación con el Real Decreto-ley 5/2002, de 24 de mayo.</w:t>
      </w:r>
      <w:r>
        <w:tab/>
      </w:r>
      <w:r>
        <w:tab/>
      </w:r>
      <w:r>
        <w:fldChar w:fldCharType="begin"/>
      </w:r>
      <w:r>
        <w:instrText xml:space="preserve"> PAGEREF AUTO_2007_305 \h </w:instrText>
      </w:r>
      <w:r>
        <w:fldChar w:fldCharType="separate"/>
      </w:r>
      <w:r w:rsidR="00993288">
        <w:rPr>
          <w:noProof/>
        </w:rPr>
        <w:t>1353</w:t>
      </w:r>
      <w:r>
        <w:fldChar w:fldCharType="end"/>
      </w:r>
    </w:p>
    <w:p w:rsidR="005E2304" w:rsidRDefault="005E2304" w:rsidP="005E2304"/>
    <w:p w:rsidR="005E2304" w:rsidRDefault="005E2304" w:rsidP="005E2304">
      <w:pPr>
        <w:pStyle w:val="EntradandiceAuto"/>
      </w:pPr>
      <w:r>
        <w:t>Pleno. Auto 306/2007, de 19 de junio de 2007. Acuerda la extinción de la cuestión de inconstitucionalidad 1553-2003, planteada por el Juzgado de lo Social núm. 2 de Badajoz en relación con el Real Decreto-ley 5/2002, de 24 de mayo.</w:t>
      </w:r>
      <w:r>
        <w:tab/>
      </w:r>
      <w:r>
        <w:tab/>
      </w:r>
      <w:r>
        <w:fldChar w:fldCharType="begin"/>
      </w:r>
      <w:r>
        <w:instrText xml:space="preserve"> PAGEREF AUTO_2007_306 \h </w:instrText>
      </w:r>
      <w:r>
        <w:fldChar w:fldCharType="separate"/>
      </w:r>
      <w:r w:rsidR="00993288">
        <w:rPr>
          <w:noProof/>
        </w:rPr>
        <w:t>1357</w:t>
      </w:r>
      <w:r>
        <w:fldChar w:fldCharType="end"/>
      </w:r>
    </w:p>
    <w:p w:rsidR="005E2304" w:rsidRDefault="005E2304" w:rsidP="005E2304"/>
    <w:p w:rsidR="005E2304" w:rsidRDefault="005E2304" w:rsidP="005E2304">
      <w:pPr>
        <w:pStyle w:val="EntradandiceAuto"/>
      </w:pPr>
      <w:r>
        <w:t>Pleno. Auto 307/2007, de 19 de junio de 2007. Acuerda la extinción de la cuestión de inconstitucionalidad 1913-2003, planteada por el Juzgado de lo Social núm. 2 de Badajoz en relación con el Real Decreto-ley 5/2002, de 24 de mayo.</w:t>
      </w:r>
      <w:r>
        <w:tab/>
      </w:r>
      <w:r>
        <w:tab/>
      </w:r>
      <w:r>
        <w:fldChar w:fldCharType="begin"/>
      </w:r>
      <w:r>
        <w:instrText xml:space="preserve"> PAGEREF AUTO_2007_307 \h </w:instrText>
      </w:r>
      <w:r>
        <w:fldChar w:fldCharType="separate"/>
      </w:r>
      <w:r w:rsidR="00993288">
        <w:rPr>
          <w:noProof/>
        </w:rPr>
        <w:t>1362</w:t>
      </w:r>
      <w:r>
        <w:fldChar w:fldCharType="end"/>
      </w:r>
    </w:p>
    <w:p w:rsidR="005E2304" w:rsidRDefault="005E2304" w:rsidP="005E2304"/>
    <w:p w:rsidR="005E2304" w:rsidRDefault="005E2304" w:rsidP="005E2304">
      <w:pPr>
        <w:pStyle w:val="EntradandiceAuto"/>
      </w:pPr>
      <w:r>
        <w:t>Pleno. Auto 308/2007, de 19 de junio de 2007. Acuerda la extinción de la cuestión de inconstitucionalidad 1914-2003, planteada por el Juzgado de lo Social núm. 2 de Badajoz en relación con el Real Decreto-ley 5/2002, de 24 de mayo.</w:t>
      </w:r>
      <w:r>
        <w:tab/>
      </w:r>
      <w:r>
        <w:tab/>
      </w:r>
      <w:r>
        <w:fldChar w:fldCharType="begin"/>
      </w:r>
      <w:r>
        <w:instrText xml:space="preserve"> PAGEREF AUTO_2007_308 \h </w:instrText>
      </w:r>
      <w:r>
        <w:fldChar w:fldCharType="separate"/>
      </w:r>
      <w:r w:rsidR="00993288">
        <w:rPr>
          <w:noProof/>
        </w:rPr>
        <w:t>1366</w:t>
      </w:r>
      <w:r>
        <w:fldChar w:fldCharType="end"/>
      </w:r>
    </w:p>
    <w:p w:rsidR="005E2304" w:rsidRDefault="005E2304" w:rsidP="005E2304"/>
    <w:p w:rsidR="005E2304" w:rsidRDefault="005E2304" w:rsidP="005E2304">
      <w:pPr>
        <w:pStyle w:val="EntradandiceAuto"/>
      </w:pPr>
      <w:r>
        <w:t>Pleno. Auto 309/2007, de 19 de junio de 2007. Acuerda la extinción de la cuestión de inconstitucionalidad 2009-2003, planteada por el Juzgado de lo Social núm. 2 de Badajoz en relación con el Real Decreto-ley 5/2002, de 24 de mayo.</w:t>
      </w:r>
      <w:r>
        <w:tab/>
      </w:r>
      <w:r>
        <w:tab/>
      </w:r>
      <w:r>
        <w:fldChar w:fldCharType="begin"/>
      </w:r>
      <w:r>
        <w:instrText xml:space="preserve"> PAGEREF AUTO_2007_309 \h </w:instrText>
      </w:r>
      <w:r>
        <w:fldChar w:fldCharType="separate"/>
      </w:r>
      <w:r w:rsidR="00993288">
        <w:rPr>
          <w:noProof/>
        </w:rPr>
        <w:t>1370</w:t>
      </w:r>
      <w:r>
        <w:fldChar w:fldCharType="end"/>
      </w:r>
    </w:p>
    <w:p w:rsidR="005E2304" w:rsidRDefault="005E2304" w:rsidP="005E2304"/>
    <w:p w:rsidR="005E2304" w:rsidRDefault="005E2304" w:rsidP="005E2304">
      <w:pPr>
        <w:pStyle w:val="EntradandiceAuto"/>
      </w:pPr>
      <w:r>
        <w:lastRenderedPageBreak/>
        <w:t>Pleno. Auto 310/2007, de 19 de junio de 2007. Acuerda la extinción de la cuestión de inconstitucionalidad 3061-2003, planteada por el Juzgado de lo Social núm. 2 de Badajoz en relación con el Real Decreto-ley 5/2002, de 24 de mayo.</w:t>
      </w:r>
      <w:r>
        <w:tab/>
      </w:r>
      <w:r>
        <w:tab/>
      </w:r>
      <w:r>
        <w:fldChar w:fldCharType="begin"/>
      </w:r>
      <w:r>
        <w:instrText xml:space="preserve"> PAGEREF AUTO_2007_310 \h </w:instrText>
      </w:r>
      <w:r>
        <w:fldChar w:fldCharType="separate"/>
      </w:r>
      <w:r w:rsidR="00993288">
        <w:rPr>
          <w:noProof/>
        </w:rPr>
        <w:t>1374</w:t>
      </w:r>
      <w:r>
        <w:fldChar w:fldCharType="end"/>
      </w:r>
    </w:p>
    <w:p w:rsidR="005E2304" w:rsidRDefault="005E2304" w:rsidP="005E2304"/>
    <w:p w:rsidR="005E2304" w:rsidRDefault="005E2304" w:rsidP="005E2304">
      <w:pPr>
        <w:pStyle w:val="EntradandiceAuto"/>
      </w:pPr>
      <w:r>
        <w:t>Pleno. Auto 311/2007, de 19 de junio de 2007. Acuerda la extinción del recurso de inconstitucionalidad 1915-2004, planteado por el Parlamento de Cataluña en relación con el artículo 2 de la Ley Orgánica 20/2003, de 23 de diciembre, de modificación de la Ley Orgánica del Poder Judicial y del Código penal.</w:t>
      </w:r>
      <w:r>
        <w:tab/>
      </w:r>
      <w:r>
        <w:tab/>
      </w:r>
      <w:r>
        <w:fldChar w:fldCharType="begin"/>
      </w:r>
      <w:r>
        <w:instrText xml:space="preserve"> PAGEREF AUTO_2007_311 \h </w:instrText>
      </w:r>
      <w:r>
        <w:fldChar w:fldCharType="separate"/>
      </w:r>
      <w:r w:rsidR="00993288">
        <w:rPr>
          <w:noProof/>
        </w:rPr>
        <w:t>1378</w:t>
      </w:r>
      <w:r>
        <w:fldChar w:fldCharType="end"/>
      </w:r>
    </w:p>
    <w:p w:rsidR="005E2304" w:rsidRDefault="005E2304" w:rsidP="005E2304"/>
    <w:p w:rsidR="005E2304" w:rsidRDefault="005E2304" w:rsidP="005E2304">
      <w:pPr>
        <w:pStyle w:val="EntradandiceAuto"/>
      </w:pPr>
      <w:r>
        <w:t>Sección Segunda. Auto 312/2007, de 20 de junio de 2007. Inadmite a trámite el recurso de amparo 1184-2005, promovido por don Antonio José Sierra Moreno en contencioso sobre liquidación del impuesto de donaciones.</w:t>
      </w:r>
      <w:r>
        <w:tab/>
      </w:r>
      <w:r>
        <w:tab/>
      </w:r>
      <w:r>
        <w:fldChar w:fldCharType="begin"/>
      </w:r>
      <w:r>
        <w:instrText xml:space="preserve"> PAGEREF AUTO_2007_312 \h </w:instrText>
      </w:r>
      <w:r>
        <w:fldChar w:fldCharType="separate"/>
      </w:r>
      <w:r w:rsidR="00993288">
        <w:rPr>
          <w:noProof/>
        </w:rPr>
        <w:t>1381</w:t>
      </w:r>
      <w:r>
        <w:fldChar w:fldCharType="end"/>
      </w:r>
    </w:p>
    <w:p w:rsidR="005E2304" w:rsidRDefault="005E2304" w:rsidP="005E2304"/>
    <w:p w:rsidR="005E2304" w:rsidRDefault="005E2304" w:rsidP="005E2304">
      <w:pPr>
        <w:pStyle w:val="EntradandiceAuto"/>
      </w:pPr>
      <w:r>
        <w:t>Sección Primera. Auto 313/2007, de 27 de junio de 2007. Inadmite a trámite el recurso de amparo 7412-2004, promovido por Botafogo, S.A., en contencioso sobre liquidación del impuesto sobre transmisiones patrimoniales.</w:t>
      </w:r>
      <w:r>
        <w:tab/>
      </w:r>
      <w:r>
        <w:tab/>
      </w:r>
      <w:r>
        <w:fldChar w:fldCharType="begin"/>
      </w:r>
      <w:r>
        <w:instrText xml:space="preserve"> PAGEREF AUTO_2007_313 \h </w:instrText>
      </w:r>
      <w:r>
        <w:fldChar w:fldCharType="separate"/>
      </w:r>
      <w:r w:rsidR="00993288">
        <w:rPr>
          <w:noProof/>
        </w:rPr>
        <w:t>1385</w:t>
      </w:r>
      <w:r>
        <w:fldChar w:fldCharType="end"/>
      </w:r>
    </w:p>
    <w:p w:rsidR="005E2304" w:rsidRDefault="005E2304" w:rsidP="005E2304"/>
    <w:p w:rsidR="005E2304" w:rsidRDefault="005E2304" w:rsidP="005E2304">
      <w:pPr>
        <w:pStyle w:val="EntradandiceAuto"/>
      </w:pPr>
      <w:r>
        <w:t>Sala Primera. Auto 314/2007, de 2 de julio de 2007. Acuerda la suspensión  en el recurso de amparo 5682-2004, promovido por don José Luis Álvarez Santacristina en procedimiento penitenciario por sanciones disciplinarias.</w:t>
      </w:r>
      <w:r>
        <w:tab/>
      </w:r>
      <w:r>
        <w:tab/>
      </w:r>
      <w:r>
        <w:fldChar w:fldCharType="begin"/>
      </w:r>
      <w:r>
        <w:instrText xml:space="preserve"> PAGEREF AUTO_2007_314 \h </w:instrText>
      </w:r>
      <w:r>
        <w:fldChar w:fldCharType="separate"/>
      </w:r>
      <w:r w:rsidR="00993288">
        <w:rPr>
          <w:noProof/>
        </w:rPr>
        <w:t>1392</w:t>
      </w:r>
      <w:r>
        <w:fldChar w:fldCharType="end"/>
      </w:r>
    </w:p>
    <w:p w:rsidR="005E2304" w:rsidRDefault="005E2304" w:rsidP="005E2304"/>
    <w:p w:rsidR="005E2304" w:rsidRDefault="005E2304" w:rsidP="005E2304">
      <w:pPr>
        <w:pStyle w:val="EntradandiceAuto"/>
      </w:pPr>
      <w:r>
        <w:t>Sección Tercera. Auto 315/2007, de 2 de julio de 2007. Inadmite a trámite el recurso de amparo 471-2005, promovido por doña Concepción Hidalgo Sánchez en causa militar por delito de abuso de autoridad.</w:t>
      </w:r>
      <w:r>
        <w:tab/>
      </w:r>
      <w:r>
        <w:tab/>
      </w:r>
      <w:r>
        <w:fldChar w:fldCharType="begin"/>
      </w:r>
      <w:r>
        <w:instrText xml:space="preserve"> PAGEREF AUTO_2007_315 \h </w:instrText>
      </w:r>
      <w:r>
        <w:fldChar w:fldCharType="separate"/>
      </w:r>
      <w:r w:rsidR="00993288">
        <w:rPr>
          <w:noProof/>
        </w:rPr>
        <w:t>1396</w:t>
      </w:r>
      <w:r>
        <w:fldChar w:fldCharType="end"/>
      </w:r>
    </w:p>
    <w:p w:rsidR="005E2304" w:rsidRDefault="005E2304" w:rsidP="005E2304"/>
    <w:p w:rsidR="005E2304" w:rsidRDefault="005E2304" w:rsidP="005E2304">
      <w:pPr>
        <w:pStyle w:val="EntradandiceAuto"/>
      </w:pPr>
      <w:r>
        <w:t>Sección Tercera. Auto 316/2007, de 2 de julio de 2007. Inadmite a trámite el recurso de súplica sobre la inadmisión del recurso de amparo 1720-2005, promovido por don Juan Álvarez Bastos en contencioso por bonificación tributaria de gasóleo.</w:t>
      </w:r>
      <w:r>
        <w:tab/>
      </w:r>
      <w:r>
        <w:tab/>
      </w:r>
      <w:r>
        <w:fldChar w:fldCharType="begin"/>
      </w:r>
      <w:r>
        <w:instrText xml:space="preserve"> PAGEREF AUTO_2007_316 \h </w:instrText>
      </w:r>
      <w:r>
        <w:fldChar w:fldCharType="separate"/>
      </w:r>
      <w:r w:rsidR="00993288">
        <w:rPr>
          <w:noProof/>
        </w:rPr>
        <w:t>1399</w:t>
      </w:r>
      <w:r>
        <w:fldChar w:fldCharType="end"/>
      </w:r>
    </w:p>
    <w:p w:rsidR="005E2304" w:rsidRDefault="005E2304" w:rsidP="005E2304"/>
    <w:p w:rsidR="005E2304" w:rsidRDefault="005E2304" w:rsidP="005E2304">
      <w:pPr>
        <w:pStyle w:val="EntradandiceAuto"/>
      </w:pPr>
      <w:r>
        <w:t>Sección Cuarta. Auto 317/2007, de 2 de julio de 2007. Inadmite a trámite el recurso de amparo 1930-2005, promovido por don José María de Pablos Martín en contencioso por sanción disciplinaria.</w:t>
      </w:r>
      <w:r>
        <w:tab/>
      </w:r>
      <w:r>
        <w:tab/>
      </w:r>
      <w:r>
        <w:fldChar w:fldCharType="begin"/>
      </w:r>
      <w:r>
        <w:instrText xml:space="preserve"> PAGEREF AUTO_2007_317 \h </w:instrText>
      </w:r>
      <w:r>
        <w:fldChar w:fldCharType="separate"/>
      </w:r>
      <w:r w:rsidR="00993288">
        <w:rPr>
          <w:noProof/>
        </w:rPr>
        <w:t>1403</w:t>
      </w:r>
      <w:r>
        <w:fldChar w:fldCharType="end"/>
      </w:r>
    </w:p>
    <w:p w:rsidR="005E2304" w:rsidRDefault="005E2304" w:rsidP="005E2304"/>
    <w:p w:rsidR="005E2304" w:rsidRDefault="005E2304" w:rsidP="005E2304">
      <w:pPr>
        <w:pStyle w:val="EntradandiceAuto"/>
      </w:pPr>
      <w:r>
        <w:t>Sala Segunda. Auto 318/2007, de 2 de julio de 2007. Inadmite a trámite el recurso de amparo 3679-2005, promovido por Santpedor 2000, S.L., en contencioso por infracción urbanística.</w:t>
      </w:r>
      <w:r>
        <w:tab/>
      </w:r>
      <w:r>
        <w:tab/>
      </w:r>
      <w:r>
        <w:fldChar w:fldCharType="begin"/>
      </w:r>
      <w:r>
        <w:instrText xml:space="preserve"> PAGEREF AUTO_2007_318 \h </w:instrText>
      </w:r>
      <w:r>
        <w:fldChar w:fldCharType="separate"/>
      </w:r>
      <w:r w:rsidR="00993288">
        <w:rPr>
          <w:noProof/>
        </w:rPr>
        <w:t>1407</w:t>
      </w:r>
      <w:r>
        <w:fldChar w:fldCharType="end"/>
      </w:r>
    </w:p>
    <w:p w:rsidR="005E2304" w:rsidRDefault="005E2304" w:rsidP="005E2304"/>
    <w:p w:rsidR="005E2304" w:rsidRDefault="005E2304" w:rsidP="005E2304">
      <w:pPr>
        <w:pStyle w:val="EntradandiceAuto"/>
      </w:pPr>
      <w:r>
        <w:t>Sección Tercera. Auto 319/2007, de 2 de julio de 2007. Acuerda el desistimiento en el recurso de amparo 7144-2005, promovido en pleito civil.</w:t>
      </w:r>
      <w:r>
        <w:tab/>
      </w:r>
      <w:r>
        <w:tab/>
      </w:r>
      <w:r>
        <w:fldChar w:fldCharType="begin"/>
      </w:r>
      <w:r>
        <w:instrText xml:space="preserve"> PAGEREF AUTO_2007_319 \h </w:instrText>
      </w:r>
      <w:r>
        <w:fldChar w:fldCharType="separate"/>
      </w:r>
      <w:r w:rsidR="00993288">
        <w:rPr>
          <w:noProof/>
        </w:rPr>
        <w:t>1411</w:t>
      </w:r>
      <w:r>
        <w:fldChar w:fldCharType="end"/>
      </w:r>
    </w:p>
    <w:p w:rsidR="005E2304" w:rsidRDefault="005E2304" w:rsidP="005E2304"/>
    <w:p w:rsidR="005E2304" w:rsidRDefault="005E2304" w:rsidP="005E2304">
      <w:pPr>
        <w:pStyle w:val="EntradandiceAuto"/>
      </w:pPr>
      <w:r>
        <w:lastRenderedPageBreak/>
        <w:t>Sección Cuarta. Auto 320/2007, de 2 de julio de 2007. Acuerda el desistimiento en el recurso de amparo 810-2006, promovido por Rodret AB.</w:t>
      </w:r>
      <w:r>
        <w:tab/>
      </w:r>
      <w:r>
        <w:tab/>
      </w:r>
      <w:r>
        <w:fldChar w:fldCharType="begin"/>
      </w:r>
      <w:r>
        <w:instrText xml:space="preserve"> PAGEREF AUTO_2007_320 \h </w:instrText>
      </w:r>
      <w:r>
        <w:fldChar w:fldCharType="separate"/>
      </w:r>
      <w:r w:rsidR="00993288">
        <w:rPr>
          <w:noProof/>
        </w:rPr>
        <w:t>1412</w:t>
      </w:r>
      <w:r>
        <w:fldChar w:fldCharType="end"/>
      </w:r>
    </w:p>
    <w:p w:rsidR="005E2304" w:rsidRDefault="005E2304" w:rsidP="005E2304"/>
    <w:p w:rsidR="005E2304" w:rsidRDefault="005E2304" w:rsidP="005E2304">
      <w:pPr>
        <w:pStyle w:val="EntradandiceAuto"/>
      </w:pPr>
      <w:r>
        <w:t>Sección Cuarta. Auto 321/2007, de 2 de julio de 2007. Acuerda el desistimiento en el recurso de amparo 11706-2006, promovido en causa penal.</w:t>
      </w:r>
      <w:r>
        <w:tab/>
      </w:r>
      <w:r>
        <w:tab/>
      </w:r>
      <w:r>
        <w:fldChar w:fldCharType="begin"/>
      </w:r>
      <w:r>
        <w:instrText xml:space="preserve"> PAGEREF AUTO_2007_321 \h </w:instrText>
      </w:r>
      <w:r>
        <w:fldChar w:fldCharType="separate"/>
      </w:r>
      <w:r w:rsidR="00993288">
        <w:rPr>
          <w:noProof/>
        </w:rPr>
        <w:t>1413</w:t>
      </w:r>
      <w:r>
        <w:fldChar w:fldCharType="end"/>
      </w:r>
    </w:p>
    <w:p w:rsidR="005E2304" w:rsidRDefault="005E2304" w:rsidP="005E2304"/>
    <w:p w:rsidR="005E2304" w:rsidRDefault="005E2304" w:rsidP="005E2304">
      <w:pPr>
        <w:pStyle w:val="EntradandiceAuto"/>
      </w:pPr>
      <w:r>
        <w:t>Pleno. Auto 322/2007, de 3 de julio de 2007. Inadmite a trámite el conflicto en defensa de la autonomía local 5192-2007, planteado por el Ayuntamiento de Toledo en relación con el artículo 49.1 a) de la Ley de Castilla-La Mancha 13/2005, de 29 de diciembre, de presupuestos generales de la Junta de Comunidades para el año 2006.</w:t>
      </w:r>
      <w:r>
        <w:tab/>
      </w:r>
      <w:r>
        <w:tab/>
      </w:r>
      <w:r>
        <w:fldChar w:fldCharType="begin"/>
      </w:r>
      <w:r>
        <w:instrText xml:space="preserve"> PAGEREF AUTO_2007_322 \h </w:instrText>
      </w:r>
      <w:r>
        <w:fldChar w:fldCharType="separate"/>
      </w:r>
      <w:r w:rsidR="00993288">
        <w:rPr>
          <w:noProof/>
        </w:rPr>
        <w:t>1414</w:t>
      </w:r>
      <w:r>
        <w:fldChar w:fldCharType="end"/>
      </w:r>
    </w:p>
    <w:p w:rsidR="005E2304" w:rsidRDefault="005E2304" w:rsidP="005E2304"/>
    <w:p w:rsidR="005E2304" w:rsidRDefault="005E2304" w:rsidP="005E2304">
      <w:pPr>
        <w:pStyle w:val="EntradandiceAuto"/>
      </w:pPr>
      <w:r>
        <w:t>Sección Primera. Auto 323/2007, de 6 de julio de 2007. Inadmite a trámite el recurso de amparo 3616-2004, promovido por don Mohamed Hasnaui en causa por delito contra la salud pública.</w:t>
      </w:r>
      <w:r>
        <w:tab/>
      </w:r>
      <w:r>
        <w:tab/>
      </w:r>
      <w:r>
        <w:fldChar w:fldCharType="begin"/>
      </w:r>
      <w:r>
        <w:instrText xml:space="preserve"> PAGEREF AUTO_2007_323 \h </w:instrText>
      </w:r>
      <w:r>
        <w:fldChar w:fldCharType="separate"/>
      </w:r>
      <w:r w:rsidR="00993288">
        <w:rPr>
          <w:noProof/>
        </w:rPr>
        <w:t>1417</w:t>
      </w:r>
      <w:r>
        <w:fldChar w:fldCharType="end"/>
      </w:r>
    </w:p>
    <w:p w:rsidR="005E2304" w:rsidRDefault="005E2304" w:rsidP="005E2304"/>
    <w:p w:rsidR="005E2304" w:rsidRDefault="005E2304" w:rsidP="005E2304">
      <w:pPr>
        <w:pStyle w:val="EntradandiceAuto"/>
      </w:pPr>
      <w:r>
        <w:t>Sección Primera. Auto 324/2007, de 6 de julio de 2007. Acuerda el desistimiento en el recurso de amparo 4792-2006, promovido en proceso contencioso-administrativo.</w:t>
      </w:r>
      <w:r>
        <w:tab/>
      </w:r>
      <w:r>
        <w:tab/>
      </w:r>
      <w:r>
        <w:fldChar w:fldCharType="begin"/>
      </w:r>
      <w:r>
        <w:instrText xml:space="preserve"> PAGEREF AUTO_2007_324 \h </w:instrText>
      </w:r>
      <w:r>
        <w:fldChar w:fldCharType="separate"/>
      </w:r>
      <w:r w:rsidR="00993288">
        <w:rPr>
          <w:noProof/>
        </w:rPr>
        <w:t>1422</w:t>
      </w:r>
      <w:r>
        <w:fldChar w:fldCharType="end"/>
      </w:r>
    </w:p>
    <w:p w:rsidR="005E2304" w:rsidRDefault="005E2304" w:rsidP="005E2304"/>
    <w:p w:rsidR="005E2304" w:rsidRDefault="005E2304" w:rsidP="005E2304">
      <w:pPr>
        <w:pStyle w:val="EntradandiceAuto"/>
      </w:pPr>
      <w:r>
        <w:t>Sala Segunda. Auto 325/2007, de 11 de julio de 2007. Desestima el recurso de súplica sobre inadmisión del recurso de amparo 5580-2007, promovido por el Grupo Verde Europeo en relación con la proclamación de los candidatos electos en las elecciones municipales de Sant Josep de Sa Talaia.</w:t>
      </w:r>
      <w:r>
        <w:tab/>
      </w:r>
      <w:r>
        <w:tab/>
      </w:r>
      <w:r>
        <w:fldChar w:fldCharType="begin"/>
      </w:r>
      <w:r>
        <w:instrText xml:space="preserve"> PAGEREF AUTO_2007_325 \h </w:instrText>
      </w:r>
      <w:r>
        <w:fldChar w:fldCharType="separate"/>
      </w:r>
      <w:r w:rsidR="00993288">
        <w:rPr>
          <w:noProof/>
        </w:rPr>
        <w:t>1423</w:t>
      </w:r>
      <w:r>
        <w:fldChar w:fldCharType="end"/>
      </w:r>
    </w:p>
    <w:p w:rsidR="005E2304" w:rsidRDefault="005E2304" w:rsidP="005E2304"/>
    <w:p w:rsidR="005E2304" w:rsidRDefault="005E2304" w:rsidP="005E2304">
      <w:pPr>
        <w:pStyle w:val="EntradandiceAuto"/>
      </w:pPr>
      <w:r>
        <w:t>Pleno. Auto 326/2007, de 12 de julio de 2007. Acuerda la extinción del conflicto en defensa de la autonomía local 3640-2001, planteado por 16 municipios respecto de la Ley del Parlamento de las Illes Balears 9/2000, de medidas tributarias, administrativas y de función pública y económicas.</w:t>
      </w:r>
      <w:r>
        <w:tab/>
      </w:r>
      <w:r>
        <w:tab/>
      </w:r>
      <w:r>
        <w:fldChar w:fldCharType="begin"/>
      </w:r>
      <w:r>
        <w:instrText xml:space="preserve"> PAGEREF AUTO_2007_326 \h </w:instrText>
      </w:r>
      <w:r>
        <w:fldChar w:fldCharType="separate"/>
      </w:r>
      <w:r w:rsidR="00993288">
        <w:rPr>
          <w:noProof/>
        </w:rPr>
        <w:t>1428</w:t>
      </w:r>
      <w:r>
        <w:fldChar w:fldCharType="end"/>
      </w:r>
    </w:p>
    <w:p w:rsidR="005E2304" w:rsidRDefault="005E2304" w:rsidP="005E2304"/>
    <w:p w:rsidR="005E2304" w:rsidRDefault="005E2304" w:rsidP="005E2304">
      <w:pPr>
        <w:pStyle w:val="EntradandiceAuto"/>
      </w:pPr>
      <w:r>
        <w:t>Sección Tercera. Auto 327/2007, de 12 de julio de 2007. Inadmite el recurso de súplica sobre audiencia previa a la inadmisión del recurso de amparo 4319-2005, promovido por don Roberto Yuste Escobar en litigio social.</w:t>
      </w:r>
      <w:r>
        <w:tab/>
      </w:r>
      <w:r>
        <w:tab/>
      </w:r>
      <w:r>
        <w:fldChar w:fldCharType="begin"/>
      </w:r>
      <w:r>
        <w:instrText xml:space="preserve"> PAGEREF AUTO_2007_327 \h </w:instrText>
      </w:r>
      <w:r>
        <w:fldChar w:fldCharType="separate"/>
      </w:r>
      <w:r w:rsidR="00993288">
        <w:rPr>
          <w:noProof/>
        </w:rPr>
        <w:t>1431</w:t>
      </w:r>
      <w:r>
        <w:fldChar w:fldCharType="end"/>
      </w:r>
    </w:p>
    <w:p w:rsidR="005E2304" w:rsidRDefault="005E2304" w:rsidP="005E2304"/>
    <w:p w:rsidR="005E2304" w:rsidRDefault="005E2304" w:rsidP="005E2304">
      <w:pPr>
        <w:pStyle w:val="EntradandiceAuto"/>
      </w:pPr>
      <w:r>
        <w:t>Pleno. Auto 328/2007, de 12 de julio de 2007. Inadmite a trámite por infundada la cuestión de inconstitucionalidad 11182-2006, planteada por el Juzgado de lo Social núm. 1 de Tarragona en relación con el artículo 174.2 del Real Decreto Legislativo 1/1994, de 20 de junio, que aprueba el texto refundido de la Ley general de la Seguridad Social, en la redacción dada por la disposición adicional decimotercera de la Ley 66/1997, de 30 de diciembre, de medidas fiscales, administrativas y del orden social.</w:t>
      </w:r>
      <w:r>
        <w:tab/>
      </w:r>
      <w:r>
        <w:tab/>
      </w:r>
      <w:r>
        <w:fldChar w:fldCharType="begin"/>
      </w:r>
      <w:r>
        <w:instrText xml:space="preserve"> PAGEREF AUTO_2007_328 \h </w:instrText>
      </w:r>
      <w:r>
        <w:fldChar w:fldCharType="separate"/>
      </w:r>
      <w:r w:rsidR="00993288">
        <w:rPr>
          <w:noProof/>
        </w:rPr>
        <w:t>1435</w:t>
      </w:r>
      <w:r>
        <w:fldChar w:fldCharType="end"/>
      </w:r>
    </w:p>
    <w:p w:rsidR="005E2304" w:rsidRDefault="005E2304" w:rsidP="005E2304"/>
    <w:p w:rsidR="005E2304" w:rsidRDefault="005E2304" w:rsidP="005E2304">
      <w:pPr>
        <w:pStyle w:val="EntradandiceAuto"/>
      </w:pPr>
      <w:r>
        <w:t>Pleno. Auto 329/2007, de 12 de julio de 2007. Inadmite a trámite el recurso de inconstitucionalidad 5579-2007, planteado por el Consell de la Generalitat Valenciana en relación con la Ley Orgánica 2/2007, de 19 de marzo, de reforma del Estatuto de Autonomía de Andalucía.</w:t>
      </w:r>
      <w:r>
        <w:tab/>
      </w:r>
      <w:r>
        <w:tab/>
      </w:r>
      <w:r>
        <w:fldChar w:fldCharType="begin"/>
      </w:r>
      <w:r>
        <w:instrText xml:space="preserve"> PAGEREF AUTO_2007_329 \h </w:instrText>
      </w:r>
      <w:r>
        <w:fldChar w:fldCharType="separate"/>
      </w:r>
      <w:r w:rsidR="00993288">
        <w:rPr>
          <w:noProof/>
        </w:rPr>
        <w:t>1447</w:t>
      </w:r>
      <w:r>
        <w:fldChar w:fldCharType="end"/>
      </w:r>
    </w:p>
    <w:p w:rsidR="005E2304" w:rsidRDefault="005E2304" w:rsidP="005E2304"/>
    <w:p w:rsidR="005E2304" w:rsidRDefault="005E2304" w:rsidP="005E2304">
      <w:pPr>
        <w:pStyle w:val="EntradandiceAuto"/>
      </w:pPr>
      <w:r>
        <w:t>Sección Primera. Auto 330/2007, de 13 de julio de 2007. Acuerda el desistimiento en el recurso de amparo 4878-2006, promovido por el Colegio Oficial de Pilotos de Aviación Comercial.</w:t>
      </w:r>
      <w:r>
        <w:tab/>
      </w:r>
      <w:r>
        <w:tab/>
      </w:r>
      <w:r>
        <w:fldChar w:fldCharType="begin"/>
      </w:r>
      <w:r>
        <w:instrText xml:space="preserve"> PAGEREF AUTO_2007_330 \h </w:instrText>
      </w:r>
      <w:r>
        <w:fldChar w:fldCharType="separate"/>
      </w:r>
      <w:r w:rsidR="00993288">
        <w:rPr>
          <w:noProof/>
        </w:rPr>
        <w:t>1451</w:t>
      </w:r>
      <w:r>
        <w:fldChar w:fldCharType="end"/>
      </w:r>
    </w:p>
    <w:p w:rsidR="005E2304" w:rsidRDefault="005E2304" w:rsidP="005E2304"/>
    <w:p w:rsidR="005E2304" w:rsidRDefault="005E2304" w:rsidP="005E2304">
      <w:pPr>
        <w:pStyle w:val="EntradandiceAuto"/>
      </w:pPr>
      <w:r>
        <w:t>Sección Primera. Auto 331/2007, de 13 de julio de 2007. Acuerda el desistimiento en el recurso de amparo 10189-2006, promovido en causa penal.</w:t>
      </w:r>
      <w:r>
        <w:tab/>
      </w:r>
      <w:r>
        <w:tab/>
      </w:r>
      <w:r>
        <w:fldChar w:fldCharType="begin"/>
      </w:r>
      <w:r>
        <w:instrText xml:space="preserve"> PAGEREF AUTO_2007_331 \h </w:instrText>
      </w:r>
      <w:r>
        <w:fldChar w:fldCharType="separate"/>
      </w:r>
      <w:r w:rsidR="00993288">
        <w:rPr>
          <w:noProof/>
        </w:rPr>
        <w:t>1452</w:t>
      </w:r>
      <w:r>
        <w:fldChar w:fldCharType="end"/>
      </w:r>
    </w:p>
    <w:p w:rsidR="005E2304" w:rsidRDefault="005E2304" w:rsidP="005E2304"/>
    <w:p w:rsidR="005E2304" w:rsidRDefault="005E2304" w:rsidP="005E2304">
      <w:pPr>
        <w:pStyle w:val="EntradandiceAuto"/>
      </w:pPr>
      <w:r>
        <w:t>Sección Cuarta. Auto 332/2007, de 16 de julio de 2007. Acuerda el desistimiento en el recurso de amparo 2015-2007, promovido por Editorial Prensa Alicantina, S.A.</w:t>
      </w:r>
      <w:r>
        <w:tab/>
      </w:r>
      <w:r>
        <w:tab/>
      </w:r>
      <w:r>
        <w:fldChar w:fldCharType="begin"/>
      </w:r>
      <w:r>
        <w:instrText xml:space="preserve"> PAGEREF AUTO_2007_332 \h </w:instrText>
      </w:r>
      <w:r>
        <w:fldChar w:fldCharType="separate"/>
      </w:r>
      <w:r w:rsidR="00993288">
        <w:rPr>
          <w:noProof/>
        </w:rPr>
        <w:t>1453</w:t>
      </w:r>
      <w:r>
        <w:fldChar w:fldCharType="end"/>
      </w:r>
    </w:p>
    <w:p w:rsidR="005E2304" w:rsidRDefault="005E2304" w:rsidP="005E2304"/>
    <w:p w:rsidR="005E2304" w:rsidRDefault="005E2304" w:rsidP="005E2304">
      <w:pPr>
        <w:pStyle w:val="EntradandiceAuto"/>
      </w:pPr>
      <w:r>
        <w:t>Sala Segunda. Auto 333/2007, de 18 de julio de 2007. Extinción del incidente de suspensión en el recurso de amparo 5899-2003, promovido por don Abdelhakim Issaoun en causa penal.</w:t>
      </w:r>
      <w:r>
        <w:tab/>
      </w:r>
      <w:r>
        <w:tab/>
      </w:r>
      <w:r>
        <w:fldChar w:fldCharType="begin"/>
      </w:r>
      <w:r>
        <w:instrText xml:space="preserve"> PAGEREF AUTO_2007_333 \h </w:instrText>
      </w:r>
      <w:r>
        <w:fldChar w:fldCharType="separate"/>
      </w:r>
      <w:r w:rsidR="00993288">
        <w:rPr>
          <w:noProof/>
        </w:rPr>
        <w:t>1454</w:t>
      </w:r>
      <w:r>
        <w:fldChar w:fldCharType="end"/>
      </w:r>
    </w:p>
    <w:p w:rsidR="005E2304" w:rsidRDefault="005E2304" w:rsidP="005E2304"/>
    <w:p w:rsidR="005E2304" w:rsidRDefault="005E2304" w:rsidP="005E2304">
      <w:pPr>
        <w:pStyle w:val="EntradandiceAuto"/>
      </w:pPr>
      <w:r>
        <w:t>Sala Segunda. Auto 334/2007, de 18 de julio de 2007. Acepta una abstención en el recurso de amparo 9563-2005, promovido por don Benedicto Vadillo Ortiz.</w:t>
      </w:r>
      <w:r>
        <w:tab/>
      </w:r>
      <w:r>
        <w:tab/>
      </w:r>
      <w:r>
        <w:fldChar w:fldCharType="begin"/>
      </w:r>
      <w:r>
        <w:instrText xml:space="preserve"> PAGEREF AUTO_2007_334 \h </w:instrText>
      </w:r>
      <w:r>
        <w:fldChar w:fldCharType="separate"/>
      </w:r>
      <w:r w:rsidR="00993288">
        <w:rPr>
          <w:noProof/>
        </w:rPr>
        <w:t>1456</w:t>
      </w:r>
      <w:r>
        <w:fldChar w:fldCharType="end"/>
      </w:r>
    </w:p>
    <w:p w:rsidR="005E2304" w:rsidRDefault="005E2304" w:rsidP="005E2304"/>
    <w:p w:rsidR="005E2304" w:rsidRDefault="005E2304" w:rsidP="005E2304">
      <w:pPr>
        <w:pStyle w:val="EntradandiceAuto"/>
      </w:pPr>
      <w:r>
        <w:t>Sala Segunda. Auto 335/2007, de 18 de julio de 2007. Deniega la suspensión en el recurso de amparo 6130-2006, promovido por Proiliberis, S.L., en contencioso sobre liquidación del impuesto sobre transmisiones patrimoniales y actos jurídicos documentados.</w:t>
      </w:r>
      <w:r>
        <w:tab/>
      </w:r>
      <w:r>
        <w:tab/>
      </w:r>
      <w:r>
        <w:fldChar w:fldCharType="begin"/>
      </w:r>
      <w:r>
        <w:instrText xml:space="preserve"> PAGEREF AUTO_2007_335 \h </w:instrText>
      </w:r>
      <w:r>
        <w:fldChar w:fldCharType="separate"/>
      </w:r>
      <w:r w:rsidR="00993288">
        <w:rPr>
          <w:noProof/>
        </w:rPr>
        <w:t>1457</w:t>
      </w:r>
      <w:r>
        <w:fldChar w:fldCharType="end"/>
      </w:r>
    </w:p>
    <w:p w:rsidR="005E2304" w:rsidRDefault="005E2304" w:rsidP="005E2304"/>
    <w:p w:rsidR="005E2304" w:rsidRDefault="005E2304" w:rsidP="005E2304">
      <w:pPr>
        <w:pStyle w:val="EntradandiceAuto"/>
      </w:pPr>
      <w:r>
        <w:t>Sala Segunda. Auto 336/2007, de 18 de julio de 2007. Acuerda la suspensión  en el recurso de amparo 10383-2006, promovido por doña Cristina Moriñigo Martín en pleito por guarda y custodia de menores.</w:t>
      </w:r>
      <w:r>
        <w:tab/>
      </w:r>
      <w:r>
        <w:tab/>
      </w:r>
      <w:r>
        <w:fldChar w:fldCharType="begin"/>
      </w:r>
      <w:r>
        <w:instrText xml:space="preserve"> PAGEREF AUTO_2007_336 \h </w:instrText>
      </w:r>
      <w:r>
        <w:fldChar w:fldCharType="separate"/>
      </w:r>
      <w:r w:rsidR="00993288">
        <w:rPr>
          <w:noProof/>
        </w:rPr>
        <w:t>1460</w:t>
      </w:r>
      <w:r>
        <w:fldChar w:fldCharType="end"/>
      </w:r>
    </w:p>
    <w:p w:rsidR="005E2304" w:rsidRDefault="005E2304" w:rsidP="005E2304"/>
    <w:p w:rsidR="005E2304" w:rsidRDefault="005E2304" w:rsidP="005E2304">
      <w:pPr>
        <w:pStyle w:val="EntradandiceAuto"/>
      </w:pPr>
      <w:r>
        <w:t>Sección Primera. Auto 337/2007, de 18 de julio de 2007. Acuerda el desistimiento en el recurso de amparo 11347-2006, promovido en proceso de vigilancia penitenciaria.</w:t>
      </w:r>
      <w:r>
        <w:tab/>
      </w:r>
      <w:r>
        <w:tab/>
      </w:r>
      <w:r>
        <w:fldChar w:fldCharType="begin"/>
      </w:r>
      <w:r>
        <w:instrText xml:space="preserve"> PAGEREF AUTO_2007_337 \h </w:instrText>
      </w:r>
      <w:r>
        <w:fldChar w:fldCharType="separate"/>
      </w:r>
      <w:r w:rsidR="00993288">
        <w:rPr>
          <w:noProof/>
        </w:rPr>
        <w:t>1463</w:t>
      </w:r>
      <w:r>
        <w:fldChar w:fldCharType="end"/>
      </w:r>
    </w:p>
    <w:p w:rsidR="005E2304" w:rsidRDefault="005E2304" w:rsidP="005E2304"/>
    <w:p w:rsidR="005E2304" w:rsidRDefault="005E2304" w:rsidP="005E2304">
      <w:pPr>
        <w:pStyle w:val="EntradandiceAuto"/>
      </w:pPr>
      <w:r>
        <w:lastRenderedPageBreak/>
        <w:t>Sala Segunda. Auto 338/2007, de 18 de julio de 2007. Acuerda la extinción del recurso de amparo 5716-2007, promovido por el Partido Socialista Obrero Español en contencioso-electoral por proclamación de electos en el municipio de Casas de Fernando Alonso.</w:t>
      </w:r>
      <w:r>
        <w:tab/>
      </w:r>
      <w:r>
        <w:tab/>
      </w:r>
      <w:r>
        <w:fldChar w:fldCharType="begin"/>
      </w:r>
      <w:r>
        <w:instrText xml:space="preserve"> PAGEREF AUTO_2007_338 \h </w:instrText>
      </w:r>
      <w:r>
        <w:fldChar w:fldCharType="separate"/>
      </w:r>
      <w:r w:rsidR="00993288">
        <w:rPr>
          <w:noProof/>
        </w:rPr>
        <w:t>1464</w:t>
      </w:r>
      <w:r>
        <w:fldChar w:fldCharType="end"/>
      </w:r>
    </w:p>
    <w:p w:rsidR="005E2304" w:rsidRDefault="005E2304" w:rsidP="005E2304"/>
    <w:p w:rsidR="005E2304" w:rsidRDefault="005E2304" w:rsidP="005E2304">
      <w:pPr>
        <w:pStyle w:val="EntradandiceAuto"/>
      </w:pPr>
      <w:r>
        <w:t>Sección Segunda. Auto 339/2007, de 19 de julio de 2007. Acuerda el desistimiento en el recurso de amparo 1491-2006, promovido en proceso contencioso-administrativo.</w:t>
      </w:r>
      <w:r>
        <w:tab/>
      </w:r>
      <w:r>
        <w:tab/>
      </w:r>
      <w:r>
        <w:fldChar w:fldCharType="begin"/>
      </w:r>
      <w:r>
        <w:instrText xml:space="preserve"> PAGEREF AUTO_2007_339 \h </w:instrText>
      </w:r>
      <w:r>
        <w:fldChar w:fldCharType="separate"/>
      </w:r>
      <w:r w:rsidR="00993288">
        <w:rPr>
          <w:noProof/>
        </w:rPr>
        <w:t>1468</w:t>
      </w:r>
      <w:r>
        <w:fldChar w:fldCharType="end"/>
      </w:r>
    </w:p>
    <w:p w:rsidR="005E2304" w:rsidRDefault="005E2304" w:rsidP="005E2304"/>
    <w:p w:rsidR="005E2304" w:rsidRDefault="005E2304" w:rsidP="005E2304">
      <w:pPr>
        <w:pStyle w:val="EntradandiceAuto"/>
      </w:pPr>
      <w:r>
        <w:t>Sección Segunda. Auto 340/2007, de 19 de julio de 2007. Acuerda el desistimiento en el recurso de amparo 2300-2006, promovido en recurso contencioso-administrativo.</w:t>
      </w:r>
      <w:r>
        <w:tab/>
      </w:r>
      <w:r>
        <w:tab/>
      </w:r>
      <w:r>
        <w:fldChar w:fldCharType="begin"/>
      </w:r>
      <w:r>
        <w:instrText xml:space="preserve"> PAGEREF AUTO_2007_340 \h </w:instrText>
      </w:r>
      <w:r>
        <w:fldChar w:fldCharType="separate"/>
      </w:r>
      <w:r w:rsidR="00993288">
        <w:rPr>
          <w:noProof/>
        </w:rPr>
        <w:t>1469</w:t>
      </w:r>
      <w:r>
        <w:fldChar w:fldCharType="end"/>
      </w:r>
    </w:p>
    <w:p w:rsidR="005E2304" w:rsidRDefault="005E2304" w:rsidP="005E2304"/>
    <w:p w:rsidR="005E2304" w:rsidRDefault="005E2304" w:rsidP="005E2304">
      <w:pPr>
        <w:pStyle w:val="EntradandiceAuto"/>
      </w:pPr>
      <w:r>
        <w:t>Sección Segunda. Auto 341/2007, de 19 de julio de 2007. Acuerda el desistimiento en el recurso de amparo 10362-2006, promovido en pleito civil.</w:t>
      </w:r>
      <w:r>
        <w:tab/>
      </w:r>
      <w:r>
        <w:tab/>
      </w:r>
      <w:r>
        <w:fldChar w:fldCharType="begin"/>
      </w:r>
      <w:r>
        <w:instrText xml:space="preserve"> PAGEREF AUTO_2007_341 \h </w:instrText>
      </w:r>
      <w:r>
        <w:fldChar w:fldCharType="separate"/>
      </w:r>
      <w:r w:rsidR="00993288">
        <w:rPr>
          <w:noProof/>
        </w:rPr>
        <w:t>1470</w:t>
      </w:r>
      <w:r>
        <w:fldChar w:fldCharType="end"/>
      </w:r>
    </w:p>
    <w:p w:rsidR="005E2304" w:rsidRDefault="005E2304" w:rsidP="005E2304"/>
    <w:p w:rsidR="005E2304" w:rsidRDefault="005E2304" w:rsidP="005E2304">
      <w:pPr>
        <w:pStyle w:val="EntradandiceAuto"/>
      </w:pPr>
      <w:r>
        <w:t>Sección Segunda. Auto 342/2007, de 19 de julio de 2007. Acuerda el desistimiento en el recurso de amparo 10422-2006, promovido en litigio social.</w:t>
      </w:r>
      <w:r>
        <w:tab/>
      </w:r>
      <w:r>
        <w:tab/>
      </w:r>
      <w:r>
        <w:fldChar w:fldCharType="begin"/>
      </w:r>
      <w:r>
        <w:instrText xml:space="preserve"> PAGEREF AUTO_2007_342 \h </w:instrText>
      </w:r>
      <w:r>
        <w:fldChar w:fldCharType="separate"/>
      </w:r>
      <w:r w:rsidR="00993288">
        <w:rPr>
          <w:noProof/>
        </w:rPr>
        <w:t>1471</w:t>
      </w:r>
      <w:r>
        <w:fldChar w:fldCharType="end"/>
      </w:r>
    </w:p>
    <w:p w:rsidR="005E2304" w:rsidRDefault="005E2304" w:rsidP="005E2304"/>
    <w:p w:rsidR="005E2304" w:rsidRDefault="005E2304" w:rsidP="005E2304">
      <w:pPr>
        <w:pStyle w:val="EntradandiceAuto"/>
      </w:pPr>
      <w:r>
        <w:t>Sala Primera. Auto 343/2007, de 23 de julio de 2007. Acuerda la acumulación del recurso de amparo 4015-2003 al 4002-2003, promovido por don Alhaji Ceesay y otro.</w:t>
      </w:r>
      <w:r>
        <w:tab/>
      </w:r>
      <w:r>
        <w:tab/>
      </w:r>
      <w:r>
        <w:fldChar w:fldCharType="begin"/>
      </w:r>
      <w:r>
        <w:instrText xml:space="preserve"> PAGEREF AUTO_2007_343 \h </w:instrText>
      </w:r>
      <w:r>
        <w:fldChar w:fldCharType="separate"/>
      </w:r>
      <w:r w:rsidR="00993288">
        <w:rPr>
          <w:noProof/>
        </w:rPr>
        <w:t>1472</w:t>
      </w:r>
      <w:r>
        <w:fldChar w:fldCharType="end"/>
      </w:r>
    </w:p>
    <w:p w:rsidR="005E2304" w:rsidRDefault="005E2304" w:rsidP="005E2304"/>
    <w:p w:rsidR="005E2304" w:rsidRDefault="005E2304" w:rsidP="005E2304">
      <w:pPr>
        <w:pStyle w:val="EntradandiceAuto"/>
      </w:pPr>
      <w:r>
        <w:t>Sala Primera. Auto 344/2007, de 23 de julio de 2007. Acuerda la acumulación del recurso de amparo 3049-2004 al 6452-2002, promovido por don José Marcelino López Peraza.</w:t>
      </w:r>
      <w:r>
        <w:tab/>
      </w:r>
      <w:r>
        <w:tab/>
      </w:r>
      <w:r>
        <w:fldChar w:fldCharType="begin"/>
      </w:r>
      <w:r>
        <w:instrText xml:space="preserve"> PAGEREF AUTO_2007_344 \h </w:instrText>
      </w:r>
      <w:r>
        <w:fldChar w:fldCharType="separate"/>
      </w:r>
      <w:r w:rsidR="00993288">
        <w:rPr>
          <w:noProof/>
        </w:rPr>
        <w:t>1473</w:t>
      </w:r>
      <w:r>
        <w:fldChar w:fldCharType="end"/>
      </w:r>
    </w:p>
    <w:p w:rsidR="005E2304" w:rsidRDefault="005E2304" w:rsidP="005E2304"/>
    <w:p w:rsidR="005E2304" w:rsidRDefault="005E2304" w:rsidP="005E2304">
      <w:pPr>
        <w:pStyle w:val="EntradandiceAuto"/>
      </w:pPr>
      <w:r>
        <w:t>Sala Primera. Auto 345/2007, de 23 de julio de 2007. Acuerda la suspensión en el recurso de amparo 6623-2004, promovido por don Juan Bilbao Moro en procedimiento de vigilancia penitenciaria por sanciones disciplinarias.</w:t>
      </w:r>
      <w:r>
        <w:tab/>
      </w:r>
      <w:r>
        <w:tab/>
      </w:r>
      <w:r>
        <w:fldChar w:fldCharType="begin"/>
      </w:r>
      <w:r>
        <w:instrText xml:space="preserve"> PAGEREF AUTO_2007_345 \h </w:instrText>
      </w:r>
      <w:r>
        <w:fldChar w:fldCharType="separate"/>
      </w:r>
      <w:r w:rsidR="00993288">
        <w:rPr>
          <w:noProof/>
        </w:rPr>
        <w:t>1474</w:t>
      </w:r>
      <w:r>
        <w:fldChar w:fldCharType="end"/>
      </w:r>
    </w:p>
    <w:p w:rsidR="005E2304" w:rsidRDefault="005E2304" w:rsidP="005E2304"/>
    <w:p w:rsidR="005E2304" w:rsidRDefault="005E2304" w:rsidP="005E2304">
      <w:pPr>
        <w:pStyle w:val="EntradandiceAuto"/>
      </w:pPr>
      <w:r>
        <w:t>Sala Primera. Auto 346/2007, de 23 de julio de 2007. Deniega la suspensión en el recurso de amparo 7482-2004, promovido por Cañete Corchero Abogados, S.L., en contencioso sobre sanciones de tráfico.</w:t>
      </w:r>
      <w:r>
        <w:tab/>
      </w:r>
      <w:r>
        <w:tab/>
      </w:r>
      <w:r>
        <w:fldChar w:fldCharType="begin"/>
      </w:r>
      <w:r>
        <w:instrText xml:space="preserve"> PAGEREF AUTO_2007_346 \h </w:instrText>
      </w:r>
      <w:r>
        <w:fldChar w:fldCharType="separate"/>
      </w:r>
      <w:r w:rsidR="00993288">
        <w:rPr>
          <w:noProof/>
        </w:rPr>
        <w:t>1477</w:t>
      </w:r>
      <w:r>
        <w:fldChar w:fldCharType="end"/>
      </w:r>
    </w:p>
    <w:p w:rsidR="005E2304" w:rsidRDefault="005E2304" w:rsidP="005E2304"/>
    <w:p w:rsidR="005E2304" w:rsidRDefault="005E2304" w:rsidP="005E2304">
      <w:pPr>
        <w:pStyle w:val="EntradandiceAuto"/>
      </w:pPr>
      <w:r>
        <w:t>Sala Primera. Auto 347/2007, de 23 de julio de 2007. Deniega la suspensión en el recurso de amparo 1292-2005, promovido por don Manuel García Lahoz en contencioso sobre sanción de tráfico.</w:t>
      </w:r>
      <w:r>
        <w:tab/>
      </w:r>
      <w:r>
        <w:tab/>
      </w:r>
      <w:r>
        <w:fldChar w:fldCharType="begin"/>
      </w:r>
      <w:r>
        <w:instrText xml:space="preserve"> PAGEREF AUTO_2007_347 \h </w:instrText>
      </w:r>
      <w:r>
        <w:fldChar w:fldCharType="separate"/>
      </w:r>
      <w:r w:rsidR="00993288">
        <w:rPr>
          <w:noProof/>
        </w:rPr>
        <w:t>1479</w:t>
      </w:r>
      <w:r>
        <w:fldChar w:fldCharType="end"/>
      </w:r>
    </w:p>
    <w:p w:rsidR="005E2304" w:rsidRDefault="005E2304" w:rsidP="005E2304"/>
    <w:p w:rsidR="005E2304" w:rsidRDefault="005E2304" w:rsidP="005E2304">
      <w:pPr>
        <w:pStyle w:val="EntradandiceAuto"/>
      </w:pPr>
      <w:r>
        <w:lastRenderedPageBreak/>
        <w:t>Sala Primera. Auto 348/2007, de 23 de julio de 2007. Acuerda la suspensión en el recurso de amparo 3321-2005, promovido por don José María Llorca Albero en litigio de reclamación de cantidad por gastos de comunidad de propietarios.</w:t>
      </w:r>
      <w:r>
        <w:tab/>
      </w:r>
      <w:r>
        <w:tab/>
      </w:r>
      <w:r>
        <w:fldChar w:fldCharType="begin"/>
      </w:r>
      <w:r>
        <w:instrText xml:space="preserve"> PAGEREF AUTO_2007_348 \h </w:instrText>
      </w:r>
      <w:r>
        <w:fldChar w:fldCharType="separate"/>
      </w:r>
      <w:r w:rsidR="00993288">
        <w:rPr>
          <w:noProof/>
        </w:rPr>
        <w:t>1481</w:t>
      </w:r>
      <w:r>
        <w:fldChar w:fldCharType="end"/>
      </w:r>
    </w:p>
    <w:p w:rsidR="005E2304" w:rsidRDefault="005E2304" w:rsidP="005E2304"/>
    <w:p w:rsidR="005E2304" w:rsidRDefault="005E2304" w:rsidP="005E2304">
      <w:pPr>
        <w:pStyle w:val="EntradandiceAuto"/>
      </w:pPr>
      <w:r>
        <w:t>Sección Cuarta. Auto 349/2007, de 23 de julio de 2007. Acuerda el desistimiento en el recurso de amparo 5047-2005, promovido por Floridamar, S.L.</w:t>
      </w:r>
      <w:r>
        <w:tab/>
      </w:r>
      <w:r>
        <w:tab/>
      </w:r>
      <w:r>
        <w:fldChar w:fldCharType="begin"/>
      </w:r>
      <w:r>
        <w:instrText xml:space="preserve"> PAGEREF AUTO_2007_349 \h </w:instrText>
      </w:r>
      <w:r>
        <w:fldChar w:fldCharType="separate"/>
      </w:r>
      <w:r w:rsidR="00993288">
        <w:rPr>
          <w:noProof/>
        </w:rPr>
        <w:t>1485</w:t>
      </w:r>
      <w:r>
        <w:fldChar w:fldCharType="end"/>
      </w:r>
    </w:p>
    <w:p w:rsidR="005E2304" w:rsidRDefault="005E2304" w:rsidP="005E2304"/>
    <w:p w:rsidR="005E2304" w:rsidRDefault="005E2304" w:rsidP="005E2304">
      <w:pPr>
        <w:pStyle w:val="EntradandiceAuto"/>
      </w:pPr>
      <w:r>
        <w:t>Sala Segunda. Auto 350/2007, de 23 de julio de 2007. Acepta una abstención en el recurso de amparo 3526-2007, promovido por don Pedro García Ros.</w:t>
      </w:r>
      <w:r>
        <w:tab/>
      </w:r>
      <w:r>
        <w:tab/>
      </w:r>
      <w:r>
        <w:fldChar w:fldCharType="begin"/>
      </w:r>
      <w:r>
        <w:instrText xml:space="preserve"> PAGEREF AUTO_2007_350 \h </w:instrText>
      </w:r>
      <w:r>
        <w:fldChar w:fldCharType="separate"/>
      </w:r>
      <w:r w:rsidR="00993288">
        <w:rPr>
          <w:noProof/>
        </w:rPr>
        <w:t>1486</w:t>
      </w:r>
      <w:r>
        <w:fldChar w:fldCharType="end"/>
      </w:r>
    </w:p>
    <w:p w:rsidR="005E2304" w:rsidRDefault="005E2304" w:rsidP="005E2304"/>
    <w:p w:rsidR="005E2304" w:rsidRDefault="005E2304" w:rsidP="005E2304">
      <w:pPr>
        <w:pStyle w:val="EntradandiceAuto"/>
      </w:pPr>
      <w:r>
        <w:t>Sección Tercera. Auto 351/2007, de 23 de julio de 2007. Acuerda el desistimiento en el recurso de amparo 4301-2007.</w:t>
      </w:r>
      <w:r>
        <w:tab/>
      </w:r>
      <w:r>
        <w:tab/>
      </w:r>
      <w:r>
        <w:fldChar w:fldCharType="begin"/>
      </w:r>
      <w:r>
        <w:instrText xml:space="preserve"> PAGEREF AUTO_2007_351 \h </w:instrText>
      </w:r>
      <w:r>
        <w:fldChar w:fldCharType="separate"/>
      </w:r>
      <w:r w:rsidR="00993288">
        <w:rPr>
          <w:noProof/>
        </w:rPr>
        <w:t>1487</w:t>
      </w:r>
      <w:r>
        <w:fldChar w:fldCharType="end"/>
      </w:r>
    </w:p>
    <w:p w:rsidR="005E2304" w:rsidRDefault="005E2304" w:rsidP="005E2304"/>
    <w:p w:rsidR="005E2304" w:rsidRDefault="005E2304" w:rsidP="005E2304">
      <w:pPr>
        <w:pStyle w:val="EntradandiceAuto"/>
      </w:pPr>
      <w:r>
        <w:t>Pleno. Auto 352/2007, de 24 de julio de 2007. Inadmite a trámite por infundada la cuestión de inconstitucionalidad 3375-2006, planteada por la Sala de lo Contencioso-Administrativo del Tribunal Superior de Justicia de Cataluña en relación con la Ley 26/1994, de 29 de diciembre, reguladora del pase a la segunda actividad en el Cuerpo Nacional de Policía, redactada por la Ley 24/2001, de 27 de diciembre, de medidas fiscales, administrativas y del orden social.</w:t>
      </w:r>
      <w:r>
        <w:tab/>
      </w:r>
      <w:r>
        <w:tab/>
      </w:r>
      <w:r>
        <w:fldChar w:fldCharType="begin"/>
      </w:r>
      <w:r>
        <w:instrText xml:space="preserve"> PAGEREF AUTO_2007_352 \h </w:instrText>
      </w:r>
      <w:r>
        <w:fldChar w:fldCharType="separate"/>
      </w:r>
      <w:r w:rsidR="00993288">
        <w:rPr>
          <w:noProof/>
        </w:rPr>
        <w:t>1488</w:t>
      </w:r>
      <w:r>
        <w:fldChar w:fldCharType="end"/>
      </w:r>
    </w:p>
    <w:p w:rsidR="005E2304" w:rsidRDefault="005E2304" w:rsidP="005E2304"/>
    <w:p w:rsidR="005E2304" w:rsidRDefault="005E2304" w:rsidP="005E2304">
      <w:pPr>
        <w:pStyle w:val="EntradandiceAuto"/>
      </w:pPr>
      <w:r>
        <w:t>Pleno. Auto 353/2007, de 24 de julio de 2007. Inadmite a trámite la cuestión de inconstitucionalidad 3837-2006, planteada por la Sala de lo Contencioso-Administrativo del Tribunal Superior de Justicia de Cataluña en relación con la Ley Orgánica 26/1994, de 29 de diciembre, reguladora del pase a la segunda actividad en el Cuerpo Nacional de Policía.</w:t>
      </w:r>
      <w:r>
        <w:tab/>
      </w:r>
      <w:r>
        <w:tab/>
      </w:r>
      <w:r>
        <w:fldChar w:fldCharType="begin"/>
      </w:r>
      <w:r>
        <w:instrText xml:space="preserve"> PAGEREF AUTO_2007_353 \h </w:instrText>
      </w:r>
      <w:r>
        <w:fldChar w:fldCharType="separate"/>
      </w:r>
      <w:r w:rsidR="00993288">
        <w:rPr>
          <w:noProof/>
        </w:rPr>
        <w:t>1494</w:t>
      </w:r>
      <w:r>
        <w:fldChar w:fldCharType="end"/>
      </w:r>
    </w:p>
    <w:p w:rsidR="005E2304" w:rsidRDefault="005E2304" w:rsidP="005E2304"/>
    <w:p w:rsidR="005E2304" w:rsidRDefault="005E2304" w:rsidP="005E2304">
      <w:pPr>
        <w:pStyle w:val="EntradandiceAuto"/>
      </w:pPr>
      <w:r>
        <w:t>Pleno. Auto 354/2007, de 24 de julio de 2007. Inadmite a trámite la cuestión de inconstitucionalidad 9764-2006, planteada por la Sala de lo Contencioso-Administrativo del Tribunal Superior de Justicia de Cataluña en relación con la Ley 26/1994, de 29 de diciembre, reguladora del pase a la segunda actividad en el Cuerpo Nacional de Policía.</w:t>
      </w:r>
      <w:r>
        <w:tab/>
      </w:r>
      <w:r>
        <w:tab/>
      </w:r>
      <w:r>
        <w:fldChar w:fldCharType="begin"/>
      </w:r>
      <w:r>
        <w:instrText xml:space="preserve"> PAGEREF AUTO_2007_354 \h </w:instrText>
      </w:r>
      <w:r>
        <w:fldChar w:fldCharType="separate"/>
      </w:r>
      <w:r w:rsidR="00993288">
        <w:rPr>
          <w:noProof/>
        </w:rPr>
        <w:t>1498</w:t>
      </w:r>
      <w:r>
        <w:fldChar w:fldCharType="end"/>
      </w:r>
    </w:p>
    <w:p w:rsidR="005E2304" w:rsidRDefault="005E2304" w:rsidP="005E2304"/>
    <w:p w:rsidR="005E2304" w:rsidRDefault="005E2304" w:rsidP="005E2304">
      <w:pPr>
        <w:pStyle w:val="EntradandiceAuto"/>
      </w:pPr>
      <w:r>
        <w:t>Pleno. Auto 355/2007, de 24 de julio de 2007. Mantiene la suspensión en el conflicto positivo de competencias 2790-2007, planteado por el Gobierno de la Nación en relación con la Orden del Director Territorial de territorio y vivienda de la Comunitat Valenciana sobre suspensión cautelar de unas obras de planta desaladora.</w:t>
      </w:r>
      <w:r>
        <w:tab/>
      </w:r>
      <w:r>
        <w:tab/>
      </w:r>
      <w:r>
        <w:fldChar w:fldCharType="begin"/>
      </w:r>
      <w:r>
        <w:instrText xml:space="preserve"> PAGEREF AUTO_2007_355 \h </w:instrText>
      </w:r>
      <w:r>
        <w:fldChar w:fldCharType="separate"/>
      </w:r>
      <w:r w:rsidR="00993288">
        <w:rPr>
          <w:noProof/>
        </w:rPr>
        <w:t>1502</w:t>
      </w:r>
      <w:r>
        <w:fldChar w:fldCharType="end"/>
      </w:r>
    </w:p>
    <w:p w:rsidR="005E2304" w:rsidRDefault="005E2304" w:rsidP="005E2304"/>
    <w:p w:rsidR="005E2304" w:rsidRDefault="005E2304" w:rsidP="005E2304">
      <w:pPr>
        <w:pStyle w:val="EntradandiceAuto"/>
      </w:pPr>
      <w:r>
        <w:t xml:space="preserve">Pleno. Auto 356/2007, de 24 de julio de 2007. Inadmite a trámite la cuestión de inconstitucionalidad 3491-2007, planteada por la Sala de lo Contencioso-Administrativo del Tribunal Superior de Justicia de Cataluña en relación con la Ley </w:t>
      </w:r>
      <w:r>
        <w:lastRenderedPageBreak/>
        <w:t>26/1994, de 29 de diciembre, reguladora del pase a la segunda actividad en el Cuerpo Nacional de Policía.</w:t>
      </w:r>
      <w:r>
        <w:tab/>
      </w:r>
      <w:r>
        <w:tab/>
      </w:r>
      <w:r>
        <w:fldChar w:fldCharType="begin"/>
      </w:r>
      <w:r>
        <w:instrText xml:space="preserve"> PAGEREF AUTO_2007_356 \h </w:instrText>
      </w:r>
      <w:r>
        <w:fldChar w:fldCharType="separate"/>
      </w:r>
      <w:r w:rsidR="00993288">
        <w:rPr>
          <w:noProof/>
        </w:rPr>
        <w:t>1516</w:t>
      </w:r>
      <w:r>
        <w:fldChar w:fldCharType="end"/>
      </w:r>
    </w:p>
    <w:p w:rsidR="005E2304" w:rsidRDefault="005E2304">
      <w:pPr>
        <w:spacing w:after="160" w:line="259" w:lineRule="auto"/>
      </w:pPr>
      <w:r>
        <w:br w:type="page"/>
      </w:r>
    </w:p>
    <w:p w:rsidR="005E2304" w:rsidRDefault="005E2304" w:rsidP="00DE14C9"/>
    <w:p w:rsidR="005E2304" w:rsidRDefault="005E2304" w:rsidP="00DE14C9"/>
    <w:p w:rsidR="00DE14C9" w:rsidRDefault="00DE14C9" w:rsidP="00DE14C9"/>
    <w:p w:rsidR="00DE14C9" w:rsidRDefault="00DE14C9" w:rsidP="00DE14C9"/>
    <w:p w:rsidR="00DE14C9" w:rsidRDefault="00DE14C9" w:rsidP="00DE14C9"/>
    <w:p w:rsidR="00DE14C9" w:rsidRDefault="00DE14C9" w:rsidP="00DE14C9"/>
    <w:p w:rsidR="00DE14C9" w:rsidRDefault="00DE14C9" w:rsidP="00DE14C9"/>
    <w:p w:rsidR="00DE14C9" w:rsidRDefault="00DE14C9" w:rsidP="00DE14C9"/>
    <w:p w:rsidR="00DE14C9" w:rsidRDefault="00DE14C9" w:rsidP="00DE14C9">
      <w:pPr>
        <w:pStyle w:val="CabeceraApartado"/>
      </w:pPr>
      <w:r>
        <w:t>SENTENCIAS</w:t>
      </w:r>
    </w:p>
    <w:p w:rsidR="00DE14C9" w:rsidRDefault="00DE14C9">
      <w:pPr>
        <w:spacing w:after="160" w:line="259" w:lineRule="auto"/>
        <w:rPr>
          <w:rFonts w:ascii="Times New Roman" w:eastAsia="Times New Roman" w:hAnsi="Times New Roman" w:cs="Times New Roman"/>
          <w:sz w:val="48"/>
          <w:szCs w:val="24"/>
          <w:lang w:eastAsia="es-ES"/>
        </w:rPr>
      </w:pPr>
      <w:r>
        <w:br w:type="page"/>
      </w:r>
    </w:p>
    <w:p w:rsidR="00DE14C9" w:rsidRDefault="00DE14C9" w:rsidP="00DE14C9">
      <w:pPr>
        <w:pStyle w:val="TtuloResolucin"/>
      </w:pPr>
      <w:bookmarkStart w:id="4" w:name="SENTENCIA_2007_91"/>
      <w:r>
        <w:lastRenderedPageBreak/>
        <w:t>SENTENCIA 91/2007, de 7 de mayo de 2007</w:t>
      </w:r>
    </w:p>
    <w:bookmarkEnd w:id="4"/>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137, de 8 de junio de 2007)</w:t>
      </w:r>
    </w:p>
    <w:p w:rsidR="00DE14C9" w:rsidRDefault="00DE14C9" w:rsidP="00DE14C9">
      <w:pPr>
        <w:pStyle w:val="TtuloBOE"/>
      </w:pPr>
    </w:p>
    <w:p w:rsidR="00DE14C9" w:rsidRDefault="00DE14C9" w:rsidP="00DE14C9">
      <w:pPr>
        <w:pStyle w:val="SntesisDescriptiva"/>
      </w:pPr>
      <w:r>
        <w:t>ECLI:ES:TC:2007:91</w:t>
      </w:r>
    </w:p>
    <w:p w:rsidR="00DE14C9" w:rsidRDefault="00DE14C9" w:rsidP="00DE14C9">
      <w:pPr>
        <w:pStyle w:val="SntesisDescriptiva"/>
      </w:pPr>
    </w:p>
    <w:p w:rsidR="00DE14C9" w:rsidRDefault="00DE14C9" w:rsidP="00DE14C9">
      <w:pPr>
        <w:pStyle w:val="SntesisDescriptiva"/>
      </w:pPr>
      <w:r>
        <w:t>Recursos de amparo 5435-2001 y 1144-2002 (acumulados). Promovidos por don Luis Álvarez López respecto a las Sentencias de la Sala de lo Contencioso-Administrativo del Tribunal Superior de Justicia de Madrid que desestimaron sus demandas sobre liquidaciones del impuesto sobre la renta de las personas físicas de 1993 y 1994.</w:t>
      </w:r>
    </w:p>
    <w:p w:rsidR="00DE14C9" w:rsidRDefault="00DE14C9" w:rsidP="00DE14C9">
      <w:pPr>
        <w:pStyle w:val="SntesisDescriptiva"/>
      </w:pPr>
    </w:p>
    <w:p w:rsidR="00DE14C9" w:rsidRDefault="00DE14C9" w:rsidP="00DE14C9">
      <w:pPr>
        <w:pStyle w:val="SntesisAnaltica"/>
      </w:pPr>
      <w:r>
        <w:t>Supuesta vulneración del derecho a la igualdad: ámbito tributario; ley que vulnera una norma constitucional que no es un derecho fundamental amparable (STC 159/1997).</w:t>
      </w:r>
    </w:p>
    <w:p w:rsidR="00DE14C9" w:rsidRDefault="00DE14C9" w:rsidP="00DE14C9">
      <w:pPr>
        <w:pStyle w:val="SntesisAnaltica"/>
      </w:pPr>
    </w:p>
    <w:p w:rsidR="00DE14C9" w:rsidRDefault="00DE14C9" w:rsidP="00DE14C9">
      <w:pPr>
        <w:pStyle w:val="Extracto"/>
      </w:pPr>
      <w:r>
        <w:t>1.</w:t>
      </w:r>
      <w:r>
        <w:tab/>
        <w:t>Pese al carácter esencialmente subjetivo del recurso de amparo, nada impide que una disposición legal pueda constituirse en su objeto a través de la impugnación de un acto aplicativo suyo cuando la lesión constitucional derive de la propia norma legal aplicada, en cuyo caso cabe plantear a través del mismo la eventual inconstitucionalidad de una ley (SSTC 93/1995, 223/2001) [FJ 2].</w:t>
      </w:r>
    </w:p>
    <w:p w:rsidR="00DE14C9" w:rsidRDefault="00DE14C9" w:rsidP="00DE14C9">
      <w:pPr>
        <w:pStyle w:val="Extracto"/>
      </w:pPr>
    </w:p>
    <w:p w:rsidR="00DE14C9" w:rsidRDefault="00DE14C9" w:rsidP="00DE14C9">
      <w:pPr>
        <w:pStyle w:val="Extracto"/>
      </w:pPr>
      <w:r>
        <w:t>2.</w:t>
      </w:r>
      <w:r>
        <w:tab/>
        <w:t>Cuando un precepto legal declarado inconstitucional por la vulneración de un derecho susceptible de tutela en el proceso de amparo no existirá ningún óbice para trasladar a la Sentencia de amparo los efectos de aquella declaración, sin embargo cuando el fundamento de la declaración de inconstitucionalidad lo constituya la lesión de un derecho que quede extramuros del recurso de amparo es improcedente tal remisión (STC 159/1997) [FJ 4].</w:t>
      </w:r>
    </w:p>
    <w:p w:rsidR="00DE14C9" w:rsidRDefault="00DE14C9" w:rsidP="00DE14C9">
      <w:pPr>
        <w:pStyle w:val="Extracto"/>
      </w:pPr>
    </w:p>
    <w:p w:rsidR="00DE14C9" w:rsidRDefault="00DE14C9" w:rsidP="00DE14C9">
      <w:pPr>
        <w:pStyle w:val="Extracto"/>
      </w:pPr>
      <w:r>
        <w:t>3.</w:t>
      </w:r>
      <w:r>
        <w:tab/>
        <w:t>La declaración de inconstitucionalidad de un precepto legal no permite revisar un proceso fenecido mediante Sentencia judicial con fuerza de cosa juzgada en el que, antes de dictarse aquella decisión, se ha aplicado una ley luego declarada inconstitucional (SSTC 159/1997, 111/2001) [FJ 4].</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lastRenderedPageBreak/>
        <w:t>SENTENCIA</w:t>
      </w:r>
    </w:p>
    <w:p w:rsidR="00DE14C9" w:rsidRDefault="00DE14C9" w:rsidP="00DE14C9">
      <w:pPr>
        <w:pStyle w:val="TextoNormalCentrado"/>
        <w:keepNext/>
      </w:pPr>
    </w:p>
    <w:p w:rsidR="00DE14C9" w:rsidRDefault="00DE14C9" w:rsidP="00DE14C9">
      <w:pPr>
        <w:pStyle w:val="TextoNormal"/>
      </w:pPr>
      <w:r>
        <w:t>En los recursos de amparo acumulados núms. 5435-2001 y 1144-2002, promovidos por don Luis Álvarez López, representado por el Procurador de los Tribunales don Federico José Olivares de Santiago y asistido, en el primero, por la Letrada doña África Reda Peña y, en el segundo, por el Letrado don Santiago Ilundáin, contra las Sentencias de la Sección Quinta de la Sala de lo Contencioso-Administrativo del Tribunal Superior de Justicia de Madrid de fechas 5 de septiembre y 24 de octubre de 2001, recaídas en los recursos núms. 1549-1998 y 502-1999, respectivamente, en concepto de impuesto sobre la renta de las personas físicas correspondiente a los ejercicios 1993 y 1994. Ha comparecido el Abogado del Estado, en la representación que ostenta. Ha intervenido el Ministerio Fiscal. Ha sido Ponente el Magistrado don Pascual Sala Sánchez,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escritos registrados en este Tribunal los días 19 de octubre de 2001 y 28 de febrero de 2002 el Procurador de los Tribunales don Federico José Olivares de Santiago, en nombre y representación de don Luis Álvarez López, interpuso sendos recursos de amparo contra las Sentencias de la Sección Quinta de la Sala de lo Contencioso-Administrativo del Tribunal Superior de Justicia de Madrid de fechas 5 de septiembre y 24 de octubre de 2001, respectivamente, desestimatorias de los recursos núms. 1549-1998 y 502-1999, interpuestos contra las Resoluciones del Tribunal Económico- Administrativo Regional de Madrid con fechas de 26 de junio y 26 de noviembre de 1998, que desestimaban a su vez las reclamaciones núms. 822-1997 y 2664-1997, presentadas contra las liquidaciones provisionales giradas por la Administración tributaria en concepto de impuesto sobre la renta de las personas físicas correspondientes a los ejercicios 1994 y 1993 por importes de 938.590 pesetas (5.641,03 €) y 1.034.913 € (6.219,95 €), respectivamente.</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de los que traen causa los presentes recursos de amparo son, sucintamente expuestos, los que siguen: </w:t>
      </w:r>
    </w:p>
    <w:p w:rsidR="00DE14C9" w:rsidRDefault="00DE14C9" w:rsidP="00DE14C9">
      <w:pPr>
        <w:pStyle w:val="TextoNormal"/>
      </w:pPr>
      <w:r>
        <w:t xml:space="preserve">a) Tras presentar el recurrente las declaraciones-liquidaciones correspondientes al impuesto sobre la renta de las personas físicas de los ejercicios 1993 y 1994, en las que se declaraba como rendimiento del capital inmobiliario el 2 por 100 del valor catastral de la vivienda habitual [304.864 pesetas por el ejercicio 1993 (1.832,26 €) y 315.535 pesetas por el ejercicio 1994 (1.896,40 €)], se giraron por el Jefe de la Dependencia de Gestión Tributaria de la Administración de la AEAT de Chamartín (Madrid) unas liquidaciones provisionales (claves de liquidación núms. A2860596100023838 y A2860596100024806) por importe de 814.876 pesetas (4.897,50 €) y 808.901 pesetas (4.861,59 €), más 220.037 pesetas (1.322,44 €) y 129.689 pesetas (779,44 €) en concepto de interés de demora por uno y otro ejercicio, como consecuencia de incrementar la base imponible del tributo en el importe de los rendimientos del capital inmobiliario derivados de la imputación de rentas por los bienes inmuebles no arrendados (vivienda habitual) calculados sobre el valor de adquisición; esto es, integrando en la base imponible de cada ejercicio la cifra de 1.760.000 pesetas (10.577,81 €) en lugar de las 304.864 pesetas (1.832,26 €) y 315.535 pesetas (1.896,10 €) inicialmente declaradas, y resultando un incremento de base imponible de 1.455.136 pesetas (8.745,54 €) para el ejercicio 1993, y de 1.444.465 pesetas (8.681,40 €) para el de 1994. </w:t>
      </w:r>
    </w:p>
    <w:p w:rsidR="00DE14C9" w:rsidRDefault="00DE14C9" w:rsidP="00DE14C9">
      <w:pPr>
        <w:pStyle w:val="TextoNormal"/>
      </w:pPr>
      <w:r>
        <w:lastRenderedPageBreak/>
        <w:t xml:space="preserve">b) Contra las anteriores liquidaciones se interpusieron dos reclamaciones económico- administrativas (núms. 28-02664-1997 y 28-00822-1997) ante el Tribunal Económico- Administrativo Regional de Madrid, el cual, por Resoluciones de 26 de noviembre (ejercicio 1993) y 26 de junio de 1998 (ejercicio 1994), las desestimó, al entender que, de conformidad con el art. 34 b) de la Ley 18/1991, del impuesto sobre la renta de las personas físicas, procede imputar como rendimientos íntegros de inmuebles no arrendados el 2 por 100 del mayor de tres valores (catastral, comprobado por la Administración o el precio, contraprestación o valor de adquisición). </w:t>
      </w:r>
    </w:p>
    <w:p w:rsidR="00DE14C9" w:rsidRDefault="00DE14C9" w:rsidP="00DE14C9">
      <w:pPr>
        <w:pStyle w:val="TextoNormal"/>
      </w:pPr>
      <w:r>
        <w:t>c) Recurridas las anteriores resoluciones ante la Sala de lo Contencioso-Administrativo del Tribunal Superior de Justicia de Madrid (recursos núms. 502-1999 y 1549-1998, respectivamente, por los ejercicios 1993 y 1994), por Sentencias núms. 1522 y 1183 de la Sección Quinta, con fechas de 24 de octubre y 5 de septiembre de 2001, se desestiman, al entender el órgano judicial que el fundamento de incluir dentro del hecho imponible del impuesto la tenencia de un inmueble radica en la posibilidad de disfrute, siendo una opción del legislador imputar o no renta alguna por dicha tenencia (así, por ejemplo, con la Ley 40/1998 no se imputa renta alguna por la titularidad de la vivienda destinada al uso habitual) y no quebrándose el principio de igualdad frente a los sujetos pasivos del impuesto que no son titulares de vivienda propia, porque las situaciones del titular de una vivienda y del no titular no son comparables.</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En sus demandas achaca el recurrente en amparo a las liquidaciones giradas por la Administración tributaria, como consecuencia de aplicar el art. 34 b) de la Ley 18/1991, de 6 de junio, del impuesto sobre la renta de las personas físicas, en la redacción vigente en el ejercicio 1994, la vulneración del derecho a la igualdad, toda vez que la aplicación de aquella disposición (que obliga a tomar en consideración como rendimientos íntegros procedentes de la titularidad de bienes inmuebles urbanos no arrendados el 2 por 100 del valor por el que se hallen computados o deberían computarse en el impuesto sobre el patrimonio) en conjunción con el art. 10 de la Ley 19/1991, de 6 de junio, del impuesto sobre el patrimonio (que establece que los bienes inmuebles urbanos se computarán por el mayor valor de los tres siguientes: el valor catastral, el comprobado por la Administración a efectos de otros tributos o el precio, contraprestación o valor de adquisición), obliga a computar una renta que, no sólo hace abstracción de la capacidad económica de cada contribuyente, sino que, además, puede llegar a ser sustancialmente distinta para dos contribuyentes con la misma capacidad económica y propietarios de bienes inmuebles idénticos como consecuencia de una reciente adquisición, pues uno de ellos debe tomar como base de cálculo el valor de adquisición mientras que el otro tomará a tal efecto el valor catastral, lo que supone sentar una discriminación contraria a los arts. 14 y 31, ambos de la CE. </w:t>
      </w:r>
    </w:p>
    <w:p w:rsidR="00DE14C9" w:rsidRDefault="00DE14C9" w:rsidP="00DE14C9">
      <w:pPr>
        <w:pStyle w:val="TextoNormal"/>
      </w:pPr>
      <w:r>
        <w:t xml:space="preserve">En efecto, a juicio del actor, de la jurisprudencia del Tribunal Constitucional (Sentencias de 10 de noviembre de 1988 y de 17 de febrero de 2000) se extrae que el impuesto sobre la renta, no sólo está sometido al principio de igualdad (art. 14 CE) sino también a los generalidad, capacidad y progresividad, que, en el ámbito tributario, particularizan aquella genérica interdicción del trato discriminatorio. Pues bien, a su parecer, un recto entendimiento del principio de capacidad contributiva conlleva que sólo pueden someterse a imposición manifestaciones de riqueza reales y efectivas, y es obvio que no hay una distinta manifestación de riqueza en función del coste de adquisición de los inmuebles. El momento de adquisición de un bien inmueble, sin embargo, no determina una diferente capacidad económica. Así, la valoración del rendimiento inmobiliario contenida en el art. 34 b) de la Ley 18/1991, del impuesto sobre la renta de las personas físicas, en su redacción vigente en el </w:t>
      </w:r>
      <w:r>
        <w:lastRenderedPageBreak/>
        <w:t xml:space="preserve">ejercicio 1994, resulta discriminatoria y, por ello, contraria al principio de igualdad, dado que lleva a gravar de manera diferente idénticas capacidades económicas, calculando el rendimiento en función de unos valores que hacen que se produzca una total desvinculación del gravamen respecto de la capacidad económica, y es obvio que no hay una distinta manifestación de riqueza en función del coste de adquisición de los inmuebles. </w:t>
      </w:r>
    </w:p>
    <w:p w:rsidR="00DE14C9" w:rsidRDefault="00DE14C9" w:rsidP="00DE14C9">
      <w:pPr>
        <w:pStyle w:val="TextoNormal"/>
      </w:pPr>
      <w:r>
        <w:t xml:space="preserve">En suma, para la parte actora, el art. 34 b) de la Ley del impuesto sobre la renta citada no tiene ninguna justificación en términos de igualdad, ya que resulta difícil verificar el acuerdo entre el fin perseguido y los medios arbitrados para su consecución. De hecho esta conclusión la respalda la propia conducta del legislador, que modificó para 1995 y siguientes la base de valoración para el cálculo del rendimiento del capital inmobiliario, dejando como único criterio para dicho cálculo el 2 por 100 del valor catastral (Real Decreto 12/1995, de 28 de diciembre). Por tanto la regla de valoración prevista en el art. 34 b), en su redacción vigente en 1994, es contraria al art. 14 CE, al no existir ninguna causa objetiva y necesaria que justifique la existencia de diferencias normativas, que pueden considerarse discriminatorias al tratar de manera desigual situaciones idénticas. </w:t>
      </w:r>
    </w:p>
    <w:p w:rsidR="00DE14C9" w:rsidRDefault="00DE14C9" w:rsidP="00DE14C9">
      <w:pPr>
        <w:pStyle w:val="TextoNormal"/>
      </w:pPr>
      <w:r>
        <w:t>Finalmente, y mediante otrosí, la parte recurrente solicitó la suspensión de la ejecución de las Sentencias del Tribunal Superior de Justicia de Madrid objeto de los presentes recursos de amparo, dado que su ejecución ocasionaría graves perjuicios que harían perder a los amparos su finalidad.</w:t>
      </w:r>
    </w:p>
    <w:p w:rsidR="00DE14C9" w:rsidRDefault="00DE14C9" w:rsidP="00DE14C9">
      <w:pPr>
        <w:pStyle w:val="TextoNormal"/>
      </w:pPr>
    </w:p>
    <w:p w:rsidR="00DE14C9" w:rsidRDefault="00DE14C9" w:rsidP="00DE14C9">
      <w:pPr>
        <w:pStyle w:val="TextoNormal"/>
      </w:pPr>
      <w:r w:rsidRPr="00DE14C9">
        <w:rPr>
          <w:rStyle w:val="NumeroAFNegritaCaracter"/>
        </w:rPr>
        <w:t>4</w:t>
      </w:r>
      <w:r>
        <w:t>. La Sala Segunda de este Tribunal, mediante providencia de 20 de febrero de 2003, acordó admitir a trámite el recurso de amparo núm. 5435-2001 (relativo al ejercicio 1994) y mediante providencia de 27 de mayo de 2004 acordó admitir a trámite el recurso de amparo núm. 114-2002 (relativo al ejercicio 1993) y, en aplicación de lo dispuesto en el art. 51 LOTC, dirigir en ambos casos atentas comunicaciones a la Sección Quinta de la Sala de lo Contencioso-Administrativo del Tribunal Superior de Justicia de Madrid para que remitiese certificación o fotocopia adverada de las actuaciones correspondientes a los recursos contencioso-administrativos núms. 1549-1998 y 502-1999, interesando igualmente del órgano judicial que previamente emplazase a quienes hubieran sido parte en los procedimientos, excepto a la parte recurrente en amparo, para que, si así lo deseasen, pudieran comparecer, en el plazo de diez días, en los presentes procesos constitucionales.</w:t>
      </w:r>
    </w:p>
    <w:p w:rsidR="00DE14C9" w:rsidRDefault="00DE14C9" w:rsidP="00DE14C9">
      <w:pPr>
        <w:pStyle w:val="TextoNormal"/>
      </w:pPr>
    </w:p>
    <w:p w:rsidR="00DE14C9" w:rsidRDefault="00DE14C9" w:rsidP="00DE14C9">
      <w:pPr>
        <w:pStyle w:val="TextoNormal"/>
      </w:pPr>
      <w:r w:rsidRPr="00DE14C9">
        <w:rPr>
          <w:rStyle w:val="NumeroAFNegritaCaracter"/>
        </w:rPr>
        <w:t>5</w:t>
      </w:r>
      <w:r>
        <w:t>. Mediante escritos registrados los días 26 de febrero de 2003 y 3 de junio de 2004 el Abogado del Estado, en la representación que ostenta, solicitó se le tuviera por personado en ambos procesos constitucionales.</w:t>
      </w:r>
    </w:p>
    <w:p w:rsidR="00DE14C9" w:rsidRDefault="00DE14C9" w:rsidP="00DE14C9">
      <w:pPr>
        <w:pStyle w:val="TextoNormal"/>
      </w:pPr>
    </w:p>
    <w:p w:rsidR="00DE14C9" w:rsidRDefault="00DE14C9" w:rsidP="00DE14C9">
      <w:pPr>
        <w:pStyle w:val="TextoNormal"/>
      </w:pPr>
      <w:r w:rsidRPr="00DE14C9">
        <w:rPr>
          <w:rStyle w:val="NumeroAFNegritaCaracter"/>
        </w:rPr>
        <w:t>6</w:t>
      </w:r>
      <w:r>
        <w:t xml:space="preserve">. Por Auto de 24 de marzo de 2003 la Sala Segunda tras tramitar la oportuna pieza de suspensión, acordó denegar la suspensión solicitada en el recurso de amparo núm. 5435- 2001, debido a que, frente al carácter económico de la obligación dimanante de la liquidación tributaria discutida, el recurrente en amparo no había acreditado la irreparabilidad del perjuicio que le supondría el abono de la deuda contraída con la Administración tributaria, no cumpliendo con la carga que pesaba sobre él y, por tanto, resultando obligada la denegación de la medida cautelar solicitada (ATC 249/2001, de 17 de septiembre, FJ 3). Posteriormente, por Auto de 20 de junio de 2005, la Sala Segunda acordó, en la oportuna pieza de suspensión y previo desistimiento del recurrente de amparo de su petición de suspensión en </w:t>
      </w:r>
      <w:r>
        <w:lastRenderedPageBreak/>
        <w:t>el recurso núm. 1144-2002 por haber procedido al ingreso de la deuda tributaria (manifestada en su escrito registrado el día 8 de junio de 2004), tenerle por desistido, al amparo de lo previsto en el art. 86 LOTC.</w:t>
      </w:r>
    </w:p>
    <w:p w:rsidR="00DE14C9" w:rsidRDefault="00DE14C9" w:rsidP="00DE14C9">
      <w:pPr>
        <w:pStyle w:val="TextoNormal"/>
      </w:pPr>
    </w:p>
    <w:p w:rsidR="00DE14C9" w:rsidRDefault="00DE14C9" w:rsidP="00DE14C9">
      <w:pPr>
        <w:pStyle w:val="TextoNormal"/>
      </w:pPr>
      <w:r w:rsidRPr="00DE14C9">
        <w:rPr>
          <w:rStyle w:val="NumeroAFNegritaCaracter"/>
        </w:rPr>
        <w:t>7</w:t>
      </w:r>
      <w:r>
        <w:t>. Mediante providencias de fechas 26 de junio de 2003 y 14 de julio de 2005 la Sala Segunda de este Tribunal acordó tener por personado al Abogado del Estado en ambos recursos de amparo (núms. 5435-2001 y 1144-2002, respectivamente) y, a tenor de lo dispuesto en el art. 52 LOTC, dar vista de las actuaciones recibidas a las partes personadas y al Ministerio Fiscal para que, dentro del plazo común de veinte días, presentasen las alegaciones que estimaran pertinentes.</w:t>
      </w:r>
    </w:p>
    <w:p w:rsidR="00DE14C9" w:rsidRDefault="00DE14C9" w:rsidP="00DE14C9">
      <w:pPr>
        <w:pStyle w:val="TextoNormal"/>
      </w:pPr>
    </w:p>
    <w:p w:rsidR="00DE14C9" w:rsidRDefault="00DE14C9" w:rsidP="00DE14C9">
      <w:pPr>
        <w:pStyle w:val="TextoNormal"/>
      </w:pPr>
      <w:r w:rsidRPr="00DE14C9">
        <w:rPr>
          <w:rStyle w:val="NumeroAFNegritaCaracter"/>
        </w:rPr>
        <w:t>8</w:t>
      </w:r>
      <w:r>
        <w:t>. Mediante escrito registrado el día 17 de julio de 2003 el Procurador de los Tribunales Sr. Olivares de Santiago, en nombre del recurrente en amparo, presentó escrito de alegaciones en el recurso núm. 5435- 2001, en el que, insistiendo en los mismos argumentos que en su escrito de demanda de amparo con relación a la lesión por el art. 34 b) de la Ley 18/1991, de 6 de junio, del impuesto sobre la renta de las personas físicas, del art. 14 CE, suplicaba se otorgara el amparo solicitado, declarándose la nulidad tanto del art. 34 b) de la Ley 18/1991, de 6 de junio, del impuesto sobre la renta de las personas físicas, en su redacción vigente en 1994, como de la Sentencia del Tribunal Superior de Justicia de Madrid objeto del recurso de amparo. Por otra parte, y al no presentar alegaciones en el recurso núm. 1144-2002, por providencia de la Sala Segunda de 14 de noviembre de 2005 se tuvo por precluido dicho trámite.</w:t>
      </w:r>
    </w:p>
    <w:p w:rsidR="00DE14C9" w:rsidRDefault="00DE14C9" w:rsidP="00DE14C9">
      <w:pPr>
        <w:pStyle w:val="TextoNormal"/>
      </w:pPr>
    </w:p>
    <w:p w:rsidR="00DE14C9" w:rsidRDefault="00DE14C9" w:rsidP="00DE14C9">
      <w:pPr>
        <w:pStyle w:val="TextoNormal"/>
      </w:pPr>
      <w:r w:rsidRPr="00DE14C9">
        <w:rPr>
          <w:rStyle w:val="NumeroAFNegritaCaracter"/>
        </w:rPr>
        <w:t>9</w:t>
      </w:r>
      <w:r>
        <w:t xml:space="preserve">. El Abogado del Estado cumplimentó los trámites de alegaciones mediante escritos registrados los días 18 de julio de 2003 (en el recurso de amparo núm. 5435-2001) y 29 de julio de 2005 (en el recurso de amparo núm. 1144-2002), en los que suplicaba se dictaran sentencias desestimatorias de los amparos pretendidos. En este sentido, parte el Abogado del Estado en sus alegaciones precisando que la súplica de la demanda de amparo está mal concebida, pues en la Sentencia de amparo, ni puede declararse nulo el art. 34 b) de la Ley 18/1991, ni el amparo puede dirigirse exclusivamente contra la Sentencia contencioso-administrativa que puso fin a la vía jurisdiccional, en la medida que se trata de un recurso de amparo encuadrable en el art. 43 LOTC, lo que supone que debía tener por objeto el acto administrativo de aplicación del art. 34 b). Ahora bien, dado que la resolución judicial impugnada considera que la citada disposición legal es conforme a la Constitución, el verdadero objeto de discusión es la constitucionalidad del art. 34 b) de la Ley 18/1991, por lo que, caso de otorgarse el amparo, habría que plantear la cuestión prevista en el art. 55.2 LOTC, pudiéndose entender entonces superado el patente defecto en la redacción de la demanda. </w:t>
      </w:r>
    </w:p>
    <w:p w:rsidR="00DE14C9" w:rsidRDefault="00DE14C9" w:rsidP="00DE14C9">
      <w:pPr>
        <w:pStyle w:val="TextoNormal"/>
      </w:pPr>
      <w:r>
        <w:t xml:space="preserve">A la anterior precisión añade el Abogado del Estado que, aun cuando el recurrente en amparo invoca el art. 14 CE, en realidad la cuestión planteada debe encajarse en el art. 31.1 CE, precepto este último que no proclama derechos fundamentales tutelables en esta vía constitucional de amparo. En efecto, señala el Abogado del Estado que, a la luz de la doctrina constitucional (entre otras, SSTC 71/1998, de 30 de marzo, FJ 4; 200/1999, de 8 de noviembre, FJ 3; 46/2000, de 17 de febrero, FJ 4; y 11/2001, de 7 de mayo, FJ 7), es obvio que la demanda de amparo no se sitúa en el art. 14 CE (puesto que no se basa en un rasgo subjetivo de los que este precepto constitucional menciona especial o genéricamente), sino en el art. 31.1 CE (al pretender evidenciar un trato diferente a una capacidad tributaria que se supone idéntica). Por tanto, si se acepta este planteamiento, el amparo debe denegarse </w:t>
      </w:r>
      <w:r>
        <w:lastRenderedPageBreak/>
        <w:t xml:space="preserve">(inadmitirse) en virtud de lo dispuesto en los arts. 53.2 CE, y 41 y 50.1 b) LOTC, toda vez que la demanda se deduce con base en derechos o libertades no susceptibles de amparo constitucional, como es la igualdad tributaria de acuerdo con la capacidad económica que proclama el art. 31.1 CE. </w:t>
      </w:r>
    </w:p>
    <w:p w:rsidR="00DE14C9" w:rsidRDefault="00DE14C9" w:rsidP="00DE14C9">
      <w:pPr>
        <w:pStyle w:val="TextoNormal"/>
      </w:pPr>
      <w:r>
        <w:t xml:space="preserve">Señalado lo anterior el Abogado del Estado sostiene que la regla del mayor valor, sentada en el art. 10.1 de la Ley 19/1991 y reclamada por el art. 34 b) de la Ley 18/1991, no vulnera la igualdad tributaria proclamada en el art. 31.1 CE, ni a causa de los valores seleccionados por el legislador, ni por razón de la prevalencia dada al que arroje una cifra superior. En efecto, después de citar algunos párrafos de la exposición de motivos de la Ley 19/1991, del impuesto sobre el patrimonio, en relación con las reglas de valoración de los bienes inmuebles, subraya que la característica común de todos los valores mencionados en el art. 10.1 de la Ley 19/1991 es la de ser valores fiscales relevantes, dado que, o bien se trata de valores fijados por la Administración tributaria (valor catastral y valor comprobado), o bien se trata de valores declarados por el contribuyente y no discutidos por la Administración (precio, contraprestación o valor de adquisición). La regla del mayor valor del citado artículo —prosigue— viene a confundirse, en la mayor parte de los casos, con la prevalencia del valor más reciente, que suele ser el más elevado. Aunque todos los valores del citado art. 10.1 apuntan al valor óptimo, según la lógica propia del impuesto sobre el patrimonio —el valor de mercado—, todos ellos suelen quedar por debajo de él; a cambio dan certeza a la relación jurídica impositiva nacida de la titularidad de un patrimonio neto (hecho imponible del impuesto del patrimonio conforme al art. 3 de la Ley 19/1991), al ser valores ciertos e indiscutibles tanto para Administración como para los administrados, de manera que, no sólo proporcionan seguridad jurídica (art. 9.3 CE), sino que también reducen para el declarante el coste de cumplimiento y, al propio tiempo, facilitan la gestión administrativa del impuesto. </w:t>
      </w:r>
    </w:p>
    <w:p w:rsidR="00DE14C9" w:rsidRDefault="00DE14C9" w:rsidP="00DE14C9">
      <w:pPr>
        <w:pStyle w:val="TextoNormal"/>
      </w:pPr>
      <w:r>
        <w:t xml:space="preserve">A juicio del Abogado del Estado el legislador tributario se propone un fin constitucionalmente legítimo cuando, entre el valor de mercado y aquellos otros valores acogidos por el art. 10.1 de la Ley 19/1991 —tal vez inferiores, pero fijados con certeza—, opta por estos últimos aunque resulten normalmente inferiores al primero. Siendo esto así tampoco es reprochable que el legislador tome el mayor valor de los citados, pues normalmente será el más reciente y el más cercano al valor de mercado y, en consecuencia, el valor óptimo a efectos impositivos (cita, a estos efectos, la regla de la normalidad de los casos como criterio de apreciación constitucional contemplado en las SSTC 73/1996, de 30 de abril, FJ 5, 289/2000, de 30 de noviembre, FJ 6; y 47/2001, de 15 de febrero, FJ 6). </w:t>
      </w:r>
    </w:p>
    <w:p w:rsidR="00DE14C9" w:rsidRDefault="00DE14C9" w:rsidP="00DE14C9">
      <w:pPr>
        <w:pStyle w:val="TextoNormal"/>
      </w:pPr>
      <w:r>
        <w:t xml:space="preserve">Pues bien, si se admite la legitimidad constitucional de la anterior finalidad, no se puede afirmar que el art. 10.1 de la Ley 19/1991 o el art. 34 b) de la Ley 18/1991, que se remite a aquél, traten desigualmente lo igual, pues no son iguales las situaciones de “quien pone de manifiesto un mayor valor del bien por un acto dispositivo voluntario” (venta o cualquier otro contrato oneroso de enajenación o aceptación de una donación o sucesión mortis causa, que dan lugar a la declaración de un precio, contraprestación o valor y a su posible comprobación administrativa) “y de quien conserva el bien dentro de su patrimonio”. En efecto, al vender o aceptar una donación o sucesión se pone voluntariamente de manifiesto un mayor valor —declarado o comprobado— del bien inmueble catastrado con valor inferior, porque las operaciones de revisión catastral son lentas y difíciles y no pueden llevarse a cabo simultáneamente, no ya en todo el territorio nacional sino ni siquiera en un mismo municipio (cita, a este respecto, la STC 8/1986, de 21 de enero, FFJJ 5 a 7). </w:t>
      </w:r>
    </w:p>
    <w:p w:rsidR="00DE14C9" w:rsidRDefault="00DE14C9" w:rsidP="00DE14C9">
      <w:pPr>
        <w:pStyle w:val="TextoNormal"/>
      </w:pPr>
      <w:r>
        <w:t xml:space="preserve">La diferencia de valoraciones, continua el Abogado del Estado, está entonces justificada en una diferencia de conductas de los propietarios que tienen sus viviendas en una misma </w:t>
      </w:r>
      <w:r>
        <w:lastRenderedPageBreak/>
        <w:t xml:space="preserve">unidad constructiva. El mayor valor comprobado o declarado (precio, contraprestación o valor de adquisición), en relación con el valor catastral, “es secuela de una actuación voluntaria del contribuyente que ha colaborado en la puesta de manifiesto de un mayor valor más cercano o igual al del mercado y, por ello, ha revelado una mayor capacidad contributiva, primero, en la compraventa, donación, sucesión, etc.; luego en la titularidad de un patrimonio; y finalmente en la obtención de una renta inmobiliaria en especie o presunta imputada al propietario. Mientras que, por el contrario, quien se beneficia de una menor valoración (típicamente, la catastral), se ha abstenido de realizar una conducta que pone de manifiesto el mayor valor del bien y, por ende, la mayor capacidad contributiva”. </w:t>
      </w:r>
    </w:p>
    <w:p w:rsidR="00DE14C9" w:rsidRDefault="00DE14C9" w:rsidP="00DE14C9">
      <w:pPr>
        <w:pStyle w:val="TextoNormal"/>
      </w:pPr>
      <w:r>
        <w:t xml:space="preserve">Por ello, concluye el Abogado del Estado, las situaciones comparadas son diferentes si las contemplamos “desde la perspectiva de las personas intervinientes (es decir, los contribuyentes)”, en lugar de hacerlo “desde el punto de vista de los bienes, comparando —por ejemplo— viviendas de un mismo edificio”. Además esas viviendas del mismo edificio podrían tener valores diferentes y, sin embargo, pertenecer al mismo titular, caso en el que, por compararse posiciones jurídicas de un mismo individuo, queda excluida a radice la posibilidad de un juicio constitucional de igualdad. En definitiva, esta hipótesis de varios pisos del mismo edificio pertenecientes al mismo propietario y valorados según diferente criterio pone de manifiesto el error de perspectiva en que incurre el actor cuando compara bienes y no diferentes tratamientos jurídicos a clases o categorías personales. En suma, la perspectiva relevante para la igualdad constitucional es la comparación interpersonal, es decir, la comparación entre personas o conjuntos de personas, y no entre actividades, posiciones jurídicas o bienes (por todas, SSTC 18112000, de 29 de junio, FFJJ 10 y 11; 190/2001, de 1 de octubre, FJ 3; y 119/2002, de 20 de mayo, FJ 4). </w:t>
      </w:r>
    </w:p>
    <w:p w:rsidR="00DE14C9" w:rsidRDefault="00DE14C9" w:rsidP="00DE14C9">
      <w:pPr>
        <w:pStyle w:val="TextoNormal"/>
      </w:pPr>
      <w:r>
        <w:t>Por medio de otrosí en su escrito de 29 de julio de 2005 el Abogado del Estado solicitó la acumulación de los recursos de amparo núms. 5435-2001 y 1144-2002, porque, aun teniendo por objeto actos administrativos distintos, han sido interpuestos por el mismo recurrente y plantean idéntico problema de inconstitucionalidad respecto del art. 34 b) de la Ley 18/1991, de 6 de junio.</w:t>
      </w:r>
    </w:p>
    <w:p w:rsidR="00DE14C9" w:rsidRDefault="00DE14C9" w:rsidP="00DE14C9">
      <w:pPr>
        <w:pStyle w:val="TextoNormal"/>
      </w:pPr>
    </w:p>
    <w:p w:rsidR="00DE14C9" w:rsidRDefault="00DE14C9" w:rsidP="00DE14C9">
      <w:pPr>
        <w:pStyle w:val="TextoNormal"/>
      </w:pPr>
      <w:r w:rsidRPr="00DE14C9">
        <w:rPr>
          <w:rStyle w:val="NumeroAFNegritaCaracter"/>
        </w:rPr>
        <w:t>10</w:t>
      </w:r>
      <w:r>
        <w:t xml:space="preserve">. El Fiscal presentó sus alegaciones en el Registro General de este Tribunal los días 23 de julio de 2003 (recurso de amparo núm. 5435-2001) y 19 de septiembre de 2005 (recurso de amparo núm. 1144-2002), interesando la denegación de los amparos, dado que el motivo sostenido por la parte actora carece de toda eficacia suasoria. Antes de nada precisa el Ministerio Fiscal que nos hallamos ante un recurso de configuración mixta, porque, aun cuando las recurridas son, propiamente, las resoluciones administrativas que acordaron formular una liquidación paralela, las resoluciones judiciales también impugnadas se limitaron a confirmar la bondad en derecho de lo decidido por la Administración tributaria, sin reparar la eventual lesión del derecho fundamental invocado. Se trata, pues, de un recurso formalizado al amparo del art. 43 LOTC, como pone de manifiesto la propia demanda de amparo. </w:t>
      </w:r>
    </w:p>
    <w:p w:rsidR="00DE14C9" w:rsidRDefault="00DE14C9" w:rsidP="00DE14C9">
      <w:pPr>
        <w:pStyle w:val="TextoNormal"/>
      </w:pPr>
      <w:r>
        <w:t xml:space="preserve">A continuación añade el Ministerio Fiscal que el recurso de amparo se encamina a instar el posible planteamiento de una cuestión de inconstitucionalidad que afectaría a las normas legales de cobertura de las resoluciones ahora impugnadas, en cuanto que entiende que han generado un efecto discriminatorio no conforme con el principio de igualdad ante la Ley que, en su configuración subjetiva y en lo que se refiere al ámbito tributario, se localiza en el art. 31 CE. Pues bien, no cabe duda de que la doctrina constitucional ha admitido que en el recurso de amparo es posible discutir la conformidad con la Constitución del precepto o preceptos legales que, aplicados al demandante, hayan podido depararle la lesión que motiva su queja (por ejemplo, STC 209/1988), apreciándose entonces la vulneración singular del </w:t>
      </w:r>
      <w:r>
        <w:lastRenderedPageBreak/>
        <w:t xml:space="preserve">derecho invocado, sin perjuicio del análisis de constitucionalidad del precepto legal a través del procedimiento establecido en el art. 55.2 LOTC. </w:t>
      </w:r>
    </w:p>
    <w:p w:rsidR="00DE14C9" w:rsidRDefault="00DE14C9" w:rsidP="00DE14C9">
      <w:pPr>
        <w:pStyle w:val="TextoNormal"/>
      </w:pPr>
      <w:r>
        <w:t xml:space="preserve">Una vez hechas las precisiones anteriores concreta el Ministerio Fiscal que el ámbito de aplicación del art. 14 CE es el de las desigualdades subjetivas y no objetivas, razón por la cual deben rechazarse aquellas demandas de amparo “en las que so pretexto de la invocación formal del art. 14 CE, y sin un enlace subsumible en el marco de este precepto, lo que realmente se denuncia es una vulneración de los principios de capacidad económica, de justicia, de igualdad tributaria y progresividad del art. 31.1 CE” (por todas, STC 54/1993, FJ 1). Pues bien, en la demanda se sostiene que la aplicación de la regla del mayor valor a los inmuebles de naturaleza urbana depende de un factor tan aleatorio como pueda ser el temporal o el de una actuación administrativa para determinar finalmente si ha de escogerse uno u otro valor, lo que, a su vez, ocasiona que, a contribuyentes con igual capacidad económica, pueda imputárseles un rendimiento inmobiliario diferente por aplicárseles un principio rector que queda totalmente al margen de su control como es la fecha de adquisición del inmueble o el de la eventual actuación de la Administración Tributaria, procediendo a su revisión catastral o a su valoración a efectos de otros tributos. A juicio del Ministerio Fiscal la finalidad perseguida por el legislador no es otra que la de calcular los rendimientos del capital inmobiliario respecto de valores los más actualizados posible al momento de la declaración tributaria por el Impuesto sobre la Renta, para lo que diseñó un sistema tripartito de valoración que era aplicable a todos los contribuyentes por igual y que impide apreciar ningún trato discriminatorio en la medida legal de referencia. </w:t>
      </w:r>
    </w:p>
    <w:p w:rsidR="00DE14C9" w:rsidRDefault="00DE14C9" w:rsidP="00DE14C9">
      <w:pPr>
        <w:pStyle w:val="TextoNormal"/>
      </w:pPr>
      <w:r>
        <w:t xml:space="preserve">A mayor abundamiento, añade el Ministerio Fiscal, ha de tenerse en cuenta que, si bien la referencia al momento de la adquisición y al valor adjudicado al inmueble por la correspondiente escritura pública de venta quedaba supeditado a un elemento como es el del transcurso del tiempo, también lo es que la compra reciente de un inmueble por un determinado precio frente a la adquisición efectuada de otro inmueble similar en fecha muy anterior permite deducir la existencia de una capacidad económica diferente propiciada por un factor de carácter objetivo, como es el de la propia fecha de adquisición. O, dicho de otro modo, el transcurso del tiempo constituye también un elemento diferenciador que podría justificar que determinadas adquisiciones efectuadas en una determinada fecha que es inmediatamente anterior a la de la formalización de la declaración tributaria puedan revelar una determinada capacidad económica en el contribuyente distinta de la de aquel otro que hubo adquirido otro inmueble totalmente semejante al anterior pero en un período de tiempo muy precedente. El lapsus de tiempo transcurrido entre una y otra adquisición, concluye el Fiscal, teniendo en cuenta la evolución alcista que se opera en este sector económico, justificaría la racionalidad de los tres criterios establecidos por el legislador con el fin de adecuar la aplicación de la norma y de la valoración del inmueble correspondiente al momento más inmediato posible y de esa manera reflejar con la mayor fidelidad la capacidad económica real de cada contribuyente. Y esta conclusión no se ve desmerecida por el hecho de que el legislador redujera los criterios de valoración de los inmuebles al catastral en el ejercicio 1995, pues ello entra en la libre opción legislativa de aquél y de su potestad para diseñar los tributos de acuerdo con los principios que establece el art. 31.1 CE. </w:t>
      </w:r>
    </w:p>
    <w:p w:rsidR="00DE14C9" w:rsidRDefault="00DE14C9" w:rsidP="00DE14C9">
      <w:pPr>
        <w:pStyle w:val="TextoNormal"/>
      </w:pPr>
      <w:r>
        <w:t>En suma, debe desestimarse la demanda y, en consecuencia, denegarse el amparo solicitado.</w:t>
      </w:r>
    </w:p>
    <w:p w:rsidR="00DE14C9" w:rsidRDefault="00DE14C9" w:rsidP="00DE14C9">
      <w:pPr>
        <w:pStyle w:val="TextoNormal"/>
      </w:pPr>
    </w:p>
    <w:p w:rsidR="00DE14C9" w:rsidRDefault="00DE14C9" w:rsidP="00DE14C9">
      <w:pPr>
        <w:pStyle w:val="TextoNormal"/>
      </w:pPr>
      <w:r w:rsidRPr="00DE14C9">
        <w:rPr>
          <w:rStyle w:val="NumeroAFNegritaCaracter"/>
        </w:rPr>
        <w:t>11</w:t>
      </w:r>
      <w:r>
        <w:t xml:space="preserve">. Por providencia de la Sección Tercera de 14 de noviembre de 2005, y a la vista de la petición de acumulación efectuada por el Abogado del Estado, se acordó conceder al recurrente en amparo, a las partes personadas y al Ministerio Fiscal un plazo de diez días </w:t>
      </w:r>
      <w:r>
        <w:lastRenderedPageBreak/>
        <w:t>para que, a tenor del art. 83 LOTC, alegasen lo que a su derecho conviniera sobre la citada acumulación. Este trámite fue evacuado por el recurrente en amparo y por el Ministerio Fiscal mediante escritos registrados, respectivamente, los días 25 de noviembre y 5 de diciembre de 2005, en los que ambos manifestaban la pertinencia de la acumulación solicitada. Posteriormente, por Auto de 16 de enero de 2006, la Sala Segunda de este Tribunal acordó acumular el recurso de amparo núm. 1144-2002 al que llevaba el núm. 5435-2001, por hallarse ambos en una situación sustancialmente idéntica al haber sido interpuestos por el mismo recurrente y plantear el mismo problema constitucional respecto del art. 34 b) de la Ley 18/1991, del impuesto sobre la renta de las personas físicas, si bien respecto de liquidaciones del citado impuesto de ejercicios distintos, concretamente los años 1993 y 1994.</w:t>
      </w:r>
    </w:p>
    <w:p w:rsidR="00DE14C9" w:rsidRDefault="00DE14C9" w:rsidP="00DE14C9">
      <w:pPr>
        <w:pStyle w:val="TextoNormal"/>
      </w:pPr>
    </w:p>
    <w:p w:rsidR="00DE14C9" w:rsidRDefault="00DE14C9" w:rsidP="00DE14C9">
      <w:pPr>
        <w:pStyle w:val="TextoNormal"/>
      </w:pPr>
      <w:r w:rsidRPr="00DE14C9">
        <w:rPr>
          <w:rStyle w:val="NumeroAFNegritaCaracter"/>
        </w:rPr>
        <w:t>12</w:t>
      </w:r>
      <w:r>
        <w:t>. Por providencia de 3 de mayo de 2007, se fijó para la deliberación y votación de la presente Sentencia el día 7 del mismo mes y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Las presentes demandas de amparo se dirigen contra las Sentencias de la Sección Quinta de la Sala de lo Contencioso-Administrativo del Tribunal Superior de Justicia de Madrid de fechas 5 de septiembre y 24 de octubre de 2001, que desestiman los recursos interpuestos contra las Resoluciones del Tribunal Económico-Administrativo Regional de Madrid con fechas de 26 de junio y 26 de noviembre de 1998, que desestimaban a su vez las reclamaciones presentadas contra dos liquidaciones provisionales giradas por la Administración tributaria en concepto de impuesto sobre la renta de las personas físicas correspondientes a los ejercicios 1994 y 1993, respectivamente, en las que se incorporaba a la base imponible del Impuesto sobre la Renta de las Personas Físicas el resultado de aplicar a la vivienda habitual del recurrente el 2 por 100 sobre su coste de adquisición, en aplicación del art. 34 b) de la Ley 18/1991, de 6 de junio, en su redacción originaria.</w:t>
      </w:r>
    </w:p>
    <w:p w:rsidR="00DE14C9" w:rsidRDefault="00DE14C9" w:rsidP="00DE14C9">
      <w:pPr>
        <w:pStyle w:val="TextoNormal"/>
      </w:pPr>
      <w:r>
        <w:t>El demandante de amparo denuncia la vulneración de su derecho a la igualdad ante la ley tributaria (arts. 14 y 31.1 CE), toda vez que la aplicación del art. 34 b) de la Ley 18/1991 le obliga a computar en la base imponible de su impuesto una renta que, no sólo hace abstracción de su capacidad económica, sino que es sustancialmente distinta a la de otros contribuyentes que son propietarios de idénticos bienes inmuebles pero calculan la renta computable sobre el valor catastral, en función del momento en que cada cual adquirió el bien inmueble.</w:t>
      </w:r>
    </w:p>
    <w:p w:rsidR="00DE14C9" w:rsidRDefault="00DE14C9" w:rsidP="00DE14C9">
      <w:pPr>
        <w:pStyle w:val="TextoNormal"/>
      </w:pPr>
      <w:r>
        <w:t>Tanto el Abogado del Estado como el Ministerio Fiscal se oponen a la concesión del amparo, por dos motivos. En primer lugar, porque la desigualdad que se imputa a la liquidación impugnada se basa en un dato objetivo y no en circunstancias subjetivas, razón por la cual la cuestión planteada debe encajarse en el art. 31.1 CE, y no el art. 14 CE, y, por tanto, el amparo debe denegarse, pues, en aplicación de los arts. 53.2 CE, y 41 y 50.1 b) LOTC, la demanda se deduce contra derechos o libertades no susceptibles de amparo constitucional, como es la igualdad tributaria del art. 31.1 CE. Y, en segundo lugar, porque la aplicación por el art. 34 b) de la Ley 18/1991 de la regla del mayor valor no hace sino consagrar la prevalencia del valor más reciente, que suele ser el más cercano al valor de mercado y, en consecuencia, el más óptimo a efectos impositivos, siendo la diferencia de valoraciones consecuencia de una diferencia de conductas de los propietarios que tienen su vivienda en una misma unidad constructiva, por lo que las situaciones que se pretenden comparar son disímiles.</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2</w:t>
      </w:r>
      <w:r>
        <w:t>. Con carácter previo al examen de las denuncias de las vulneraciones alegadas es necesario precisar que, aun cuando el carácter esencialmente subjetivo del recurso de amparo —que se dirige únicamente a reparar o, en su caso, prevenir, lesiones concretas y efectivas de derechos fundamentales— impide que en este proceso se puedan efectuar juicios abstractos de inconstitucionalidad de normas (por todas, SSTC 93/1995, de 19 de junio, FJ 5; 78/1997, de 21 de abril, FJ 3; 215/2000, de 18 de septiembre, FJ 4; y 49/2005, de 14 de marzo, FJ 2) o, en general, garantizar en abstracto la correcta aplicación de los preceptos de la Constitución que recogen y garantizan derechos fundamentales (por todas, SSTC 78/1997, de 21 de abril, FJ 4; y 83/2000, de 27 de marzo, FJ 2), sin embargo nada impide que una disposición legal pueda constituirse en el objeto de un recurso de amparo a través de la impugnación de un acto aplicativo suyo cuando la lesión constitucional derive, directa e inmediatamente, de la propia norma legal aplicada, en cuyo caso cabe plantear a través del recurso de amparo la eventual inconstitucionalidad de una ley [por ejemplo, SSTC 223/2001, de 5 de noviembre, FJ 7 a); 222/2004, de 29 de noviembre, FJ 3 b); y 49/2005, de 14 de marzo, FJ 2]. Ello, claro está, sin perjuicio de que una eventual estimación del recurso de amparo por considerar que la norma legal aplicada es lesiva del derecho fundamental invocado conduzca a que la Sala eleve al Pleno de este Tribunal la cuestión prevista en el art. 55.2 LOTC, para que, en su caso, declare la inconstitucionalidad de aquella disposición legal (por todas, SSTC 209/1988, de 10 de noviembre, FJ 12; 243/1988, de 19 de diciembre, FJ 5; 211/1989, de 19 de diciembre, FJ 3; 125/1994, de 25 de abril, FJ 5; 103/1996, de 11 de junio, FJ 7; 110/1996, de 24 de junio, FJ 7; 46/1999, de 22 de marzo, FJ 3; y 202/2002, de 28 de octubre, FJ 6).</w:t>
      </w:r>
    </w:p>
    <w:p w:rsidR="00DE14C9" w:rsidRDefault="00DE14C9" w:rsidP="00DE14C9">
      <w:pPr>
        <w:pStyle w:val="TextoNormal"/>
      </w:pPr>
    </w:p>
    <w:p w:rsidR="00DE14C9" w:rsidRDefault="00DE14C9" w:rsidP="00DE14C9">
      <w:pPr>
        <w:pStyle w:val="TextoNormal"/>
      </w:pPr>
      <w:r w:rsidRPr="00DE14C9">
        <w:rPr>
          <w:rStyle w:val="NumeroAFNegritaCaracter"/>
        </w:rPr>
        <w:t>3</w:t>
      </w:r>
      <w:r>
        <w:t>. La cuestión que se plantea en los presentes recursos de amparo, a saber, la lesión por el art. 34 b) de la Ley 18/1991, de 6 de junio, del impuesto sobre la renta de las personas físicas, del principio de igualdad ante la ley tributaria (arts.  14 y 31.1 CE) ha sido recientemente resuelta en la STC 295/2006, de 11 de octubre, en cuyo FJ 8 consideramos que “aunque la titularidad de bienes inmuebles no arrendados exterioriza la existencia de una renta potencial —que no ficticia, como afirman tanto el órgano judicial planteante de la cuestión como el Fiscal General del Estado—, lo que permite someterla a imposición en el impuesto sobre la renta de las personas físicas, es evidente que la renta imputada necesariamente debe ser la misma ante bienes inmuebles idénticos (misma superficie, situación, valor catastral y valor de mercado), careciendo de una justificación razonable la utilización de un diferente criterio para la cuantificación de los rendimientos frente a iguales manifestaciones de capacidad económica, pues fundamentar en el impuesto sobre la renta de las personas físicas la diferente imputación de renta a cada titular de bienes inmuebles no arrendados en la circunstancia de que se haya o no producido un acto dispositivo por parte del titular o actuaciones administrativas dirigidas a su valoración, vulnera el principio de igualdad tributaria previsto en el art. 31.1 CE”, razón por la cual declaramos la inconstitucional del “párrafo primero del art. 34 b) de la Ley 18/1991 en su versión original, por vulneración del principio de igualdad en la contribución a las cargas públicas conforme a la capacidad económica de cada cual, recogido en el art. 31.1 CE”.</w:t>
      </w:r>
    </w:p>
    <w:p w:rsidR="00DE14C9" w:rsidRDefault="00DE14C9" w:rsidP="00DE14C9">
      <w:pPr>
        <w:pStyle w:val="TextoNormal"/>
      </w:pPr>
      <w:r>
        <w:t xml:space="preserve">Como puede apreciarse la razón de la declaración de la inconstitucionalidad del precepto legal cuestionado fue la lesión por éste del art. 31.1 CE, debido a que la desigualdad de gravamen denunciada se situaba “exclusivamente en el ámbito del art.  31.1 CE, dado que no se produciría por razones de naturaleza subjetiva —que son las que, conforme a nuestra jurisprudencia, se recogen en el art. 14 CE— sino por una causa puramente objetiva —que sólo resulta subsumible en el art. 31.1 CE—”, pues “lo determinante para el diferente trato </w:t>
      </w:r>
      <w:r>
        <w:lastRenderedPageBreak/>
        <w:t>desde el punto de vista del deber de contribuir es el momento en el que se adquiere el inmueble al que el art. 34 b) de la Ley 18/1991 imputa la renta” (STC 295/2006, de 11 de octubre, FJ 5).</w:t>
      </w:r>
    </w:p>
    <w:p w:rsidR="00DE14C9" w:rsidRDefault="00DE14C9" w:rsidP="00DE14C9">
      <w:pPr>
        <w:pStyle w:val="TextoNormal"/>
      </w:pPr>
    </w:p>
    <w:p w:rsidR="00DE14C9" w:rsidRDefault="00DE14C9" w:rsidP="00DE14C9">
      <w:pPr>
        <w:pStyle w:val="TextoNormal"/>
      </w:pPr>
      <w:r w:rsidRPr="00DE14C9">
        <w:rPr>
          <w:rStyle w:val="NumeroAFNegritaCaracter"/>
        </w:rPr>
        <w:t>4</w:t>
      </w:r>
      <w:r>
        <w:t>. Apreciada la inconstitucionalidad del párrafo primero del apartado b) del art. 34 de la Ley 18/1991, de 6 de junio, por la STC 295/2006, de 11 de octubre, en los términos en que ha sido expuesto resta concretar si cabe extender los efectos de aquella declaración de inconstitucionalidad y nulidad a los presentes recursos de amparo, que se fundan en la aplicación del mencionado precepto legal. Y es doctrina de este Tribunal que, aun cuando el precepto legal afectado en uno y otro proceso constitucional sea el mismo, “no siempre será posible remitirse a lo decidido en esta última Sentencia para resolver el amparo”. En efecto, cuando el precepto legal declarado inconstitucional lo haya sido por la vulneración de un derecho o libertad “susceptible de tutela en el proceso de amparo constitucional” ningún óbice existirá para trasladar a la Sentencia de amparo los efectos de aquella declaración de inconstitucionalidad y nulidad.  Sin embargo cuando el fundamento de la declaración de inconstitucionalidad lo constituya la lesión de un derecho o libertad que quede extramuros del recurso de amparo “es improcedente tal remisión, en atención a los presupuestos de la jurisdicción de este Tribunal en el proceso de amparo” (STC 159/1997, de 2 de octubre, FJ 6), habida cuenta que la declaración de inconstitucionalidad que se contiene en la citada STC 295/2006 “no permite revisar un proceso fenecido mediante Sentencia judicial con fuerza de cosa juzgada en el que, como sucede en el presente caso, antes de dictarse aquella decisión se ha aplicado una ley luego declarada inconstitucional” [SSTC 159/1997, de 2 de octubre, FJ 7 b); y 111/2001, de 7 de mayo, FJ 8], y resulta indudable “que un proceso judicial concluido por Sentencia firme (art.  245.3 LOPJ) es, a los fines de lo dispuesto en el art. 40.1 LOTC, un ‘proceso fenecido mediante Sentencia con fuerza de cosa juzgada’, aun cuando dicha Sentencia haya sido objeto de un ulterior recurso de amparo” [SSTC 159/1997, de 2 de octubre, FJ 7 b); y 6/1998, de 13 de enero, FJ 5].</w:t>
      </w:r>
    </w:p>
    <w:p w:rsidR="00DE14C9" w:rsidRDefault="00DE14C9" w:rsidP="00DE14C9">
      <w:pPr>
        <w:pStyle w:val="TextoNormal"/>
      </w:pPr>
      <w:r>
        <w:t>En suma, habida cuenta, de un lado, que la STC 295/2006 declaró la contradicción entre el párrafo primero del art. 34 b) de la Ley 18/1991, de 6 de junio, y el principio de igualdad tributaria recogido en el art. 31.1 CE, siendo este último un precepto constitucional que no recoge derechos o libertades susceptibles de amparo constitucional —de conformidad con los arts. 53.2 CE y 41.1 LOTC— y, de otro lado, que en las demandas no se alega vulneración de otro derecho o libertad distintos del derecho a la igualdad en la contribución a las cargas públicas recogido en aquel art. 31.1 CE, no cabe, por las razones expuestas, sino desestimar los presentes recursos de amparo.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Denegar los amparos solicitados por don Luis Álvarez López.</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siete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lastRenderedPageBreak/>
        <w:br w:type="page"/>
      </w:r>
    </w:p>
    <w:p w:rsidR="00DE14C9" w:rsidRDefault="00DE14C9" w:rsidP="00DE14C9">
      <w:pPr>
        <w:pStyle w:val="TtuloResolucin"/>
      </w:pPr>
      <w:bookmarkStart w:id="5" w:name="SENTENCIA_2007_92"/>
      <w:r>
        <w:lastRenderedPageBreak/>
        <w:t>SENTENCIA 92/2007, de 7 de mayo de 2007</w:t>
      </w:r>
    </w:p>
    <w:bookmarkEnd w:id="5"/>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137, de 8 de junio de 2007)</w:t>
      </w:r>
    </w:p>
    <w:p w:rsidR="00DE14C9" w:rsidRDefault="00DE14C9" w:rsidP="00DE14C9">
      <w:pPr>
        <w:pStyle w:val="TtuloBOE"/>
      </w:pPr>
    </w:p>
    <w:p w:rsidR="00DE14C9" w:rsidRDefault="00DE14C9" w:rsidP="00DE14C9">
      <w:pPr>
        <w:pStyle w:val="SntesisDescriptiva"/>
      </w:pPr>
      <w:r>
        <w:t>ECLI:ES:TC:2007:92</w:t>
      </w:r>
    </w:p>
    <w:p w:rsidR="00DE14C9" w:rsidRDefault="00DE14C9" w:rsidP="00DE14C9">
      <w:pPr>
        <w:pStyle w:val="SntesisDescriptiva"/>
      </w:pPr>
    </w:p>
    <w:p w:rsidR="00DE14C9" w:rsidRDefault="00DE14C9" w:rsidP="00DE14C9">
      <w:pPr>
        <w:pStyle w:val="SntesisDescriptiva"/>
      </w:pPr>
      <w:r>
        <w:t>Recurso de amparo 2476-2003. Promovido por doña María de las Nieves Grinda Ojesto respecto a providencia de la Audiencia Provincial de Madrid dictada en grado de apelación de un juicio de cognición sobre resolución de contrato de arrendamiento de vivienda.</w:t>
      </w:r>
    </w:p>
    <w:p w:rsidR="00DE14C9" w:rsidRDefault="00DE14C9" w:rsidP="00DE14C9">
      <w:pPr>
        <w:pStyle w:val="SntesisDescriptiva"/>
      </w:pPr>
    </w:p>
    <w:p w:rsidR="00DE14C9" w:rsidRDefault="00DE14C9" w:rsidP="00DE14C9">
      <w:pPr>
        <w:pStyle w:val="SntesisAnaltica"/>
      </w:pPr>
      <w:r>
        <w:t>Vulneración del derecho a la tutela judicial efectiva: negativa a incoar, en grado de apelación de un pleito civil, un incidente de nulidad de actuaciones sin motivación.</w:t>
      </w:r>
    </w:p>
    <w:p w:rsidR="00DE14C9" w:rsidRDefault="00DE14C9" w:rsidP="00DE14C9">
      <w:pPr>
        <w:pStyle w:val="SntesisAnaltica"/>
      </w:pPr>
    </w:p>
    <w:p w:rsidR="00DE14C9" w:rsidRDefault="00DE14C9" w:rsidP="00DE14C9">
      <w:pPr>
        <w:pStyle w:val="Extracto"/>
      </w:pPr>
      <w:r>
        <w:t>1.</w:t>
      </w:r>
      <w:r>
        <w:tab/>
        <w:t>La expresión “no ha lugar a incoar” en la resolución denegatoria de la incoación de un incidente de nulidad de actuaciones, carece de los requisitos de la motivación constitucionalmente exigida, lesionando el derecho a la tutuela judicial efectiva de la recurrente [FJ 4].</w:t>
      </w:r>
    </w:p>
    <w:p w:rsidR="00DE14C9" w:rsidRDefault="00DE14C9" w:rsidP="00DE14C9">
      <w:pPr>
        <w:pStyle w:val="Extracto"/>
      </w:pPr>
    </w:p>
    <w:p w:rsidR="00DE14C9" w:rsidRDefault="00DE14C9" w:rsidP="00DE14C9">
      <w:pPr>
        <w:pStyle w:val="Extracto"/>
      </w:pPr>
      <w:r>
        <w:t>2.</w:t>
      </w:r>
      <w:r>
        <w:tab/>
        <w:t>Resulta patente la apreciación de la insuficiencia constitucional de la resolución impugnada dado que la negativa a incoar el incidente de nulidad se produce de manera contradictoria con lo actuado por el órgano judicial, que había admitido el escrito por el que se interponía, dando traslado del mismo a la contraparte para que formulase, como así lo hizo, alegaciones al respecto [FJ 4].</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 xml:space="preserve">En el recurso de amparo núm. 2476-2003, promovido por doña María de las Nieves Grinda Ojesto, representada por el Procurador de los Tribunales don Ángel Luis Mesas Peiró y asistida por la Abogada doña María Soledad Mesas Peiró, contra la providencia de fecha 26 de marzo de 2003 dictada por la Sección Decimoctava de la Audiencia Provincial de Madrid en el rollo núm. 601-2001, por la que se acuerda no haber lugar a incoar el incidente de nulidad de actuaciones interpuesto por la recurrente en autos de juicio de cognición 327-2000 sobre resolución de contrato de arrendamiento de vivienda seguidos ante el Juzgado de Primera Instancia núm. 34 de Madrid. Ha comparecido doña María Fernanda Guerra Orgaz, representada por la Procuradora de los Tribunales doña María Luisa González </w:t>
      </w:r>
      <w:r>
        <w:lastRenderedPageBreak/>
        <w:t>García y asistida por el Abogado don Emilio Fidalgo Castro. Ha intervenido el Ministerio Fiscal. Ha sido Ponente el Magistrado don Ramón Rodríguez Arribas,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registrado en este Tribunal el día 28 de abril de 2003 el Procurador de los Tribunales don Ángel Luis Mesas Peiró, en nombre y representación de doña María de las Nieves Grinda Ojesto, interpuso recurso de amparo contra la providencia de la que se hace mención en el encabezamiento por vulnerar el derecho fundamental de la recurrente a la tutela judicial efectiva sin indefensión proclamado en el art. 24.1 de la Constitución española.</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que originan la demanda de amparo son, en síntesis, los siguientes: </w:t>
      </w:r>
    </w:p>
    <w:p w:rsidR="00DE14C9" w:rsidRDefault="00DE14C9" w:rsidP="00DE14C9">
      <w:pPr>
        <w:pStyle w:val="TextoNormal"/>
      </w:pPr>
      <w:r>
        <w:t xml:space="preserve">a) La aquí recurrente en amparo fue demandada por doña María Fernanda Guerra Orgaz en acción de resolución del contrato de arrendamiento concertado entre ambas, la actora como arrendadora y la demandada como inquilina, al entender la demandante que la demandada desarrollaba en la vivienda actividades molestas e insalubres. </w:t>
      </w:r>
    </w:p>
    <w:p w:rsidR="00DE14C9" w:rsidRDefault="00DE14C9" w:rsidP="00DE14C9">
      <w:pPr>
        <w:pStyle w:val="TextoNormal"/>
      </w:pPr>
      <w:r>
        <w:t xml:space="preserve">b) La tramitación de la demanda correspondió al Juzgado de Primera Instancia núm. 34 de Madrid, siguiéndose autos de juicio de cognición núm. 327-2000, en los que recayó Sentencia de 21 de mayo de 2001 por la que se desestimó la demanda. </w:t>
      </w:r>
    </w:p>
    <w:p w:rsidR="00DE14C9" w:rsidRDefault="00DE14C9" w:rsidP="00DE14C9">
      <w:pPr>
        <w:pStyle w:val="TextoNormal"/>
      </w:pPr>
      <w:r>
        <w:t xml:space="preserve">c) Contra la Sentencia de primera instancia la representación de la actora interpuso recurso de apelación ante la Audiencia Provincial, en el que solicitaba fueran acogidos los pedimentos de la demanda. El recurso fue formalizado por escrito de 5 de julio de 2001, y por otro de 19 de julio de 2001 fue impugnada la apelación por la demandada solicitando que se confirmara la Sentencia de primera instancia en todos sus extremos. </w:t>
      </w:r>
    </w:p>
    <w:p w:rsidR="00DE14C9" w:rsidRDefault="00DE14C9" w:rsidP="00DE14C9">
      <w:pPr>
        <w:pStyle w:val="TextoNormal"/>
      </w:pPr>
      <w:r>
        <w:t xml:space="preserve">d) La Sección Decimoctava de la Audiencia Provincial de Madrid, a quien competía conocer del recurso de apelación, señaló la vista del recurso para el 10 de diciembre de 2002. Sin embargo la representación de la apelante presentó un escrito ante la Sala en el que manifestaba que la vivienda objeto del arrendamiento había sido vendida a terceros y desalojada por la inquilina, habiendo quedado sin objeto el procedimiento al haberse satisfecho las pretensiones de la actora. En el suplico del citado escrito, la apelante solicitaba que se suspendiera la vista y se declarara terminado el procedimiento sin imposición de costas a ninguna de las partes en primera y segunda instancia. </w:t>
      </w:r>
    </w:p>
    <w:p w:rsidR="00DE14C9" w:rsidRDefault="00DE14C9" w:rsidP="00DE14C9">
      <w:pPr>
        <w:pStyle w:val="TextoNormal"/>
      </w:pPr>
      <w:r>
        <w:t xml:space="preserve">e) El citado escrito no fue proveído, celebrándose la vista el día prefijado, es decir, el 10 de diciembre de 2002. En la misma el apelante ratificó el escrito presentado solicitando, una vez más, la suspensión de la vista al no tener objeto el seguimiento del pleito, manifestando la apelada que existía un acuerdo entre las partes. A pesar de lo manifestado la Sala decidió celebrar la vista, señalando que: “habida cuenta de que el letrado de la parte apelante no presenta poder especial, a tenor de lo previsto en la L.E. Civil de 2000, constando por escrito los motivos de impugnación en su día alegados, procede entrar en el examen de los mismos”. </w:t>
      </w:r>
    </w:p>
    <w:p w:rsidR="00DE14C9" w:rsidRDefault="00DE14C9" w:rsidP="00DE14C9">
      <w:pPr>
        <w:pStyle w:val="TextoNormal"/>
      </w:pPr>
      <w:r>
        <w:t xml:space="preserve">f) La Sentencia recaída estimó el recurso de apelación y, con ello, la demanda en su día interpuesta por la apelante, declarando, en consecuencia, resuelto el contrato de arrendamiento e imponiendo las costas causadas en primera instancia a la parte demandada, sin especial pronunciamiento sobre las generadas en la apelación. </w:t>
      </w:r>
    </w:p>
    <w:p w:rsidR="00DE14C9" w:rsidRDefault="00DE14C9" w:rsidP="00DE14C9">
      <w:pPr>
        <w:pStyle w:val="TextoNormal"/>
      </w:pPr>
      <w:r>
        <w:t xml:space="preserve">g) La ahora recurrente en amparo presentó ante la Sala incidente de nulidad de actuaciones al entender que la Sentencia no debió dictarse, al ser incongruente con las pretensiones </w:t>
      </w:r>
      <w:r>
        <w:lastRenderedPageBreak/>
        <w:t xml:space="preserve">de las partes por haber renunciado la parte apelante a su recurso al haber sido lanzada la inquilina y quedar sin objeto el pleito. </w:t>
      </w:r>
    </w:p>
    <w:p w:rsidR="00DE14C9" w:rsidRDefault="00DE14C9" w:rsidP="00DE14C9">
      <w:pPr>
        <w:pStyle w:val="TextoNormal"/>
      </w:pPr>
      <w:r>
        <w:t>h) Por la Sección Decimoctava de la Audiencia Provincial de Madrid se dictó providencia en 10 de marzo de 2003 por la que se ordenaba unir a los autos el escrito interesando la nulidad y dar traslado por cinco días a la parte contraria. La representación de la actora y apelante impugnó la nulidad solicitada y la Sala dictó nueva providencia el 26 de marzo de 2003 en la que se expresaba: “Dada cuenta: no ha lugar a incoar el incidente de nulidad solicitado por el procurador Sr. Mesas Peiró”, siendo notificada al mismo el 2 de abril de 2003.</w:t>
      </w:r>
    </w:p>
    <w:p w:rsidR="00DE14C9" w:rsidRDefault="00DE14C9" w:rsidP="00DE14C9">
      <w:pPr>
        <w:pStyle w:val="TextoNormal"/>
      </w:pPr>
    </w:p>
    <w:p w:rsidR="00DE14C9" w:rsidRDefault="00DE14C9" w:rsidP="00DE14C9">
      <w:pPr>
        <w:pStyle w:val="TextoNormal"/>
      </w:pPr>
      <w:r w:rsidRPr="00DE14C9">
        <w:rPr>
          <w:rStyle w:val="NumeroAFNegritaCaracter"/>
        </w:rPr>
        <w:t>3</w:t>
      </w:r>
      <w:r>
        <w:t>. Con fecha 28 de abril de 2003 tuvo entrada en el Registro General de este Tribunal Constitucional la demanda de amparo formulada por doña María de las Nieves Grinda Ojesto contra la providencia de 26 de marzo de 2003 dictada por la Sección Decimoctava de la Audiencia Provincial de Madrid, que denegó la incoación del incidente de nulidad de actuaciones interpuesto por la recurrente en el rollo de apelación núm. 601-2001 de autos de juicio de cognición 327-2000 sobre resolución de contrato de arrendamiento de vivienda seguidos ante el Juzgado de Primera Instancia núm. 34 de Madrid. Entiende la recurrente que la resolución impugnada vulnera su derecho fundamental a la tutela judicial efectiva sin indefensión (art. 24.1 CE), por cuanto la denegación de incoación del incidente, del que ya se había dado traslado a la parte contraria, carece de toda motivación y, en consecuencia solicita de este Tribunal se la restablezca en el derecho a continuar con el incidente entablado para que se dicte una resolución fundada en Derecho con arreglo a las peticiones deducidas.</w:t>
      </w:r>
    </w:p>
    <w:p w:rsidR="00DE14C9" w:rsidRDefault="00DE14C9" w:rsidP="00DE14C9">
      <w:pPr>
        <w:pStyle w:val="TextoNormal"/>
      </w:pPr>
    </w:p>
    <w:p w:rsidR="00DE14C9" w:rsidRDefault="00DE14C9" w:rsidP="00DE14C9">
      <w:pPr>
        <w:pStyle w:val="TextoNormal"/>
      </w:pPr>
      <w:r w:rsidRPr="00DE14C9">
        <w:rPr>
          <w:rStyle w:val="NumeroAFNegritaCaracter"/>
        </w:rPr>
        <w:t>4</w:t>
      </w:r>
      <w:r>
        <w:t>. Mediante providencia de 25 de noviembre de 2004, la Sección Cuarta de este Tribunal acordó abrir el trámite de admisión de conformidad con lo dispuesto en el núm. 3 del art. 50 LOTC, y conceder a la demandante de amparo y al Ministerio Fiscal plazo de diez días para que formulasen, con vista de las actuaciones reclamadas y recibidas por esta Sala y con las aportaciones documentales que procedieran, las alegaciones que estimasen pertinentes en relación con la causa de inadmisión de la demanda por carencia manifiesta de contenido constitucional (art. 50.1.c LOTC). El trámite conferido fue evacuado únicamente por el Fiscal, quien solicitó la admisión de la demanda por no carecer de contenido constitucional. Por providencia de 14 de abril de 2005 la Sala Segunda de este Tribunal acordó admitir a trámite la demanda de amparo, dirigiendo atenta comunicación al Juzgado de Primera Instancia núm. 34 de los de Madrid para que remitiese testimonio de las actuaciones correspondientes a los autos de juicio de cognición núm. 327-2000, debiendo emplazar a quienes hubieran sido parte en el procedimiento, a excepción de la recurrente en amparo, para que puedan comparecer en el plazo de diez días, si lo desean, en el recurso de amparo.</w:t>
      </w:r>
    </w:p>
    <w:p w:rsidR="00DE14C9" w:rsidRDefault="00DE14C9" w:rsidP="00DE14C9">
      <w:pPr>
        <w:pStyle w:val="TextoNormal"/>
      </w:pPr>
    </w:p>
    <w:p w:rsidR="00DE14C9" w:rsidRDefault="00DE14C9" w:rsidP="00DE14C9">
      <w:pPr>
        <w:pStyle w:val="TextoNormal"/>
      </w:pPr>
      <w:r w:rsidRPr="00DE14C9">
        <w:rPr>
          <w:rStyle w:val="NumeroAFNegritaCaracter"/>
        </w:rPr>
        <w:t>5</w:t>
      </w:r>
      <w:r>
        <w:t>. Por diligencia de ordenación de 29 de octubre de 2005 del Secretario de Justicia de la Sala Segunda de este Tribunal se tuvo por personada a la Procuradora de los Tribunales doña María Luisa González García, en nombre y representación de doña María Fernanda Guerra Orgaz y, de conformidad con lo dispuesto en el art. 52.1 LOTC, se acordó dar vista de las actuaciones recibidas a las partes personadas y al Ministerio Fiscal, por plazo común de veinte días, para que pudieran presentar las alegaciones que estimasen pertinentes.</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6</w:t>
      </w:r>
      <w:r>
        <w:t>. La recurrente cumplimentó el trámite de alegaciones mediante escrito presentado por su Procurador el día 16 de noviembre de 2005, por el que se ratificó en los hechos y fundamentos de derecho recogidos en la demanda de amparo, solicitando la estimación de la demanda y, en consecuencia, la declaración de nulidad de la resolución impugnada, con reposición de las actuaciones al momento en el que se presentó por la recurrente el incidente de nulidad de actuaciones inadmitido.</w:t>
      </w:r>
    </w:p>
    <w:p w:rsidR="00DE14C9" w:rsidRDefault="00DE14C9" w:rsidP="00DE14C9">
      <w:pPr>
        <w:pStyle w:val="TextoNormal"/>
      </w:pPr>
    </w:p>
    <w:p w:rsidR="00DE14C9" w:rsidRDefault="00DE14C9" w:rsidP="00DE14C9">
      <w:pPr>
        <w:pStyle w:val="TextoNormal"/>
      </w:pPr>
      <w:r w:rsidRPr="00DE14C9">
        <w:rPr>
          <w:rStyle w:val="NumeroAFNegritaCaracter"/>
        </w:rPr>
        <w:t>7</w:t>
      </w:r>
      <w:r>
        <w:t xml:space="preserve">. El Ministerio Fiscal evacuó el trámite de alegaciones mediante escrito registrado con fecha 23 de noviembre de 2005, en el que se interesaba la estimación de la demanda de amparo y la anulación de la resolución impugnada, retrotrayendo las actuaciones a fin de que el órgano judicial que la dictó, pronuncie otra resolución respetuosa con el derecho a la tutela judicial efectiva en su vertiente de derecho a la motivación de las resoluciones judiciales. </w:t>
      </w:r>
    </w:p>
    <w:p w:rsidR="00DE14C9" w:rsidRDefault="00DE14C9" w:rsidP="00DE14C9">
      <w:pPr>
        <w:pStyle w:val="TextoNormal"/>
      </w:pPr>
      <w:r>
        <w:t xml:space="preserve">En primer lugar, el representante del Ministerio público advierte que la demanda de amparo se dirige exclusivamente contra la providencia de 26 de marzo de 2003 de la Sección Decimoctava de la Audiencia Provincial de Madrid, por la que se acuerda no haber lugar a la incoación del incidente de nulidad de actuaciones promovido por la parte recurrente contra la Sentencia resolutoria del recurso de apelación, al entender que el cierre del incidente por la citada providencia es inmotivado y arbitrario y, por tanto, lesivo de su derecho fundamental a la tutela judicial efectiva (art. 24.1 CE), por lo que se solicita en el suplico de la demanda de amparo que se restablezca a la demandante en el derecho a continuar con el incidente de nulidad de actuaciones y se dicte una resolución fundamentada en Derecho con arreglo a las peticiones en su día deducidas. Por ello el objeto de enjuiciamiento de este procedimiento de amparo debe limitarse —señala el Fiscal— al examen de la motivación de la resolución impugnada, haciendo abstracción del vicio de incongruencia de la Sentencia dictada en la apelación, que la recurrente denunciaba como fundamento del incidente de nulidad cuya incoación es denegada. Tal acotación del objeto del amparo es —afirma— la más conforme a la subsidiariedad del recuso de amparo ya que es precisamente el incidente de nulidad de actuaciones el llamado por ley a resolver el vicio de incongruencia denunciado. </w:t>
      </w:r>
    </w:p>
    <w:p w:rsidR="00DE14C9" w:rsidRDefault="00DE14C9" w:rsidP="00DE14C9">
      <w:pPr>
        <w:pStyle w:val="TextoNormal"/>
      </w:pPr>
      <w:r>
        <w:t>Centrado el objeto de examen, para el Fiscal lo realmente determinante en el presente caso, en orden a la estimación de la vulneración denunciada del art. 24.1 CE, viene constituido por la total ausencia en la resolución impugnada de las razones que determinan el cierre del incidente, olvidándose de la problemática planteada, ya que la expresión “no ha lugar a incoar” no acompañada de razonamiento alguno explicativo de la solución tomada, constituye una afirmación que se presenta, de esta forma, ante la justiciable, como ausente de datos que permitan conocer el criterio que ha servido de fundamento al rechazo de una pretensión ya sustanciada, vulnerando de este modo el derecho fundamental invocado, como ha venido a reconocer la jurisprudencia constante de este Tribunal Constitucional sobre el art. 24.1 en relación con el art. 120.3, ambos de la CE, que obligan a motivar cuantas resoluciones sean dictadas por los jueces y tribunales para la solución de los litigios ante ellos ventilados, de modo que una ausencia de motivación como la que aquí se da lesiona el derecho fundamental a la tutela judicial efectiva del destinatario de la resolución al quedar indefenso y perplejo ante las razones que han llevado al órgano judicial a la desestimación de sus pretensiones. Por todo ello concluye el Fiscal interesando el otorgamiento del amparo solicitado, con la anulación de la providencia recurrida y el dictado por el tribunal que la emitió de otra resolución conforme al derecho a la tutela judicial efectiva en su derivación del derecho a la motivación de las resoluciones judiciales.</w:t>
      </w:r>
    </w:p>
    <w:p w:rsidR="00DE14C9" w:rsidRDefault="00DE14C9" w:rsidP="00DE14C9">
      <w:pPr>
        <w:pStyle w:val="TextoNormal"/>
      </w:pPr>
    </w:p>
    <w:p w:rsidR="00DE14C9" w:rsidRDefault="00DE14C9" w:rsidP="00DE14C9">
      <w:pPr>
        <w:pStyle w:val="TextoNormal"/>
      </w:pPr>
      <w:r w:rsidRPr="00DE14C9">
        <w:rPr>
          <w:rStyle w:val="NumeroAFNegritaCaracter"/>
        </w:rPr>
        <w:t>8</w:t>
      </w:r>
      <w:r>
        <w:t>. Por su parte la representación de la compareciente doña María Fernanda Guerra Orgaz evacuó el trámite de alegaciones conferido mediante escrito registrado el día 30 de noviembre de 2005 en el que no se contienen alegaciones dirigidas al objeto de la demanda de amparo, sino que se expresan las razones de su oposición al incidente de nulidad de actuaciones promovido por la recurrente y, en consecuencia, se concluye por la compareciente solicitando la inadmisión del incidente de nulidad presentado de contrario, con costas a la parte promotora del mismo.</w:t>
      </w:r>
    </w:p>
    <w:p w:rsidR="00DE14C9" w:rsidRDefault="00DE14C9" w:rsidP="00DE14C9">
      <w:pPr>
        <w:pStyle w:val="TextoNormal"/>
      </w:pPr>
    </w:p>
    <w:p w:rsidR="00DE14C9" w:rsidRDefault="00DE14C9" w:rsidP="00DE14C9">
      <w:pPr>
        <w:pStyle w:val="TextoNormal"/>
      </w:pPr>
      <w:r w:rsidRPr="00DE14C9">
        <w:rPr>
          <w:rStyle w:val="NumeroAFNegritaCaracter"/>
        </w:rPr>
        <w:t>9</w:t>
      </w:r>
      <w:r>
        <w:t>. Por providencia de 3 de mayo de 2007 se señaló para la deliberación y votación de la presente Sentencia el día 7 del mismo mes y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Conforme se ha dejado expuesto en el apartado de antecedentes la demanda de amparo se dirige contra la providencia de 26 de marzo de 2003, dictada por la Sección Decimoctava de la Audiencia Provincial de Madrid, que acordó no haber lugar a incoar el incidente de nulidad de actuaciones promovido por la recurrente. Se queja la recurrente de que la resolución impugnada lesiona su derecho fundamental a la tutela judicial efectiva sin indefensión proclamado en el art. 24.1 CE, por cuanto deniega la incoación del referido incidente de nulidad después de haber sido admitido y haberse dado traslado del mismo a la parte contraria, sin que se exprese razón o motivo alguno que justifique la decisión adoptada.</w:t>
      </w:r>
    </w:p>
    <w:p w:rsidR="00DE14C9" w:rsidRDefault="00DE14C9" w:rsidP="00DE14C9">
      <w:pPr>
        <w:pStyle w:val="TextoNormal"/>
      </w:pPr>
      <w:r>
        <w:t>La parte actora en el procedimiento civil, compareciente en este proceso constitucional de amparo, se opone en su escrito de alegaciones a la pretensión incidental de nulidad de actuaciones formulada en su día por la ahora recurrente en amparo, por lo que solicita su inadmisión.</w:t>
      </w:r>
    </w:p>
    <w:p w:rsidR="00DE14C9" w:rsidRDefault="00DE14C9" w:rsidP="00DE14C9">
      <w:pPr>
        <w:pStyle w:val="TextoNormal"/>
      </w:pPr>
      <w:r>
        <w:t>Por su parte el Fiscal interesa de esta Sala la estimación de la demanda de amparo y el consiguiente otorgamiento del mismo, por cuanto entiende que la resolución impugnada carece de toda motivación, vulnerando, de este modo, el derecho de la recurrente a la tutela judicial efectiva reconocido en el art. 24.1 CE en relación con lo establecido en el art. 120.3 del texto constitucional, de conformidad con la doctrina consolidada por este Tribunal Constitucional sobre el derecho a la motivación de las resoluciones judiciales como vertiente del derecho fundamental considerado.</w:t>
      </w:r>
    </w:p>
    <w:p w:rsidR="00DE14C9" w:rsidRDefault="00DE14C9" w:rsidP="00DE14C9">
      <w:pPr>
        <w:pStyle w:val="TextoNormal"/>
      </w:pPr>
    </w:p>
    <w:p w:rsidR="00DE14C9" w:rsidRDefault="00DE14C9" w:rsidP="00DE14C9">
      <w:pPr>
        <w:pStyle w:val="TextoNormal"/>
      </w:pPr>
      <w:r w:rsidRPr="00DE14C9">
        <w:rPr>
          <w:rStyle w:val="NumeroAFNegritaCaracter"/>
        </w:rPr>
        <w:t>2</w:t>
      </w:r>
      <w:r>
        <w:t>. Antes de proceder al examen de la queja conviene precisar el objeto de nuestro enjuiciamiento. Como subraya el Fiscal en su escrito de alegaciones, la demanda de amparo se dirige exclusivamente contra la providencia de 26 de marzo de 2003 dictada por la Sección Decimoctava de la Audiencia Provincial de Madrid, que rechazó la incoación del incidente de nulidad de actuaciones promovido por la ahora demandante de amparo. Así se desprende con toda claridad del encabezamiento del escrito de demanda de amparo y del suplico con el que se cierra el mismo, en el cual se interesa que se restablezca a la recurrente en su derecho “a continuar con el incidente entablado y se dicte una resolución fundamentada en derecho con arreglo a las peticiones deducidas en su día”, constituyendo el contenido material de la queja la omisión por la resolución impugnada de las razones que justifican la denegación de la incoación de la pretensión incidental, de la que ya se había dado traslado a la parte contraria.</w:t>
      </w:r>
    </w:p>
    <w:p w:rsidR="00DE14C9" w:rsidRDefault="00DE14C9" w:rsidP="00DE14C9">
      <w:pPr>
        <w:pStyle w:val="TextoNormal"/>
      </w:pPr>
      <w:r>
        <w:lastRenderedPageBreak/>
        <w:t>Así acotado el contenido de la queja que se nos formula por la recurrente en amparo, el objeto de nuestro enjuiciamiento debe dirigirse exclusivamente a determinar si la resolución impugnada cumple con el canon constitucional relativo a la motivación de las resoluciones judiciales, excluyendo de nuestro examen, en virtud del principio de subsidiariedad que rige el recurso constitucional de amparo [art. 53.2 CE y arts. 43.1 y 44.1, a) LOTC], las causas y razones de incongruencia de la Sentencia contra la que se dirigía el incidente de nulidad rechazado, por ser cuestiones sobre las que eventualmente habrá de pronunciarse el órgano judicial en el supuesto de que prospere la presente demanda de amparo.</w:t>
      </w:r>
    </w:p>
    <w:p w:rsidR="00DE14C9" w:rsidRDefault="00DE14C9" w:rsidP="00DE14C9">
      <w:pPr>
        <w:pStyle w:val="TextoNormal"/>
      </w:pPr>
    </w:p>
    <w:p w:rsidR="00DE14C9" w:rsidRDefault="00DE14C9" w:rsidP="00DE14C9">
      <w:pPr>
        <w:pStyle w:val="TextoNormal"/>
      </w:pPr>
      <w:r w:rsidRPr="00DE14C9">
        <w:rPr>
          <w:rStyle w:val="NumeroAFNegritaCaracter"/>
        </w:rPr>
        <w:t>3</w:t>
      </w:r>
      <w:r>
        <w:t>. Precisado el alcance de nuestro enjuiciamiento conviene recordar, en primer lugar, los rasgos fundamentales que perfilan la doctrina consolidada por este Tribunal en torno a la exigencia de motivación de las resoluciones judiciales como contenido del derecho fundamental a la tutela judicial efectiva proclamado en el art. 24.1 CE.</w:t>
      </w:r>
    </w:p>
    <w:p w:rsidR="00DE14C9" w:rsidRDefault="00DE14C9" w:rsidP="00DE14C9">
      <w:pPr>
        <w:pStyle w:val="TextoNormal"/>
      </w:pPr>
      <w:r>
        <w:t>Este Tribunal ha declarado reiteradamente que el derecho a la tutela judicial efectiva, garantizado en el art. 24.1 CE, comprende el derecho de los litigantes a obtener de los Jueces y Tribunales una resolución motivada y fundada en Derecho sobre el fondo de las pretensiones oportunamente deducidas por las partes en el proceso, que, no obstante, puede ser también de inadmisión si concurre causa legal para ello y así se aprecia razonadamente por el órgano judicial (SSTC 63/1999, de 26 de abril, FJ 2; 206/1999, de 8 de noviembre, FJ 4; 198/2000, de 24 de julio, FJ 2; 116/2001, de 21 de mayo, FJ 4, entre otras muchas).</w:t>
      </w:r>
    </w:p>
    <w:p w:rsidR="00DE14C9" w:rsidRDefault="00DE14C9" w:rsidP="00DE14C9">
      <w:pPr>
        <w:pStyle w:val="TextoNormal"/>
      </w:pPr>
      <w:r>
        <w:t>Hemos señalado también en numerosas ocasiones (de lo que nos ofrece una síntesis suficiente para la resolución del caso examinado la reciente STC 314/2005, de 12 de diciembre, FJ 4) que: “a) El requisito de la motivación de las resoluciones judiciales halla su fundamento en la necesidad de conocer el proceso lógico-jurídico que conduce al fallo, y de controlar la aplicación del Derecho realizada por los órganos judiciales a través de los oportunos recursos, a la vez que permite contrastar la razonabilidad de las resoluciones judiciales. Actúa, en definitiva, para permitir el más completo ejercicio del derecho de defensa por parte de los justiciables, quienes pueden conocer así los criterios jurídicos en los que se fundamenta la decisión judicial, y actúa también como elemento preventivo de la arbitrariedad en el ejercicio de la jurisdicción; b) El deber de motivación de las resoluciones judiciales no autoriza a exigir un razonamiento jurídico exhaustivo y pormenorizado de todos los aspectos y perspectivas que las partes puedan tener de la cuestión que se decide o, lo que es lo mismo, no existe un derecho del justiciable a una determinada extensión de la motivación judicial (SSTC 14/1991, 175/1992, 105/1997, 224/1997), sino que deben considerarse suficientemente motivadas aquellas resoluciones judiciales que contengan, en primer lugar, los elementos y razones de juicio que permitan conocer cuáles han sido los criterios jurídicos esenciales fundamentadores de la decisión, es decir, la ratio decidendi que ha determinado aquélla (STC 165/1999, de 27 de septiembre), y, en segundo lugar, una fundamentación en Derecho (SSTC 147/1999, de 4 de agosto, y 173/2003, de 29 de septiembre); c) La suficiencia de la motivación no puede ser apreciada apriorísticamente con criterios generales, sino que requiere examinar el caso concreto para ver si, a la vista de las circunstancias concurrentes, se ha cumplido o no este requisito de las resoluciones judiciales (por todas, SSTC 2/1997, de 13 de enero, FJ 3; 139/2000, de 29 de mayo, FJ 4)”.</w:t>
      </w:r>
    </w:p>
    <w:p w:rsidR="00DE14C9" w:rsidRDefault="00DE14C9" w:rsidP="00DE14C9">
      <w:pPr>
        <w:pStyle w:val="TextoNormal"/>
      </w:pPr>
    </w:p>
    <w:p w:rsidR="00DE14C9" w:rsidRDefault="00DE14C9" w:rsidP="00DE14C9">
      <w:pPr>
        <w:pStyle w:val="TextoNormal"/>
      </w:pPr>
      <w:r w:rsidRPr="00DE14C9">
        <w:rPr>
          <w:rStyle w:val="NumeroAFNegritaCaracter"/>
        </w:rPr>
        <w:t>4</w:t>
      </w:r>
      <w:r>
        <w:t>. Partiendo de la doctrina precedente ha de enjuiciarse si en el presente caso la resolución impugnada, que acordó no haber lugar a la incoación del incidente de nulidad de actuaciones promovido por la recurrente, satisface los requerimientos de la motivación constitucionalmente exigida.</w:t>
      </w:r>
    </w:p>
    <w:p w:rsidR="00DE14C9" w:rsidRDefault="00DE14C9" w:rsidP="00DE14C9">
      <w:pPr>
        <w:pStyle w:val="TextoNormal"/>
      </w:pPr>
      <w:r>
        <w:lastRenderedPageBreak/>
        <w:t>Pues bien, dejando al margen el asunto de si la resolución impugnada debió adoptar la forma de Auto y no de providencia —como sostiene la demandante—, lo cual —como señala el Fiscal— no constituiría por sí mismo un defecto con relevancia constitucional (así desde la STC 113/1988, de 9 de junio), la respuesta a la cuestión planteada no puede ser más inmediata y palmaria en el presente caso, en el sentido de apreciar la insuficiencia constitucional de la resolución impugnada, ya que, fuera del propio enunciado dispositivo, formalizado en la expresión “no ha lugar a incoar”, la resolución carece en absoluto de cualquier otro contenido y de la fundamentación o motivación que sustenta la decisión denegatoria adoptada por el órgano judicial. Tal defecto se hace más patente, si cabe, en el presente caso porque —como pone de manifiesto la recurrente y subraya también el Fiscal en su escrito de alegaciones— la negativa a incoar el incidente de nulidad se produce de manera contradictoria con lo actuado por el órgano judicial, que había admitido el escrito por el que se interponía el incidente de nulidad de actuaciones, dando traslado del mismo a la contraparte para que formulase, como así lo hizo, alegaciones al respecto.  En este contexto ningún reproche cabe efectuar desde el ángulo del referido derecho fundamental, a la decisión de inadmisión de la demanda o del escrito de promoción de la acción procesal en la fase de deliberación y fallo del procedimiento ya sustanciado si el órgano judicial advierte en ese momento el incumplimiento de algún requisito legal necesario para dar curso al trámite procesal, pero, en todo caso, el juzgador deberá dar cuenta de la causa y razón que justifica tal decisión para satisfacer así la exigencia de motivación de las resoluciones judiciales que deriva del derecho fundamental a la tutela judicial efectiva (art. 24.1 CE). No ha sido ésta la actuación del órgano judicial en el presente caso, que ha de recordarse, una vez más, no expresa razón o motivo alguno en el que funda su decisión de poner fin al procedimiento incidental, lesionando el derecho a la tutela judicial efectiva de la recurrente.</w:t>
      </w:r>
    </w:p>
    <w:p w:rsidR="00DE14C9" w:rsidRDefault="00DE14C9" w:rsidP="00DE14C9">
      <w:pPr>
        <w:pStyle w:val="TextoNormal"/>
      </w:pPr>
    </w:p>
    <w:p w:rsidR="00DE14C9" w:rsidRDefault="00DE14C9" w:rsidP="00DE14C9">
      <w:pPr>
        <w:pStyle w:val="TextoNormal"/>
      </w:pPr>
      <w:r w:rsidRPr="00DE14C9">
        <w:rPr>
          <w:rStyle w:val="NumeroAFNegritaCaracter"/>
        </w:rPr>
        <w:t>5</w:t>
      </w:r>
      <w:r>
        <w:t>. Por todo lo expuesto debemos estimar la presente demanda de amparo para restablecer a la recurrente en su derecho fundamental lesionado, y a tal efecto debemos proceder a la anulación de la resolución impugnada, acompañada de la retroacción de las actuaciones dentro del proceso judicial en el que se produjo la vulneración constitucional, para que se dicte la resolución judicial que proceda, con respeto al derecho fundamental vulnerado.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Estimar la demanda de amparo formulada por doña María de las Nieves Grinda Ojesto y, en consecuencia:</w:t>
      </w:r>
    </w:p>
    <w:p w:rsidR="00DE14C9" w:rsidRDefault="00DE14C9" w:rsidP="00DE14C9">
      <w:pPr>
        <w:pStyle w:val="TextoNormal"/>
      </w:pPr>
      <w:r>
        <w:t>1º Declarar que ha sido vulnerado el derecho de la demandante de amparo a la tutela judicial efectiva (art. 24.1 CE).</w:t>
      </w:r>
    </w:p>
    <w:p w:rsidR="00DE14C9" w:rsidRDefault="00DE14C9" w:rsidP="00DE14C9">
      <w:pPr>
        <w:pStyle w:val="TextoNormal"/>
      </w:pPr>
      <w:r>
        <w:t xml:space="preserve">2º Restablecerla en el citado derecho y, a tal fin, declarar la nulidad de la providencia de fecha 26 de marzo de 2003 por la que la Sección Decimoctava de la Audiencia Provincial de Madrid declaró no haber lugar a incoar el incidente de nulidad de actuaciones promovido por la demandante de amparo en el rollo de apelación núm. 601-2001 de autos de juicio de cognición, retrotrayendo las actuaciones procesales al momento inmediatamente anterior al </w:t>
      </w:r>
      <w:r>
        <w:lastRenderedPageBreak/>
        <w:t>dictado de la resolución anulada a fin de que se pronuncie por el referido órgano judicial la resolución judicial que proceda con respeto al derecho fundamental vulnerado.</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siete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6" w:name="SENTENCIA_2007_93"/>
      <w:r>
        <w:lastRenderedPageBreak/>
        <w:t>SENTENCIA 93/2007, de 7 de mayo de 2007</w:t>
      </w:r>
    </w:p>
    <w:bookmarkEnd w:id="6"/>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137, de 8 de junio de 2007)</w:t>
      </w:r>
    </w:p>
    <w:p w:rsidR="00DE14C9" w:rsidRDefault="00DE14C9" w:rsidP="00DE14C9">
      <w:pPr>
        <w:pStyle w:val="TtuloBOE"/>
      </w:pPr>
    </w:p>
    <w:p w:rsidR="00DE14C9" w:rsidRDefault="00DE14C9" w:rsidP="00DE14C9">
      <w:pPr>
        <w:pStyle w:val="SntesisDescriptiva"/>
      </w:pPr>
      <w:r>
        <w:t>ECLI:ES:TC:2007:93</w:t>
      </w:r>
    </w:p>
    <w:p w:rsidR="00DE14C9" w:rsidRDefault="00DE14C9" w:rsidP="00DE14C9">
      <w:pPr>
        <w:pStyle w:val="SntesisDescriptiva"/>
      </w:pPr>
    </w:p>
    <w:p w:rsidR="00DE14C9" w:rsidRDefault="00DE14C9" w:rsidP="00DE14C9">
      <w:pPr>
        <w:pStyle w:val="SntesisDescriptiva"/>
      </w:pPr>
      <w:r>
        <w:t>Recurso de amparo 2259-2004. Promovido por Laureano García Mínguez, S.L., y otra respecto a las resoluciones de la Audiencia Provincial y de un Juzgado de Primera Instancia de Valladolid que tuvieron por no interpuesto su recurso de apelación en juicio ejecutivo.</w:t>
      </w:r>
    </w:p>
    <w:p w:rsidR="00DE14C9" w:rsidRDefault="00DE14C9" w:rsidP="00DE14C9">
      <w:pPr>
        <w:pStyle w:val="SntesisDescriptiva"/>
      </w:pPr>
    </w:p>
    <w:p w:rsidR="00DE14C9" w:rsidRDefault="00DE14C9" w:rsidP="00DE14C9">
      <w:pPr>
        <w:pStyle w:val="SntesisAnaltica"/>
      </w:pPr>
      <w:r>
        <w:t>Alegada vulneración del derecho a la tutela judicial efectiva: falta de invocación tempestiva de los derechos en la inadmisión de un recurso de apelación civil.</w:t>
      </w:r>
    </w:p>
    <w:p w:rsidR="00DE14C9" w:rsidRDefault="00DE14C9" w:rsidP="00DE14C9">
      <w:pPr>
        <w:pStyle w:val="SntesisAnaltica"/>
      </w:pPr>
    </w:p>
    <w:p w:rsidR="00DE14C9" w:rsidRDefault="00DE14C9" w:rsidP="00DE14C9">
      <w:pPr>
        <w:pStyle w:val="Extracto"/>
      </w:pPr>
      <w:r>
        <w:t>1.</w:t>
      </w:r>
      <w:r>
        <w:tab/>
        <w:t>El requisito previsto en el art. 44.1 c) LOTC, implica que su inobservancia pueda producirse bien de manera radical, cuando no se ha invocado el derecho constitucional ante los órganos de la jurisdicción ordinaria; bien cuando, aun invocada la violación, esa invocación hubiera sido tardía por no realizada tan pronto como hubiera sido conocida y hubiere lugar a ello [FJ 3].</w:t>
      </w:r>
    </w:p>
    <w:p w:rsidR="00DE14C9" w:rsidRDefault="00DE14C9" w:rsidP="00DE14C9">
      <w:pPr>
        <w:pStyle w:val="Extracto"/>
      </w:pPr>
    </w:p>
    <w:p w:rsidR="00DE14C9" w:rsidRDefault="00DE14C9" w:rsidP="00DE14C9">
      <w:pPr>
        <w:pStyle w:val="Extracto"/>
      </w:pPr>
      <w:r>
        <w:t>2.</w:t>
      </w:r>
      <w:r>
        <w:tab/>
        <w:t>El recurso de amparo resulta inadmisible al invocar las actoras de forma tardía el derecho fundamental cuya vulneración denuncian ya que en el recurso de apelación no realizaron ninguna referencia a la cuestión relativa al impago de la tasa y al cierre de la vía de recurso producida como consecuencia del mismo, ni cabe, tampoco, extraer este extremo de forma implícita del precepto invocado en el recurso de reposición, por lo que dicha cuestión, suscitada por primera vez en el recurso de queja, resulta intespestiva [FJ 3].</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 xml:space="preserve">En el recurso de amparo núm. 2259-2004, promovido por Laureano García Mínguez, S.L., y R.J.R. Inversiones, S.A., representadas por la Procuradora de los Tribunales doña Nuria Munar Serrano y asistidas por el Letrado don Santiago Rodríguez-Monsalve Garrigós, contra el Auto del Juzgado de Primera Instancia núm. 5 de Valladolid, de 20 de enero de 2004, que desestimó el recurso de reposición interpuesto contra providencia de 13 de noviembre de 2003, que tuvo por no interpuesto recurso de apelación por las actoras en el </w:t>
      </w:r>
      <w:r>
        <w:lastRenderedPageBreak/>
        <w:t>juicio ejecutivo núm. 725-1999, y contra el Auto de la Sección Tercera de la Audiencia Provincial de Valladolid, de 2 de marzo de 2004, que desestimó el recurso de queja planteado contra las anteriores resoluciones. Ha intervenido el Ministerio Fiscal y ha sido Ponente la Magistrada doña Elisa Pérez Vera,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el Registro General de este Tribunal el 6 de abril de 2004, la Procuradora de los Tribunales doña Nuria Munar Serrano, en nombre y representación de las recurrentes, formuló demanda de amparo, impugnando las resoluciones mencionadas en el encabezamiento de esta Sentencia.</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de los que trae causa la demanda de amparo son, sucintamente expuestos, los siguientes: </w:t>
      </w:r>
    </w:p>
    <w:p w:rsidR="00DE14C9" w:rsidRDefault="00DE14C9" w:rsidP="00DE14C9">
      <w:pPr>
        <w:pStyle w:val="TextoNormal"/>
      </w:pPr>
      <w:r>
        <w:t xml:space="preserve">a) Ante el Juzgado de Primera Instancia núm. 5 de Valladolid se siguió el juicio ejecutivo núm. 725-1999, promovido por Renault Financiaciones, S.A., contra don Juan Carlos Alonso Carranza. En dicho procedimiento se embargó la nuda propiedad de una cuarta parte indivisa de un inmueble, respecto del cual las demandantes de amparo y don Luciano Casado Velázquez ostentaban la propiedad de una tercera parte indivisa cada uno en virtud de compraventa celebrada en escritura pública el 16 de febrero de 2000. </w:t>
      </w:r>
    </w:p>
    <w:p w:rsidR="00DE14C9" w:rsidRDefault="00DE14C9" w:rsidP="00DE14C9">
      <w:pPr>
        <w:pStyle w:val="TextoNormal"/>
      </w:pPr>
      <w:r>
        <w:t xml:space="preserve">b) Los tres propietarios se personaron en el juicio ejecutivo bajo las mismas representación y defensa, y solicitaron en su día el levantamiento del embargo. El Juzgado lo denegó por medio de providencia de 19 de mayo de 2003, frente a la que interpusieron recurso de reposición, que fue desestimado por Auto de 20 de junio de 2003. </w:t>
      </w:r>
    </w:p>
    <w:p w:rsidR="00DE14C9" w:rsidRDefault="00DE14C9" w:rsidP="00DE14C9">
      <w:pPr>
        <w:pStyle w:val="TextoNormal"/>
      </w:pPr>
      <w:r>
        <w:t xml:space="preserve">c) Contra este último formularon recurso de apelación, inicialmente inadmitido por Auto de 7 de julio de 2003, que fue recurrido en reposición y dejado sin efecto por otro de 18 de septiembre de 2003, que acordó emplazarlos por el término de veinte días para que pudieran interponer el recurso de apelación ante el propio Juzgado. </w:t>
      </w:r>
    </w:p>
    <w:p w:rsidR="00DE14C9" w:rsidRDefault="00DE14C9" w:rsidP="00DE14C9">
      <w:pPr>
        <w:pStyle w:val="TextoNormal"/>
      </w:pPr>
      <w:r>
        <w:t xml:space="preserve">d) Comoquiera que, al interponer el recurso de apelación, la representación de las demandantes de amparo no acompañó el justificante de pago de la tasa por el ejercicio de la potestad jurisdiccional, establecida en el art. 35 de la Ley 53/2002, de 30 de diciembre, por diligencia de ordenación de 17 de octubre de 2003 se les requirió para que, en el plazo de diez días, aportaran el justificante de pago (modelo 696) debidamente validado. Al no ser atendido el requerimiento, el Juzgado dictó providencia el 13 de noviembre de 2003 (aclarada por Auto de 20 de noviembre de 2003), acordando tener por precluido el trámite conferido respecto a las demandantes de amparo y teniendo por interpuesto el recurso de apelación únicamente en cuanto a don Luciano Casado Velázquez. </w:t>
      </w:r>
    </w:p>
    <w:p w:rsidR="00DE14C9" w:rsidRDefault="00DE14C9" w:rsidP="00DE14C9">
      <w:pPr>
        <w:pStyle w:val="TextoNormal"/>
      </w:pPr>
      <w:r>
        <w:t xml:space="preserve">e) La representación de las actoras presentó escrito solicitando que se rectificara el error material consistente en tener por interpuesto el recurso de apelación sólo en nombre de don Luciano Casado y, para el caso de que no se accediera a dicha rectificación, se interesó que se tuviera por interpuesto recurso de reposición contra la última providencia, por infracción del art. 458.1 LEC, pues la apelación había sido interpuesta en tiempo y forma. En el recurso no se hacía ninguna referencia a la cuestión relativa al impago de la tasa. </w:t>
      </w:r>
    </w:p>
    <w:p w:rsidR="00DE14C9" w:rsidRDefault="00DE14C9" w:rsidP="00DE14C9">
      <w:pPr>
        <w:pStyle w:val="TextoNormal"/>
      </w:pPr>
      <w:r>
        <w:t xml:space="preserve">El recurso de reposición fue desestimado por Auto de 20 de enero de 2004, por lo que las apelantes acudieron en queja ante la Audiencia Provincial de Valladolid, aduciendo, en síntesis, que el cierre del recurso como consecuencia del impago de la tasa, resulta contrario al derecho fundamental a la tutela judicial efectiva. La Sección Tercera de la Audiencia </w:t>
      </w:r>
      <w:r>
        <w:lastRenderedPageBreak/>
        <w:t xml:space="preserve">desestimó el recurso mediante Auto de 2 de marzo de 2004, razonando, básicamente, que la tasa es un requisito previo para poder acceder al recurso, y que su incumplimiento da lugar a la inequívoca sanción de falta de trámite del escrito procesal, prevista en el art. 35.7.2 de la Ley 53/2002. Como quiera que no se aportó por las recurrentes el justificante del abono de la tasa y no se subsanó en el plazo concedido, era correcta la resolución que negó el curso a la apelación, pues el recurso no puede considerarse interpuesto. </w:t>
      </w:r>
    </w:p>
    <w:p w:rsidR="00DE14C9" w:rsidRDefault="00DE14C9" w:rsidP="00DE14C9">
      <w:pPr>
        <w:pStyle w:val="TextoNormal"/>
      </w:pPr>
      <w:r>
        <w:t>f) Posteriormente, la Sección Tercera de la Audiencia Provincial de Valladolid ha desestimado el recurso de apelación que se seguía únicamente a instancia de don Luciano Casado Velázquez, mediante Auto de 17 de mayo de 2004.</w:t>
      </w:r>
    </w:p>
    <w:p w:rsidR="00DE14C9" w:rsidRDefault="00DE14C9" w:rsidP="00DE14C9">
      <w:pPr>
        <w:pStyle w:val="TextoNormal"/>
      </w:pPr>
    </w:p>
    <w:p w:rsidR="00DE14C9" w:rsidRDefault="00DE14C9" w:rsidP="00DE14C9">
      <w:pPr>
        <w:pStyle w:val="TextoNormal"/>
      </w:pPr>
      <w:r w:rsidRPr="00DE14C9">
        <w:rPr>
          <w:rStyle w:val="NumeroAFNegritaCaracter"/>
        </w:rPr>
        <w:t>3</w:t>
      </w:r>
      <w:r>
        <w:t>. Las actoras se quejan de la vulneración de su derecho a la tutela judicial efectiva como consecuencia de habérseles cerrado la vía del recurso de apelación, entendiendo que del art. 35.7.2 de la Ley 53/2002 y de su desarrollo reglamentario no se deduce que la consecuencia de no pagar la tasa judicial o de no presentar el modelo 696 de declaración tributaria sea la denegación de la acción o del recurso previsto por la ley procesal pertinente. Y si esto es así, la interpretación y aplicación de la norma realizada por las resoluciones judiciales impugnadas es arbitraria (porque va contra legem y contra el desarrollo reglamentario), es manifiestamente infundada (pues, aparte de la dudosísima constitucionalidad de tal consecuencia, dicha interpretación es incompatible con el desarrollo reglamentario de la Ley) y, en definitiva, es producto de un error patente, ya que la norma legal no impone la consecuencia que la Audiencia Provincial de Valladolid proclama, y el efecto denegatorio del derecho de acción o del recurso, por su alcance constitucional, necesariamente ha de estar explícitamente establecido por la Ley.</w:t>
      </w:r>
    </w:p>
    <w:p w:rsidR="00DE14C9" w:rsidRDefault="00DE14C9" w:rsidP="00DE14C9">
      <w:pPr>
        <w:pStyle w:val="TextoNormal"/>
      </w:pPr>
    </w:p>
    <w:p w:rsidR="00DE14C9" w:rsidRDefault="00DE14C9" w:rsidP="00DE14C9">
      <w:pPr>
        <w:pStyle w:val="TextoNormal"/>
      </w:pPr>
      <w:r w:rsidRPr="00DE14C9">
        <w:rPr>
          <w:rStyle w:val="NumeroAFNegritaCaracter"/>
        </w:rPr>
        <w:t>4</w:t>
      </w:r>
      <w:r>
        <w:t>. Por resolución de 18 de abril de 2006 la Sala Segunda, de conformidad con lo dispuesto en el art. 11.2 LOTC, acordó conocer del recurso de amparo, admitir a trámite la demanda, y, a tenor del art. 51 LOTC, librar atenta comunicación a la Sección Tercera de la Audiencia Provincial de Valladolid para que remitiera certificación o fotocopia adverada de las actuaciones correspondientes al recurso de queja núm. 45-2004. Igual comunicación se acordó dirigir al Juzgado de Primera Instancia núm. 5 de Valladolid en relación con el juicio ejecutivo núm. 725-1999, con el añadido de que debía previamente emplazar a quienes hubieran sido parte en el proceso judicial, excepto a las demandantes de amparo, para que en el término de diez días pudiesen comparecer en el presente recurso si lo estimaran conveniente.</w:t>
      </w:r>
    </w:p>
    <w:p w:rsidR="00DE14C9" w:rsidRDefault="00DE14C9" w:rsidP="00DE14C9">
      <w:pPr>
        <w:pStyle w:val="TextoNormal"/>
      </w:pPr>
    </w:p>
    <w:p w:rsidR="00DE14C9" w:rsidRDefault="00DE14C9" w:rsidP="00DE14C9">
      <w:pPr>
        <w:pStyle w:val="TextoNormal"/>
      </w:pPr>
      <w:r w:rsidRPr="00DE14C9">
        <w:rPr>
          <w:rStyle w:val="NumeroAFNegritaCaracter"/>
        </w:rPr>
        <w:t>5</w:t>
      </w:r>
      <w:r>
        <w:t>. Mediante diligencia de ordenación de 8 de junio de 2006 se dio vista de las actuaciones recibidas a la parte recurrente y al Ministerio Fiscal, por plazo común de veinte días, para que pudieran formular las alegaciones que estimaran pertinentes, de conformidad con lo dispuesto en el art. 52.1 LOTC.</w:t>
      </w:r>
    </w:p>
    <w:p w:rsidR="00DE14C9" w:rsidRDefault="00DE14C9" w:rsidP="00DE14C9">
      <w:pPr>
        <w:pStyle w:val="TextoNormal"/>
      </w:pPr>
    </w:p>
    <w:p w:rsidR="00DE14C9" w:rsidRDefault="00DE14C9" w:rsidP="00DE14C9">
      <w:pPr>
        <w:pStyle w:val="TextoNormal"/>
      </w:pPr>
      <w:r w:rsidRPr="00DE14C9">
        <w:rPr>
          <w:rStyle w:val="NumeroAFNegritaCaracter"/>
        </w:rPr>
        <w:t>6</w:t>
      </w:r>
      <w:r>
        <w:t xml:space="preserve">. El Ministerio Fiscal, en escrito de alegaciones registrado el 3 de julio de 2006, interesó que se dicte Sentencia denegando el amparo solicitado. Tras exponer los antecedentes del caso y las quejas de las demandantes, se refiere el Fiscal, en primer lugar, a la posible concurrencia de la causa de inadmisión de no haber alegado la vulneración del derecho fundamental tan pronto como hubiera lugar para ello. En este sentido señala que, aunque la fundamentación de la demanda de amparo dice que se ha cumplido este requisito por la invocación del derecho fundamental que se realizó en el recurso de queja, lo cierto es que pudo </w:t>
      </w:r>
      <w:r>
        <w:lastRenderedPageBreak/>
        <w:t xml:space="preserve">haberse invocado en el recurso de reposición interpuesto el 26 de noviembre de 2003 contra la providencia del día 13 del mismo mes y año, y no se hizo, puesto que todo el fundamento de la reposición fue la infracción del art. 458.1 LEC, en el que se establecen obligaciones del recurrente en apelación y requisitos de interposición del recurso, pero no se trata del derecho de acceso al recurso, que es el que se invoca como vulnerado. La falta de alegación en el momento pertinente determina la inadmisión de la demanda de amparo aunque el derecho fundamental se haya alegado posteriormente. </w:t>
      </w:r>
    </w:p>
    <w:p w:rsidR="00DE14C9" w:rsidRDefault="00DE14C9" w:rsidP="00DE14C9">
      <w:pPr>
        <w:pStyle w:val="TextoNormal"/>
      </w:pPr>
      <w:r>
        <w:t xml:space="preserve">Entiende el Fiscal que el derecho que se debe estimar alegado es el derecho la tutela judicial efectiva (art. 24.1 CE) en su dimensión de derecho de acceso al recurso legalmente previsto, puesto que lo que se impugna es la declaración de preclusión del plazo para interponer un recurso de apelación contra una resolución incidental del juicio ejecutivo. Con invocación de la doctrina de este Tribunal acerca del control que puede desarrollar en los casos de acceso al recurso, citando a tal efecto la STC 64/2006, FJ 2, afirma el Ministerio Fiscal que es evidente que en este caso existe el apoyo en una causa legal, incluso reconocida por las demandantes de amparo, que lo que combaten es la interpretación que tanto el Juzgado como la Audiencia Provincial han dado al art. 35.Siete.2 de la Ley 53/2002, de 30 de diciembre, en el que se establece la tasa por el ejercicio de la potestad jurisdiccional en los órdenes civil y contencioso-administrativo como tributo obligatorio, con la obligación del sujeto pasivo de autoliquidarla, ingresarla en el Tesoro público y de acompañar el justificante de pago debidamente validado “a todo escrito procesal mediante el que se realice el hecho imponible de este tributo, sin el cual el secretario judicial no dará curso al mismo”. Al no darse curso al escrito por no presentarse el justificante de pago ni subsanarse la falta de presentación en el plazo debidamente concedido, y transcurrir el plazo del recurso, éste precluye, interpretación que, a juicio del Fiscal, no resulta de ninguna forma irracional ni arbitraria, sino coherente tanto con lo dispuesto en las normas legales como con el sistema y los principios del proceso. Así pues, los órganos judiciales no han incumplido la doctrina constitucional en el aspecto de la necesidad de existencia de causa legal, pues ésta existe y la interpretación que se ha hecho de la misma no se aparta de los cánones ordinarios de interpretación de las normas. </w:t>
      </w:r>
    </w:p>
    <w:p w:rsidR="00DE14C9" w:rsidRDefault="00DE14C9" w:rsidP="00DE14C9">
      <w:pPr>
        <w:pStyle w:val="TextoNormal"/>
      </w:pPr>
      <w:r>
        <w:t xml:space="preserve">El Ministerio público se refiere, a continuación, al planteamiento de las recurrentes acerca de la posible inconstitucionalidad del art. 35.7.2 de la Ley 53/2002, que les llevó en el recurso de queja a denunciar que la interpretación contraria a la que se propugna es tan abiertamente inconstitucional que exigiría el planteamiento de la cuestión de inconstitucionalidad. Ésta no fue planteada porque a la Audiencia Provincial no le ha suscitado ninguna duda la constitucionalidad del precepto, y, aunque otros órganos judiciales sí han tenido dudas y han promovido diversas cuestiones de inconstitucionalidad, en todas ellas el Fiscal General del Estado ha presentado alegaciones interesando la desestimación. En esta línea, se recuerda por el Fiscal la doctrina sentada por este Tribunal en relación con un tema análogo (la exigencia de fianza para el ejercicio de la acción popular en el proceso penal) en la STC 79/1999, FJ 3, aduciendo que, de acuerdo con la misma, ha de entenderse que la mera imposición de una tasa, por sí misma, no constituye vulneración de ningún derecho fundamental. La administración de justicia es un servicio público por el que durante mucho tiempo, también vigente la Constitución, se han exigido tasas, y únicamente puede plantear problemas la adecuación de la cuantía. En este sentido, se trae a colación lo alegado en los informes presentados por el Fiscal General del Estado en cuanto a este aspecto y sobre la razonabilidad y proporcionalidad en relación con el fin que la tasa pretende alcanzar, concluyendo que únicamente afecta a personas jurídicas con una capacidad económica indiscutida para hacer frente a la tasa, de manera que no existe una desproporción tan grave que </w:t>
      </w:r>
      <w:r>
        <w:lastRenderedPageBreak/>
        <w:t xml:space="preserve">haga merecer a la misma la calificación de arbitraria o manifiestamente irrazonable, que es el supuesto en que resultaría vulnerado el derecho a la tutela judicial efectiva. </w:t>
      </w:r>
    </w:p>
    <w:p w:rsidR="00DE14C9" w:rsidRDefault="00DE14C9" w:rsidP="00DE14C9">
      <w:pPr>
        <w:pStyle w:val="TextoNormal"/>
      </w:pPr>
      <w:r>
        <w:t>Finalmente, apunta el Fiscal que la representación de las demandantes de amparo representaba también a don Luciano Casado Velázquez, respecto al cual se admitió el recurso de apelación, y que éste había sido interpuesto en nombre de los tres interesados, conteniendo los argumentos que todos ellos formulaban. Y ese recurso de apelación ha sido desestimado por la Sección Tercera de la Audiencia Provincial de Valladolid en su Auto de 17 de mayo de 2004, por lo que se han examinado y resuelto todas las alegaciones presentadas por las compañías que demandan amparo, acordándose desestimarlas y confirmar la resolución recurrida en apelación. A este respecto, el Fiscal estima aplicable la doctrina que sienta el Tribunal Europeo de Derechos Humanos sobre el reconocimiento de derechos teóricos o ilusorios, refiriéndose a la STEDH de 21 de marzo de 2006 en el asunto Sale contra Francia (§ 19), conforme a la cual se significa que el recurso de apelación que presentaron las demandantes de amparo está ya tramitado, estudiado y resuelto de forma desestimatoria, de suerte que una estimación del recurso de amparo resultaría algo puramente formal que no haría variar en nada la resolución ya adoptada.</w:t>
      </w:r>
    </w:p>
    <w:p w:rsidR="00DE14C9" w:rsidRDefault="00DE14C9" w:rsidP="00DE14C9">
      <w:pPr>
        <w:pStyle w:val="TextoNormal"/>
      </w:pPr>
    </w:p>
    <w:p w:rsidR="00DE14C9" w:rsidRDefault="00DE14C9" w:rsidP="00DE14C9">
      <w:pPr>
        <w:pStyle w:val="TextoNormal"/>
      </w:pPr>
      <w:r w:rsidRPr="00DE14C9">
        <w:rPr>
          <w:rStyle w:val="NumeroAFNegritaCaracter"/>
        </w:rPr>
        <w:t>7</w:t>
      </w:r>
      <w:r>
        <w:t>. La representación de las recurrentes presentó su escrito de alegaciones con fecha 10 de julio de 2006, en el que afirman que la cuestión a decidir consiste en si es posible, desde un punto de vista constitucional, denegar un recurso legalmente establecido por no autoliquidar la tasa judicial, señalando que no se trata de enjuiciar en abstracto la constitucionalidad de la ley, dado que tal consecuencia no viene establecida inequívocamente en la misma, por lo que la vulneración del derecho fundamental se encontraría en la interpretación y aplicación de la ley que efectúan los órganos judiciales de primera instancia y apelación de Valladolid. Sostiene que la decisión de éstos es manifiestamente infundada, porque la norma legal que implanta la tasa de ninguna manera establece que la consecuencia de no presentar la declaración tributaria sea la denegación de justicia o del recurso legalmente establecido.</w:t>
      </w:r>
    </w:p>
    <w:p w:rsidR="00DE14C9" w:rsidRDefault="00DE14C9" w:rsidP="00DE14C9">
      <w:pPr>
        <w:pStyle w:val="TextoNormal"/>
      </w:pPr>
    </w:p>
    <w:p w:rsidR="00DE14C9" w:rsidRDefault="00DE14C9" w:rsidP="00DE14C9">
      <w:pPr>
        <w:pStyle w:val="TextoNormal"/>
      </w:pPr>
      <w:r w:rsidRPr="00DE14C9">
        <w:rPr>
          <w:rStyle w:val="NumeroAFNegritaCaracter"/>
        </w:rPr>
        <w:t>8</w:t>
      </w:r>
      <w:r>
        <w:t>. Por providencia de 3 de mayo de 2007 se señaló para deliberación y fallo de la presente Sentencia el día 7 del mismo mes y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Las demandantes de amparo dirigen sus quejas, por una parte, contra el Auto del Juzgado de Primera Instancia núm. 5 de Valladolid, de 20 de enero de 2004, que desestimó el recurso de reposición interpuesto contra providencia de 13 de abril de 2003, que tuvo por no interpuesto recurso de apelación por las actoras en el juicio ejecutivo núm. 725-1999 y, por otra, contra el Auto de la Sección Tercera de la Audiencia Provincial de Valladolid, de 2 de marzo de 2004, que desestimó el recurso de queja interpuesto contra las anteriores resoluciones. En concreto, se imputa a las resoluciones impugnadas la vulneración del derecho a la tutela judicial efectiva de las recurrentes por haberles cerrado la vía del recurso de apelación a causa de la falta de pago de la tasa judicial establecida en el art. 35 de la Ley 53/2002, de 30 de diciembre, interpretación que consideran arbitraria por entender que de dicho precepto no se deduce la consecuencia aplicada por los órganos judiciales.</w:t>
      </w:r>
    </w:p>
    <w:p w:rsidR="00DE14C9" w:rsidRDefault="00DE14C9" w:rsidP="00DE14C9">
      <w:pPr>
        <w:pStyle w:val="TextoNormal"/>
      </w:pPr>
      <w:r>
        <w:t xml:space="preserve">El Ministerio Fiscal interesa la denegación del amparo, aduciendo, por una parte, que concurre en el recurso la causa de inadmisión consistente en el incumplimiento del requisito </w:t>
      </w:r>
      <w:r>
        <w:lastRenderedPageBreak/>
        <w:t>establecido en el art. 44.1 c) LOTC y, por otra, que la imposición de la tasa no puede considerarse arbitraria o manifiestamente irrazonable y que el recurso de apelación que presentaron las demandantes de amparo está ya tramitado, estudiado y resuelto de forma desestimatoria, al haber sido admitido respecto de la persona física que lo interpuso conjuntamente con ellas.</w:t>
      </w:r>
    </w:p>
    <w:p w:rsidR="00DE14C9" w:rsidRDefault="00DE14C9" w:rsidP="00DE14C9">
      <w:pPr>
        <w:pStyle w:val="TextoNormal"/>
      </w:pPr>
    </w:p>
    <w:p w:rsidR="00DE14C9" w:rsidRDefault="00DE14C9" w:rsidP="00DE14C9">
      <w:pPr>
        <w:pStyle w:val="TextoNormal"/>
      </w:pPr>
      <w:r w:rsidRPr="00DE14C9">
        <w:rPr>
          <w:rStyle w:val="NumeroAFNegritaCaracter"/>
        </w:rPr>
        <w:t>2</w:t>
      </w:r>
      <w:r>
        <w:t>. Antes de abordar el análisis de la queja planteada por las actoras, es preciso aclarar, de acuerdo con lo señalado por el Ministerio Fiscal, que, aunque las recurrentes dirigen su impugnación contra el Auto de la Audiencia Provincial de Valladolid de 2 de marzo de 2004 y contra el Auto del Juzgado de Primera Instancia núm. 5 de Valladolid de 20 de enero de 2004, solicitando en el petitum de su demanda de amparo únicamente la declaración de nulidad de ambas resoluciones, es lo cierto que éstas se limitan a confirmar el criterio sustentado por el mencionado Juzgado en la providencia de 13 de noviembre de 2003, que fue la que, en definitiva, tuvo por precluido el plazo para la interposición del recurso de apelación respecto de las actoras, como consecuencia de no haberse aportado el justificante de pago de la tasa por el ejercicio de la potestad jurisdiccional, establecida en el art. 35 de la Ley 53/2002, de 30 de diciembre. Por consiguiente, el fallo que se dicte debería alcanzar también a esta resolución, pues, como hemos señalado, cuando se impugna en amparo una resolución judicial confirmatoria de otra, que ha sido lógica y cronológicamente presupuesto de aquélla, ha de considerarse también recurrida la precedente decisión confirmada, aun cuando no lo haya sido expresamente (SSTC 99/2005, de 18 de abril, FJ 3; y 326/2005, de 12 de diciembre, FJ 2).</w:t>
      </w:r>
    </w:p>
    <w:p w:rsidR="00DE14C9" w:rsidRDefault="00DE14C9" w:rsidP="00DE14C9">
      <w:pPr>
        <w:pStyle w:val="TextoNormal"/>
      </w:pPr>
    </w:p>
    <w:p w:rsidR="00DE14C9" w:rsidRDefault="00DE14C9" w:rsidP="00DE14C9">
      <w:pPr>
        <w:pStyle w:val="TextoNormal"/>
      </w:pPr>
      <w:r w:rsidRPr="00DE14C9">
        <w:rPr>
          <w:rStyle w:val="NumeroAFNegritaCaracter"/>
        </w:rPr>
        <w:t>3</w:t>
      </w:r>
      <w:r>
        <w:t>. Como se ha reseñado antes, el Ministerio Fiscal ha opuesto en su escrito de alegaciones un óbice procesal, entendiendo que el recurso de amparo resulta inadmisible porque las actoras invocaron de forma tardía el derecho fundamental cuya vulneración denuncian en esta sede. De constatarse la concurrencia del obstáculo alegado, ello daría lugar a un pronunciamiento de inadmisión en el presente momento procesal, ya que, como tenemos declarado, los defectos insubsanables de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 volver a abordarse o reconsiderarse en la sentencia, de oficio o a instancia de parte, dando lugar a un pronunciamiento de inadmisión por la falta de tales presupuestos, sin que para ello constituya obstáculo el carácter tasado de los pronunciamientos previstos en el art. 53 LOTC (por todas, STC 69/2004, de 19 de abril, FJ 3).</w:t>
      </w:r>
    </w:p>
    <w:p w:rsidR="00DE14C9" w:rsidRDefault="00DE14C9" w:rsidP="00DE14C9">
      <w:pPr>
        <w:pStyle w:val="TextoNormal"/>
      </w:pPr>
      <w:r>
        <w:t>Este Tribunal ha destacado la trascendencia del estricto cumplimiento del requisito procesal de invocación del derecho fundamental vulnerado tan pronto como hubiere lugar para ello, establecido en el art. 44.1 c) LOTC (por todas, STC 62/1999, de 26 de abril, FJ 3). Esta exigencia tiene por finalidad, de un lado, que los órganos judiciales tengan oportunidad de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hubiera dado ocasión de pronunciarse a los órganos de la jurisdicción ordinaria correspondiente (entre otras, STC 29/1996, de 26 de febrero, FJ 2).</w:t>
      </w:r>
    </w:p>
    <w:p w:rsidR="00DE14C9" w:rsidRDefault="00DE14C9" w:rsidP="00DE14C9">
      <w:pPr>
        <w:pStyle w:val="TextoNormal"/>
      </w:pPr>
      <w:r>
        <w:lastRenderedPageBreak/>
        <w:t>Pues bien, como se recuerda en la STC 7/2007, de 15 de enero, FJ 3, “el requisito previsto en el art. 44.1 c) LOTC incluye una doble exigencia: la invocación formal del derecho constitucional vulnerado y la exigencia temporal de que esa invocación se produzca ‘tan pronto como, una vez conocida la violación, hubiere lugar para ello’. Esta doble exigencia, de forma y tiempo, implica que la inobservancia del requisito puede producirse bien de manera radical, cuando no se ha invocado el derecho constitucional ante los órganos de la jurisdicción ordinaria; bien cuando, aun invocada la violación, esa invocación hubiera sido tardía por no realizada ‘tan pronto como hubiera sido conocida’ y hubiere lugar a ello (STC 153/1999, de 14 de septiembre, FJ 2). En consonancia con la inclusión de la exigencia temporal en el requisito del art. 44.1 c) LOTC, este Tribunal ha declarado incumplido dicho requisito debido a la tardía invocación en el proceso judicial en las SSTC 171/1992, de 26 de octubre, y 153/1999, de 14 de septiembre, y en el ATC 138/2002, de 23 de julio”.</w:t>
      </w:r>
    </w:p>
    <w:p w:rsidR="00DE14C9" w:rsidRDefault="00DE14C9" w:rsidP="00DE14C9">
      <w:pPr>
        <w:pStyle w:val="TextoNormal"/>
      </w:pPr>
      <w:r>
        <w:t>En consecuencia, hay que dar la razón al Ministerio Fiscal en cuanto a la concurrencia de la causa de inadmisión opuesta por él al recurso de amparo. En efecto, según consta en las actuaciones, las demandantes de amparo interpusieron recurso de apelación contra Auto del Juzgado de Primera Instancia núm. 5 de Valladolid de 20 de junio de 2003, recaído en los autos de juicio ejecutivo núm. 725-1999, sin acompañar el justificante de pago de la tasa por el ejercicio de la potestad jurisdiccional, establecida en el art. 35 de la Ley 53/2002, de 30 de diciembre. Por diligencia de ordenación de 17 de octubre de 2003 se les requirió para que, en el plazo de diez días, aportaran el justificante de pago debidamente validado y, al ser desatendido el requerimiento, el Juzgado dictó providencia el 13 de noviembre de 2003 (aclarada por Auto de 20 de noviembre de 2003) acordando tener por precluido el trámite conferido. Las actoras solicitaron rectificación del error que, a su juicio, se había producido en la providencia, consistente en tener por interpuesto el recurso de apelación sólo en nombre de la persona física que interpuso conjuntamente con ellas el recurso de apelación, y, subsidiariamente, interesaron que se tuviera por interpuesto recurso de reposición contra la reiterada providencia, imputándole la infracción del art. 458.1 de la Ley de enjuiciamiento civil (LEC), pero no realizaron ninguna referencia a la cuestión relativa al impago de la tasa y al cierre de la vía de recurso producida como consecuencia del mismo. No cabe, tampoco, extraer este extremo de forma implícita del precepto invocado, que se limita a establecer que el recurso de apelación se interpondrá en el plazo establecido en el art. 457 ante el órgano judicial que hubiere dictado la resolución recurrida, y por medio de escrito en el que se expondrán las alegaciones en que se fundamente la impugnación. Por consiguiente, dicha cuestión, que se suscita por primera vez en el recurso de queja interpuesto ante la Audiencia Provincial de Valladolid, se ha planteado intempestivamente, de acuerdo con la doctrina expuesta más arriba, por lo que no puede considerarse satisfecho en debida forma el requisito del art. 44.1 c) LOTC, con la consiguiente apreciación de la causa de inadmisión alegada por el Ministerio Fiscal.</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lastRenderedPageBreak/>
        <w:t>Ha decidido</w:t>
      </w:r>
    </w:p>
    <w:p w:rsidR="00DE14C9" w:rsidRDefault="00DE14C9" w:rsidP="00DE14C9">
      <w:pPr>
        <w:pStyle w:val="TextoNormalCentrado"/>
        <w:keepNext/>
      </w:pPr>
    </w:p>
    <w:p w:rsidR="00DE14C9" w:rsidRDefault="00DE14C9" w:rsidP="00DE14C9">
      <w:pPr>
        <w:pStyle w:val="TextoNormal"/>
      </w:pPr>
      <w:r>
        <w:t>Inadmitir el recurso de amparo interpuesto por Laureano García Mínguez, S.L., y R.J.R. Inversiones, S.A.</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siete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7" w:name="SENTENCIA_2007_94"/>
      <w:r>
        <w:lastRenderedPageBreak/>
        <w:t>SENTENCIA 94/2007, de 7 de mayo de 2007</w:t>
      </w:r>
    </w:p>
    <w:bookmarkEnd w:id="7"/>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137, de 8 de junio de 2007)</w:t>
      </w:r>
    </w:p>
    <w:p w:rsidR="00DE14C9" w:rsidRDefault="00DE14C9" w:rsidP="00DE14C9">
      <w:pPr>
        <w:pStyle w:val="TtuloBOE"/>
      </w:pPr>
    </w:p>
    <w:p w:rsidR="00DE14C9" w:rsidRDefault="00DE14C9" w:rsidP="00DE14C9">
      <w:pPr>
        <w:pStyle w:val="SntesisDescriptiva"/>
      </w:pPr>
      <w:r>
        <w:t>ECLI:ES:TC:2007:94</w:t>
      </w:r>
    </w:p>
    <w:p w:rsidR="00DE14C9" w:rsidRDefault="00DE14C9" w:rsidP="00DE14C9">
      <w:pPr>
        <w:pStyle w:val="SntesisDescriptiva"/>
      </w:pPr>
    </w:p>
    <w:p w:rsidR="00DE14C9" w:rsidRDefault="00DE14C9" w:rsidP="00DE14C9">
      <w:pPr>
        <w:pStyle w:val="SntesisDescriptiva"/>
      </w:pPr>
      <w:r>
        <w:t>Recurso de amparo 5703-2004. Promovido por don Francisco Álvarez Rodríguez frente a la Sentencia de la Sala de lo Contencioso-Administrativo del Tribunal Superior de Justicia de Galicia que desestimó su demanda contra la Dirección General de Policía sobre reclasificación como personal técnico operativo.</w:t>
      </w:r>
    </w:p>
    <w:p w:rsidR="00DE14C9" w:rsidRDefault="00DE14C9" w:rsidP="00DE14C9">
      <w:pPr>
        <w:pStyle w:val="SntesisDescriptiva"/>
      </w:pPr>
    </w:p>
    <w:p w:rsidR="00DE14C9" w:rsidRDefault="00DE14C9" w:rsidP="00DE14C9">
      <w:pPr>
        <w:pStyle w:val="SntesisAnaltica"/>
      </w:pPr>
      <w:r>
        <w:t>Supuesta vulneración de los derechos a la prueba y a la tutela judicial efectiva: denegación de prueba motivada; adjudicación de puestos de trabajo de policía científica.</w:t>
      </w:r>
    </w:p>
    <w:p w:rsidR="00DE14C9" w:rsidRDefault="00DE14C9" w:rsidP="00DE14C9">
      <w:pPr>
        <w:pStyle w:val="SntesisAnaltica"/>
      </w:pPr>
    </w:p>
    <w:p w:rsidR="00DE14C9" w:rsidRDefault="00DE14C9" w:rsidP="00DE14C9">
      <w:pPr>
        <w:pStyle w:val="Extracto"/>
      </w:pPr>
      <w:r>
        <w:t>1.</w:t>
      </w:r>
      <w:r>
        <w:tab/>
        <w:t>Para que se produzca violación del derecho a la prueba deben concurrir dos circunstancias: que la denegación o inejecución sea imputable al órgano judicial y que la prueba denegada o impracticada sea decisiva en términos de defensa (SSTC 247/2004, 23/2007) [FJ 3].</w:t>
      </w:r>
    </w:p>
    <w:p w:rsidR="00DE14C9" w:rsidRDefault="00DE14C9" w:rsidP="00DE14C9">
      <w:pPr>
        <w:pStyle w:val="Extracto"/>
      </w:pPr>
    </w:p>
    <w:p w:rsidR="00DE14C9" w:rsidRDefault="00DE14C9" w:rsidP="00DE14C9">
      <w:pPr>
        <w:pStyle w:val="Extracto"/>
      </w:pPr>
      <w:r>
        <w:t>2.</w:t>
      </w:r>
      <w:r>
        <w:tab/>
        <w:t>La prueba testifical no contribuía a esclarecer ningún hecho controvertido, por lo que su denegación por innecesaria o inútil no puede considerarse carente de fundamento o irrazonable, máxime cuando, al decir del órgano judicial, la demanda no levanta la carga de razonar que esa prueba fuera decisiva en términos de defensa [FFJJ 4, 5].</w:t>
      </w:r>
    </w:p>
    <w:p w:rsidR="00DE14C9" w:rsidRDefault="00DE14C9" w:rsidP="00DE14C9">
      <w:pPr>
        <w:pStyle w:val="Extracto"/>
      </w:pPr>
    </w:p>
    <w:p w:rsidR="00DE14C9" w:rsidRDefault="00DE14C9" w:rsidP="00DE14C9">
      <w:pPr>
        <w:pStyle w:val="Extracto"/>
      </w:pPr>
      <w:r>
        <w:t>3.</w:t>
      </w:r>
      <w:r>
        <w:tab/>
        <w:t>No existe un derecho del justiciable a una determinada extensión de la motivación judicial, debiéndose considerar suficientemente motivadas aquellas resoluciones judiciales que contengan una fundamentación en Derecho y los elementos y razones de juicio que permitan conocer cuáles ha sido la ratio decidendi (STC 314/2005) [FJ 6].</w:t>
      </w:r>
    </w:p>
    <w:p w:rsidR="00DE14C9" w:rsidRDefault="00DE14C9" w:rsidP="00DE14C9">
      <w:pPr>
        <w:pStyle w:val="Extracto"/>
      </w:pPr>
    </w:p>
    <w:p w:rsidR="00DE14C9" w:rsidRDefault="00DE14C9" w:rsidP="00DE14C9">
      <w:pPr>
        <w:pStyle w:val="Extracto"/>
      </w:pPr>
      <w:r>
        <w:t>4.</w:t>
      </w:r>
      <w:r>
        <w:tab/>
        <w:t>En el examen de las quejas articuladas por el actor debemos seguir un orden lógico, en atención a los criterios expuestos en nuestra doctrina, que otorgan prioridad a aquéllas de las que pudiera derivarse la retroacción de actuaciones y, dentro de éstas, a las que, al determinar la retroacción a momentos anteriores, hacen innecesario nuestro pronunciamiento sobre las restantes (SSTC 19/2000, 100/2004, entre otras) [FJ 2].</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lastRenderedPageBreak/>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5703-2004, promovido por don Francisco Álvarez Rodríguez, representado por el Procurador de los Tribunales don Alfonso Blanco Fernández, contra la Sentencia núm. 612/2004 de la Sala de lo Contencioso-Administrativo del Tribunal Superior de Justicia de Galicia, de fecha 14 de julio de 2004, que desestima el recurso contencioso-administrativo interpuesto contra la Resolución de la Dirección General de Policía, de fecha 3 de junio de 2003, desestimatoria a su vez del recurso de reposición planteado contra la de 14 de noviembre de 2002, por la que se acuerda la reclasificación del recurrente en amparo como personal técnico operativo. Ha intervenido el Ministerio Fiscal, ha comparecido el Abogado del Estado y ha sido Ponente el Magistrado don Eugeni Gay Montalvo,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Por escrito registrado en este Tribunal el día 21 de septiembre de 2004 el Procurador de los Tribunales don Alfonso Blanco Fernández, en nombre y representación de don Francisco Álvarez Rodríguez, interpuso demanda de amparo constitucional contra la resolución judicial de que se hace mérito en el encabezamiento por entender que vulnera el art. 24. 1 y 2 CE.</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La demanda de amparo tiene su origen en los siguientes hechos: </w:t>
      </w:r>
    </w:p>
    <w:p w:rsidR="00DE14C9" w:rsidRDefault="00DE14C9" w:rsidP="00DE14C9">
      <w:pPr>
        <w:pStyle w:val="TextoNormal"/>
      </w:pPr>
      <w:r>
        <w:t xml:space="preserve">a) Con fecha 25 de septiembre de 2002 se dicta Resolución por la Comisión Ejecutiva de la Comisión Interministerial de Retribuciones por la que se aprueba el catálogo de puestos de trabajo de fuerzas y cuerpos de seguridad del Estado, adscritos a la Dirección General de la Policía, que sustituye al de 1995. De acuerdo con este catálogo la dotación para la brigada operativa especialista auxiliar en policía científica es de tres funcionarios en la comisaría provincial del cuerpo nacional de policía de Ourense, y la forma de provisión de puestos es mediante concurso específico de méritos. </w:t>
      </w:r>
    </w:p>
    <w:p w:rsidR="00DE14C9" w:rsidRDefault="00DE14C9" w:rsidP="00DE14C9">
      <w:pPr>
        <w:pStyle w:val="TextoNormal"/>
      </w:pPr>
      <w:r>
        <w:t xml:space="preserve">b) En atención al aprobado catálogo de puestos de trabajo, por Resolución de la Dirección General de la Policía, de fecha 14 de noviembre de 2002, se reclasificó el puesto de trabajo del policía del cuerpo nacional de policía don Francisco Álvarez Rodríguez, adscrito a la comisaría provincial de policía de Ourense, asignándole el puesto de personal operativo policía. </w:t>
      </w:r>
    </w:p>
    <w:p w:rsidR="00DE14C9" w:rsidRDefault="00DE14C9" w:rsidP="00DE14C9">
      <w:pPr>
        <w:pStyle w:val="TextoNormal"/>
      </w:pPr>
      <w:r>
        <w:t xml:space="preserve">c) Con fecha 20 de noviembre de 2002 fue notificado al recurrente en amparo escrito formalizado PF 25-R, procedente de la División de Personal de la Dirección General de Policía, de formalización de reclasificación de puesto de trabajo. Mediante escrito de 9 de diciembre de 2002 el Sr. Álvarez Rodríguez presentó instancia formulando alegaciones. En relación con dicha instancia el comisario jefe provincial de la comisaría de policía de Ourense emitió el correspondiente informe el día 13 de diciembre de 2002, cuyo contenido es el siguiente: </w:t>
      </w:r>
    </w:p>
    <w:p w:rsidR="00DE14C9" w:rsidRDefault="00DE14C9" w:rsidP="00DE14C9">
      <w:pPr>
        <w:pStyle w:val="TextoNormal"/>
      </w:pPr>
      <w:r>
        <w:lastRenderedPageBreak/>
        <w:t xml:space="preserve">“En cuanto a la reclasificación que de forma arbitraria dicen que hizo el Comisario Jefe puesto en el punto cuarto dice que ‘iba a cesar al del bigote, refiriéndose al dicente, por hallarse éste como afiliado al SUP’, se informa lo siguiente: </w:t>
      </w:r>
    </w:p>
    <w:p w:rsidR="00DE14C9" w:rsidRDefault="00DE14C9" w:rsidP="00DE14C9">
      <w:pPr>
        <w:pStyle w:val="TextoNormal"/>
      </w:pPr>
      <w:r>
        <w:t xml:space="preserve">De los cuatro policías básicos que están en policía científica, tres tienen bigote y cuatro, incluido el inspector-jefe de policía científica, pertenecen al SUP y el otro a la UFP. </w:t>
      </w:r>
    </w:p>
    <w:p w:rsidR="00DE14C9" w:rsidRDefault="00DE14C9" w:rsidP="00DE14C9">
      <w:pPr>
        <w:pStyle w:val="TextoNormal"/>
      </w:pPr>
      <w:r>
        <w:t xml:space="preserve">En cuanto a las expresiones despectivas que dice manifestó el comisario, se hace constar que preguntado al policía don Francisco Álvarez Rodríguez, en presencia del jefe de policía científica, del inspector de personal y del secretario general de esta comisaría, manifestó que él nunca las había oído. </w:t>
      </w:r>
    </w:p>
    <w:p w:rsidR="00DE14C9" w:rsidRDefault="00DE14C9" w:rsidP="00DE14C9">
      <w:pPr>
        <w:pStyle w:val="TextoNormal"/>
      </w:pPr>
      <w:r>
        <w:t xml:space="preserve">Por otra parte se informa que el criterio que siguió el Jefe para reclasificación de los funcionarios fue el de concurso especial de méritos, ya que el Sr. Vallejo Touza y el Sr. Pérez Cerredelo tienen hechos más cursos de policía científica y el Sr. García Salgado tiene más méritos que el policía Sr. Álvarez Rodríguez, ya que éste en fotografías que hizo en actos oficiales sacó a todas las autoridades de espalda, como se puede ver en las fotos números 1, 2 y 3 que se acompañan; llegando incluso el jefe superior de policía a decir que eran unas fotos impresentables y al decirle que habían sido hechas por uno del gabinete le dijo al comisario que suscribe: ‘Quítalo de ahí’”. </w:t>
      </w:r>
    </w:p>
    <w:p w:rsidR="00DE14C9" w:rsidRDefault="00DE14C9" w:rsidP="00DE14C9">
      <w:pPr>
        <w:pStyle w:val="TextoNormal"/>
      </w:pPr>
      <w:r>
        <w:t xml:space="preserve">d) El Sr. Álvarez Rodríguez presentó nueva instancia el día 14 de marzo de 2003. Informado de que su petición se tramitaba como recurso de reposición, el Sr. Álvarez Rodríguez presentó el correspondiente escrito, alegando entre otros motivos que, conforme a sus méritos y antigüedad, le hubiera correspondido ser reclasificado como especialista auxiliar en policía científica y no, como ha sido, como personal técnico operativo. Este recurso de reposición fue desestimado por Resolución de la Dirección General de la Policía de 3 de junio de 2003. </w:t>
      </w:r>
    </w:p>
    <w:p w:rsidR="00DE14C9" w:rsidRDefault="00DE14C9" w:rsidP="00DE14C9">
      <w:pPr>
        <w:pStyle w:val="TextoNormal"/>
      </w:pPr>
      <w:r>
        <w:t xml:space="preserve">e) Don Francisco Álvarez Rodríguez interpuso recurso contencioso-administrativo contra la señalada Resolución de 3 de junio de 2003. En su recurso sostiene que su reclasificación como personal técnico operativo revela “una actuación discrecional y arbitraria del que fuera Comisario del CNP en Ourense”. Señala en concreto que el comisario jefe había afirmado que “iba a cesar al del bigote”. En este mismo orden de cosas la demanda expone que en el expediente administrativo constaba informe, de fecha 10 de diciembre de 2002, del señalado comisario en el que se citaba una conversación con el jefe superior de policía sobre unas fotografías en estos términos: “llegando incluso el Jefe Superior de Policía a decir que eran unas fotos impresentables y al decirle que habían sido hechas por uno del Gabinete le dijo al Comisario que suscribe ‘quítalo de ahí’”. </w:t>
      </w:r>
    </w:p>
    <w:p w:rsidR="00DE14C9" w:rsidRDefault="00DE14C9" w:rsidP="00DE14C9">
      <w:pPr>
        <w:pStyle w:val="TextoNormal"/>
      </w:pPr>
      <w:r>
        <w:t xml:space="preserve">En la misma demanda se interesaba el recibimiento a prueba y que se practicara testifical del jefe superior de policía sobre esa conversación y sobre lo que afirma el comisario jefe en el citado párrafo del mencionado informe (folio 31 del expediente administrativo). </w:t>
      </w:r>
    </w:p>
    <w:p w:rsidR="00DE14C9" w:rsidRDefault="00DE14C9" w:rsidP="00DE14C9">
      <w:pPr>
        <w:pStyle w:val="TextoNormal"/>
      </w:pPr>
      <w:r>
        <w:t xml:space="preserve">Por otra parte el recurrente en amparo alegaba en su demanda que gozaba de mayor antigüedad y que reunía más capacidad y más relevantes méritos que los adjudicatarios de las plazas de especialista auxiliar en policía científica, que es la que, a su juicio, le hubiera correspondido. </w:t>
      </w:r>
    </w:p>
    <w:p w:rsidR="00DE14C9" w:rsidRDefault="00DE14C9" w:rsidP="00DE14C9">
      <w:pPr>
        <w:pStyle w:val="TextoNormal"/>
      </w:pPr>
      <w:r>
        <w:t xml:space="preserve">e) En Auto de 8 de marzo de 2004 la Sala de lo Contencioso-Administrativo del Tribunal Superior de Justicia de Galicia declara no haber lugar a la apertura del período probatorio por no estimar que sea trascendente el testimonio del jefe superior de policía sobre si manifestó “quítalo de ahí”. Don Francisco Álvarez Rodríguez formuló recurso contra esta decisión, argumentando que esa declaración era necesaria para acreditar que su reclasificación era una actuación arbitraria y no un proceso de selección por méritos. En Auto de 25 de marzo de 2004 se desestimó el recurso por no haberse desvirtuado la apreciación de la Sala. </w:t>
      </w:r>
      <w:r>
        <w:lastRenderedPageBreak/>
        <w:t xml:space="preserve">En sus conclusiones don Francisco Álvarez Rodríguez reiteró sus argumentos sobre la falta de relación de méritos de los aspirantes y la arbitrariedad de su reclasificación. </w:t>
      </w:r>
    </w:p>
    <w:p w:rsidR="00DE14C9" w:rsidRDefault="00DE14C9" w:rsidP="00DE14C9">
      <w:pPr>
        <w:pStyle w:val="TextoNormal"/>
      </w:pPr>
      <w:r>
        <w:t xml:space="preserve">e) La Sala de lo Contencioso-Administrativo del Tribunal Superior de Justicia de Galicia desestimó el recurso contencioso-administrativo interpuesto por el Sr. Álvarez Rodríguez por Sentencia de 14 de julio de 2004. </w:t>
      </w:r>
    </w:p>
    <w:p w:rsidR="00DE14C9" w:rsidRDefault="00DE14C9" w:rsidP="00DE14C9">
      <w:pPr>
        <w:pStyle w:val="TextoNormal"/>
      </w:pPr>
      <w:r>
        <w:t xml:space="preserve">En el fundamento jurídico 3 se recoge la fundamentación de esta Sentencia. Después de exponer que en la comisaría de Ourense había cuatro puestos en la brigada de policía científica y que el nuevo catálogo de puestos de trabajo de la Dirección General de la Policía de 25 de septiembre de 2002 establece que la dotación para esa brigada es de tres puestos, la Sala afirma que esos tres puestos fueron adjudicados a otros tantos funcionarios distintos del actor conforme a los principios de mérito, capacidad y antigüedad por ser considerados más idóneos atendiendo a la propuesta formulada por el jefe de la comisaría, asignándosele al recurrente un puesto correspondiente a su categoría dentro de los catalogados para la comisaría a la que está adscrito, y que no es otro que el de personal operativo policía. Se añade que “en todo caso, no parece que el actor reúna más méritos y capacidad que los adjudicatarios de aquellos puestos, cuanto éstos tienen más cursos celebrados en la materia de policía científica. Por lo demás los deseos de un funcionario no pueden primar sobre los intereses del órgano en que ha de desarrollar su función, correspondiendo a la Administración y no al interesado las facultades de autoorganización para el mejor desempeño del servicio público”. Y se concluye afirmando que “las alusiones a represalias de tipo personal o a la filiación a determinado Sindicato, para basar sobre ellas una hipotética desviación de poder, no pueden ser acogidas toda vez que resultan infundadas y carentes del más mínimo sustento probatorio”. Por todo ello se desestima el recurso contencioso-administrativo interpuesto. </w:t>
      </w:r>
    </w:p>
    <w:p w:rsidR="00DE14C9" w:rsidRDefault="00DE14C9" w:rsidP="00DE14C9">
      <w:pPr>
        <w:pStyle w:val="TextoNormal"/>
      </w:pPr>
      <w:r>
        <w:t>Esta Sentencia fue notificada a la representación del Sr. Álvarez Rodríguez el día 26 de julio de 2004.</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Con fundamento en este itinerario procesal el recurrente presenta recurso de amparo. En su demanda considera que la resolución recurrida vulnera su derecho a la tutela judicial efectiva (art. 24.1 CE), así como su derecho a utilizar los medios de prueba pertinentes para la defensa (art. 24. 2 CE). </w:t>
      </w:r>
    </w:p>
    <w:p w:rsidR="00DE14C9" w:rsidRDefault="00DE14C9" w:rsidP="00DE14C9">
      <w:pPr>
        <w:pStyle w:val="TextoNormal"/>
      </w:pPr>
      <w:r>
        <w:t xml:space="preserve">Por lo que se refiere a la vulneración del derecho a la tutela judicial efectiva (art. 24.1 CE) se expone en la demanda que la Sentencia del Tribunal Superior de Justicia de Galicia, ni está fundada en Derecho, ni está suficientemente motivada. </w:t>
      </w:r>
    </w:p>
    <w:p w:rsidR="00DE14C9" w:rsidRDefault="00DE14C9" w:rsidP="00DE14C9">
      <w:pPr>
        <w:pStyle w:val="TextoNormal"/>
      </w:pPr>
      <w:r>
        <w:t xml:space="preserve">Se argumenta que nada en el expediente administrativo autoriza a pensar o a deducir lo que el Tribunal afirma en la Sentencia, porque en ella se recoge simplemente lo que afirma el comisario, a pesar de que no conste en el expediente que haya existido concurso de méritos. También se afirma que en el citado expediente no hay base para comparar los méritos, por lo que la afirmación de la Sala de que “no parece que el actor reúna más méritos y capacidad que los adjudicatarios de aquellos puestos, cuando éstos tienen más cursos celebrados en la materia de Policía Científica”, carece de sustento. La demanda considera, en fin, que en ningún momento se ha llevado a cabo un concurso específico de méritos o expediente de reclasificación con relación de los méritos y demás circunstancias para su constancia en el expediente. En dicho expediente sólo consta la reclamación del demandante de amparo. </w:t>
      </w:r>
    </w:p>
    <w:p w:rsidR="00DE14C9" w:rsidRDefault="00DE14C9" w:rsidP="00DE14C9">
      <w:pPr>
        <w:pStyle w:val="TextoNormal"/>
      </w:pPr>
      <w:r>
        <w:t xml:space="preserve">La queja relativa a la vulneración del derecho a utilizar los medios de prueba pertinentes para la defensa (art. 24.2 CE) parte de que se propuso prueba sobre la alegada actuación discrecional y arbitraria del comisario del cuerpo nacional de policía en Ourense. Esta </w:t>
      </w:r>
      <w:r>
        <w:lastRenderedPageBreak/>
        <w:t>prueba, consistente en la valoración del Informe de 10 de diciembre de 2002 del señalado comisario, fue denegada por Auto de 8 de marzo de 2004. A pesar de tal circunstancia la Sentencia se dice que “las alusiones a represalias de tipo personal o a la afiliación a determinado sindicato, para basar sobre ellas una hipotética desviación de poder, no pueden ser acogidas toda vez que resultan infundadas y carentes del más mínimo sustento probatorio”. En su demanda de amparo aduce el recurrente de que ese extremo no se pudo probar, porque la Sala lo impidió al denegar la prueba propuesta para acreditarlo. Se afirma que, de haberse practicado y valorado correctamente la prueba propuesta, se habría probado ese extremo y la resolución del proceso habría sido distinta.</w:t>
      </w:r>
    </w:p>
    <w:p w:rsidR="00DE14C9" w:rsidRDefault="00DE14C9" w:rsidP="00DE14C9">
      <w:pPr>
        <w:pStyle w:val="TextoNormal"/>
      </w:pPr>
    </w:p>
    <w:p w:rsidR="00DE14C9" w:rsidRDefault="00DE14C9" w:rsidP="00DE14C9">
      <w:pPr>
        <w:pStyle w:val="TextoNormal"/>
      </w:pPr>
      <w:r w:rsidRPr="00DE14C9">
        <w:rPr>
          <w:rStyle w:val="NumeroAFNegritaCaracter"/>
        </w:rPr>
        <w:t>4</w:t>
      </w:r>
      <w:r>
        <w:t>. La Sección Tercera de este Tribunal, por diligencia de ordenación de 21 de febrero de 2006, acordó, antes de entrar a resolver sobre la admisibilidad del recurso, dirigir atenta comunicación al Tribunal Superior de Justicia de Galicia, Sala de lo Contencioso-Administrativo, a fin de que, a la mayor brevedad posible, remitiera certificación o fotocopia adverada de las actuaciones correspondientes al procedimiento ordinario núm. 542-2003.</w:t>
      </w:r>
    </w:p>
    <w:p w:rsidR="00DE14C9" w:rsidRDefault="00DE14C9" w:rsidP="00DE14C9">
      <w:pPr>
        <w:pStyle w:val="TextoNormal"/>
      </w:pPr>
    </w:p>
    <w:p w:rsidR="00DE14C9" w:rsidRDefault="00DE14C9" w:rsidP="00DE14C9">
      <w:pPr>
        <w:pStyle w:val="TextoNormal"/>
      </w:pPr>
      <w:r w:rsidRPr="00DE14C9">
        <w:rPr>
          <w:rStyle w:val="NumeroAFNegritaCaracter"/>
        </w:rPr>
        <w:t>5</w:t>
      </w:r>
      <w:r>
        <w:t>. Por resolución de 1 de junio de 2006 la Sección Tercera de este Tribunal acordó, de conformidad con lo dispuesto en el art. 50.3 LOTC, conceder a la parte demandante de amparo y al Ministerio Fiscal plazo común de diez días para que formulasen las alegaciones que estimavan oportunas en relación a la carencia manifiesta de contenido constitucional de la demanda de amparo. Por la representación procesal de la parte demandante se presentaron alegaciones el día 22 de junio de 2006. En ellas reiteró el contenido de su demanda de amparo. Por escrito registrado el 23 de junio de 2006 el Ministerio Fiscal, cumplimentando el trámite de alegaciones, interesó la admisión a trámite del amparo.</w:t>
      </w:r>
    </w:p>
    <w:p w:rsidR="00DE14C9" w:rsidRDefault="00DE14C9" w:rsidP="00DE14C9">
      <w:pPr>
        <w:pStyle w:val="TextoNormal"/>
      </w:pPr>
    </w:p>
    <w:p w:rsidR="00DE14C9" w:rsidRDefault="00DE14C9" w:rsidP="00DE14C9">
      <w:pPr>
        <w:pStyle w:val="TextoNormal"/>
      </w:pPr>
      <w:r w:rsidRPr="00DE14C9">
        <w:rPr>
          <w:rStyle w:val="NumeroAFNegritaCaracter"/>
        </w:rPr>
        <w:t>6</w:t>
      </w:r>
      <w:r>
        <w:t>. Por resolución de 19 de septiembre de 2006 la Sala Segunda de este Tribunal, de conformidad con lo dispuesto en el art. 11.2 LOTC, acordó conocer del recurso de amparo, admitir a trámite la demanda y, en aplicación del art. 51 LOTC, librar atenta comunicación a la Sección Primera de la Sala de lo Contencioso-Administrativo del Tribunal Superior de Justicia de Galicia, a fin de que, en plazo que no exceda de diez días, proceda al emplazamiento de quienes hubieran sido parte en el proceso judicial previo, excepto al demandante de amparo, para que en el término de diez días pudiesen comparecer en el presente recurso si lo estimaran conveniente. Igual comunicación se acordó dirigir a la Dirección General de la Policía, Subdirección General de Gestión y Recursos Humanos, Servicio de Recursos (Ministerio del Interior), a fin de que en plazo no superior a diez días remitiera certificación o fotocopia adverada del expediente administrativo núm. 4568-1992.</w:t>
      </w:r>
    </w:p>
    <w:p w:rsidR="00DE14C9" w:rsidRDefault="00DE14C9" w:rsidP="00DE14C9">
      <w:pPr>
        <w:pStyle w:val="TextoNormal"/>
      </w:pPr>
    </w:p>
    <w:p w:rsidR="00DE14C9" w:rsidRDefault="00DE14C9" w:rsidP="00DE14C9">
      <w:pPr>
        <w:pStyle w:val="TextoNormal"/>
      </w:pPr>
      <w:r w:rsidRPr="00DE14C9">
        <w:rPr>
          <w:rStyle w:val="NumeroAFNegritaCaracter"/>
        </w:rPr>
        <w:t>7</w:t>
      </w:r>
      <w:r>
        <w:t>. Por diligencia de ordenación de 15 de diciembre de 2006 del Secretario de Justicia, la Sala Segunda del Tribunal Constitucional tuvo por personado y parte al Sr. Abogado del Estado. A tenor de lo dispuesto en el art. 52 LOTC se acordó dar vista de las actuaciones recibidas a las partes personadas y al Ministerio Fiscal, por plazo común de veinte días, para que dentro de dicho término pudieran presentar las alegaciones que estimasen pertinentes.</w:t>
      </w:r>
    </w:p>
    <w:p w:rsidR="00DE14C9" w:rsidRDefault="00DE14C9" w:rsidP="00DE14C9">
      <w:pPr>
        <w:pStyle w:val="TextoNormal"/>
      </w:pPr>
    </w:p>
    <w:p w:rsidR="00DE14C9" w:rsidRDefault="00DE14C9" w:rsidP="00DE14C9">
      <w:pPr>
        <w:pStyle w:val="TextoNormal"/>
      </w:pPr>
      <w:r w:rsidRPr="00DE14C9">
        <w:rPr>
          <w:rStyle w:val="NumeroAFNegritaCaracter"/>
        </w:rPr>
        <w:t>8</w:t>
      </w:r>
      <w:r>
        <w:t xml:space="preserve">. Por escrito registrado en este Tribunal el 10 de enero de 2007 la Abogacía del Estado ante el Tribunal Constitucional, en trámite de alegaciones, interesó la desestimación del amparo sobre la base de los siguientes argumentos: </w:t>
      </w:r>
    </w:p>
    <w:p w:rsidR="00DE14C9" w:rsidRDefault="00DE14C9" w:rsidP="00DE14C9">
      <w:pPr>
        <w:pStyle w:val="TextoNormal"/>
      </w:pPr>
      <w:r>
        <w:lastRenderedPageBreak/>
        <w:t xml:space="preserve">En primer lugar, señala que el recurso de amparo no se dirige contra el acto administrativo y que no alude a la violación del art. 23.2 CE, sino que se refiere tan sólo a las resoluciones judiciales dictadas en el recurso contencioso-administrativo 542-2003, alegando únicamente violación del art. 24 CE. </w:t>
      </w:r>
    </w:p>
    <w:p w:rsidR="00DE14C9" w:rsidRDefault="00DE14C9" w:rsidP="00DE14C9">
      <w:pPr>
        <w:pStyle w:val="TextoNormal"/>
      </w:pPr>
      <w:r>
        <w:t>La Abogacía del Estado comienza descartando la existencia de un error patente en las resoluciones judiciales señaladas, habida cuenta de que las actuaciones judiciales no revelan error fáctico manifiesto alguno. Por lo que se refiere a la violación del derecho a la prueba pertinente el escrito de la Abogacía del Estado considera que la Sala, al estimar innecesaria la declaración testifical del Jefe Superior de Policía para corroborar que había proferido las palabras “quítalo de ahí” tras enterarse de “unas fotos impresentables”, actuó correctamente. Primero, porque teniendo como objeto esta prueba el corroborar lo que ya figuraba en el expediente, la consideró una prueba innecesaria. Segundo, porque, aun de haber testificado el Jefe Superior, no se hubiera alterado el sentido de la Sentencia, pues ésta se basa en que el Tribunal ha entendido acreditado que el actor no reunía mayores méritos y capacidad que los funcionarios a quienes se adjudicaron los puestos. Esta apreciación probatoria ha de respetarse en el presente amparo. Por último, con relación a la supuesta falta o insuficiencia de motivación, el Abogado del Estado dice que en las resoluciones judiciales adoptadas por el Tribunal Superior de Justicia de Galicia no se aprecia la alegada valoración irrazonable de la prueba (el informe del comisario jefe provincial de 10 de diciembre de 2002); en su opinión la queja no es más que una discrepancia entre el parecer de la parte recurrente y el de la Sala: mientras que la primera cree que debería haberse dado relevancia al Informe de 10 de diciembre de 2002 del comisario del cuerpo nacional de policía en Ourense a los efectos de probar la desviación de poder, la Sala considera probado que los otros candidatos disponían de méritos mayores, de tal modo que la adjudicación de puestos de trabajo no se efectuó con desviación de poder. De este modo, con sus palabras “quítalo de ahí”, el jefe superior se limitó a emitir un juicio que fue luego confirmado por la ponderación de méritos y capacidad a la hora de adjudicar los puestos de la nueva relación.</w:t>
      </w:r>
    </w:p>
    <w:p w:rsidR="00DE14C9" w:rsidRDefault="00DE14C9" w:rsidP="00DE14C9">
      <w:pPr>
        <w:pStyle w:val="TextoNormal"/>
      </w:pPr>
    </w:p>
    <w:p w:rsidR="00DE14C9" w:rsidRDefault="00DE14C9" w:rsidP="00DE14C9">
      <w:pPr>
        <w:pStyle w:val="TextoNormal"/>
      </w:pPr>
      <w:r w:rsidRPr="00DE14C9">
        <w:rPr>
          <w:rStyle w:val="NumeroAFNegritaCaracter"/>
        </w:rPr>
        <w:t>9</w:t>
      </w:r>
      <w:r>
        <w:t>. Por escrito registrado el 11 de enero de 2007 el Ministerio Fiscal, cumplimentando el trámite de alegaciones, interesó la estimación del amparo. En su escrito el Ministerio Fiscal comienza recordando la doctrina del Tribunal Constitucional sobre el derecho a utilizar los medios de prueba. A continuación señala que la Sala afirmó que las alegaciones de que la reclasificación se debía a represalias de tipo personal “no pueden ser acogidas toda vez que resultan infundadas y carentes del más mínimo sustento probatorio”, cuando la prueba testifical se propuso a partir de una base documental que constaba en el expediente. Por otra parte el examen del expediente administrativo lleva al Fiscal a considerar que no ha existido ninguno de los trámites propios de un concurso de méritos sin que siquiera figuren en el expediente los curricula de los policías que trabajaban en el gabinete de identificación. Las únicas referencias a los méritos respectivos se hallan en el informe del comisario jefe provincial. La lectura del mismo —afirma el Fiscal— no permite decir que la afirmación de que los adjudicatarios de las plazas en cuestión posean más méritos, resulte ser una afirmación que se ajuste a los elementos de hecho que constan en el expediente administrativo.</w:t>
      </w:r>
    </w:p>
    <w:p w:rsidR="00DE14C9" w:rsidRDefault="00DE14C9" w:rsidP="00DE14C9">
      <w:pPr>
        <w:pStyle w:val="TextoNormal"/>
      </w:pPr>
    </w:p>
    <w:p w:rsidR="00DE14C9" w:rsidRDefault="00DE14C9" w:rsidP="00DE14C9">
      <w:pPr>
        <w:pStyle w:val="TextoNormal"/>
      </w:pPr>
      <w:r w:rsidRPr="00DE14C9">
        <w:rPr>
          <w:rStyle w:val="NumeroAFNegritaCaracter"/>
        </w:rPr>
        <w:t>10</w:t>
      </w:r>
      <w:r>
        <w:t>. El 22 de enero de 2007 tuvo entrada en este Tribunal escrito de alegaciones presentado por la representación del recurrente, en el que se insiste en las alegaciones mantenidas con anterioridad en su recurso de amparo.</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11</w:t>
      </w:r>
      <w:r>
        <w:t>. Por providencia de 3 de mayo de 2007, se señaló para deliberación y votación de la presente Sentencia el día 7 del mismo mes y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 demanda de amparo se dirige contra la Sentencia núm. 612/2004 de la Sala de lo Contencioso-Administrativo del Tribunal Superior de Justicia de Galicia de fecha 14 de julio de 2004, que desestima el recurso contencioso-administrativo interpuesto contra la Resolución de la Dirección General de Policía, de fecha 3 de junio de 2003, desestimatoria a su vez del recurso de reposición planteado contra la de 14 de noviembre de 2002, por la que se acuerda la reclasificación del recurrente en amparo como personal técnico operativo.</w:t>
      </w:r>
    </w:p>
    <w:p w:rsidR="00DE14C9" w:rsidRDefault="00DE14C9" w:rsidP="00DE14C9">
      <w:pPr>
        <w:pStyle w:val="TextoNormal"/>
      </w:pPr>
      <w:r>
        <w:t>El recurrente aduce la vulneración de su derecho a la tutela judicial efectiva (art. 24.1 CE) por cuanto la Sentencia indicada no está fundada en Derecho ni está suficientemente motivada porque desconoce el correspondiente expediente administrativo.  El recurrente aduce, asimismo, la vulneración del derecho a un proceso con todas las garantías y a utilizar los medios de prueba pertinentes para su defensa (art. 24.2 CE), puesto que se le impidió acreditar en el juicio que la decisión de su reclasificación como personal técnico operativo fue resultado de una actuación discrecional y arbitraria de sus jefes. Asimismo señala que este extremo no se pudo probar porque la Sala lo impidió al denegar la prueba solicitada, consistente en la consideración del informe —incluido en el expediente administrativo— presentado por el comisario del cuerpo nacional de policía de Ourense en el que se recoge que el jefe superior de policía manifestó, refiriéndose al recurrente en amparo, “quítalo de ahí”.</w:t>
      </w:r>
    </w:p>
    <w:p w:rsidR="00DE14C9" w:rsidRDefault="00DE14C9" w:rsidP="00DE14C9">
      <w:pPr>
        <w:pStyle w:val="TextoNormal"/>
      </w:pPr>
      <w:r>
        <w:t>En sus alegaciones la Abogacía del Estado interesa la desestimación del amparo, considerando, en primer lugar, que la decisión del Tribunal Superior de Justicia de Galicia de no admitir la prueba no puede tildarse como una decisión irrazonable o arbitraria y, en segundo lugar, que el actor ha recibido una respuesta de fondo y motivada a sus pretensiones, de modo que no ha visto vulnerado su derecho a la tutela judicial efectiva sin indefensión. El Ministerio Fiscal interesa la estimación del amparo. En su opinión la Sala no tomó en consideración la prueba testifical propuesta por el demandante. Esta prueba se propuso a partir de una base documental que constaba en el expediente, de modo que no podía rechazarse sin más. Por otra parte el Fiscal reconoce irregularidades en la tramitación del expediente administrativo, de tal modo que es difícil afirmar que se hayan realizado, en este caso, los trámites propios de un concurso de méritos.</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En el examen de las quejas articuladas por el actor debemos seguir un orden lógico, en atención a los criterios expuestos en nuestra doctrina, que otorgan prioridad a aquéllas de las que pudiera derivarse la retroacción de actuaciones y, dentro de éstas, a las que, al determinar la retroacción a momentos anteriores, hacen innecesario nuestro pronunciamiento sobre las restantes (SSTC 19/2000, de 31 de enero, FJ 2; 70/2002, de 3 de abril, FJ 2; y 100/2004, de 2 de junio, FJ 4, entre otras). Pues bien, de acuerdo con dichos criterios se puede observar que la eventual estimación de las quejas referidas a la vulneración del derecho a la tutela judicial efectiva determinaría la anulación de la Sentencia impugnada para que la Sala dictara una nueva resolución respetuosa con tal derecho fundamental del recurrente. En cambio, si se produjera la estimación de la queja relativa a la vulneración del derecho a la utilización de los medios de prueba pertinentes para la defensa, no sólo se produciría la anulación de la resolución judicial combatida, sino también la retroacción de </w:t>
      </w:r>
      <w:r>
        <w:lastRenderedPageBreak/>
        <w:t>las actuaciones para que se practicaran en legal forma la prueba omitida y la realizada irregularmente y para que, posteriormente, la Sala dictara una nueva sentencia en la que diera contestación a las pretensiones del actor teniendo en cuenta el conjunto de la prueba practicada.</w:t>
      </w:r>
    </w:p>
    <w:p w:rsidR="00DE14C9" w:rsidRDefault="00DE14C9" w:rsidP="00DE14C9">
      <w:pPr>
        <w:pStyle w:val="TextoNormal"/>
      </w:pPr>
      <w:r>
        <w:t>Así pues comenzaremos por el análisis de la queja atinente a la lesión del derecho a la utilización de los medios de prueba, que es la que, de apreciarse, conduciría a la retroacción anterior en el tiempo; continuando, en el caso de que rechazáramos la concurrencia de dicha vulneración, con el análisis de las quejas que denuncian la lesión del derecho a la tutela judicial efectiva del demandante de amparo.</w:t>
      </w:r>
    </w:p>
    <w:p w:rsidR="00DE14C9" w:rsidRDefault="00DE14C9" w:rsidP="00DE14C9">
      <w:pPr>
        <w:pStyle w:val="TextoNormal"/>
      </w:pPr>
    </w:p>
    <w:p w:rsidR="00DE14C9" w:rsidRDefault="00DE14C9" w:rsidP="00DE14C9">
      <w:pPr>
        <w:pStyle w:val="TextoNormal"/>
      </w:pPr>
      <w:r w:rsidRPr="00DE14C9">
        <w:rPr>
          <w:rStyle w:val="NumeroAFNegritaCaracter"/>
        </w:rPr>
        <w:t>3</w:t>
      </w:r>
      <w:r>
        <w:t>. El examen del motivo de amparo expuesto requiere que recordemos la consolidada doctrina constitucional sobre el derecho a la utilización de los medios de prueba pertinentes para la defensa, recogida de forma sistematizada, más recientemente, entre otras, en la reciente STC 23/2007, de 12 de febrero, FJ 6, expresada en los términos que recoge en su fundamento jurídico 3, la STC 247/2004, de 20 de diciembre:</w:t>
      </w:r>
    </w:p>
    <w:p w:rsidR="00DE14C9" w:rsidRDefault="00DE14C9" w:rsidP="00DE14C9">
      <w:pPr>
        <w:pStyle w:val="TextoNormal"/>
      </w:pPr>
      <w:r>
        <w:t>“a) Este derecho es un derecho fundamental de configuración legal, en la delimitación de cuyo contenido constitucionalmente protegido coadyuva de manera activa el legislador, en particular al establecer las normas reguladoras de cada concreto orden jurisdiccional, a cuyas determinaciones habrá de acomodarse el ejercicio de este derecho, de tal modo que, para entenderlo lesionado, será preciso que la prueba no admitida o no practicada se haya solicitado en la forma y momento legalmente establecidos, sin que en ningún caso pueda considerarse menoscabado este derecho cuando la inadmisión de una prueba se haya producido debidamente en aplicación estricta de las normas legales cuya legitimidad constitucional no pueda ponerse en duda.</w:t>
      </w:r>
    </w:p>
    <w:p w:rsidR="00DE14C9" w:rsidRDefault="00DE14C9" w:rsidP="00DE14C9">
      <w:pPr>
        <w:pStyle w:val="TextoNormal"/>
      </w:pPr>
      <w:r>
        <w:t>b) Este derecho no tiene, en todo caso, carácter absoluto o, expresado en otros términos,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 debiendo motivar razonablemente la denegación de las pruebas propuestas, de modo que puede resultar vulnerado este derecho en caso de denegación o inejecución imputables al órgano judicial cuando se inadmiten o inejecutan pruebas relevantes para la resolución final del asunto litigioso sin motivación alguna o mediante una interpretación de la legalidad manifiestamente arbitraria o irrazonable. Por supuesto, una vez admitidas y practicadas las pruebas declaradas pertinentes, a los órganos judiciales les compete también su valoración conforme a las reglas de la lógica y de la sana crítica, según lo alegado y probado, fallando en consecuencia, sin que este Tribunal pueda entrar a valorar las pruebas, sustituyendo a los Jueces y Tribunales en la función exclusiva que les atribuye el art. 117.1 CE.</w:t>
      </w:r>
    </w:p>
    <w:p w:rsidR="00DE14C9" w:rsidRDefault="00DE14C9" w:rsidP="00DE14C9">
      <w:pPr>
        <w:pStyle w:val="TextoNormal"/>
      </w:pPr>
      <w:r>
        <w:t xml:space="preserve">c) Es también doctrina reiterada de este Tribunal la de que no toda irregularidad u omisión procesal en materia de prueba (referida a su admisión, a su práctica, a su valoración, etc.)  causa por sí misma indefensión material constitucionalmente relevante. Y es que, en efecto, el dato esencial para que pueda considerarse vulnerado el derecho fundamental analizado consiste en que las irregularidades u omisiones procesales efectivamente verificadas hayan supuesto para el demandante de amparo una efectiva indefensión, toda vez que la garantía constitucional contenida en el art. 24.2 CE únicamente cubre aquellos supuestos en los que la prueba es decisiva en términos de defensa, puesto que, de haberse practicado la prueba omitida, o si se hubiese practicado correctamente la admitida, la resolución final del </w:t>
      </w:r>
      <w:r>
        <w:lastRenderedPageBreak/>
        <w:t>proceso hubiera podido ser distinta en el sentido de ser favorable a quien denuncia la infracción del derecho fundamental.</w:t>
      </w:r>
    </w:p>
    <w:p w:rsidR="00DE14C9" w:rsidRDefault="00DE14C9" w:rsidP="00DE14C9">
      <w:pPr>
        <w:pStyle w:val="TextoNormal"/>
      </w:pPr>
      <w:r>
        <w:t>En concreto, para que se produzca violación del indicado derecho fundamental, este Tribunal ha exigido reiteradamente que concurran dos circunstancias: por una parte, la denegación o inejecución han de ser imputables al órgano judicial; y, por otra, la prueba denegada o impracticada ha de ser decisiva en términos de defensa, debiendo justificar el recurrente en su demanda la indefensión sufrida.</w:t>
      </w:r>
    </w:p>
    <w:p w:rsidR="00DE14C9" w:rsidRDefault="00DE14C9" w:rsidP="00DE14C9">
      <w:pPr>
        <w:pStyle w:val="TextoNormal"/>
      </w:pPr>
      <w:r>
        <w:t>Esta última exigencia de acreditación de la relevancia de la prueba denegada se proyecta, según nuestra jurisprudencia, también en un doble plano: por un lado, el recurrente ha de demostrar la relación entre los hechos que se quisieron y no se pudieron probar y las pruebas inadmitidas o no practicadas; y, por otro lado, ha de argumentar el modo en que la admisión y la práctica de la prueba objeto de la controversia habrían podido tener una incidencia favorable a la estimación de sus pretensiones; sólo en tal caso -comprobado que el fallo del proceso a quo pudo, tal vez, haber sido otro si la prueba se hubiera practicado-, podrá apreciarse también el menoscabo efectivo del derecho de quien por este motivo solicita el amparo constitucional”.</w:t>
      </w:r>
    </w:p>
    <w:p w:rsidR="00DE14C9" w:rsidRDefault="00DE14C9" w:rsidP="00DE14C9">
      <w:pPr>
        <w:pStyle w:val="TextoNormal"/>
      </w:pPr>
    </w:p>
    <w:p w:rsidR="00DE14C9" w:rsidRDefault="00DE14C9" w:rsidP="00DE14C9">
      <w:pPr>
        <w:pStyle w:val="TextoNormal"/>
      </w:pPr>
      <w:r w:rsidRPr="00DE14C9">
        <w:rPr>
          <w:rStyle w:val="NumeroAFNegritaCaracter"/>
        </w:rPr>
        <w:t>4</w:t>
      </w:r>
      <w:r>
        <w:t>. En el supuesto examinado el recurrente fundó la demanda presentada en el recurso contencioso-administrativo seguido ante el Tribunal Superior de Justicia de Galicia en la existencia de desviación de poder en la Resolución de la Dirección General de la Policía, de fecha 3 de junio de 2002, desestimatoria de recurso de reposición planteado contra otra de 14 de noviembre de 2002 por la que se acuerda reclasificación del actor como personal operativo policía. El actor entendía que tales decisiones resultaban arbitrarias, en primer lugar, porque no tuvieron en cuenta su mayor antigüedad y capacidad y sus méritos más relevantes que los adjudicatarios de las plazas de especialista auxiliar en policía científica, plaza que es la que, a su juicio, le correspondía y, en segundo lugar, porque tales decisiones obedecían a represalias por su mala relación con el anterior comisario jefe.</w:t>
      </w:r>
    </w:p>
    <w:p w:rsidR="00DE14C9" w:rsidRDefault="00DE14C9" w:rsidP="00DE14C9">
      <w:pPr>
        <w:pStyle w:val="TextoNormal"/>
      </w:pPr>
      <w:r>
        <w:t>En la demanda el actor solicitó el recibimiento a prueba, aunque sin indicar los puntos de hecho sobre los que habría de versar la misma. En concreto el otrosí digo segundo de su escrito de demanda solicita: “1. Documental, consistente en dar por reproducido el expediente administrativo remitido. 2. Testifical: que se reciba declaración testifical al Jefe Superior de Policía en la fecha objeto de la reclasificación, dado que según el Comisario Jefe del CNP de Ourense en aquella fecha, D. José García Fernández, manifestó, refiriéndose al recurrente: ‘Quítalo de ahí’.- Véase folios 31 a 35 del expediente”.</w:t>
      </w:r>
    </w:p>
    <w:p w:rsidR="00DE14C9" w:rsidRDefault="00DE14C9" w:rsidP="00DE14C9">
      <w:pPr>
        <w:pStyle w:val="TextoNormal"/>
      </w:pPr>
      <w:r>
        <w:t xml:space="preserve">Por Auto de 8 de marzo de 2004 la Sala de lo Contencioso-Administrativo del Tribunal Superior de Justicia de Galicia declaró no haber lugar a la apertura del período probatorio por “no estimar que el recibimiento a prueba sea trascendente para la resolución del presente litigio”. Frente esta decisión don Francisco Álvarez Rodríguez interpuso recurso de súplica. En el Auto de respuesta al señalado recurso (Auto de 11 de mayo de 2004) se ofrece un razonamiento algo más detallado y que singulariza la razón jurídica en el caso. En el mismo puede leerse: “las alegaciones hechas valer por la parte actora en su escrito de recurso no desvirtúan la apreciación y el criterio mantenido por la Sala al dictar la resolución impugnada, que ha de ser objeto de íntegra confirmación, toda vez que la práctica de la prueba testifical interesada (se solicitaba el testimonio del Jefe Superior de Policía sobre si manifestó “quítalo de ahí”), escasa luz vendría a arrojar, como es obvio, en orden a la definitiva solución del conflicto litigioso, por lo que en consecuencia procede desestimar el recurso de súplica interpuesto, sin hacer imposición de costas”. La Sala, en fin, estimó innecesaria </w:t>
      </w:r>
      <w:r>
        <w:lastRenderedPageBreak/>
        <w:t>la declaración testifical para corroborar lo que ya figuraba en el expediente a través de un informe firmado.</w:t>
      </w:r>
    </w:p>
    <w:p w:rsidR="00DE14C9" w:rsidRDefault="00DE14C9" w:rsidP="00DE14C9">
      <w:pPr>
        <w:pStyle w:val="TextoNormal"/>
      </w:pPr>
      <w:r>
        <w:t>Conviene recordar que la prueba propuesta por el recurrente en amparo consistía en solicitar el testimonio del jefe superior de policía. Con esta declaración del jefe superior de policía se trataba simplemente de corroborar lo consignado en las líneas finales del informe obrante al f. 31, es decir, que la autoridad policial regional había proferido las palabras “Quítalo de ahí” tras enterarse que “unas fotos impresentables” habían sido tomadas “por uno del gabinete”. Así se desprende del otrosí segundo de la demanda contencioso-administrativa y del recurso de súplica contra el Auto denegatorio del recibimiento a prueba. Desde este punto de vista, como expresa el Abogado del Estado en su escrito de alegaciones, la prueba testifical no contribuía a esclarecer ningún hecho controvertido, por lo que su denegación por innecesaria o inútil no puede considerarse carente de fundamento o irrazonable.</w:t>
      </w:r>
    </w:p>
    <w:p w:rsidR="00DE14C9" w:rsidRDefault="00DE14C9" w:rsidP="00DE14C9">
      <w:pPr>
        <w:pStyle w:val="TextoNormal"/>
      </w:pPr>
      <w:r>
        <w:t>En consecuencia no puede decirse que la resolución de denegación de la prueba adoptada por el Tribunal Superior de Justicia de Galicia carezca de motivación o que responda a una interpretación y aplicación de la legalidad arbitraria o irrazonable, máxime cuando, al decir del órgano judicial, la demanda no levanta la carga de razonar que esa prueba fuera decisiva en términos de defensa.</w:t>
      </w:r>
    </w:p>
    <w:p w:rsidR="00DE14C9" w:rsidRDefault="00DE14C9" w:rsidP="00DE14C9">
      <w:pPr>
        <w:pStyle w:val="TextoNormal"/>
      </w:pPr>
    </w:p>
    <w:p w:rsidR="00DE14C9" w:rsidRDefault="00DE14C9" w:rsidP="00DE14C9">
      <w:pPr>
        <w:pStyle w:val="TextoNormal"/>
      </w:pPr>
      <w:r w:rsidRPr="00DE14C9">
        <w:rPr>
          <w:rStyle w:val="NumeroAFNegritaCaracter"/>
        </w:rPr>
        <w:t>5</w:t>
      </w:r>
      <w:r>
        <w:t>. Esta última afirmación nos lleva a considerar el último de los requisitos exigidos por la doctrina constitucional a las decisiones judiciales relativas a la legalidad y pertinencia de las pruebas. Este último elemento es, como se ha señalado, que la prueba propuesta sea una prueba decisiva en términos de defensa cuya práctica hubiera podido alterar el resultado del proceso.</w:t>
      </w:r>
    </w:p>
    <w:p w:rsidR="00DE14C9" w:rsidRDefault="00DE14C9" w:rsidP="00DE14C9">
      <w:pPr>
        <w:pStyle w:val="TextoNormal"/>
      </w:pPr>
      <w:r>
        <w:t>Conviene para ello comenzar recordando que la razón ofrecida por la Sala para desestimar el recurso contencioso-administrativo es que no se entiende acreditado que el actor reuniera mayores méritos y capacidad que los funcionarios a quienes se adjudicaron los puestos de especialista auxiliar en policía científica. Resulta así jurídicamente irrelevante que esta circunstancia objetiva (menores méritos del recurrente en comparación con los adjudicatarios de los citados puestos de trabajo) venga a coincidir con la subjetiva impresión expresada por el jefe superior. Por ello, aun en el supuesto de que el jefe superior hubiera testimoniado que, efectivamente, dijo lo que le atribuye el informe (“Quítalo de ahí”), tal ratificación no hubiera cambiado el sentido de la Sentencia contencioso-administrativa.</w:t>
      </w:r>
    </w:p>
    <w:p w:rsidR="00DE14C9" w:rsidRDefault="00DE14C9" w:rsidP="00DE14C9">
      <w:pPr>
        <w:pStyle w:val="TextoNormal"/>
      </w:pPr>
      <w:r>
        <w:t>En su demanda de amparo el recurrente señala que la razón y trascendencia de la práctica de la prueba testifical está precisamente en acreditar la actuación arbitraria y discrecional del comisario jefe provincial de Ourense en la fecha objeto de la reclasificación efectuada al recurrente. A tal efecto se propuso la declaración testifical del jefe superior de policía en la fecha en que se produjo la reclasificación del recurrente en amparo. Con esta prueba parecía querer demostrarse la desviación de poder del comisario jefe provincial de Ourense. Éste, según el parecer del recurrente, cumplió la indicación realizada por el jefe superior de policía, quien en aquella fecha manifestó refiriéndose al recurrente: “Quítalo de ahí”; de ahí que formulara a la Dirección General de la Policía propuesta de recalificación, en el sentido de que se nombrase al recurrente en amparo personal operativo policial.</w:t>
      </w:r>
    </w:p>
    <w:p w:rsidR="00DE14C9" w:rsidRDefault="00DE14C9" w:rsidP="00DE14C9">
      <w:pPr>
        <w:pStyle w:val="TextoNormal"/>
      </w:pPr>
      <w:r>
        <w:t xml:space="preserve">Sin embargo lleva razón la Sala cuando afirma que la eventual ratificación por el jefe superior de policía de sus palabras no tenía por qué haber significado un cambio en el sentido de su Sentencia. Primero, porque esta Sentencia, como se ha señalado, encuentra fundamento en la presunción de legalidad del expediente administrativo y, por consiguiente, en el recurso en la fase de reclasificación de los criterios de mérito, capacidad y antigüedad. </w:t>
      </w:r>
      <w:r>
        <w:lastRenderedPageBreak/>
        <w:t>Segundo, porque el propio expediente señala que el comisario jefe provincial ha recurrido a estos criterios, indicando que los adjudicatarios de las plazas controvertidas poseen, en algunos casos, más cursos específicos en policía científica y, en otros, más méritos que el Sr. Álvarez Rodríguez.  Tercero, porque la presunta desviación de poder —circunstancia que se quiere probar— no sería imputable a la actuación del jefe superior de policía (cuya declaración se solicita) sino a la del comisario jefe provincial, de cuyas actuaciones no se solicita prueba alguna. Cuarto, porque la declaración del jefe superior de policía podría, en efecto, ratificar que realizó al comisario jefe provincial el señalado comentario, pero esta circunstancia en modo alguno probaría que este último actuó en desviación de poder.</w:t>
      </w:r>
    </w:p>
    <w:p w:rsidR="00DE14C9" w:rsidRDefault="00DE14C9" w:rsidP="00DE14C9">
      <w:pPr>
        <w:pStyle w:val="TextoNormal"/>
      </w:pPr>
      <w:r>
        <w:t>En atención a todo lo dicho debe concluirse que no concurren los requisitos exigidos por la jurisprudencia constitucional para entender violado el derecho fundamental a utilizar los medios de prueba pertinentes para la defensa (art. 24.2 CE).</w:t>
      </w:r>
    </w:p>
    <w:p w:rsidR="00DE14C9" w:rsidRDefault="00DE14C9" w:rsidP="00DE14C9">
      <w:pPr>
        <w:pStyle w:val="TextoNormal"/>
      </w:pPr>
    </w:p>
    <w:p w:rsidR="00DE14C9" w:rsidRDefault="00DE14C9" w:rsidP="00DE14C9">
      <w:pPr>
        <w:pStyle w:val="TextoNormal"/>
      </w:pPr>
      <w:r w:rsidRPr="00DE14C9">
        <w:rPr>
          <w:rStyle w:val="NumeroAFNegritaCaracter"/>
        </w:rPr>
        <w:t>6</w:t>
      </w:r>
      <w:r>
        <w:t>. Es preciso, a continuación, examinar la segunda queja formulada por el recurrente en amparo. Esta queja se refiere a la vulneración del derecho a la tutela judicial efectiva (art. 24.1 CE). A este respecto conviene recordar los rasgos fundamentales de la doctrina consolidada de este Tribunal en relación con la exigencia de motivación de las resoluciones judiciales como contenido del derecho fundamental a la tutela judicial efectiva proclamado en el art. 24.1 CE.</w:t>
      </w:r>
    </w:p>
    <w:p w:rsidR="00DE14C9" w:rsidRDefault="00DE14C9" w:rsidP="00DE14C9">
      <w:pPr>
        <w:pStyle w:val="TextoNormal"/>
      </w:pPr>
      <w:r>
        <w:t>Sirviéndonos a este fin de la precisa síntesis contenida en la STC 314/2005, de 12 de diciembre, FJ 4, cabe subrayar que: “a) El requisito de la motivación de las resoluciones judiciales halla su fundamento en la necesidad de conocer el proceso lógico-jurídico que conduce al fallo, y de controlar la aplicación del Derecho realizada por los órganos judiciales a través de los oportunos recursos, a la vez que permite contrastar la razonabilidad de las resoluciones judiciales. Actúa, en definitiva, para permitir el más completo ejercicio del derecho de defensa por parte de los justiciables, quienes pueden conocer así los criterios jurídicos en los que se fundamenta la decisión judicial, y actúa también como elemento preventivo de la arbitrariedad en el ejercicio de la jurisdicción; b) El deber de motivación de las resoluciones judiciales no autoriza a exigir un razonamiento jurídico exhaustivo y pormenorizado de todos los aspectos y perspectivas que las partes puedan tener de la cuestión que se decide o, lo que es lo mismo, no existe un derecho del justiciable a una determinada extensión de la motivación judicial (SSTC 14/1991, 175/1992, 105/1997, 224/1997), sino que deben considerarse suficientemente motivadas aquellas resoluciones judiciales que contengan, en primer lugar, los elementos y razones de juicio que permitan conocer cuáles han sido los criterios jurídicos esenciales fundamentadores de la decisión, es decir, la ratio decidendi que ha determinado aquélla (STC 165/1999, de 27 de septiembre) y, en segundo lugar, una fundamentación en Derecho (SSTC 147/1999, de 4 de agosto, y 173/2003, de 29 de septiembre); c) La suficiencia de la motivación no puede ser apreciada apriorísticamente con criterios generales, sino que requiere examinar el caso concreto para ver si, a la vista de las circunstancias concurrentes, se ha cumplido o no este requisito de las resoluciones judiciales (por todas, SSTC 2/1997, de 13 de enero, FJ 3; 139/2000, de 29 de mayo, FJ 4)”.</w:t>
      </w:r>
    </w:p>
    <w:p w:rsidR="00DE14C9" w:rsidRDefault="00DE14C9" w:rsidP="00DE14C9">
      <w:pPr>
        <w:pStyle w:val="TextoNormal"/>
      </w:pPr>
    </w:p>
    <w:p w:rsidR="00DE14C9" w:rsidRDefault="00DE14C9" w:rsidP="00DE14C9">
      <w:pPr>
        <w:pStyle w:val="TextoNormal"/>
      </w:pPr>
      <w:r w:rsidRPr="00DE14C9">
        <w:rPr>
          <w:rStyle w:val="NumeroAFNegritaCaracter"/>
        </w:rPr>
        <w:t>7</w:t>
      </w:r>
      <w:r>
        <w:t>. Tomando en consideración la anterior doctrina ha de enjuiciarse si en el presente caso la resolución impugnada satisface los requerimientos de la motivación constitucionalmente exigida.</w:t>
      </w:r>
    </w:p>
    <w:p w:rsidR="00DE14C9" w:rsidRDefault="00DE14C9" w:rsidP="00DE14C9">
      <w:pPr>
        <w:pStyle w:val="TextoNormal"/>
      </w:pPr>
      <w:r>
        <w:t xml:space="preserve">Se expone en la demanda que la Sentencia del Tribunal Superior de Justicia de Galicia ni está fundada en Derecho, ni está suficientemente motivada. Se argumenta que nada en el </w:t>
      </w:r>
      <w:r>
        <w:lastRenderedPageBreak/>
        <w:t>expediente administrativo autoriza a pensar o a deducir lo que el Tribunal afirma en la Sentencia, porque en ella se recoge simplemente lo que afirma el comisario, a pesar de que no conste en el expediente que haya existido concurso de méritos. También se afirma que en el citado expediente no hay base para comparar los méritos, por lo que la afirmación de la Sala de que “no parece que el actor reúna más méritos y capacidad que los adjudicatarios de aquellos puestos, cuando éstos tienen más cursos celebrados en la materia de policía científica”, carece de sustento.  La demanda considera, en fin, que en ningún momento se ha llevado a cabo un concurso específico de méritos o expediente de reclasificación con relación de los méritos y demás circunstancias para su constancia en el expediente. En dicho expediente sólo consta la reclamación del demandante de amparo.</w:t>
      </w:r>
    </w:p>
    <w:p w:rsidR="00DE14C9" w:rsidRDefault="00DE14C9" w:rsidP="00DE14C9">
      <w:pPr>
        <w:pStyle w:val="TextoNormal"/>
      </w:pPr>
      <w:r>
        <w:t>En primer lugar, frente a lo afirmado en la demanda de amparo, la Sentencia halla fundamento en Derecho. A estos efectos ha de decirse, por una parte, que la Sentencia, partiendo de la presunción de validez de los actos administrativos, hace suyos los argumentos de la Resolución de la Dirección General de Policía de 14 de noviembre de 2002, que es la resolución combatida por el recurrente. Por otra parte la Sentencia se refiere a las facultades de autoorganización de la Administración. Esta idea, por otra parte, está expresamente enfatizada en la citada Resolución de la Dirección General de Policía, donde se expone que la reclasificación de puestos que el recurrente combate tiene carácter provisional, “hasta que se puedan proveer los mismos a través del procedimiento de provisión que les corresponda”.</w:t>
      </w:r>
    </w:p>
    <w:p w:rsidR="00DE14C9" w:rsidRDefault="00DE14C9" w:rsidP="00DE14C9">
      <w:pPr>
        <w:pStyle w:val="TextoNormal"/>
      </w:pPr>
      <w:r>
        <w:t>En segundo lugar, la Sentencia del Tribunal Superior de Justicia de Galicia contiene una motivación que en modo alguno puede ser calificada como inexistente o claramente insuficiente. Ya se ha dicho que la Sala, contrariamente a lo señalado por el recurrente, no se limita a recoger lo afirmado por el comisario jefe en su informe de 10 de diciembre de 2002; lejos de ser así la Sentencia —que no se refiere expresamente a este informe en ningún pasaje— retoma la argumentación de la Resolución de la Dirección General de Policía de 14 de noviembre de 2002, de tal modo que hace suya la afirmación de que “los tres puestos de especialista auxiliar en policía científica fueron adjudicados, conforme a los principios de mérito, capacidad y antigüedad … a otros funcionarios adscritos a la referida plantilla, atendiendo a la propuesta formulada por el jefe de la comisaría”.</w:t>
      </w:r>
    </w:p>
    <w:p w:rsidR="00DE14C9" w:rsidRDefault="00DE14C9" w:rsidP="00DE14C9">
      <w:pPr>
        <w:pStyle w:val="TextoNormal"/>
      </w:pPr>
      <w:r>
        <w:t>Por lo demás la Sentencia señala expresamente que “no parece que el actor reúna más méritos y capacidad que los adjudicatarios de aquellos puestos, cuando éstos tienen más cursos celebrados en la materia de Policía Científica”. A esta constatación ha de añadirse que los adjudicatarios de los puestos objeto de controversia venían, al igual que el propio recurrente en amparo, desarrollando las funciones propias de los mismos. Junto a estos dos elementos —mayores méritos y capacidad, ejercicio de idénticas funciones— el informe del comisario jefe añade un tercero: la valoración del trabajo realizado por el Sr. Álvarez por parte de sus superiores. Encargado de realizar un reportaje fotográfico, el resultado final de esta tarea fue muy mal valorado por sus superiores, quienes hablaron de un “reportaje impresentable”. En el curso de una conversación, en la que se valoraba este trabajo, el jefe superior llegó a decir al comisario jefe “quítamelo de ahí”. Esta circunstancia ha sido recogida por el propio comisario jefe en su informe y parece ser un elemento más para proceder a la reclasificación del recurrente en amparo, sin que pueda estimarse en este contexto como expresión de una desviación de poder.</w:t>
      </w:r>
    </w:p>
    <w:p w:rsidR="00DE14C9" w:rsidRDefault="00DE14C9" w:rsidP="00DE14C9">
      <w:pPr>
        <w:pStyle w:val="TextoNormal"/>
      </w:pPr>
      <w:r>
        <w:t>En suma, no hay vicio alguno de motivación insuficiente puesto que resultó probado, a satisfacción de la Sala sentenciadora, que la adjudicación de puestos de trabajo se había efectuado según mérito y capacidad y no con desviación de poder.</w:t>
      </w:r>
    </w:p>
    <w:p w:rsidR="00DE14C9" w:rsidRDefault="00DE14C9" w:rsidP="00DE14C9">
      <w:pPr>
        <w:pStyle w:val="TextoNormal"/>
      </w:pPr>
      <w:r>
        <w:t xml:space="preserve">Así pues hemos de concluir que la Sentencia impugnada no ha vulnerado el derecho a la tutela judicial efectiva del recurrente en amparo (art. 24.1 CE), puesto que se trata de una </w:t>
      </w:r>
      <w:r>
        <w:lastRenderedPageBreak/>
        <w:t>resolución de fondo razonada, motivada, fundada en Derecho y congruente con las pretensiones deducidas oportunamente por la parte, aunque no favorable a los intereses del solicitante de amparo.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Desestimar la demanda de amparo promovida por don Francisco Álvarez Rodríguez.</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siete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8" w:name="SENTENCIA_2007_95"/>
      <w:r>
        <w:lastRenderedPageBreak/>
        <w:t>SENTENCIA 95/2007, de 7 de mayo de 2007</w:t>
      </w:r>
    </w:p>
    <w:bookmarkEnd w:id="8"/>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137, de 8 de junio de 2007)</w:t>
      </w:r>
    </w:p>
    <w:p w:rsidR="00DE14C9" w:rsidRDefault="00DE14C9" w:rsidP="00DE14C9">
      <w:pPr>
        <w:pStyle w:val="TtuloBOE"/>
      </w:pPr>
    </w:p>
    <w:p w:rsidR="00DE14C9" w:rsidRDefault="00DE14C9" w:rsidP="00DE14C9">
      <w:pPr>
        <w:pStyle w:val="SntesisDescriptiva"/>
      </w:pPr>
      <w:r>
        <w:t>ECLI:ES:TC:2007:95</w:t>
      </w:r>
    </w:p>
    <w:p w:rsidR="00DE14C9" w:rsidRDefault="00DE14C9" w:rsidP="00DE14C9">
      <w:pPr>
        <w:pStyle w:val="SntesisDescriptiva"/>
      </w:pPr>
    </w:p>
    <w:p w:rsidR="00DE14C9" w:rsidRDefault="00DE14C9" w:rsidP="00DE14C9">
      <w:pPr>
        <w:pStyle w:val="SntesisDescriptiva"/>
      </w:pPr>
      <w:r>
        <w:t>Recurso de amparo 2555-2006. Promovido por don Daniel Bourianes frente a los Autos de la Sala de lo Penal de la Audiencia Nacional y de un Juzgado Central de Instrucción que mantuvieron su prisión provisional en procedimiento de orden europea de detención y entrega a Francia por delito de tráfico de estupefacientes.</w:t>
      </w:r>
    </w:p>
    <w:p w:rsidR="00DE14C9" w:rsidRDefault="00DE14C9" w:rsidP="00DE14C9">
      <w:pPr>
        <w:pStyle w:val="SntesisDescriptiva"/>
      </w:pPr>
    </w:p>
    <w:p w:rsidR="00DE14C9" w:rsidRDefault="00DE14C9" w:rsidP="00DE14C9">
      <w:pPr>
        <w:pStyle w:val="SntesisAnaltica"/>
      </w:pPr>
      <w:r>
        <w:t>Vulneración de la libertad personal: incumplimiento del plazo máximo legal de prisión provisional en procedimiento de euroorden (STC 99/2006), no justificado por la pendencia de otra causa penal ante la jurisdicción española.</w:t>
      </w:r>
    </w:p>
    <w:p w:rsidR="00DE14C9" w:rsidRDefault="00DE14C9" w:rsidP="00DE14C9">
      <w:pPr>
        <w:pStyle w:val="SntesisAnaltica"/>
      </w:pPr>
    </w:p>
    <w:p w:rsidR="00DE14C9" w:rsidRDefault="00DE14C9" w:rsidP="00DE14C9">
      <w:pPr>
        <w:pStyle w:val="Extracto"/>
      </w:pPr>
      <w:r>
        <w:t>1.</w:t>
      </w:r>
      <w:r>
        <w:tab/>
        <w:t>El mantenimiento de la prisión provisional una vez agotados los plazos previstos en la ley, vulnera el derecho a la libertad personal del recurrente ya que es constitucionalmente inaceptable en atención al significado prevalente del derecho a la libertad y al carácter excepcional de la prisión provisional [FJ 7].</w:t>
      </w:r>
    </w:p>
    <w:p w:rsidR="00DE14C9" w:rsidRDefault="00DE14C9" w:rsidP="00DE14C9">
      <w:pPr>
        <w:pStyle w:val="Extracto"/>
      </w:pPr>
    </w:p>
    <w:p w:rsidR="00DE14C9" w:rsidRDefault="00DE14C9" w:rsidP="00DE14C9">
      <w:pPr>
        <w:pStyle w:val="Extracto"/>
      </w:pPr>
      <w:r>
        <w:t>2.</w:t>
      </w:r>
      <w:r>
        <w:tab/>
        <w:t>La prisión provisional, por el contenido de privación de libertad que comporta, ha de ser concebida, tanto en su adopción como en su mantenimiento, como una medida de aplicación excepcional, subsidiaria, provisional y proporcionada a los fines que constitucionalmente la justifican y delimitan, por lo que la superación de los plazos máximos legalmente previstos supone una limitación desproporcionada del derecho a la libertad y, en consecuencia, su vulneración (SSTC 127/1984, 128/1995) [FFJJ 4, 5].</w:t>
      </w:r>
    </w:p>
    <w:p w:rsidR="00DE14C9" w:rsidRDefault="00DE14C9" w:rsidP="00DE14C9">
      <w:pPr>
        <w:pStyle w:val="Extracto"/>
      </w:pPr>
    </w:p>
    <w:p w:rsidR="00DE14C9" w:rsidRDefault="00DE14C9" w:rsidP="00DE14C9">
      <w:pPr>
        <w:pStyle w:val="Extracto"/>
      </w:pPr>
      <w:r>
        <w:t>3.</w:t>
      </w:r>
      <w:r>
        <w:tab/>
        <w:t>Como consecuencia de la excepcionalidad de la prisión provisional, rige el principio favor libertatis o in dubio pro libertate, con lo que la interpretación y la aplicación de las normas reguladoras de la prisión provisional deben hacerse con carácter restrictivo y a favor del derecho fundamental a la libertad restringen [FJ 4].</w:t>
      </w:r>
    </w:p>
    <w:p w:rsidR="00DE14C9" w:rsidRDefault="00DE14C9" w:rsidP="00DE14C9">
      <w:pPr>
        <w:pStyle w:val="Extracto"/>
      </w:pPr>
    </w:p>
    <w:p w:rsidR="00DE14C9" w:rsidRDefault="00DE14C9" w:rsidP="00DE14C9">
      <w:pPr>
        <w:pStyle w:val="Extracto"/>
      </w:pPr>
      <w:r>
        <w:t>4.</w:t>
      </w:r>
      <w:r>
        <w:tab/>
        <w:t>De la exigencia de un plazo máximo de duración de la prisión provisional se deriva, a su vez, una exigencia de certeza en el cómputo del mismo que lleva a la exclusión tanto de los eventos ajenos a la propia medida cautelar como de los elementos inciertos que puedan conducir al desbordamiento del plazo razonable (SSTC 19/1999, 71/2000, 72/2000) [FJ 5].</w:t>
      </w:r>
    </w:p>
    <w:p w:rsidR="00DE14C9" w:rsidRDefault="00DE14C9" w:rsidP="00DE14C9">
      <w:pPr>
        <w:pStyle w:val="Extracto"/>
      </w:pPr>
    </w:p>
    <w:p w:rsidR="00DE14C9" w:rsidRDefault="00DE14C9" w:rsidP="00DE14C9">
      <w:pPr>
        <w:pStyle w:val="Extracto"/>
      </w:pPr>
      <w:r>
        <w:t>5.</w:t>
      </w:r>
      <w:r>
        <w:tab/>
        <w:t>El art. 21 de Ley 3/2003 prevé la suspensión de la entrega, cuando la persona reclamada tenga un proceso penal pendiente ante la jurisdicción española por un hecho distinto al que motive la orden europea, hasta la celebración del juicio o el cumplimiento de la pena, pero ni en el citado precepto ni en ningún otro de esta Ley se prevé la posibilidad de que la prisión provisional eventualmente adoptada pueda prorrogarse durante el periodo de dicha suspensión [FJ 7].</w:t>
      </w:r>
    </w:p>
    <w:p w:rsidR="00DE14C9" w:rsidRDefault="00DE14C9" w:rsidP="00DE14C9">
      <w:pPr>
        <w:pStyle w:val="Extracto"/>
      </w:pPr>
    </w:p>
    <w:p w:rsidR="00DE14C9" w:rsidRDefault="00DE14C9" w:rsidP="00DE14C9">
      <w:pPr>
        <w:pStyle w:val="Extracto"/>
      </w:pPr>
      <w:r>
        <w:lastRenderedPageBreak/>
        <w:t>6.</w:t>
      </w:r>
      <w:r>
        <w:tab/>
        <w:t>Doctrina sobre los plazos máximos de prisión provisional acordada en el seno de un procedimiento de orden europea de detención y entrega (euroorden) (STC 99/2006) [FJ 6].</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2555-2006, interpuesto por don Daniel Bourianes, representado por el Procurador de los Tribunales don Pedro Moreno Rodríguez y asistido por el Letrado don Manuel Fernando Calvo Pastrana, contra el Auto de la Sección Tercera de la Sala de lo Penal de la Audiencia Nacional, de 27 de febrero 2006, que confirma en apelación los dictados por el Juzgado Central de Instrucción núm. 3, el día 19 de octubre de 2005 y el día 16 de enero de 2006, manteniendo la prisión provisional acordada por Auto de 15 de julio de 2005 en el procedimiento de orden europea de detención y entrega 50-2005. Ha intervenido el Ministerio Fiscal. Ha sido Ponente el Magistrado don Guillermo Jiménez Sánchez,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xml:space="preserve">. Mediante escrito que tuvo entrada en el Registro General de este Tribunal el día 7 de marzo de 2006 el Procurador de los Tribunales don Pedro Moreno Rodríguez, en nombre y representación de don Daniel Bourianes, manifestó la voluntad de éste de interponer recurso de amparo contra la resolución citada en el encabezamiento, solicitando el nombramiento de Abogado del turno de oficio a tal fin. </w:t>
      </w:r>
    </w:p>
    <w:p w:rsidR="00DE14C9" w:rsidRDefault="00DE14C9" w:rsidP="00DE14C9">
      <w:pPr>
        <w:pStyle w:val="TextoNormal"/>
      </w:pPr>
      <w:r>
        <w:t xml:space="preserve">Mediante diligencia de ordenación de fecha 14 de marzo de 2006 la Sección Tercera de este Tribunal tramitó esta petición y, mediante otra diligencia de ordenación de fecha 6 de abril de 2006, tuvo por designado a don Manuel Fernando Calvo Pastrana como Abogado, otorgándose a la representación procesal del recurrente un plazo de veinte días para formalizar la demanda de amparo. </w:t>
      </w:r>
    </w:p>
    <w:p w:rsidR="00DE14C9" w:rsidRDefault="00DE14C9" w:rsidP="00DE14C9">
      <w:pPr>
        <w:pStyle w:val="TextoNormal"/>
      </w:pPr>
      <w:r>
        <w:t>Por diligencia de ordenación de 30 de mayo de 2006 se suspendió dicho plazo, a petición del recurrente, y se solicitaron a la Sección Tercera de la Audiencia Nacional las actuaciones correspondientes al expediente de orden europea de detención y entrega 50-2005. Una vez recibidas las actuaciones se dio traslado de ellas a la representación de don Daniel Bourianes, otorgándole un nuevo plazo de veinte días para formalizar la demanda de amparo, que se registró en este Tribunal el día 18 de octubre de 2006.</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2</w:t>
      </w:r>
      <w:r>
        <w:t xml:space="preserve">. Los hechos en los que tiene su origen el presente recurso relevantes para su resolución son, sucintamente expuestos, los siguientes: </w:t>
      </w:r>
    </w:p>
    <w:p w:rsidR="00DE14C9" w:rsidRDefault="00DE14C9" w:rsidP="00DE14C9">
      <w:pPr>
        <w:pStyle w:val="TextoNormal"/>
      </w:pPr>
      <w:r>
        <w:t xml:space="preserve">a) El día 15 de julio de 2005 el Juzgado Central de Instrucción núm. 3 dictó un Auto en el que se acordaba la prisión provisional, eludible con fianza de 10.000 euros, del ahora demandante de amparo, reclamado en virtud de orden europea de detención y entrega cursada por Francia, al amparo de lo previsto en la Ley 3/3003 y en la LECrim. Ese mismo día se produjo el ingreso en prisión (centro penitenciario Madrid V, Soto del Real) de don Daniel Bourianes. </w:t>
      </w:r>
    </w:p>
    <w:p w:rsidR="00DE14C9" w:rsidRDefault="00DE14C9" w:rsidP="00DE14C9">
      <w:pPr>
        <w:pStyle w:val="TextoNormal"/>
      </w:pPr>
      <w:r>
        <w:t xml:space="preserve">Contra la anterior resolución se interpuso recurso de reforma, desestimado por Auto de 2 de agosto de 2005. Dicho Auto afirma que existe riesgo de fuga, al encontrarse el reclamado en España y no en Francia, donde se le reclama en relación con un delito de tráfico de estupefacientes, por lo que no se consideran desproporcionadas la medida de prisión ni la cuantía de la fianza. </w:t>
      </w:r>
    </w:p>
    <w:p w:rsidR="00DE14C9" w:rsidRDefault="00DE14C9" w:rsidP="00DE14C9">
      <w:pPr>
        <w:pStyle w:val="TextoNormal"/>
      </w:pPr>
      <w:r>
        <w:t xml:space="preserve">b) Por Auto de 16 de julio de 2005 el Juez Central de Instrucción núm. 3, en el expediente de orden europea de detención y entrega 50-2005, acordó decretar la entrega del recurrente a las autoridades judiciales de Francia, entrega que fue consentida por el reclamado. </w:t>
      </w:r>
    </w:p>
    <w:p w:rsidR="00DE14C9" w:rsidRDefault="00DE14C9" w:rsidP="00DE14C9">
      <w:pPr>
        <w:pStyle w:val="TextoNormal"/>
      </w:pPr>
      <w:r>
        <w:t xml:space="preserve">Posteriormente, tras notificar el Juzgado de Instrucción núm. 5 de Figueres la existencia de un procedimiento abreviado contra el reclamado, por delito de apropiación indebida, en el que ya se había acordado la apertura de juicio oral, por Auto de 20 de julio de 2005 se suspendió la entrega anteriormente acordada por tener don Daniel Bourianes responsabilidades pendientes en España, sin perjuicio de que dicha entrega pudiera llevarse a cabo una vez que por el Juzgado correspondiente se participara que no existía inconveniente en ella. </w:t>
      </w:r>
    </w:p>
    <w:p w:rsidR="00DE14C9" w:rsidRDefault="00DE14C9" w:rsidP="00DE14C9">
      <w:pPr>
        <w:pStyle w:val="TextoNormal"/>
      </w:pPr>
      <w:r>
        <w:t xml:space="preserve">c) El día 6 de octubre de 2005 la representación procesal del recurrente solicitó su puesta en libertad, alegando la vulneración del art. 17 CE, en relación con los principios de proporcionalidad y excepcionalidad de la prisión provisional, conforme al articulado de la Ley 3/2003, pues llevaba más de tres meses en prisión. </w:t>
      </w:r>
    </w:p>
    <w:p w:rsidR="00DE14C9" w:rsidRDefault="00DE14C9" w:rsidP="00DE14C9">
      <w:pPr>
        <w:pStyle w:val="TextoNormal"/>
      </w:pPr>
      <w:r>
        <w:t xml:space="preserve">Por Auto de 19 de octubre de 2005 se resolvió mantener la prisión provisional en los términos del Auto de 15 de julio al no haberse modificado las circunstancias que determinaron que se acordara. </w:t>
      </w:r>
    </w:p>
    <w:p w:rsidR="00DE14C9" w:rsidRDefault="00DE14C9" w:rsidP="00DE14C9">
      <w:pPr>
        <w:pStyle w:val="TextoNormal"/>
      </w:pPr>
      <w:r>
        <w:t xml:space="preserve">Contra dicho Auto se interpuso recurso de reforma, desestimado por Auto de 16 de enero de 2006 en atención a “la gravedad del delito que se le imputa” y “el patente peligro de eludir la acción de la justicia”. </w:t>
      </w:r>
    </w:p>
    <w:p w:rsidR="00DE14C9" w:rsidRDefault="00DE14C9" w:rsidP="00DE14C9">
      <w:pPr>
        <w:pStyle w:val="TextoNormal"/>
      </w:pPr>
      <w:r>
        <w:t xml:space="preserve">El subsidiario recurso de apelación fue igualmente desestimado por Auto de la Sala de lo Penal de la Audiencia Nacional, Sección Tercera, de 27 de febrero de 2006. Esta resolución vuelve a insistir en que existe peligro de fuga en quien ya se ha fugado del Estado reclamante, sosteniendo que el art. 17 de la Ley 3/2003 se remite a la LECrim en cuanto a los requisitos de la prisión provisional, por lo que resulta aplicable el art. 531 LECrim para determinar la cantidad y calidad de la fianza. </w:t>
      </w:r>
    </w:p>
    <w:p w:rsidR="00DE14C9" w:rsidRDefault="00DE14C9" w:rsidP="00DE14C9">
      <w:pPr>
        <w:pStyle w:val="TextoNormal"/>
      </w:pPr>
      <w:r>
        <w:t>d) A requerimiento de la Sala Segunda de este Tribunal, el Centro Penitenciario Madrid V remitió dos escritos, de fecha 15 y 17 de noviembre respectivamente, informando sobre la situación penitenciaria del recurrente. En dichos escritos se hace constar que el interno ingresó como preso preventivo el día 15 de julio de 2005 y que se encuentra a disposición del Juzgado Central de Instrucción núm. 3 en virtud de la orden europea de detención y entrega 50-2005, entrega que se encuentra suspendida por tener don Daniel Bourianes responsabilidades penales en España en una causa por la que no se encuentra preso.</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3</w:t>
      </w:r>
      <w:r>
        <w:t xml:space="preserve">. El recurrente fundamenta su demanda de amparo denunciando la vulneración de los derechos fundamentales a la libertad personal (art. 17.1 CE), a la tutela judicial efectiva (art. 24.2 CE) y a un proceso sin dilaciones indebidas (art. 24.2 CE). </w:t>
      </w:r>
    </w:p>
    <w:p w:rsidR="00DE14C9" w:rsidRDefault="00DE14C9" w:rsidP="00DE14C9">
      <w:pPr>
        <w:pStyle w:val="TextoNormal"/>
      </w:pPr>
      <w:r>
        <w:t xml:space="preserve">En primer lugar, tras recordar la jurisprudencia de este Tribunal sobre prisión provisional y sus peculiaridades en materia de extradición, denuncia la falta de cobertura legal de la prisión provisional a la que se encuentra sometido, pues la misma ha sido acordada en un procedimiento de orden europea de detención y entrega, por lo que le son de aplicación las disposiciones de la Ley Orgánica 3/2003. Y el art. 17 de esta ley establece que la prisión se acuerde teniendo en cuenta las circunstancias personales del caso, lo que no ha sucedido en el presente, pues se aprecia un riesgo de fuga genérico sin valorar el arraigo en España, de más de ocho años con vínculos familiares y laborales, de quien nunca se fugó de Francia y ha consentido la entrega. Por otra parte se denuncia que han transcurrido en exceso los plazos máximos previstos en la ley para el mantenimiento de la prisión provisional, pues el art. 20 de la Ley Orgánica 3/2003 establece que la entrega se efectuará en los diez días siguientes a la decisión judicial, pudiendo fijarse un nuevo plazo de diez días, transcurridos los cuales sin que la persona reclamada haya sido entregada (a tenor de lo dispuesto por el apartado 4 de este artículo) ha de procederse a su puesta en libertad. El mantenimiento en una prisión provisional sine die del reclamado no tiene amparo legal en el procedimiento de eurorden ni en otro alguno, puesto que no se ha solicitado ninguna otra medida restrictiva de su libertad en el procedimiento abreviado que se sigue contra él en el Juzgado de Figueres. Por todo ello se entienden vulnerados los derechos a la libertad (art. 17.1 CE) y a la tutela judicial efectiva (art. 24.1 CE). </w:t>
      </w:r>
    </w:p>
    <w:p w:rsidR="00DE14C9" w:rsidRDefault="00DE14C9" w:rsidP="00DE14C9">
      <w:pPr>
        <w:pStyle w:val="TextoNormal"/>
      </w:pPr>
      <w:r>
        <w:t xml:space="preserve">En segundo lugar se denuncia la insuficiente motivación de las resoluciones judiciales recurridas, en relación con el derecho a la libertad en juego, insistiendo en la falta de consideración de las circunstancias personales del recurrente y del caso concreto. </w:t>
      </w:r>
    </w:p>
    <w:p w:rsidR="00DE14C9" w:rsidRDefault="00DE14C9" w:rsidP="00DE14C9">
      <w:pPr>
        <w:pStyle w:val="TextoNormal"/>
      </w:pPr>
      <w:r>
        <w:t>Y finalmente, bajo la invocación del derecho a la libertad (art. 17.1 CE) en relación con el derecho a un proceso sin dilaciones indebidas (art. 24.2 CE), se vuelve a insistir en que don Daniel Bourianes lleva un año y tres meses en prisión provisional como consecuencia de una orden europea de detención y entrega, tras haber consentido en su entrega al país reclamante, entrega que debía haberse efectuado en el plazo de diez días. Por tanto se han excedido, con mucho, los plazos legalmente previstos para estos supuestos y se vulnera la doctrina del “plazo razonable” establecida por el Tribunal Europeo de Derechos Humanos.</w:t>
      </w:r>
    </w:p>
    <w:p w:rsidR="00DE14C9" w:rsidRDefault="00DE14C9" w:rsidP="00DE14C9">
      <w:pPr>
        <w:pStyle w:val="TextoNormal"/>
      </w:pPr>
    </w:p>
    <w:p w:rsidR="00DE14C9" w:rsidRDefault="00DE14C9" w:rsidP="00DE14C9">
      <w:pPr>
        <w:pStyle w:val="TextoNormal"/>
      </w:pPr>
      <w:r w:rsidRPr="00DE14C9">
        <w:rPr>
          <w:rStyle w:val="NumeroAFNegritaCaracter"/>
        </w:rPr>
        <w:t>4</w:t>
      </w:r>
      <w:r>
        <w:t>. Por providencia de 20 de noviembre de 2006 la Sala Segunda acordó la admisión a trámite de la demanda y, a tenor de lo dispuesto en el art. 51 LOTC, obrando ya en la Sala las actuaciones correspondientes al expediente de orden europea de detención y entrega núm. 50-2005, requerir de la Sección Tercera de la Sala de lo Penal de la Audiencia Nacional la remisión de certificación o fotocopia adverada de las actuaciones correspondientes al recurso de apelación núm. 16-2006.</w:t>
      </w:r>
    </w:p>
    <w:p w:rsidR="00DE14C9" w:rsidRDefault="00DE14C9" w:rsidP="00DE14C9">
      <w:pPr>
        <w:pStyle w:val="TextoNormal"/>
      </w:pPr>
    </w:p>
    <w:p w:rsidR="00DE14C9" w:rsidRDefault="00DE14C9" w:rsidP="00DE14C9">
      <w:pPr>
        <w:pStyle w:val="TextoNormal"/>
      </w:pPr>
      <w:r w:rsidRPr="00DE14C9">
        <w:rPr>
          <w:rStyle w:val="NumeroAFNegritaCaracter"/>
        </w:rPr>
        <w:t>5</w:t>
      </w:r>
      <w:r>
        <w:t>. Una vez recibidas las actuaciones, a través de diligencia de ordenación de fecha 9 de enero de 2007, se dio vista de ellas a la parte recurrente y al Ministerio público por término de veinte días, dentro de los cuales podrían presentar las alegaciones que estimasen pertinentes, conforme a lo establecido en el art. 52.1 LOTC.</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6</w:t>
      </w:r>
      <w:r>
        <w:t xml:space="preserve">. El día 12 de febrero de 2007 presentó sus alegaciones el Fiscal, interesando que se otorgue el amparo solicitado por vulneración del derecho a la libertad (art. 17.1 CE en relación con el art. 24.1 CE). </w:t>
      </w:r>
    </w:p>
    <w:p w:rsidR="00DE14C9" w:rsidRDefault="00DE14C9" w:rsidP="00DE14C9">
      <w:pPr>
        <w:pStyle w:val="TextoNormal"/>
      </w:pPr>
      <w:r>
        <w:t xml:space="preserve">Tras resumir los hechos y los antecedentes procesales del caso, comienza el Ministerio público destacando que, a la luz de la jurisprudencia constitucional, la denuncia de vulneración del derecho a la tutela judicial efectiva (art. 24.1 CE) carece de autonomía y ha de englobarse en la relativa al derecho a la libertad (art. 17.1 CE), puesto que la ausencia de motivación en resoluciones que acuerdan medidas limitativas de derechos concierne directamente a la lesión del derecho fundamental y no autónomamente a la tutela judicial efectiva (cita al efecto la STC 179/2005, de 4 de julio, FJ 2). Y, respecto de la denuncia de vulneración del derecho a un proceso sin dilaciones indebidas (art. 24.2 CE), señala que no consta su alegación previa en el procedimiento de la orden europea de detención y entrega 50-2005, lo que impediría, en virtud de la subsidiariedad del amparo, un pronunciamiento de este Tribunal al respecto (cita STC 99/2006, de 27 de marzo, FJ 2), a lo que se añade que, en todo caso, no se aprecian dilaciones en el procedimiento, sino que todas las pretensiones deducidas en él han sido resueltas prontamente. </w:t>
      </w:r>
    </w:p>
    <w:p w:rsidR="00DE14C9" w:rsidRDefault="00DE14C9" w:rsidP="00DE14C9">
      <w:pPr>
        <w:pStyle w:val="TextoNormal"/>
      </w:pPr>
      <w:r>
        <w:t xml:space="preserve">Realizadas las anteriores precisiones considera el Fiscal que debe apreciarse la existencia de la vulneración de su derecho a la libertad que denuncia el recurrente; y ello por dos razones. En primer lugar, porque el tiempo de permanencia en prisión provisional que se ha producido en el caso excede de lo razonable. Al efecto recuerda que el respeto a los máximos legalmente previstos para la duración de la prisión provisional constituye una exigencia constitucional, de manera que su superación implica una limitación desproporcionada del derecho a la libertad y, en consecuencia su vulneración. Cita y reproduce parcialmente las SSTC 333/2006, de 20 de noviembre, FJ 3; 99/2006, de 27 de marzo, FJ 4; y 71/2000, de 13 de marzo, FFJJ 5 y 6. En segundo lugar, por la defectuosa motivación de las resoluciones que mantienen la prisión provisional, en relación a lo cual cita y reproduce parcialmente la STC 179/2005, de 4 de julio, FJ 4. </w:t>
      </w:r>
    </w:p>
    <w:p w:rsidR="00DE14C9" w:rsidRDefault="00DE14C9" w:rsidP="00DE14C9">
      <w:pPr>
        <w:pStyle w:val="TextoNormal"/>
      </w:pPr>
      <w:r>
        <w:t xml:space="preserve">Analizando las circunstancias del caso pone de relieve el Ministerio público que la Ley 3/2003 prevé en su art. 21 la suspensión de la entrega en el caso de procesos penales pendientes, pero no establece un plazo determinado; y si bien no se ha superado el plazo máximo de prisión provisional establecido en el art. 504 LECrim (en función de los datos suministrados por la autoridad requirente), sin embargo el mantenimiento de la situación de prisión provisional supone una prolongación de la situación de privación de libertad sin la adecuada cobertura legal desde la dimensión constitucional. Y, aun cuando tras suspender la entrega se ha comunicado en el caso la resolución correspondiente al Juzgado de Figueres, solicitando que se le participe con la mayor inmediatez el momento en que ya no exista inconveniente para hacerla efectiva, al no recibir contestación no se ha realizado por el órgano judicial diligencia alguna ordenada a aclarar las consecuencias del retraso para poder así realizar una valoración global de la situación en orden a modificar o mantener la medida cautelar. </w:t>
      </w:r>
    </w:p>
    <w:p w:rsidR="00DE14C9" w:rsidRDefault="00DE14C9" w:rsidP="00DE14C9">
      <w:pPr>
        <w:pStyle w:val="TextoNormal"/>
      </w:pPr>
      <w:r>
        <w:t xml:space="preserve">Por otra parte señala el Ministerio público que el Auto de 27 de febrero de 2006 de la Sección Tercera de la Sala de lo Penal de la Audiencia Nacional fundamenta la medida adoptada en que “el peligro de fuga está latente en quien ya se ha fugado del Estado reclamante”, sin explicar esta afirmación ni entrar a considerar las circunstancias personales alegadas por el recurrente en su escrito de 6 de octubre de 2007. Y, si bien es cierto que el riesgo de fuga puede ser por sí solo un elemento decisivo a la hora de adoptar la medida de prisión, ello no excluye la necesidad de acompañarla con una motivación especialmente cuidadosa en la cual se valoren las demás circunstancias concurrentes en el caso, máxime </w:t>
      </w:r>
      <w:r>
        <w:lastRenderedPageBreak/>
        <w:t xml:space="preserve">teniendo en cuenta que en el presente confluyen una serie de datos que debieron ser tenidos en cuenta: el consentimiento en la entrega del reclamado; la naturaleza de la medida cautelar adoptada (prisión provisional eludible con fianza de 10.000 euros); la ausencia de medidas cautelares adoptadas por el Juzgado de Figueres en el procedimiento cuya pendencia justifica la suspensión de la entrega; el transcurso de varios meses desde que se dictó el inicial Auto de prisión el 15 de julio de 2005 hasta el momento en que se acuerda el mantenimiento de la prisión provisional por Auto de 10 de octubre de 2005. En definitiva, sin explicar en el caso concreto el riesgo de fuga, y sin faltar el consentimiento en la entrega, se prolonga de manera indefinida (o al menos hasta el cumplimiento de los plazos de la LECrim) una medida de prisión que excede de lo razonable, según la doctrina constitucional. </w:t>
      </w:r>
    </w:p>
    <w:p w:rsidR="00DE14C9" w:rsidRDefault="00DE14C9" w:rsidP="00DE14C9">
      <w:pPr>
        <w:pStyle w:val="TextoNormal"/>
      </w:pPr>
      <w:r>
        <w:t>Todo lo cual ha de conducir, en opinión del Fiscal, a considerar vulnerado el derecho a la libertad (art. 17.1 CE en relación con el 24.1 CE), vulneración que conlleva la anulación de las resoluciones recurridas, pero no determina la inmediata puesta en libertad del recurrente (cita la STC 333/2006, de 20 de noviembre, FJ 5) sino la necesidad de retrotraer las actuaciones a fin de que se dicte una nueva resolución respetuosa con el derecho a la libertad.</w:t>
      </w:r>
    </w:p>
    <w:p w:rsidR="00DE14C9" w:rsidRDefault="00DE14C9" w:rsidP="00DE14C9">
      <w:pPr>
        <w:pStyle w:val="TextoNormal"/>
      </w:pPr>
    </w:p>
    <w:p w:rsidR="00DE14C9" w:rsidRDefault="00DE14C9" w:rsidP="00DE14C9">
      <w:pPr>
        <w:pStyle w:val="TextoNormal"/>
      </w:pPr>
      <w:r w:rsidRPr="00DE14C9">
        <w:rPr>
          <w:rStyle w:val="NumeroAFNegritaCaracter"/>
        </w:rPr>
        <w:t>7</w:t>
      </w:r>
      <w:r>
        <w:t>. Mediante una diligencia de ordenación de fecha 19 de febrero de 2007 se hace constar que el recurrente no ha presentado escrito de alegaciones, quedando el recurso pendiente de deliberación cuando corresponda.</w:t>
      </w:r>
    </w:p>
    <w:p w:rsidR="00DE14C9" w:rsidRDefault="00DE14C9" w:rsidP="00DE14C9">
      <w:pPr>
        <w:pStyle w:val="TextoNormal"/>
      </w:pPr>
    </w:p>
    <w:p w:rsidR="00DE14C9" w:rsidRDefault="00DE14C9" w:rsidP="00DE14C9">
      <w:pPr>
        <w:pStyle w:val="TextoNormal"/>
      </w:pPr>
      <w:r w:rsidRPr="00DE14C9">
        <w:rPr>
          <w:rStyle w:val="NumeroAFNegritaCaracter"/>
        </w:rPr>
        <w:t>8</w:t>
      </w:r>
      <w:r>
        <w:t>. Por providencia de 3 de mayo de 2007 se señaló para deliberación y votación de la presente Sentencia el día 7 del mismo mes y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El presente recurso se dirige contra el Auto de la Sección Tercera de la Sala de lo Penal de la Audiencia Nacional, de 27 de febrero 2006, que confirma en apelación los dictados por el Juzgado Central de Instrucción núm. 3, el día 19 de octubre de 2005 y el día 16 de enero de 2006, manteniendo la prisión provisional acordada por Auto de 15 de julio de 2005 en el procedimiento de orden europea de detención y entrega 50-2005.</w:t>
      </w:r>
    </w:p>
    <w:p w:rsidR="00DE14C9" w:rsidRDefault="00DE14C9" w:rsidP="00DE14C9">
      <w:pPr>
        <w:pStyle w:val="TextoNormal"/>
      </w:pPr>
    </w:p>
    <w:p w:rsidR="00DE14C9" w:rsidRDefault="00DE14C9" w:rsidP="00DE14C9">
      <w:pPr>
        <w:pStyle w:val="TextoNormal"/>
      </w:pPr>
      <w:r w:rsidRPr="00DE14C9">
        <w:rPr>
          <w:rStyle w:val="NumeroAFNegritaCaracter"/>
        </w:rPr>
        <w:t>2</w:t>
      </w:r>
      <w:r>
        <w:t>. El demandante de amparo denuncia la vulneración de los derechos fundamentales a la libertad personal (art. 17.1 CE), a la tutela judicial efectiva (art. 24.2 CE) y a un proceso sin dilaciones indebidas (art. 24. 2 CE) y, conforme a ello, solicita que se declare la nulidad del Auto de fecha 27 de febrero de 2006 dictado por la Sección Tercera de la Sala de lo Penal de la Audiencia Nacional.</w:t>
      </w:r>
    </w:p>
    <w:p w:rsidR="00DE14C9" w:rsidRDefault="00DE14C9" w:rsidP="00DE14C9">
      <w:pPr>
        <w:pStyle w:val="TextoNormal"/>
      </w:pPr>
      <w:r>
        <w:t>El Ministerio público interesa que se otorgue el amparo solicitado al considerar vulnerado el derecho a la libertad (art. 17.1 CE) en relación con el derecho a la tutela judicial efectiva (art. 24.1 CE).</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La invocación del derecho a un proceso sin dilaciones indebidas (art. 24.2 CE) resulta puramente retórica y carece del adecuado desarrollo argumental para que pueda ser examinada por este Tribunal (por todas, SSTC 93/2002, de 22 de abril, FJ 3; 2/2004, de 14 de </w:t>
      </w:r>
      <w:r>
        <w:lastRenderedPageBreak/>
        <w:t>enero, FJ 1), debiendo reconducirse a la relativa al derecho a la libertad, ya que en la demanda no se denuncian paralizaciones de la causa imputables al órgano judicial, sino la superación de los plazos máximos de permanencia en prisión provisional.</w:t>
      </w:r>
    </w:p>
    <w:p w:rsidR="00DE14C9" w:rsidRDefault="00DE14C9" w:rsidP="00DE14C9">
      <w:pPr>
        <w:pStyle w:val="TextoNormal"/>
      </w:pPr>
      <w:r>
        <w:t>Nuestro análisis comenzará por la alegación relativa al mantenimiento en prisión provisional del recurrente una vez transcurrido el plazo máximo legal establecido en la Ley 3/2003, de 14 de marzo, sobre la orden europea de detención y entrega, pues de estimarse esta queja resultaría innecesario cualquier pronunciamiento sobre la suficiencia de la motivación de las resoluciones recurridas (por todas, SSTC 98/2002, de 29 de abril, FJ 2; 81/2004, de 5 de mayo, FJ 3).</w:t>
      </w:r>
    </w:p>
    <w:p w:rsidR="00DE14C9" w:rsidRDefault="00DE14C9" w:rsidP="00DE14C9">
      <w:pPr>
        <w:pStyle w:val="TextoNormal"/>
      </w:pPr>
    </w:p>
    <w:p w:rsidR="00DE14C9" w:rsidRDefault="00DE14C9" w:rsidP="00DE14C9">
      <w:pPr>
        <w:pStyle w:val="TextoNormal"/>
      </w:pPr>
      <w:r w:rsidRPr="00DE14C9">
        <w:rPr>
          <w:rStyle w:val="NumeroAFNegritaCaracter"/>
        </w:rPr>
        <w:t>4</w:t>
      </w:r>
      <w:r>
        <w:t>. Desde la STC 128/1995, de 26 de julio, este Tribunal viene declarando que la prisión provisional, por el contenido de privación de libertad que comporta, ha de ser concebida, tanto en su adopción como en su mantenimiento, como una medida de aplicación excepcional, subsidiaria, provisional y proporcionada a los fines que constitucionalmente la justifican y delimitan (así más recientemente, SSTC 147/2000, de 29 de mayo, FJ 3; 305/2000, de 11 de diciembre, FJ 3; 29/2001, de 29 de enero, FJ 3; y 98/2002, de 29 de abril, FJ 3). Y, como consecuencia de la excepcionalidad de la medida, hemos afirmado que rige el principio favor libertatis o in dubio pro libertate, formulaciones que, en definitiva, vienen a significar que la interpretación y la aplicación de las normas reguladoras de la prisión provisional deben hacerse con carácter restrictivo y a favor del derecho fundamental a la libertad que tales normas restringen, lo cual ha de conducir a la elección y aplicación, en caso de duda, de la norma menos restrictiva de la libertad (SSTC 88/1988, de 9 de mayo, FJ 1; 98/2002, de 29 de abril, FJ 3; 81/2004, de 5 de mayo, FJ 5).</w:t>
      </w:r>
    </w:p>
    <w:p w:rsidR="00DE14C9" w:rsidRDefault="00DE14C9" w:rsidP="00DE14C9">
      <w:pPr>
        <w:pStyle w:val="TextoNormal"/>
      </w:pPr>
    </w:p>
    <w:p w:rsidR="00DE14C9" w:rsidRDefault="00DE14C9" w:rsidP="00DE14C9">
      <w:pPr>
        <w:pStyle w:val="TextoNormal"/>
      </w:pPr>
      <w:r w:rsidRPr="00DE14C9">
        <w:rPr>
          <w:rStyle w:val="NumeroAFNegritaCaracter"/>
        </w:rPr>
        <w:t>5</w:t>
      </w:r>
      <w:r>
        <w:t>. Respecto del sometimiento a plazo máximo de la prisión provisional, exigencia constitucional (art. 17.4 CE) cuya concreta determinación se reserva a la ley, hemos declarado que la superación de los plazos máximos legalmente previstos supone una limitación desproporcionada del derecho a la libertad y, en consecuencia, su vulneración (entre otras, SSTC 127/1984, de 26 de diciembre, FJ 3; 98/1998, de 4 de mayo, FJ 2; 142/1998, de 29 de junio, FJ 3; 234/1998, de 1 de diciembre, FJ 2; 71/2000, de 13 de marzo, FJ 5; 147/2000, de 29 de mayo, FJ 4; 28/2001, de 29 de enero, FJ 4; 98/2002, de 29 de abril, FJ 4; 81/2004, de 5 de mayo, FJ 3; y 99/2006, de 27 de marzo, FJ 4).</w:t>
      </w:r>
    </w:p>
    <w:p w:rsidR="00DE14C9" w:rsidRDefault="00DE14C9" w:rsidP="00DE14C9">
      <w:pPr>
        <w:pStyle w:val="TextoNormal"/>
      </w:pPr>
      <w:r>
        <w:t>También constituye doctrina de este Tribunal que la razón de ser última de tal exigencia es la de ofrecer una garantía de seguridad jurídica al afectado por la medida cautelar y contribuir a evitar dilaciones indebidas. En palabras de la STC 147/2000, de 29 de mayo, FJ 4, que cita la 98/1998, de 4 de mayo, FJ 2: “[L]a imposición constitucional de que el legislador determine el plazo máximo de duración de la prisión provisional encuentra su último fundamento en la seguridad jurídica de los ciudadanos, que con la previsión legal tienen la posibilidad de conocer hasta qué momento puede durar la restricción de su derecho fundamental a la libertad en virtud de la medida cautelar. Las ideas de advertencia y previsibilidad del tope temporal máximo de la prisión provisional cobran así un significado central en el cumplimiento del mandato del segundo inciso del art. 17.4 CE. Al mismo tiempo, este precepto pretende evitar la lentitud de la justicia en los procesos penales, de modo que la determinación de un plazo legal para la prisión provisional sirva de acicate a los órganos judiciales para que aceleren la instrucción y el enjuiciamiento de las causas penales con preso (SSTC 8/1990, de 18 de enero, FJ 4; 206/1991, de 30 de octubre, FJ 4)”. En el mismo sentido se pronuncian las SSTC 305/2000, de 11 de diciembre, FJ 4, y 98/2002, de 29 de abril, FJ 4.</w:t>
      </w:r>
    </w:p>
    <w:p w:rsidR="00DE14C9" w:rsidRDefault="00DE14C9" w:rsidP="00DE14C9">
      <w:pPr>
        <w:pStyle w:val="TextoNormal"/>
      </w:pPr>
      <w:r>
        <w:lastRenderedPageBreak/>
        <w:t>Del primero de los fundamentos de la exigencia de un plazo máximo de duración de la medida (garantizar la seguridad jurídica) se deriva, a su vez, una exigencia de certeza en el cómputo del mismo que lleva a la exclusión tanto de los eventos ajenos a la propia medida cautelar (SSTC 19/1999, de 22 de febrero, FJ 5; 71/2000 y 72/2000, de 13 de marzo, FFJJ 5 y 6 respectivamente) como de los “elementos inciertos” que puedan conducir al “desbordamiento del plazo razonable”, conectándose de este modo la exigencia de certeza con la del “plazo razonable” (por todas, STC 98/2002, de 29 de abril, FJ 5).</w:t>
      </w:r>
    </w:p>
    <w:p w:rsidR="00DE14C9" w:rsidRDefault="00DE14C9" w:rsidP="00DE14C9">
      <w:pPr>
        <w:pStyle w:val="TextoNormal"/>
      </w:pPr>
    </w:p>
    <w:p w:rsidR="00DE14C9" w:rsidRDefault="00DE14C9" w:rsidP="00DE14C9">
      <w:pPr>
        <w:pStyle w:val="TextoNormal"/>
      </w:pPr>
      <w:r w:rsidRPr="00DE14C9">
        <w:rPr>
          <w:rStyle w:val="NumeroAFNegritaCaracter"/>
        </w:rPr>
        <w:t>6</w:t>
      </w:r>
      <w:r>
        <w:t>. Por otra parte en la STC 99/2006, de 27 de marzo, FFJJ 3 y 4, analizamos un supuesto en el cual se denunciaba la superación de los plazos máximos de prisión provisional acordada en el seno de un procedimiento de orden europea de detención y entrega (euroorden), estableciendo que los plazos a tener en cuenta en tal caso son los previstos en los arts. 19 y 20 de la Ley 3/2003, sobre la orden europea de detención y entrega.</w:t>
      </w:r>
    </w:p>
    <w:p w:rsidR="00DE14C9" w:rsidRDefault="00DE14C9" w:rsidP="00DE14C9">
      <w:pPr>
        <w:pStyle w:val="TextoNormal"/>
      </w:pPr>
      <w:r>
        <w:t>En concreto afirmamos en el fundamento jurídico tercero que: “[E]l examen de la queja debe partir del hecho de que el artículo 19 de la citada Ley 3/2003, sobre la orden europea de detención y entrega, dispone determinados plazos para adoptar la decisión judicial en relación con la entrega del reclamado, una vez decidida por el Juez Central de Instrucción la situación de éste, que puede ser de prisión o de libertad provisional (art. 17.1 de la referida Ley). Ahora bien, adoptada ya judicialmente la decisión de entrega, es el artículo 20 el que establece los plazos en que ha de ejecutarse la misma”.</w:t>
      </w:r>
    </w:p>
    <w:p w:rsidR="00DE14C9" w:rsidRDefault="00DE14C9" w:rsidP="00DE14C9">
      <w:pPr>
        <w:pStyle w:val="TextoNormal"/>
      </w:pPr>
      <w:r>
        <w:t>Y, tras reproducir en su literalidad este precepto (“1. La entrega de la persona reclamada se hará efectiva por agente de la autoridad española, previa notificación a la autoridad designada al efecto por la autoridad judicial de emisión del lugar y fechas fijados, siempre dentro de los diez días siguientes a la decisión judicial de entrega. 2. Si por causas ajenas al control de alguno de los Estados de emisión o de ejecución no pudiera verificarse en este plazo, las autoridades judiciales implicadas se pondrán en contacto inmediatamente para fijar una nueva fecha, dentro de un nuevo plazo de diez días desde la fecha inicialmente fijada. 3. Excepcionalmente, la autoridad judicial podrá suspender provisionalmente la entrega por motivos humanitarios graves, pero ésta deberá realizarse en cuanto dichos motivos dejen de existir. La entrega se verificará en los diez días siguientes a la nueva fecha que se acuerde cuando dichos motivos dejen de existir. 4. Transcurridos los plazos máximos para la entrega sin que la persona reclamada haya sido recibida por el Estado de emisión, se procederá a la puesta en libertad de la persona reclamada, sin que ello sea fundamento para la denegación de la ejecución de una posterior orden europea basada en los mismos hechos”) declaramos la existencia en aquel caso de vulneración del derecho a la libertad (art. 17.1 CE) por incumplimiento del plazo máximo legal previsto para la prisión provisional, afirmando también que el hecho de que la entrega no hubiera podido llevarse a cabo en tiempo oportuno no puede entenderse que salve la inconstitucionalidad de la actuación de los órganos judiciales, puesto que el art. 17.1 CE prevé que nadie puede ser privado de su libertad “sino con la observancia de lo establecido en este artículo y en los casos y en la forma previstos en la ley”, por lo que los plazos establecidos por ésta han de observarse y, en caso de su incumplimiento, resulta afectada la garantía constitucional de la libertad contenida en el art. 17 CE.</w:t>
      </w:r>
    </w:p>
    <w:p w:rsidR="00DE14C9" w:rsidRDefault="00DE14C9" w:rsidP="00DE14C9">
      <w:pPr>
        <w:pStyle w:val="TextoNormal"/>
      </w:pPr>
    </w:p>
    <w:p w:rsidR="00DE14C9" w:rsidRDefault="00DE14C9" w:rsidP="00DE14C9">
      <w:pPr>
        <w:pStyle w:val="TextoNormal"/>
      </w:pPr>
      <w:r w:rsidRPr="00DE14C9">
        <w:rPr>
          <w:rStyle w:val="NumeroAFNegritaCaracter"/>
        </w:rPr>
        <w:t>7</w:t>
      </w:r>
      <w:r>
        <w:t xml:space="preserve">. La doctrina anteriormente expuesta conduce al otorgamiento del amparo en el presente caso puesto que el incumplimiento en él de los plazos máximos fijados por el art. 20 de la Ley 3/2003 y la permanencia en prisión provisional del recurrente más allá de los mismos resulta evidente, habiendo acordado los órganos judiciales, pese a todo, el mantenimiento </w:t>
      </w:r>
      <w:r>
        <w:lastRenderedPageBreak/>
        <w:t>de la medida sobre la base de genéricas consideraciones relativas al riesgo de fuga latente en quien se ha fugado del Estado reclamante, sin entrar a considerar las peculiaridades que el régimen de prisión provisional presenta en los supuestos de orden europea de detención y entrega y en el supuesto concreto.</w:t>
      </w:r>
    </w:p>
    <w:p w:rsidR="00DE14C9" w:rsidRDefault="00DE14C9" w:rsidP="00DE14C9">
      <w:pPr>
        <w:pStyle w:val="TextoNormal"/>
      </w:pPr>
      <w:r>
        <w:t>Según se desprende del examen de las actuaciones el demandante de amparo ha permanecido en prisión provisional, a disposición del Juzgado Central de Instrucción núm. 3 de Madrid en virtud en virtud de la orden europea de detención y entrega 50-2005, ininterrumpidamente desde el día 15 de julio de 2005, habiéndose acordado con su consentimiento su entrega el día 16 de julio de 2005, sin que ésta se haya hecho efectiva por existir responsabilidades penales pendientes en España en una causa en la cual no se ha decretado prisión y sin que, pese a ello, se haya procedido a su puesta en libertad. La duración de la prisión provisional del recurrente, por tanto, excede con creces el límite legalmente establecido y supera todo plazo razonable en un procedimiento de orden europea de detención y entrega.</w:t>
      </w:r>
    </w:p>
    <w:p w:rsidR="00DE14C9" w:rsidRDefault="00DE14C9" w:rsidP="00DE14C9">
      <w:pPr>
        <w:pStyle w:val="TextoNormal"/>
      </w:pPr>
      <w:r>
        <w:t>Ciertamente el art. 21 de Ley 3/2003 prevé la suspensión de la entrega, cuando la persona reclamada tenga un proceso penal pendiente ante la jurisdicción española por un hecho distinto al que motive la orden europea, hasta la celebración del juicio o el cumplimiento de la pena, pero ni en el citado precepto ni en ningún otro de esta Ley se prevé la posibilidad de que la prisión provisional eventualmente adoptada pueda prorrogarse durante el periodo de dicha suspensión. Por tanto el mantenimiento de la medida carece de una expresa cobertura legal, sin que resulte constitucionalmente admisible inferirla de la previsión de la suspensión de la entrega o de los plazos generales sobre prisión provisional establecidos en la Ley de enjuiciamiento criminal (como podría desprenderse de las resoluciones judiciales, aunque no se efectúe en estas un razonamiento explícito al respecto) pues ello supondría desconocer el carácter excepcional de la prisión provisional, que (en palabras de la STC 98/2002, de 29 de abril, FJ 6) impone un criterio hermenéutico restrictivo, en el sentido más favorable a la libertad (favor libertatis), de las normas que la regulan.</w:t>
      </w:r>
    </w:p>
    <w:p w:rsidR="00DE14C9" w:rsidRDefault="00DE14C9" w:rsidP="00DE14C9">
      <w:pPr>
        <w:pStyle w:val="TextoNormal"/>
      </w:pPr>
      <w:r>
        <w:t>Por otra parte ha de advertirse que, con la interpretación llevada a cabo por los órganos judiciales, se introduce como factor decisivo para adoptar la resolución acordada un elemento ajeno a la medida cautelar e incierto e imprevisible para el recurrente: la pendencia de un procedimiento distinto ante la jurisdicción española. El carácter indeterminado del plazo máximo de duración de la prisión provisional que de ello deriva es incompatible con las exigencias de certeza y de sometimiento a plazo razonable de esta situación. Y, por tanto, la medida adoptada resulta desproporcionada.</w:t>
      </w:r>
    </w:p>
    <w:p w:rsidR="00DE14C9" w:rsidRDefault="00DE14C9" w:rsidP="00DE14C9">
      <w:pPr>
        <w:pStyle w:val="TextoNormal"/>
      </w:pPr>
      <w:r>
        <w:t>De todo lo anteriormente expuesto cabe concluir que es constitucionalmente inaceptable, en atención al significado prevalente del derecho a la libertad y al carácter excepcional de la prisión provisional, el mantenimiento de esta medida una vez agotados los plazos previstos en el art. 20 de la Ley 3/2003. Por ello, como sostienen tanto el demandante de amparo como el Ministerio público, resulta obligado concluir que se ha vulnerado en el caso sometido a nuestro enjuiciamiento el derecho a la libertad personal del recurrente, consagrado en el art. 17.1 CE, sin que (como ya anunciamos) resulte necesario extender nuestro análisis a la alegada falta de motivación de los Autos recurridos en amparo, pues cualquiera que fuese dicha motivación no podría suplir la falta de cobertura legal de la medida derivada del agotamiento del plazo máximo legalmente previsto para el mantenimiento de la situación de prisión provisional en el caso.</w:t>
      </w:r>
    </w:p>
    <w:p w:rsidR="00DE14C9" w:rsidRDefault="00DE14C9" w:rsidP="00DE14C9">
      <w:pPr>
        <w:pStyle w:val="TextoNormal"/>
      </w:pPr>
    </w:p>
    <w:p w:rsidR="00DE14C9" w:rsidRDefault="00DE14C9" w:rsidP="00DE14C9">
      <w:pPr>
        <w:pStyle w:val="TextoNormalCentrado"/>
        <w:keepNext/>
      </w:pPr>
      <w:r>
        <w:lastRenderedPageBreak/>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don Daniel Bourianes y, en consecuencia:</w:t>
      </w:r>
    </w:p>
    <w:p w:rsidR="00DE14C9" w:rsidRDefault="00DE14C9" w:rsidP="00DE14C9">
      <w:pPr>
        <w:pStyle w:val="TextoNormal"/>
      </w:pPr>
      <w:r>
        <w:t>1º Declarar que se ha vulnerado el derecho fundamental a la libertad personal (art. 17.1 CE) del recurrente.</w:t>
      </w:r>
    </w:p>
    <w:p w:rsidR="00DE14C9" w:rsidRDefault="00DE14C9" w:rsidP="00DE14C9">
      <w:pPr>
        <w:pStyle w:val="TextoNormal"/>
      </w:pPr>
      <w:r>
        <w:t>2º Restablecerlo en la integridad de su derecho y, a tal fin, anular el Auto de la Sección Tercera de la Sala de lo Penal de la Audiencia Nacional de 27 de febrero 2006 y los dictados por el Juez Central de Instrucción núm. 3 los días 19 de octubre y el día 16 de enero de 2006 en el procedimiento correspondiente a la orden europea de detención y entrega 50-2005.</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siete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9" w:name="SENTENCIA_2007_96"/>
      <w:r>
        <w:lastRenderedPageBreak/>
        <w:t>SENTENCIA 96/2007, de 8 de mayo de 2007</w:t>
      </w:r>
    </w:p>
    <w:bookmarkEnd w:id="9"/>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137, de 8 de junio de 2007)</w:t>
      </w:r>
    </w:p>
    <w:p w:rsidR="00DE14C9" w:rsidRDefault="00DE14C9" w:rsidP="00DE14C9">
      <w:pPr>
        <w:pStyle w:val="TtuloBOE"/>
      </w:pPr>
    </w:p>
    <w:p w:rsidR="00DE14C9" w:rsidRDefault="00DE14C9" w:rsidP="00DE14C9">
      <w:pPr>
        <w:pStyle w:val="SntesisDescriptiva"/>
      </w:pPr>
      <w:r>
        <w:t>ECLI:ES:TC:2007:96</w:t>
      </w:r>
    </w:p>
    <w:p w:rsidR="00DE14C9" w:rsidRDefault="00DE14C9" w:rsidP="00DE14C9">
      <w:pPr>
        <w:pStyle w:val="SntesisDescriptiva"/>
      </w:pPr>
    </w:p>
    <w:p w:rsidR="00DE14C9" w:rsidRDefault="00DE14C9" w:rsidP="00DE14C9">
      <w:pPr>
        <w:pStyle w:val="SntesisDescriptiva"/>
      </w:pPr>
      <w:r>
        <w:t>Recurso de amparo electoral 3983-2007. Promovido por el Partido Socialista Obrero Español (PSOE) respecto a la Sentencia del Juzgado de lo Contencioso-Administrativo núm. 2 de A Coruña que anuló la proclamación de la candidatura del PSdG-PSOE en las elecciones locales por la circunscripción de Zas.</w:t>
      </w:r>
    </w:p>
    <w:p w:rsidR="00DE14C9" w:rsidRDefault="00DE14C9" w:rsidP="00DE14C9">
      <w:pPr>
        <w:pStyle w:val="SntesisDescriptiva"/>
      </w:pPr>
    </w:p>
    <w:p w:rsidR="00DE14C9" w:rsidRDefault="00DE14C9" w:rsidP="00DE14C9">
      <w:pPr>
        <w:pStyle w:val="SntesisAnaltica"/>
      </w:pPr>
      <w:r>
        <w:t>Vulneración de los derechos a la tutela judicial sin indefensión y a acceder a los cargos representativos: contencioso-electoral sin contradicción; anulación de candidatura electoral por infringir la paridad entre mujeres y hombres sin permitir su subsanación.</w:t>
      </w:r>
    </w:p>
    <w:p w:rsidR="00DE14C9" w:rsidRDefault="00DE14C9" w:rsidP="00DE14C9">
      <w:pPr>
        <w:pStyle w:val="SntesisAnaltica"/>
      </w:pPr>
    </w:p>
    <w:p w:rsidR="00DE14C9" w:rsidRDefault="00DE14C9" w:rsidP="00DE14C9">
      <w:pPr>
        <w:pStyle w:val="Extracto"/>
      </w:pPr>
      <w:r>
        <w:t>1.</w:t>
      </w:r>
      <w:r>
        <w:tab/>
        <w:t>El omitir el emplazamiento personal del representante del partido político directamente afectado por la impugnación de la proclamación de su candidatura en una circunscripción electoral, impidiendo de este modo la defensa de sus derechos en el referido proceso, vulnera el derecho fundamental del partido solicitante de amparo a la tutela judicial efectiva sin indefensión [FJ 3].</w:t>
      </w:r>
    </w:p>
    <w:p w:rsidR="00DE14C9" w:rsidRDefault="00DE14C9" w:rsidP="00DE14C9">
      <w:pPr>
        <w:pStyle w:val="Extracto"/>
      </w:pPr>
    </w:p>
    <w:p w:rsidR="00DE14C9" w:rsidRDefault="00DE14C9" w:rsidP="00DE14C9">
      <w:pPr>
        <w:pStyle w:val="Extracto"/>
      </w:pPr>
      <w:r>
        <w:t>2.</w:t>
      </w:r>
      <w:r>
        <w:tab/>
        <w:t>El hecho de que la Junta Electoral de Zona proclame la candidatura presentada por un partido sin advertir que dicha candidatura incumple la exigencia de composición equilibrada entre hombres y mujeres contenida en el art. 44 bis LOREG, siendo este un defecto subsanable, vulnera el derecho al sufragio pasivo [FFJJ 4, 5].</w:t>
      </w:r>
    </w:p>
    <w:p w:rsidR="00DE14C9" w:rsidRDefault="00DE14C9" w:rsidP="00DE14C9">
      <w:pPr>
        <w:pStyle w:val="Extracto"/>
      </w:pPr>
    </w:p>
    <w:p w:rsidR="00DE14C9" w:rsidRDefault="00DE14C9" w:rsidP="00DE14C9">
      <w:pPr>
        <w:pStyle w:val="Extracto"/>
      </w:pPr>
      <w:r>
        <w:t>3.</w:t>
      </w:r>
      <w:r>
        <w:tab/>
        <w:t>La interpretación de la legalidad aplicable, del modo más favorable al derecho fundamental garantizado en el art. 23.2 CE, exigía que el órgano judicial, una vez apreciado el incumplimiento de lo dispuesto en el art. 44 LOREG, no se hubiese limitado a anular el Acuerdo de la Junta, sino que modulase los efectos de dicha declaración de nulidad, requiriendo a la referida junta para que otorgase a dicha candidatura el plazo de subsanación previsto [FJ 6].</w:t>
      </w:r>
    </w:p>
    <w:p w:rsidR="00DE14C9" w:rsidRDefault="00DE14C9" w:rsidP="00DE14C9">
      <w:pPr>
        <w:pStyle w:val="Extracto"/>
      </w:pPr>
    </w:p>
    <w:p w:rsidR="00DE14C9" w:rsidRDefault="00DE14C9" w:rsidP="00DE14C9">
      <w:pPr>
        <w:pStyle w:val="Extracto"/>
      </w:pPr>
      <w:r>
        <w:t>4.</w:t>
      </w:r>
      <w:r>
        <w:tab/>
        <w:t>No se puede apreciar una lesión autónoma del art. 24.1 CE por parte de una Junta Electoral de Zona que no ha cumplido con su obligación de poner en conocimiento del partido político una posible irregularidad en que incurre su candidatura, pues no se está ante un supuesto en el que el acuerdo adoptado por dicha Junta no pueda ser sometido a un control judicial independiente (SSTC 103/1996, 36/2003) [FJ 2].</w:t>
      </w:r>
    </w:p>
    <w:p w:rsidR="00DE14C9" w:rsidRDefault="00DE14C9" w:rsidP="00DE14C9">
      <w:pPr>
        <w:pStyle w:val="Extracto"/>
      </w:pPr>
    </w:p>
    <w:p w:rsidR="00DE14C9" w:rsidRDefault="00DE14C9" w:rsidP="00DE14C9">
      <w:pPr>
        <w:pStyle w:val="Extracto"/>
      </w:pPr>
      <w:r>
        <w:t>5.</w:t>
      </w:r>
      <w:r>
        <w:tab/>
        <w:t>El deber de los órganos judiciales de emplazar personalmente a quienes pudieran ostentar un legítimo interés en el mantenimiento del acto impugnado, pesa sobre los órganos judiciales llamados a resolver el proceso contencioso-electoral, pues no se podría justificar nunca la omisión del llamamiento al procedimiento de quienes ven directamente comprometido su derecho de sufragio pasivo (STC 85/1987) [FJ 3].</w:t>
      </w:r>
    </w:p>
    <w:p w:rsidR="00DE14C9" w:rsidRDefault="00DE14C9" w:rsidP="00DE14C9">
      <w:pPr>
        <w:pStyle w:val="Extracto"/>
      </w:pPr>
    </w:p>
    <w:p w:rsidR="00DE14C9" w:rsidRDefault="00DE14C9" w:rsidP="00DE14C9">
      <w:pPr>
        <w:pStyle w:val="Extracto"/>
      </w:pPr>
      <w:r>
        <w:t>6.</w:t>
      </w:r>
      <w:r>
        <w:tab/>
        <w:t>En los supuestos de amparo electoral no resulta exigible la utilización del incidente excepcional de nulidad de actuaciones del art. 241 Ley Orgánica del Poder Judicial [FJ 3].</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don Jorge Rodríguez-Zapata Pérez y Montiel,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electoral núm. 3983-2007, promovido por el Partido Socialista Obrero Español (PSOE), representado por la Procuradora de los Tribunales doña Virginia Aragón Segura y asistido por el Letrado don Álvaro Sánchez Manzanares, contra la Sentencia de 4 de mayo de 2007 del Juzgado de lo Contencioso-Administrativo núm. 2 de A Coruña, que estima el recurso contencioso-electoral núm. 121-2007, interpuesto por el representante de las candidaturas presentadas por el Partido Popular (PP) en la provincia de A Coruña contra el Acuerdo de la Junta Electoral de Zona de Corcubión de proclamación de la candidatura del PSdG-PSOE en la circunscripción electoral de Zas. Ha intervenido el Ministerio Fiscal. Ha sido Ponente el Magistrado don Manuel Aragón Reyes,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el Registro General de este Tribunal el 5 de mayo de 2007, la Procuradora de los Tribunales doña Virginia Aragón Segura, en nombre y representación del Partido Socialista Obrero Español (PSOE), interpuso recurso de amparo contra la resolución judicial referida en el encabezamiento, por vulneración del derecho a la tutela judicial efectiva (art. 24.1 CE) y del derecho al sufragio pasivo (art. 23.2 CE).</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en que se fundamenta la demanda de amparo electoral, relevantes para la resolución del caso, son los que se expresan a continuación:   a) La formación política PSdG-PSOE presentó ante la Junta Electoral de Zona de Corcubión una candidatura en la circunscripción electoral de Zas para las elecciones municipales convocadas por Real Decreto 444/2007, de 2 de abril, candidatura que fue proclamada por Acuerdo de la referida Junta electoral de zona publicado en el “Boletín Oficial de la Provincia de A Coruña” de 1 de mayo de 2007. </w:t>
      </w:r>
    </w:p>
    <w:p w:rsidR="00DE14C9" w:rsidRDefault="00DE14C9" w:rsidP="00DE14C9">
      <w:pPr>
        <w:pStyle w:val="TextoNormal"/>
      </w:pPr>
      <w:r>
        <w:t xml:space="preserve">b) El 3 de mayo de 2007 el representante de las candidaturas presentadas por el Partido Popular (PP) en la provincia de A Coruña impugnó el Acuerdo de la Junta electoral de zona </w:t>
      </w:r>
      <w:r>
        <w:lastRenderedPageBreak/>
        <w:t>de Corcubión por el que se proclamó la candidatura presentada por el PSdG-PSOE en la circunscripción electoral de Zas, interesando que se anulase dicha candidatura por incumplir lo dispuesto en el art. 44 bis de la Ley Orgánica del régimen electoral general (LOREG), introducido por la Ley Orgánica 3/2007, de 22 de marzo, para la igualdad efectiva de mujeres y hombres, toda vez que el número de mujeres de dicha candidatura no alcanzan el mínimo porcentual del 40 por 100 que dicho precepto establece, siendo esta exigencia legal aplicable al municipio de Zas, por contar con más de 5.000 habitantes, de conformidad con lo dispuesto en la disposición transitoria séptima LOREG, añadida también por la Ley Orgánica 3/2007.   c) El Juzgado de lo Contencioso-Administrativo núm. 2 de A Coruña estimó el recurso contencioso-electoral (núm. 121-2007) interpuesto por el representante del PP contra el referido Acuerdo de la Junta Electoral de Zona de Corcubión, procediendo a anular dicho Acuerdo y la candidatura proclamada, al apreciar que la misma incumple la exigencia de composición equilibrada entre hombres y mujeres contenida en el art. 44 bis LOREG, pues, valorada en su conjunto la candidadura presentada por el PSdG-PSOE para las elecciones locales en el municipio de Zas, resulta que presenta cinco mujeres sobre un total de trece candidatos, por lo que no alcanza el mínimo del 40 por 100 legalmente establecido, que exigiría un mínimo de seis mujeres en la lista.</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En la demanda de amparo electoral se alega, en primer lugar, la vulneración del derecho a la tutela judicial efectiva sin indefensión (art. 24.1 CE), por cuanto en el presente supuesto la Administración electoral no cumplió con su obligación de poner en conocimiento del PSdG-PSOE las posibles irregularidades cometidas en la candidatura presentada, al objeto de permitir su subsanación, por lo que no tuvo en cuenta que la legalidad aplicable ha de ser entendida en los términos más favorables a la plena efectividad del derecho fundamental de sufragio pasivo, de conformidad con la reiterada doctrina sentada al respecto por el Tribunal Constitucional (SSTC 73/1986, 59/1987, y 86/1987). A su vez, se denuncia que también la Sentencia impugnada en amparo vulneró el derecho a la tutela judicial efectiva sin indefensión (art. 24.1 CE) de la formación política PSdG-PSOE, toda vez que no se le notificó el recurso contencioso-electoral interpuesto por el PP ex art. 49.1 LOREG, ni se le dio, en consecuencia, trámite de alegaciones, en el que poder ejercitar su derecho de defensa (SSTC 85/2003 y 68/2005). </w:t>
      </w:r>
    </w:p>
    <w:p w:rsidR="00DE14C9" w:rsidRDefault="00DE14C9" w:rsidP="00DE14C9">
      <w:pPr>
        <w:pStyle w:val="TextoNormal"/>
      </w:pPr>
      <w:r>
        <w:t xml:space="preserve">Alega asimismo la representación procesal del PSOE la vulneración de su derecho de sufragio pasivo, garantizado por el art. 23.2 CE, pues no caben interpretaciones desproporcionadas, como la que lleva a cabo la Sentencia impugnada, que conduzcan a la anulación de candidaturas electorales por defectos que debieron ser puestos de manifiesto por la Administración electoral para su oportuna subsanación. Con cita de las SSTC 113/1991, 24/1989, 84/2003, 85/2003, y 26/2004, sostiene la formación política recurrente en amparo que la Junta electoral de zona de Corcubión debió advertirle del defecto en la composición de la candidatura presentada a las elecciones locales en el municipio de Zas, a fin de que pudiera subsanar el defecto o irregularidad que finalmente ha declarado el Juzgado en el número de mujeres de la lista. El defecto cometido por la formación política solicitante de amparo en la presentación de la candidatura al municipio de Zas no puede tener, de conformidad con la referida jurisprudencia constitucional, la trascendencia fatal para el derecho fundamental a acceder en condiciones de igualdad a las funciones y cargos públicos que ha apreciado el órgano judicial, máxime si se tiene en cuenta –se afirma– que el PSdG-PSOE ha actuado con la máxima diligencia desde el momento en que tuvo conocimiento de esa potencial e hipotética irregularidad, pues, ante las noticias aparecidas en prensa sobre la impugnación de la candidatura, intentó subsanarla ante la Junta Electoral, llegando incluso </w:t>
      </w:r>
      <w:r>
        <w:lastRenderedPageBreak/>
        <w:t xml:space="preserve">a ofrecer la renuncia de varios candidatos, si bien la Junta Electoral no admitió la subsanación al entender que no era posible por haberse notificado ya la Sentencia que se impugna en amparo. </w:t>
      </w:r>
    </w:p>
    <w:p w:rsidR="00DE14C9" w:rsidRDefault="00DE14C9" w:rsidP="00DE14C9">
      <w:pPr>
        <w:pStyle w:val="TextoNormal"/>
      </w:pPr>
      <w:r>
        <w:t>Por todo ello el recurrente concluye interesando que se le otorgue el amparo solicitado, dejando sin efecto la Sentencia impugnada y ordenando que se otorgue plazo para subsanar el defecto o, subsidiariamente, se admita la renuncia de los candidatos ya ofrecida, dando cumplimiento así al art. 44 bis LOREG.</w:t>
      </w:r>
    </w:p>
    <w:p w:rsidR="00DE14C9" w:rsidRDefault="00DE14C9" w:rsidP="00DE14C9">
      <w:pPr>
        <w:pStyle w:val="TextoNormal"/>
      </w:pPr>
    </w:p>
    <w:p w:rsidR="00DE14C9" w:rsidRDefault="00DE14C9" w:rsidP="00DE14C9">
      <w:pPr>
        <w:pStyle w:val="TextoNormal"/>
      </w:pPr>
      <w:r w:rsidRPr="00DE14C9">
        <w:rPr>
          <w:rStyle w:val="NumeroAFNegritaCaracter"/>
        </w:rPr>
        <w:t>4</w:t>
      </w:r>
      <w:r>
        <w:t>. Mediante diligencia de ordenación de 5 de mayo de 2007, el Secretario de Justicia de la Sala Primera de este Tribunal acordó, en conformidad con lo dispuesto en el Acuerdo del Pleno de 20 de enero de 2000, recabar del Juzgado de lo Contencioso-Administrativo núm. 2 de A Coruña las actuaciones correspondientes, así como la acreditación de emplazamiento de las partes, que fueron remitidas a este Tribunal. Igualmente se acordó dar vista al Ministerio Fiscal para que en el plazo de un día natural formulase las alegaciones pertinentes.</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El Ministerio Fiscal presentó sus alegaciones el 6 de mayo de 2007, en las que, tras recordar lo dispuesto en el art. 47.2 LOREG y la doctrina de este Tribunal en materia de subsanación de irregularidades en la presentación de candidaturas (cita las SSTC 24/1989, 95/1991, 113/1991 y 84/2003), concluye señalando que procedería otorgar el amparo solicitado por vulneración del art. 23.2 CE si se confirma, a la vista de las actuaciones, que el partido recurrente ha sido efectivamente privado del trámite de subsanación. </w:t>
      </w:r>
    </w:p>
    <w:p w:rsidR="00DE14C9" w:rsidRDefault="00DE14C9" w:rsidP="00DE14C9">
      <w:pPr>
        <w:pStyle w:val="TextoNormal"/>
      </w:pPr>
      <w:r>
        <w:t>No se personaron más partes dentro del plazo legalmente establecido, pese a la acreditación de emplazamientos a que se ha hecho referencia.</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Se impugna en el presente recurso de amparo electoral la Sentencia de 4 de mayo de 2007 del Juzgado de lo Contencioso-Administrativo núm. 2 de A Coruña, que estimó el recurso contencioso-electoral núm. 121-2007, interpuesto por el representante de las candidaturas presentadas por el PP en la provincia de A Coruña contra el Acuerdo de la Junta electoral de zona de Corcubión de proclamación de la candidatura del PSdG-PSOE en la circunscripción electoral de Zas, publicado en el “Boletín Oficial de la Provincia de A Coruña” el 1 de mayo de 2007, para las elecciones municipales convocadas por Real Decreto 444/2007, de 2 de abril. El partido solicitante de amparo se queja de que se han vulnerado sus derechos fundamentales a la tutela judicial efectiva sin indefensión (art. 24.1 CE) y acceder en condiciones de igualdad a los cargos públicos (art. 23.2 CE). El Ministerio Fiscal interesa asimismo el otorgamiento del amparo para el caso de confirmarse, a la vista de las actuaciones, que el partido recurrente ha sido efectivamente privado del trámite de subsanación de defectos en la candidatura.</w:t>
      </w:r>
    </w:p>
    <w:p w:rsidR="00DE14C9" w:rsidRDefault="00DE14C9" w:rsidP="00DE14C9">
      <w:pPr>
        <w:pStyle w:val="TextoNormal"/>
      </w:pPr>
    </w:p>
    <w:p w:rsidR="00DE14C9" w:rsidRDefault="00DE14C9" w:rsidP="00DE14C9">
      <w:pPr>
        <w:pStyle w:val="TextoNormal"/>
      </w:pPr>
      <w:r w:rsidRPr="00DE14C9">
        <w:rPr>
          <w:rStyle w:val="NumeroAFNegritaCaracter"/>
        </w:rPr>
        <w:t>2</w:t>
      </w:r>
      <w:r>
        <w:t>. Con el fin de precisar el objeto del presente recurso de amparo electoral y cómo debe ser abordado su examen, es pertinente poner de relieve que en el asunto que nos ocupa el partido político solicitante de amparo denuncia en primer término la lesión del derecho a la tutela judicial efectiva sin indefensión (art. 24.1 CE), lesión que imputa, por distintas razones, tanto a la Junta Electoral de Zona de Corcubión, como al Juzgado de lo Contencioso-Administrativo núm. 2 de A Coruña.</w:t>
      </w:r>
    </w:p>
    <w:p w:rsidR="00DE14C9" w:rsidRDefault="00DE14C9" w:rsidP="00DE14C9">
      <w:pPr>
        <w:pStyle w:val="TextoNormal"/>
      </w:pPr>
      <w:r>
        <w:lastRenderedPageBreak/>
        <w:t>Según quedó expuesto, la vulneración del derecho a la tutela judicial efectiva sin indefensión que el partido recurrente en amparo imputa a la Junta Electoral de Zona de Corcubión se fundamenta en que ésta no cumplió con su obligación de poner en conocimiento del PSdG-PSOE la posible irregularidad en que incurrió la candidatura presentada, en cuanto a lo dispuesto en el art. 44 bis de la Ley Orgánica del régimen electoral general (LOREG), al objeto de permitir la subsanación del defecto, obviando que, conforme a reiterada doctrina constitucional, la legalidad aplicable al caso ha de ser interpretada en los términos más favorables a la plena efectividad del derecho fundamental garantizado en el art. 23.2 CE. Falta de diligencia de la Administración electoral que, a la postre, dio lugar a la anulación en vía judicial de la candidatura proclamada.</w:t>
      </w:r>
    </w:p>
    <w:p w:rsidR="00DE14C9" w:rsidRDefault="00DE14C9" w:rsidP="00DE14C9">
      <w:pPr>
        <w:pStyle w:val="TextoNormal"/>
      </w:pPr>
      <w:r>
        <w:t>Pues bien, así planteada la queja, esta pretendida lesión del derecho fundamental a la tutela judicial efectiva sin indefensión que el PSOE imputa a la Administración electoral ha de ser reconducida a la queja relativa a la vulneración del derecho al sufragio pasivo, garantizado por el derecho fundamental a acceder a los cargos representativos (art. 23.2 CE), queja a la que luego nos referiremos, sin que pueda apreciarse en el presente caso una lesión autónoma del art. 24.1 CE, toda vez no estamos ante un supuesto en el que el acuerdo adoptado por una determinada Junta Electoral no pueda ser sometido a un control judicial independiente (por todas, SSTC 103/1996, de 11 de junio, FJ 4.c; 46/1997, de 11 de marzo, FJ 1; 48/1997, de 11 de marzo; 149/2000, de 1 de junio, FJ 3; y 36/2003, de 25 de febrero, FJ 5).</w:t>
      </w:r>
    </w:p>
    <w:p w:rsidR="00DE14C9" w:rsidRDefault="00DE14C9" w:rsidP="00DE14C9">
      <w:pPr>
        <w:pStyle w:val="TextoNormal"/>
      </w:pPr>
    </w:p>
    <w:p w:rsidR="00DE14C9" w:rsidRDefault="00DE14C9" w:rsidP="00DE14C9">
      <w:pPr>
        <w:pStyle w:val="TextoNormal"/>
      </w:pPr>
      <w:r w:rsidRPr="00DE14C9">
        <w:rPr>
          <w:rStyle w:val="NumeroAFNegritaCaracter"/>
        </w:rPr>
        <w:t>3</w:t>
      </w:r>
      <w:r>
        <w:t>. El partido solicitante de amparo dirige asimismo una queja por vulneración del derecho a la tutela judicial efectiva sin indefensión (art. 24.1 CE) contra la Sentencia del Juzgado de lo Contencioso-Administrativo núm. 2 de A Coruña que anula, por incumplimiento de lo dispuesto en el art. 44 bis LOREG, la proclamación de la candidatura presentada por PSdG-PSOE para las elecciones locales en el municipio coruñés de Zas. Se aduce que el órgano judicial no le notificó el recurso interpuesto por el PP conforme al art. 49.1 LOREG contra el Acuerdo de la Junta electoral de zona de Corcubión de proclamación de la candidatura del PSdG-PSOE en la circunscripción electoral de Zas, publicado en el “Boletín Oficial de la Provincia de A Coruña” el 1 de mayo de 2007, ni se le dio, en consecuencia, trámite de alegaciones, en el que esta formación política tuviera ocasión de defender los derechos que para la candidatura presentada (esto es, para las personas que en ella figuraban) se derivaron de aquel acto de proclamación por la Administración electoral.</w:t>
      </w:r>
    </w:p>
    <w:p w:rsidR="00DE14C9" w:rsidRDefault="00DE14C9" w:rsidP="00DE14C9">
      <w:pPr>
        <w:pStyle w:val="TextoNormal"/>
      </w:pPr>
      <w:r>
        <w:t>Asiste la razón en su queja a la formación política demandante de amparo. Como ya tuvo ocasión de señalar este Tribunal en su STC 85/1987, de 29 de mayo, FFJJ 1 y 2, el deber de los órganos judiciales, que surge del art. 24.1 CE, de emplazar personalmente en el proceso a quienes pudieran ostentar un legítimo interés en el mantenimiento del acto impugnado (siempre que tales personas, como es obvio, sean identificables a partir de los datos expuestos en la demanda o en el expediente administrativo), no deja de pesar, como es evidente, sobre los órganos judiciales llamados a resolver el especial proceso contencioso-electoral, pues, aunque tal proceso se singulariza por una tramitación concentrada y abreviada (apartados 2 y 3 del art. 49 LOREG), “ello no podría justificar nunca la omisión de trámite de tanta relevancia para su regularidad constitucional como es el del debido llamamiento al procedimiento de quienes, por la impugnación, ven directamente comprometido su derecho de sufragio pasivo”.</w:t>
      </w:r>
    </w:p>
    <w:p w:rsidR="00DE14C9" w:rsidRDefault="00DE14C9" w:rsidP="00DE14C9">
      <w:pPr>
        <w:pStyle w:val="TextoNormal"/>
      </w:pPr>
      <w:r>
        <w:t xml:space="preserve">Pues bien, la identidad de los afectados a raíz del recurso contencioso-electoral interpuesto por el PP contra el Acuerdo de la Junta Electoral de Zona de Corcubión de proclamación de la candidatura del PSdG-PSOE para las elecciones locales en Zas era manifiesta. </w:t>
      </w:r>
      <w:r>
        <w:lastRenderedPageBreak/>
        <w:t>Sin embargo, según se comprueba a la vista de las actuaciones judiciales, no se hizo emplazamiento personal alguno, ni consta que hubiera sido conocida la interposición y pendencia del recurso contencioso-electoral en tiempo hábil por el partido político ahora solicitante de amparo para personarse en el procedimiento. Por tanto, el Juzgado, al omitir el emplazamiento personal del representante del partido político directamente afectado por la impugnación de la proclamación de su candidatura en la circunscripción electoral de Zas, impidió la defensa de sus derechos en el referido proceso, vulnerando de este modo el derecho fundamental del partido solicitante de amparo a la tutela judicial efectiva sin indefensión.</w:t>
      </w:r>
    </w:p>
    <w:p w:rsidR="00DE14C9" w:rsidRDefault="00DE14C9" w:rsidP="00DE14C9">
      <w:pPr>
        <w:pStyle w:val="TextoNormal"/>
      </w:pPr>
      <w:r>
        <w:t>Por otra parte, conviene advertir que no cabe hablar de falta de agotamiento de todos los recursos utilizables dentro de la vía judicial [art. 44.1 a) LOTC] por no haberse acudido al incidente excepcional de nulidad de actuaciones regulado en el art.  241 de la Ley Orgánica del Poder Judicial (LOPJ), puesto que en los supuestos de amparo electoral no resulta exigible la utilización de este incidente “atendida la regulación especial del recurso de amparo en materia electoral, la finalidad de proporcionar rápidamente certeza al resultado electoral y el tenor literal de los arts. 49 y 114 LOREG” (STC 155/2003, de 21 de julio, FJ 5, y ATC 13/2000, de 11 de enero, FJ 3).</w:t>
      </w:r>
    </w:p>
    <w:p w:rsidR="00DE14C9" w:rsidRDefault="00DE14C9" w:rsidP="00DE14C9">
      <w:pPr>
        <w:pStyle w:val="TextoNormal"/>
      </w:pPr>
      <w:r>
        <w:t>Ahora bien, la estimación de esta queja por vulneración del art. 24.1 CE no puede ni debe, sin embargo, conducirnos a acordar no sólo la nulidad de la Sentencia impugnada, sino también la retroacción de actuaciones al momento procesal oportuno para que sea citada al proceso la representación del partido político solicitante de amparo, y el Juzgado pueda dictar nueva sentencia sin ocasionar indefensión. En efecto, esta solución no la permite la perentoriedad de los plazos del proceso electoral (STC 71/1995, de 11 de mayo, FJ 2), a lo que cabe añadir que, además, este Tribunal tiene el suficiente conocimiento de los hechos para enjuiciar, aquí y ahora, las cuestiones planteadas y, en definitiva, su objeto fundamental: si la anulación judicial de la proclamación de la candidatura presentada en la circunscripción electoral de Zas por el PSdG-PSOE vulnera el derecho de sufragio pasivo de esta formación política, cuestión que seguidamente pasamos a resolver.</w:t>
      </w:r>
    </w:p>
    <w:p w:rsidR="00DE14C9" w:rsidRDefault="00DE14C9" w:rsidP="00DE14C9">
      <w:pPr>
        <w:pStyle w:val="TextoNormal"/>
      </w:pPr>
    </w:p>
    <w:p w:rsidR="00DE14C9" w:rsidRDefault="00DE14C9" w:rsidP="00DE14C9">
      <w:pPr>
        <w:pStyle w:val="TextoNormal"/>
      </w:pPr>
      <w:r w:rsidRPr="00DE14C9">
        <w:rPr>
          <w:rStyle w:val="NumeroAFNegritaCaracter"/>
        </w:rPr>
        <w:t>4</w:t>
      </w:r>
      <w:r>
        <w:t>. Como ha quedado expuesto, el partido político solicitante de amparo denuncia como queja principal la vulneración de su derecho de sufragio pasivo, garantizado por el art. 23.2 CE, pues entiende que no resultan constitucionalmente admisibles interpretaciones desproporcionadas de la legislación electoral, como la que ha realizado la Sentencia impugnada en amparo, que conduzcan a la anulación de candidaturas electorales por defectos subsanables que no fueron puestos de manifiesto en ningún momento por la Administración electoral.</w:t>
      </w:r>
    </w:p>
    <w:p w:rsidR="00DE14C9" w:rsidRDefault="00DE14C9" w:rsidP="00DE14C9">
      <w:pPr>
        <w:pStyle w:val="TextoNormal"/>
      </w:pPr>
      <w:r>
        <w:t xml:space="preserve">Con cita de doctrina constitucional sobre la subsanación de irregularidades, defectos y errores en las candidaturas presentadas y sobre el deber de las juntas electorales competentes de advertir y permitir dicha subsanación, sostiene el partido recurrente en amparo que la junta electoral de zona de Corcubión debió advertirle del defecto en la composición, a efectos del art. 44 bis LOREG, de la candidatura presentada a las elecciones locales en el municipio de Zas, a fin de que pudiera subsanar el defecto que finalmente ha apreciado el Juzgado en el número de mujeres de la lista, con el resultado de anular la candidatura. Al no hacerlo así, procediendo la Administración electoral a proclamar la candidatura presentada sin formular reparo alguno, no cabe que, con ocasión de la impugnación por otro partido ex art. 49 LOREG de la candidatura proclamada, el órgano judicial acuerde la nulidad de la candidatura por incumplimiento de lo dispuesto en el citado art. 44 bis LOREG, sin dar oportunidad a la formación política de corregir el defecto padecido, presentando una lista ajustada a la composición equilibrada de mujeres y hombres establecida por dicho precepto, añadido por </w:t>
      </w:r>
      <w:r>
        <w:lastRenderedPageBreak/>
        <w:t>la reciente Ley Orgánica 3/2007, de 22 de marzo, para la igualdad efectiva de mujeres y hombres.</w:t>
      </w:r>
    </w:p>
    <w:p w:rsidR="00DE14C9" w:rsidRDefault="00DE14C9" w:rsidP="00DE14C9">
      <w:pPr>
        <w:pStyle w:val="TextoNormal"/>
      </w:pPr>
      <w:r>
        <w:t>El partido solicitante de amparo recuerda, además, que la propia Administración electoral ha reconocido expresamente, y de manera general, el carácter subsanable de los defectos que puedan presentar las candidaturas presentadas por las formaciones políticas en cuanto a la exigencia establecida por el citado art. 44 bis LOREG, conforme al cual (apartado 1, párrafo primero) las candidaturas “deberán tener una composición equilibrada de mujeres y hombres, de forma que en el conjunto de la lista los candidatos de cada uno de los sexos supongan como mínimo el cuarenta por ciento”, proporción que deberá mantenerse también en cada tramo de cinco puestos, de suerte que si el número de candidatos o el último tramo de la lista no alcanzase los cinco puestos, la proporción de mujeres y hombres será lo más cercano posible al equilibrio numérico, manteniendo la proporción respecto del conjunto de la lista (apartados 1 y 2 del art. 44 bis LOREG), reglas éstas igualmente aplicables a las listas de suplentes (apartado 3 del art. 44 bis LOREG).</w:t>
      </w:r>
    </w:p>
    <w:p w:rsidR="00DE14C9" w:rsidRDefault="00DE14C9" w:rsidP="00DE14C9">
      <w:pPr>
        <w:pStyle w:val="TextoNormal"/>
      </w:pPr>
      <w:r>
        <w:t>Y así, en efecto, el punto primero de la Instrucción 8/2007, de 19 de abril, de la Junta Electoral Central, sobre interpretación del trámite de subsanación de irregularidades previsto en el art. 48.1 LOREG por incumplimiento de los requisitos de los arts.  44 bis y 187.2 LOREG, en la redacción dada por la Ley Orgánica 3/2007, de 22 de marzo, para la igualdad efectiva de mujeres y hombres, establece que “Durante el plazo de subsanación de las irregularidades advertidas por las Juntas Electorales competentes en las candidaturas presentadas, cuando la causa sea el incumplimiento de lo dispuesto en el artículo 44 bis de la LOREG o en la legislación autonómica aplicable sobre candidaturas paritarias, podrá modificarse el orden de los candidatos, o incluir o excluir algún candidato, siempre que con ello se trate estrictamente de subsanar la irregularidad apreciada, de conformidad con lo dispuesto en el último inciso del artículo 48.1 de la LOREG”.</w:t>
      </w:r>
    </w:p>
    <w:p w:rsidR="00DE14C9" w:rsidRDefault="00DE14C9" w:rsidP="00DE14C9">
      <w:pPr>
        <w:pStyle w:val="TextoNormal"/>
      </w:pPr>
      <w:r>
        <w:t>Sin embargo, del examen de actuaciones resulta que la Junta Electoral de Zona de Corcubión procedió a proclamar la candidatura presentada por el PSdG-PSOE en la circunscripción electoral de Zas, para las elecciones municipales convocadas por Real Decreto 444/2007, de 2 de abril, sin advertir que dicha candidatura incumplía, como se razona en la Sentencia impugnada, la exigencia de composición equilibrada entre hombres y mujeres contenida en el art. 44 bis LOREG (exigencia aplicable al municipio de Zas, conforme a la disposición transitoria 7 LOREG, añadida también por la Ley Orgánica 3/2007, por contar con un número de residentes superior a los 5.000 habitantes), pues presenta cinco mujeres sobre un total de trece candidatos, por lo que no alcanza el mínimo del cuarenta por ciento establecido por dicho precepto, que exigiría en el presente caso al menos seis candidatas en la lista.</w:t>
      </w:r>
    </w:p>
    <w:p w:rsidR="00DE14C9" w:rsidRDefault="00DE14C9" w:rsidP="00DE14C9">
      <w:pPr>
        <w:pStyle w:val="TextoNormal"/>
      </w:pPr>
      <w:r>
        <w:t>Y se constata igualmente, lo que resulta determinante para el otorgamiento del amparo por vulneración del derecho al sufragio pasivo garantizado por el art. 23.2 CE, que la Junta electoral de zona de Corcubión, al no advertir defecto alguno en la candidatura presentada por el PSdG-PSOE en la circunscripción electoral de Zas, no dio oportunidad a esta formación política de subsanar el defecto en la composición equilibrada entre hombres y mujeres de la candidatura que exige el art. 44 bis LOREG.</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Nuestra doctrina en materia de subsanación de irregularidades sufridas en la presentación de candidaturas ante la Administración electoral puede resumirse en la afirmación de que, por principio, los errores e irregularidades cometidos en la presentación de éstas son subsanables y que, en consecuencia, las Juntas electorales han de ofrecer la oportunidad de que las candidaturas en las que se han detectado lo hagan. Busca con ello la Ley Orgánica </w:t>
      </w:r>
      <w:r>
        <w:lastRenderedPageBreak/>
        <w:t>del régimen electoral general,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w:t>
      </w:r>
    </w:p>
    <w:p w:rsidR="00DE14C9" w:rsidRDefault="00DE14C9" w:rsidP="00DE14C9">
      <w:pPr>
        <w:pStyle w:val="TextoNormal"/>
      </w:pPr>
      <w:r>
        <w:t>Deriva de lo expuesto el que si por la Administración electoral se incumple este deber legal en orden al examen de los escritos de presentación de candidaturas, no dándose así ocasión a los interesados para la reparación de unos defectos que después llevan al rechazo de aquéllas, se habrá ignorado, con ello, una garantía dispuesta por la Ley Orgánica del régimen electoral general para la efectividad, como queda dicho, del derecho de sufragio pasivo, que resultará así afectado negativamente en la medida en que se desconozca por una Junta Electoral, o se atienda sólo imperfectamente la exigencia legal de la que aquí se trata. En modo alguno empaña esta conclusión, ni la consideración general que se acaba de hacer sobre la afectación del derecho reconocido en el art. 23.2 CE, el hecho de que, en estos casos, el resultado finalmente gravoso para candidaturas y candidatos —la denegación de su proclamación como tales— se llegue a producir por no haberse reparado un defecto fruto de la ignorancia o de la negligencia de quienes presentaron la candidatura sin cumplir, en todos sus extremos, las prevenciones legales, sin perjuicio, como es obvio, del deber de diligencia y de colaboración con la Administración electoral que pesa sobre los candidatos y las formaciones políticas que les avalan (SSTC 67/1987, de 21 de mayo, FJ 3; 73/1995, de 12 de mayo, FJ 3; y 80/2002, de 8 de abril, FJ 7).</w:t>
      </w:r>
    </w:p>
    <w:p w:rsidR="00DE14C9" w:rsidRDefault="00DE14C9" w:rsidP="00DE14C9">
      <w:pPr>
        <w:pStyle w:val="TextoNormal"/>
      </w:pPr>
      <w:r>
        <w:t>En efecto, en este específico procedimiento no ha querido la Ley Orgánica del régimen electoral general dejar la suerte de las candidaturas a merced de la sola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Orgánica del régimen electoral general que tal irregularidad depare aquella sanción sin que antes se haga posible, mediante su identificación y advertencia de oficio, la oportuna subsanación, siempre, claro ésta, que ello sea materialmente factible (SSTC 73/1986, de 3 de junio, FJ 1; 59/1987, de 19 de mayo, FJ 3; 86/1987, de 1 de junio, FJ 4; 24/1989, de 2 de febrero, FJ 95/1991, de 7 de mayo, FJ 2; 113/1991, de 20 de mayo, FJ 3; 175/1991, de 16 de septiembre, FJ 2; y 84/2003, de 8 de mayo, FJ 3).</w:t>
      </w:r>
    </w:p>
    <w:p w:rsidR="00DE14C9" w:rsidRDefault="00DE14C9" w:rsidP="00DE14C9">
      <w:pPr>
        <w:pStyle w:val="TextoNormal"/>
      </w:pPr>
    </w:p>
    <w:p w:rsidR="00DE14C9" w:rsidRDefault="00DE14C9" w:rsidP="00DE14C9">
      <w:pPr>
        <w:pStyle w:val="TextoNormal"/>
      </w:pPr>
      <w:r w:rsidRPr="00DE14C9">
        <w:rPr>
          <w:rStyle w:val="NumeroAFNegritaCaracter"/>
        </w:rPr>
        <w:t>6</w:t>
      </w:r>
      <w:r>
        <w:t xml:space="preserve">. Es cierto, como señala la Sentencia impugnada, que la candidatura presentada por el PSdG-PSOE en la circunscripción electoral de Zas contenía una candidata menos del número mínimo que resulta exigible para dar cumplimiento a la exigencia de composición equilibrada entre hombres y mujeres que exige el art. 44 bis LOREG. Pero la irregularidad cometida por el partido solicitante de amparo en la presentación de dicha candidatura no puede tener la trascendencia fatal para el derecho fundamental a acceder en condiciones de igualdad a las funciones y cargos públicos (art. 23.2 CE) que ha apreciado el órgano judicial, </w:t>
      </w:r>
      <w:r>
        <w:lastRenderedPageBreak/>
        <w:t>pues se trata de una irregularidad subsanable, conforme a la doctrina constitucional expuesta, y no advertida por la Junta electoral de zona de Corcubión, lo que dio lugar a que no se diese ocasión a la representación del PSdG-PSOE para su subsanación, conforme a lo dispuesto en el art. 47.2 LOREG.</w:t>
      </w:r>
    </w:p>
    <w:p w:rsidR="00DE14C9" w:rsidRDefault="00DE14C9" w:rsidP="00DE14C9">
      <w:pPr>
        <w:pStyle w:val="TextoNormal"/>
      </w:pPr>
      <w:r>
        <w:t>En definitiva, la interpretación de la legalidad aplicable del modo más favorable al derecho fundamental garantizado por el art. 23.2 CE, exigía que el órgano judicial, una vez apreciado el incumplimiento de lo dispuesto en el art. 44 bis LOREG, no se hubiese limitado a anular el Acuerdo de la Junta electoral de zona de Corcubión de proclamación de la candidatura del PSdG-PSOE en la circunscripción electoral de Zas, sino que, en aras de preservar el derecho de sufragio pasivo, era preciso que modulase los efectos de dicha declaración de nulidad, requiriendo a la referida junta electoral para que otorgase a dicha candidatura el plazo de subsanación previsto en el art. 47.2 LOREG, a fin de adecuar la misma a la proporción de candidatos de ambos sexos exigida por el art. 44 bis LOREG.</w:t>
      </w:r>
    </w:p>
    <w:p w:rsidR="00DE14C9" w:rsidRDefault="00DE14C9" w:rsidP="00DE14C9">
      <w:pPr>
        <w:pStyle w:val="TextoNormal"/>
      </w:pPr>
      <w:r>
        <w:t>Al no haberlo hecho así, el órgano judicial ha ocasionado al partido recurrente en amparo la denunciada vulneración de su derecho al sufragio pasivo, lo que conduce al otorgamiento del amparo solicitado, precisamente para que la Junta Electoral de Zona de Corcubión otorgue el trámite de subsanación omitido, procediendo, en caso de que se subsanase el defecto en la composición equilibrada entre hombres y mujeres que exige el art. 44 bis LOREG, a proclamar la candidatura, o a la no proclamación de la misma, en caso contrario.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el Partido Socialista Obrero Español (PSOE) y, su virtud:</w:t>
      </w:r>
    </w:p>
    <w:p w:rsidR="00DE14C9" w:rsidRDefault="00DE14C9" w:rsidP="00DE14C9">
      <w:pPr>
        <w:pStyle w:val="TextoNormal"/>
      </w:pPr>
      <w:r>
        <w:t>1º Reconocer sus derechos a acceder en condiciones de igualdad a las funciones y cargos públicos (art. 23.2 CE) y a la tutela judicial efectiva sin indefensión (art. 24.1 CE).</w:t>
      </w:r>
    </w:p>
    <w:p w:rsidR="00DE14C9" w:rsidRDefault="00DE14C9" w:rsidP="00DE14C9">
      <w:pPr>
        <w:pStyle w:val="TextoNormal"/>
      </w:pPr>
      <w:r>
        <w:t>2º Declarar la nulidad de la Sentencia de 4 de mayo de 2007 del Juzgado de lo Contencioso-administrativo núm. 2 de A Coruña, dictada en el recurso contencioso-electoral núm. 121-2007.</w:t>
      </w:r>
    </w:p>
    <w:p w:rsidR="00DE14C9" w:rsidRDefault="00DE14C9" w:rsidP="00DE14C9">
      <w:pPr>
        <w:pStyle w:val="TextoNormal"/>
      </w:pPr>
      <w:r>
        <w:t>3º Retrotraer las actuaciones al momento anterior al Acuerdo de la Junta electoral de zona de Corcubión de proclamación de la candidatura del PSdG-PSOE en la circunscripción electoral de Zas, para que por dicha Junta Electoral se proceda a otorgar trámite de subsanación, en los términos expresados en el fundamento jurídico 6 de esta Sentencia.</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ocho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10" w:name="SENTENCIA_2007_97"/>
      <w:r>
        <w:lastRenderedPageBreak/>
        <w:t>SENTENCIA 97/2007, de 8 de mayo de 2007</w:t>
      </w:r>
    </w:p>
    <w:bookmarkEnd w:id="10"/>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137, de 8 de junio de 2007)</w:t>
      </w:r>
    </w:p>
    <w:p w:rsidR="00DE14C9" w:rsidRDefault="00DE14C9" w:rsidP="00DE14C9">
      <w:pPr>
        <w:pStyle w:val="TtuloBOE"/>
      </w:pPr>
    </w:p>
    <w:p w:rsidR="00DE14C9" w:rsidRDefault="00DE14C9" w:rsidP="00DE14C9">
      <w:pPr>
        <w:pStyle w:val="SntesisDescriptiva"/>
      </w:pPr>
      <w:r>
        <w:t>ECLI:ES:TC:2007:97</w:t>
      </w:r>
    </w:p>
    <w:p w:rsidR="00DE14C9" w:rsidRDefault="00DE14C9" w:rsidP="00DE14C9">
      <w:pPr>
        <w:pStyle w:val="SntesisDescriptiva"/>
      </w:pPr>
    </w:p>
    <w:p w:rsidR="00DE14C9" w:rsidRDefault="00DE14C9" w:rsidP="00DE14C9">
      <w:pPr>
        <w:pStyle w:val="SntesisDescriptiva"/>
      </w:pPr>
      <w:r>
        <w:t>Recurso de amparo electoral 3984-2007. Promovido por el Partido Demócrata Sada Popular (PDSP) frente a la Sentencia del Juzgado de lo Contencioso-Administrativo núm. 2 de A Coruña que anuló la proclamación de su candidatura en las elecciones locales por la circunscripción de Sada.</w:t>
      </w:r>
    </w:p>
    <w:p w:rsidR="00DE14C9" w:rsidRDefault="00DE14C9" w:rsidP="00DE14C9">
      <w:pPr>
        <w:pStyle w:val="SntesisDescriptiva"/>
      </w:pPr>
    </w:p>
    <w:p w:rsidR="00DE14C9" w:rsidRDefault="00DE14C9" w:rsidP="00DE14C9">
      <w:pPr>
        <w:pStyle w:val="SntesisAnaltica"/>
      </w:pPr>
      <w:r>
        <w:t>Vulneración de los derechos a la tutela judicial sin indefensión y a acceder a los cargos representativos: contencioso-electoral sin contradicción; anulación de candidatura electoral por infringir la paridad entre mujeres y hombres sin permitir su subsanación (STC 96/2007).</w:t>
      </w:r>
    </w:p>
    <w:p w:rsidR="00DE14C9" w:rsidRDefault="00DE14C9" w:rsidP="00DE14C9">
      <w:pPr>
        <w:pStyle w:val="SntesisAnaltica"/>
      </w:pPr>
    </w:p>
    <w:p w:rsidR="00DE14C9" w:rsidRDefault="00DE14C9" w:rsidP="00DE14C9">
      <w:pPr>
        <w:pStyle w:val="Extracto"/>
      </w:pPr>
      <w:r>
        <w:t>1.</w:t>
      </w:r>
      <w:r>
        <w:tab/>
        <w:t>El hecho de que la Junta Electoral de Zona proclame la candidatura presentada por un partido sin advertir que dicha candidatura incumple la exigencia de composición equilibrada entre hombres y mujeres contenida en el art. 44 bis LOREG, siendo este un defecto subsanable, vulnera el derecho al sufragio pasivo (STC 96/2007) [FJ 4].</w:t>
      </w:r>
    </w:p>
    <w:p w:rsidR="00DE14C9" w:rsidRDefault="00DE14C9" w:rsidP="00DE14C9">
      <w:pPr>
        <w:pStyle w:val="Extracto"/>
      </w:pPr>
    </w:p>
    <w:p w:rsidR="00DE14C9" w:rsidRDefault="00DE14C9" w:rsidP="00DE14C9">
      <w:pPr>
        <w:pStyle w:val="Extracto"/>
      </w:pPr>
      <w:r>
        <w:t>2.</w:t>
      </w:r>
      <w:r>
        <w:tab/>
        <w:t>El órgano judicial debió, al constatar la irregularidad, reconocer el derecho de la candidatura para disponer del plazo de subsanación que antes no tuvo, poniendo así fin ante la Junta electoral, al impedimento legal apreciado, logrando que el ejercicio del derecho fundamental no quedase contrariado [FJ 4].</w:t>
      </w:r>
    </w:p>
    <w:p w:rsidR="00DE14C9" w:rsidRDefault="00DE14C9" w:rsidP="00DE14C9">
      <w:pPr>
        <w:pStyle w:val="Extracto"/>
      </w:pPr>
    </w:p>
    <w:p w:rsidR="00DE14C9" w:rsidRDefault="00DE14C9" w:rsidP="00DE14C9">
      <w:pPr>
        <w:pStyle w:val="Extracto"/>
      </w:pPr>
      <w:r>
        <w:t>3.</w:t>
      </w:r>
      <w:r>
        <w:tab/>
        <w:t>El artículo 24.1 CE resulta violado cuando en un procedimiento contencioso electoral no se emplaza a la representante de la candidatura cuya proclamación se cuestiona, máxime no constando que hubiera sido conocida por la misma la interposición y pendencia del recurso en tiempo hábil para personarse en el procedimiento [FJ 3].</w:t>
      </w:r>
    </w:p>
    <w:p w:rsidR="00DE14C9" w:rsidRDefault="00DE14C9" w:rsidP="00DE14C9">
      <w:pPr>
        <w:pStyle w:val="Extracto"/>
      </w:pPr>
    </w:p>
    <w:p w:rsidR="00DE14C9" w:rsidRDefault="00DE14C9" w:rsidP="00DE14C9">
      <w:pPr>
        <w:pStyle w:val="Extracto"/>
      </w:pPr>
      <w:r>
        <w:t>4.</w:t>
      </w:r>
      <w:r>
        <w:tab/>
        <w:t>La carga de señalar el término de comparación corresponde exclusivamente a los demandantes de amparo, por lo que procede rechazar la queja sobre infracción del principio de igualdad si se invoca la igualdad de un modo general, dejando en manos del Tribunal indagar el término idóneo para realizar el contraste (SSTC 281/2000, 174/2003) [FJ 2].</w:t>
      </w:r>
    </w:p>
    <w:p w:rsidR="00DE14C9" w:rsidRDefault="00DE14C9" w:rsidP="00DE14C9">
      <w:pPr>
        <w:pStyle w:val="Extracto"/>
      </w:pPr>
    </w:p>
    <w:p w:rsidR="00DE14C9" w:rsidRDefault="00DE14C9" w:rsidP="00DE14C9">
      <w:pPr>
        <w:pStyle w:val="Extracto"/>
      </w:pPr>
      <w:r>
        <w:t>5.</w:t>
      </w:r>
      <w:r>
        <w:tab/>
        <w:t>La perentoriedad de los plazos del proceso electoral no permite la mera retroacción de actuaciones al momento procesal oportuno para que la representación del partido político solicitante de amparo sea citada al proceso y el Juzgado pueda dictar nueva sentencia sin ocasionar indefensión (STC 71/1995) [FJ 4].</w:t>
      </w:r>
    </w:p>
    <w:p w:rsidR="00DE14C9" w:rsidRDefault="00DE14C9" w:rsidP="00DE14C9">
      <w:pPr>
        <w:pStyle w:val="Extracto"/>
      </w:pPr>
    </w:p>
    <w:p w:rsidR="00DE14C9" w:rsidRDefault="00DE14C9" w:rsidP="00DE14C9">
      <w:pPr>
        <w:pStyle w:val="Extracto"/>
      </w:pPr>
      <w:r>
        <w:t>6.</w:t>
      </w:r>
      <w:r>
        <w:tab/>
        <w:t>No corresponde al Tribunal pronunciarse acerca de si la candidatura presentada cumple las exigencias impuestas por el art. 44 bis LOREG [FJ 4].</w:t>
      </w:r>
    </w:p>
    <w:p w:rsidR="00DE14C9" w:rsidRDefault="00DE14C9" w:rsidP="00DE14C9">
      <w:pPr>
        <w:pStyle w:val="Extracto"/>
      </w:pPr>
    </w:p>
    <w:p w:rsidR="00DE14C9" w:rsidRDefault="00DE14C9" w:rsidP="00DE14C9">
      <w:pPr>
        <w:pStyle w:val="Extracto"/>
      </w:pPr>
      <w:r>
        <w:lastRenderedPageBreak/>
        <w:t>7.</w:t>
      </w:r>
      <w:r>
        <w:tab/>
        <w:t>La circunstancia de que obre en las actuaciones copia del escrito dirigido por el partido político al Juzgado pidiendo se tuviera en cuenta la rectificación en la composición de la candidatura electoral permite anular la Sentencia impugnada y declarar el derecho de la entidad a que la Junta electoral tenga por subsanado el defecto en su día no advertido [FJ 5].</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electoral núm. 3984-2007, promovido por el Partido Demócrata Sada Popular (PDSP), representado por la Procuradora de los Tribunales doña Begoña Fernández Pérez-Zabalgoitia y asistido por el Abogado don Antonio Platas Tasende, contra la Sentencia dictada el 4 de mayo de 2007 por el Juzgado de lo Contencioso-Administrativo núm. 2 de A Coruña, que estimó el recurso contencioso-electoral núm. 127-2007 interpuesto por el representante de las candidaturas presentadas por el Partido Popular en la provincia de A Coruña contra el Acuerdo de la Junta electoral de zona de Betanzos de proclamación de la candidatura del PDSP para participar, en la circunscripción de Sada, en las elecciones locales convocadas por Real Decreto 444/2007, de 2 de abril. Ha intervenido el Ministerio Fiscal. Ha sido Ponente el Magistrado don Jorge Rodríguez-Zapata Pérez,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El 6 de mayo de 2007 tuvo entrada en el Registro General de este Tribunal el recurso de amparo electoral presentado por la Procuradora de los Tribunales doña Begoña Fernández Pérez-Zabalgoitia en nombre y representación del Partido Demócrata Sada Popular, contra la Sentencia dictada el 4 de mayo de 2007 por el Juzgado de lo Contencioso-Administrativo núm. 2 de A Coruña en el recurso contencioso electoral registrado con el núm. 127-2007.</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fundamentos de hecho en los que tiene su origen el presente proceso de amparo son los siguientes: </w:t>
      </w:r>
    </w:p>
    <w:p w:rsidR="00DE14C9" w:rsidRDefault="00DE14C9" w:rsidP="00DE14C9">
      <w:pPr>
        <w:pStyle w:val="TextoNormal"/>
      </w:pPr>
      <w:r>
        <w:t xml:space="preserve">a) Doña María del Mar Fernández Linares, en calidad de presidenta del Partido Demócrata Sada Popular presentó ante la Junta Electoral de Zona de Betanzos (A Coruña) la candidatura de dicha formación política para participar en las elecciones locales convocadas por Real Decreto 444/2007, de 2 de abril, en la circunscripción de Sada. </w:t>
      </w:r>
    </w:p>
    <w:p w:rsidR="00DE14C9" w:rsidRDefault="00DE14C9" w:rsidP="00DE14C9">
      <w:pPr>
        <w:pStyle w:val="TextoNormal"/>
      </w:pPr>
      <w:r>
        <w:lastRenderedPageBreak/>
        <w:t xml:space="preserve">b) El 25 de abril de 2007 se procedió a la publicación en el “Boletín Oficial de la Provincia de A Coruña” de las candidaturas presentadas y el 1 de mayo a la publicación oficial de las candidaturas proclamadas por la indicada Junta electoral. </w:t>
      </w:r>
    </w:p>
    <w:p w:rsidR="00DE14C9" w:rsidRDefault="00DE14C9" w:rsidP="00DE14C9">
      <w:pPr>
        <w:pStyle w:val="TextoNormal"/>
      </w:pPr>
      <w:r>
        <w:t xml:space="preserve">c) Efectuados los referidos trámites, el representante de las candidaturas presentadas por el Partido Popular en la provincia de A Coruña interpuso recurso contencioso-electoral contra la proclamación de la candidatura presentada en la circunscripción de Sada (A Coruña) por el Partido Demócrata Sada Popular. En el escrito de recurso se interesaba la anulación de dicha candidatura por incumplir lo dispuesto en el art. 44 bis de la Ley Orgánica del régimen electoral general (LOREG), introducido por la Ley Orgánica 3/2007, de 22 de marzo, para la igualdad efectiva de mujeres y hombres, toda vez que el número de mujeres de dicha candidatura no alcanzan el mínimo porcentual del cuarenta por ciento que dicho precepto establece, siendo esta exigencia legal aplicable al municipio de Sada, por contar con más de 5.000 habitantes, de conformidad con lo dispuesto en la disposición transitoria séptima LOREG, incorporada igualmente por la Ley Orgánica 3/2007, de 22 de marzo. </w:t>
      </w:r>
    </w:p>
    <w:p w:rsidR="00DE14C9" w:rsidRDefault="00DE14C9" w:rsidP="00DE14C9">
      <w:pPr>
        <w:pStyle w:val="TextoNormal"/>
      </w:pPr>
      <w:r>
        <w:t>d) El conocimiento de la impugnación correspondió al Juzgado de lo Contencioso-Administrativo núm. 2 de A Coruña, quedando registrada con el núm. 127-2007 y dictándose Sentencia el 4 de mayo, mediante la que, estimando el recurso interpuesto por el Partido Popular, se anuló el Acuerdo de la Junta electoral de zona de Betanzos que había acordado la proclamación de la candidatura presentada por el Partido Demócrata Sada Popular. La decisión judicial se sustenta en que la candidatura presentada incumple el régimen de paridad fijado por el art. 44 bis LOREG, introducido por la Ley Orgánica 3/2007, de 22 de marzo, para la igualdad efectiva de mujeres y hombres. En particular aprecia la Sentencia que la candidatura cuestionada incumple la exigencia de composición equilibrada entre hombres y mujeres contenida en el art. 44 bis LOREG, pues, valorada en su conjunto, resulta que presenta cinco mujeres sobre un total de trece candidatos, por lo que no alcanza el mínimo del 40 por 100 legalmente establecido, que exigiría un mínimo de seis mujeres en la lista.</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En la demanda de amparo electoral se alega la vulneración de los derechos a la tutela judicial efectiva (art. 24.1 CE) y a un proceso con todas las garantías (art. 24.2 CE) como consecuencia de que el proceso contencioso-electoral se ha seguido inaudita parte, ya que la primera noticia que la demandante ha tenido de su existencia se produjo el 4 de mayo cuando el Juzgado de lo Contencioso-Administrativo núm. 2 de A Coruña remitió un fax mediante el que se notificaba la Sentencia que se recurre en amparo. </w:t>
      </w:r>
    </w:p>
    <w:p w:rsidR="00DE14C9" w:rsidRDefault="00DE14C9" w:rsidP="00DE14C9">
      <w:pPr>
        <w:pStyle w:val="TextoNormal"/>
      </w:pPr>
      <w:r>
        <w:t>De otro lado se aduce la vulneración del principio de igualdad (art. 14 CE) en relación con el derecho a acceder a los cargos públicos en condiciones de igualdad (art. 23.2 CE), a causa de que en otros casos semejantes la Junta electoral de zona abrió el plazo de subsanación a que se refiere el art. 47.2 LOREG, lo que incluso ha llevado a cabo el órgano judicial cuando ha advertido la omisión de la Junta electoral. Alega la formación política demandante de amparo que dada la premura de la presentación del recurso no ha podio obtener las correspondientes resoluciones administrativas y judiciales, pero aporta recortes de prensa en los que se refleja lo expuesto.</w:t>
      </w:r>
    </w:p>
    <w:p w:rsidR="00DE14C9" w:rsidRDefault="00DE14C9" w:rsidP="00DE14C9">
      <w:pPr>
        <w:pStyle w:val="TextoNormal"/>
      </w:pPr>
    </w:p>
    <w:p w:rsidR="00DE14C9" w:rsidRDefault="00DE14C9" w:rsidP="00DE14C9">
      <w:pPr>
        <w:pStyle w:val="TextoNormal"/>
      </w:pPr>
      <w:r w:rsidRPr="00DE14C9">
        <w:rPr>
          <w:rStyle w:val="NumeroAFNegritaCaracter"/>
        </w:rPr>
        <w:t>4</w:t>
      </w:r>
      <w:r>
        <w:t>. Por diligencia de ordenación de 6 de mayo de 2007 el Secretario de Justicia de la Sección Segunda de este Tribunal acordó, en conformidad con lo dispuesto en el art. 49 LOREG y en el Acuerdo del Pleno de 20 de enero de 2000, tener por interpuesto el recurso de amparo y recabar del Juzgado de lo Contencioso-administrativo núm. 2 de A Coruña el envío de las actuaciones correspondientes a su proceso contencioso-electoral núm. 127-</w:t>
      </w:r>
      <w:r>
        <w:lastRenderedPageBreak/>
        <w:t>2007, incluidas las seguidas ante la Junta electoral, interesando al propio tiempo que se emplazara a quienes fueron parte en el procedimiento, a excepción de la formación política recurrente en amparo, que aparece ya personada, para que en el plazo de dos días pudieran comparecer y formular alegaciones en este proceso constitucional. Igualmente se acordó dar vista al Ministerio Fiscal para que en el plazo de un día formulase las alegaciones pertinentes.</w:t>
      </w:r>
    </w:p>
    <w:p w:rsidR="00DE14C9" w:rsidRDefault="00DE14C9" w:rsidP="00DE14C9">
      <w:pPr>
        <w:pStyle w:val="TextoNormal"/>
      </w:pPr>
    </w:p>
    <w:p w:rsidR="00DE14C9" w:rsidRDefault="00DE14C9" w:rsidP="00DE14C9">
      <w:pPr>
        <w:pStyle w:val="TextoNormal"/>
      </w:pPr>
      <w:r w:rsidRPr="00DE14C9">
        <w:rPr>
          <w:rStyle w:val="NumeroAFNegritaCaracter"/>
        </w:rPr>
        <w:t>5</w:t>
      </w:r>
      <w:r>
        <w:t>. La Fiscalía ante este Tribunal Constitucional presentó el mismo día 7 de mayo su escrito de alegaciones. Comienza señalando el Ministerio Fiscal, en relación con la queja sobre vulneración del derecho a la igualdad en la aplicación de la ley, que la demandante de amparo no aporta un tertium comparationis ni existe constancia sobre el resto de los requisitos exigidos por la jurisprudencia constitucional para apreciar la vulneración del art. 14 CE. En relación con el resto de las quejas aducidas, tras recordar lo dispuesto en el art. 47.2 LOREG y la doctrina de este Tribunal en materia de subsanación de irregularidades en la presentación de candidaturas (con cita de las SSTC 24/1989, 95/1991, 113/1991 y 84/2003), concluye señalando que procedería otorgar el amparo solicitado por vulneración del art. 23.2 CE si se confirma, a la vista de las actuaciones, que el partido recurrente ha sido efectivamente privado del trámite de subsanación.</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 demanda de amparo electoral se dirige contra la Sentencia de 4 de mayo de 2007 del Juzgado de lo Contencioso-Administrativo núm. 2 de A Coruña, que estimó el recurso contencioso-electoral núm. 127-2007, interpuesto por el representante de las candidaturas presentadas por el Partido Popular en la provincia de A Coruña contra el Acuerdo de la Junta Electoral de Zona de Betanzos —publicado en el “Boletín Oficial de la Provincia de A Coruña” el 1 de mayo de 2007— de proclamación de la candidatura del Partido Demócrata Sada Popular en la circunscripción electoral de Sada para participar en las elecciones municipales convocadas por Real Decreto 444/2007, de 2 de abril.</w:t>
      </w:r>
    </w:p>
    <w:p w:rsidR="00DE14C9" w:rsidRDefault="00DE14C9" w:rsidP="00DE14C9">
      <w:pPr>
        <w:pStyle w:val="TextoNormal"/>
      </w:pPr>
      <w:r>
        <w:t>La formación política demandante de amparo denuncia la lesión del principio de igualdad (art. 14 CE) en relación con el derecho de acceder a los cargos públicos en condiciones de igualdad (art. 23.2 CE) por lo que respecta a la actuación de la Junta electoral de zona de Betanzos, no corregida en vía judicial, en cuanto que no se advirtió de oficio al representante de la candidatura acerca de la irregularidad posteriormente apreciada por el órgano judicial, sin concederle ocasión para su subsanación, como posibilita el art. 47.2 de la Ley Orgánica del régimen electoral general (LOREG); se añade que tal subsanación ha sido permitida a otras candidaturas en similar situación. En segundo lugar, se alega la vulneración de los derechos a la tutela judicial efectiva y a un proceso con todas las garantías (art. 24.1 y 2 CE) puesto que el Juzgado de lo Contencioso-Administrativo núm. 2 de A Coruña tramitó el proceso contencioso-electoral seguido a instancia del Partido Popular sin que el partido político demandante de amparo tuviera conocimiento de su existencia hasta que le fue notificada la Sentencia que se recurre en amparo.</w:t>
      </w:r>
    </w:p>
    <w:p w:rsidR="00DE14C9" w:rsidRDefault="00DE14C9" w:rsidP="00DE14C9">
      <w:pPr>
        <w:pStyle w:val="TextoNormal"/>
      </w:pPr>
      <w:r>
        <w:t>El Ministerio Fiscal, que indica la falta de acreditación de un trato discriminatorio lesivo del art. 14 CE, interesa, por el contrario, el otorgamiento del amparo —por vulneración del art. 23.2 CE— para el caso de confirmarse, a la vista de las actuaciones, que el partido recurrente ha sido efectivamente privado del trámite de subsanación de defectos en la candidatura.</w:t>
      </w:r>
    </w:p>
    <w:p w:rsidR="00DE14C9" w:rsidRDefault="00DE14C9" w:rsidP="00DE14C9">
      <w:pPr>
        <w:pStyle w:val="TextoNormal"/>
      </w:pPr>
    </w:p>
    <w:p w:rsidR="00DE14C9" w:rsidRDefault="00DE14C9" w:rsidP="00DE14C9">
      <w:pPr>
        <w:pStyle w:val="TextoNormal"/>
      </w:pPr>
      <w:r w:rsidRPr="00DE14C9">
        <w:rPr>
          <w:rStyle w:val="NumeroAFNegritaCaracter"/>
        </w:rPr>
        <w:t>2</w:t>
      </w:r>
      <w:r>
        <w:t>. En primer lugar, procede rechazar la queja sobre infracción del principio de igualdad (art. 14 CE) que la entidad demandante de amparo imputa tanto a la Administración electoral como al Juzgado de lo Contencioso-Administrativo interviniente y que sustenta en que en otros casos semejantes la Junta electoral de zona abrió el plazo de subsanación a que se refiere el art. 47.2 LOREG, lo que incluso ha llevado a cabo el propio órgano judicial cuando ha advertido la omisión de la Junta Electoral.  Tal alegación de violación del art. 14 CE ha de entenderse referida al art. 23.2 CE, puesto que, como este Tribunal ha indicado ya reiteradamente, cuando la queja por discriminación se plantea respecto de los supuestos contenidos en el art. 23.2 CE, y siempre que la diferenciación impugnada no se deba a alguno de los criterios explícitamente impedidos en el art. 14 de la Constitución, será aquel precepto el que habrá de ser considerado de modo directo para apreciar si el acto impugnado ha desconocido el principio de igualdad (STC 50/1986, de 23 de abril, FJ 4).</w:t>
      </w:r>
    </w:p>
    <w:p w:rsidR="00DE14C9" w:rsidRDefault="00DE14C9" w:rsidP="00DE14C9">
      <w:pPr>
        <w:pStyle w:val="TextoNormal"/>
      </w:pPr>
      <w:r>
        <w:t>Pues bien, la alegación no puede ser atendida, ya que no se acredita en ninguna forma la existencia de aceptaciones de otras candidaturas irregulares. Lo cierto es que la doctrina de este Tribunal exige, para apreciar la vulneración del derecho a la igualdad (art. 14 CE), la concurrencia de varios presupuestos, el primero de los cuales es el de acreditarse por el recurrente en amparo la existencia de un término de comparación, dado que el juicio de igualdad sólo puede realizarse comparando la resolución judicial que se impugna y el precedente del mismo órgano judicial en casos sustancialmente iguales (SSTC 81/1997, de 22 de abril, FJ 2; 186/2000, de 10 de julio, FJ 11; 37/2001, de 12 de febrero, FJ 3; y 111/2001, de 7 de mayo, FJ 2). En el presente caso, la generalidad con que se invoca la desigualdad dejaría en manos de este Tribunal indagar el término idóneo para realizar el contraste, y es doctrina constante que la carga de señalar el término de comparación corresponde exclusivamente a los demandantes de amparo (entre otras, SSTC 281/2000, de 27 de noviembre, FJ 5; 174/2003, de 29 de septiembre, FJ 8; y 33/2007, de 12 de febrero, FJ 1).</w:t>
      </w:r>
    </w:p>
    <w:p w:rsidR="00DE14C9" w:rsidRDefault="00DE14C9" w:rsidP="00DE14C9">
      <w:pPr>
        <w:pStyle w:val="TextoNormal"/>
      </w:pPr>
    </w:p>
    <w:p w:rsidR="00DE14C9" w:rsidRDefault="00DE14C9" w:rsidP="00DE14C9">
      <w:pPr>
        <w:pStyle w:val="TextoNormal"/>
      </w:pPr>
      <w:r w:rsidRPr="00DE14C9">
        <w:rPr>
          <w:rStyle w:val="NumeroAFNegritaCaracter"/>
        </w:rPr>
        <w:t>3</w:t>
      </w:r>
      <w:r>
        <w:t>. Continuando con el examen de las quejas dirigidas contra la actuación del órgano judicial, se denuncia la vulneración de los derechos a la tutela judicial efectiva y a un proceso con todas las garantías (art. 24.1 y 2 CE) en la medida en que se tramitó y resolvió el recurso contencioso-electoral sin emplazar a la representación de la candidatura cuya proclamación se impugnaba. Al respecto debemos recordar una vez más la constante doctrina de este Tribunal (por todas, la STC 52/1984, de 2 de mayo), según la cual del derecho fundamental reconocido en el art. 24.1 CE se deriva, para los órganos judiciales, el deber de promover la defensa de todas cuantas personas pudieran resultar directamente afectadas en sus derechos e intereses a resultas de la impugnación deducida ante esos mismos órganos judiciales, exigencia ésta que, para el ámbito del recurso contencioso-administrativo, se traduce en la necesidad de llamar personalmente al proceso a quienes así pudieran ostentar en él, por su interés en el mantenimiento del acto impugnado, la condición de demandados y siempre que tales personas, como es obvio, sean identificables a partir de los datos expuestos en la demanda o en el expediente administrativo. El deber que así nace del precepto constitucional no deja de pesar, como es evidente, sobre los órganos judiciales llamados a resolver el especial proceso contencioso que aquí se interpuso y sustanció, pues, aunque tal proceso se singulariza por una tramitación concentrada y abreviada (apartados 2 y 3 del art. 49 LOREG), ello no podría justificar nunca la omisión de trámite de tanta relevancia para su regularidad constitucional como es el del debido llamamiento al procedimiento de quienes, por la impugnación, ven directamente comprometido su derecho de sufragio pasivo (STC 85/1987, de 29 de mayo, FJ 2).</w:t>
      </w:r>
    </w:p>
    <w:p w:rsidR="00DE14C9" w:rsidRDefault="00DE14C9" w:rsidP="00DE14C9">
      <w:pPr>
        <w:pStyle w:val="TextoNormal"/>
      </w:pPr>
      <w:r>
        <w:lastRenderedPageBreak/>
        <w:t>En el presente caso, según resulta de las actuaciones judiciales, no se hizo emplazamiento alguno a la representante de la candidatura cuya proclamación se cuestionaba ni consta que hubiera sido conocida la interposición y pendencia del recurso contencioso-electoral en tiempo hábil para personarse en el procedimiento por el partido político ahora solicitante de amparo. De este modo el órgano judicial impidió la defensa de sus derechos a quienes pudieran tener entonces la condición de demandados.  Por ello, al resolver no respetando la contradicción, se vulneró el derecho fundamental reconocido en el art. 24.1 CE, produciendo la indefensión de los directamente afectados por la decisión, en este caso de la representación electoral de las personas que figuraban como candidatos. Pues aun cuando la función primaria que cumple este amparo consista en garantizar los derechos fundamentales comprometidos en la contienda electoral, siendo el del art. 23 CE el afectado cuando se trata, como ahora, de la proclamación de candidaturas, no cabe soslayar que, por su naturaleza instrumental, también puede ser objeto del mismo proceso el derecho a la tutela judicial (art. 24.1 CE) si fuere desconocido o conculcado en la vía judicial configurada precisamente para la protección y garantía de los derivados del art. 23 CE (STC 71/1995, de 11 de mayo, FJ 2).</w:t>
      </w:r>
    </w:p>
    <w:p w:rsidR="00DE14C9" w:rsidRDefault="00DE14C9" w:rsidP="00DE14C9">
      <w:pPr>
        <w:pStyle w:val="TextoNormal"/>
      </w:pPr>
    </w:p>
    <w:p w:rsidR="00DE14C9" w:rsidRDefault="00DE14C9" w:rsidP="00DE14C9">
      <w:pPr>
        <w:pStyle w:val="TextoNormal"/>
      </w:pPr>
      <w:r w:rsidRPr="00DE14C9">
        <w:rPr>
          <w:rStyle w:val="NumeroAFNegritaCaracter"/>
        </w:rPr>
        <w:t>4</w:t>
      </w:r>
      <w:r>
        <w:t>. Ahora bien, constatada la lesión del derecho a obtener tutela judicial efectiva y sin indefensión (art. 24.1 CE), no podemos sin embargo detener aquí nuestro enjuiciamiento. La perentoriedad de los plazos del proceso electoral no permite la mera retroacción de actuaciones al momento procesal oportuno para que la representación del partido político solicitante de amparo sea citada al proceso y el Juzgado pueda dictar nueva sentencia sin ocasionar indefensión (STC 71/1995, de 11 de mayo, FJ 2), a lo que cabe añadir que, además, este Tribunal tiene el necesario conocimiento de los hechos para enjuiciar las cuestiones planteadas y, en definitiva, su objeto fundamental: si la anulación judicial de la proclamación de la candidatura presentada en la circunscripción electoral de Sada por el Partido Demócrata Sada Popular vulnera su derecho de sufragio pasivo (art. 23.2 CE), cuestión que seguidamente pasamos a resolver.</w:t>
      </w:r>
    </w:p>
    <w:p w:rsidR="00DE14C9" w:rsidRDefault="00DE14C9" w:rsidP="00DE14C9">
      <w:pPr>
        <w:pStyle w:val="TextoNormal"/>
      </w:pPr>
      <w:r>
        <w:t>Antes debemos señalar que no corresponde a este Tribunal pronunciarse acerca de si en este concreto caso la candidatura presentada cumple las exigencias impuestas por el art. 44 bis LOREG, al no ser ese el objeto del presente recurso de amparo electoral, sino exclusivamente dilucidar si, una vez apreciada por el órgano judicial que la candidatura no podía ser válidamente proclamada por la razón antedicha, de ello debía derivarse la consecuencia de que la candidatura no pudiera participar en las elecciones locales convocadas o si, por el contrario, en aplicación del art. 47.2 LOREG debió permitirse la subsanación de la irregularidad apreciada.</w:t>
      </w:r>
    </w:p>
    <w:p w:rsidR="00DE14C9" w:rsidRDefault="00DE14C9" w:rsidP="00DE14C9">
      <w:pPr>
        <w:pStyle w:val="TextoNormal"/>
      </w:pPr>
      <w:r>
        <w:t xml:space="preserve">Nuestra doctrina en materia de subsanación de irregularidades sufridas en la presentación de candidaturas ante la Administración electoral puede resumirse en la afirmación de que, por principio, los errores e irregularidades cometidos en la presentación de aquéllas son subsanables y que, en consecuencia, las Juntas Electorales han de ofrecer la oportunidad de que las candidaturas en las que se han detectado lo hagan. Busca con ello la Ley Orgánica del régimen electoral general,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w:t>
      </w:r>
      <w:r>
        <w:lastRenderedPageBreak/>
        <w:t>electoral, sino en la misma efectividad del derecho fundamental de los ciudadanos (art. 23.2 CE) que, a través de las vías dispuestas por la Ley, quieran presentarse ante el cuerpo electoral recabando los sufragios necesarios para acceder a las instituciones representativas.</w:t>
      </w:r>
    </w:p>
    <w:p w:rsidR="00DE14C9" w:rsidRDefault="00DE14C9" w:rsidP="00DE14C9">
      <w:pPr>
        <w:pStyle w:val="TextoNormal"/>
      </w:pPr>
      <w:r>
        <w:t>Deriva de lo expuesto el que si por la Administración electoral se incumple este deber legal en orden al examen de los escritos de presentación de candidaturas, no dándose así ocasión a los interesados para la reparación de unos defectos que después llevan al rechazo de aquéllas, se habrá ignorado, con ello, una garantía dispuesta por la Ley Orgánica del régimen electoral general para la efectividad, como queda dicho, del derecho de sufragio pasivo, que resultará así afectado negativamente en la medida en que se desconozca por una Junta electoral, o se atienda sólo imperfectamente la exigencia legal de la que aquí se trata. En modo alguno empaña esta conclusión, ni la consideración general que se acaba de hacer sobre la afectación del derecho reconocido en el art. 23.2 CE, el hecho de que, en estos casos, el resultado finalmente gravoso para candidaturas y candidatos —la denegación de su proclamación como tales— se llegue a producir por no haberse reparado un defecto fruto de la ignorancia o de la negligencia de quienes presentaron la candidatura sin cumplir, en todos sus extremos, las prevenciones legales, sin perjuicio, como es obvio, del deber de diligencia y de colaboración con la Administración electoral que pesa sobre los candidatos y las formaciones políticas que les avalan (SSTC 67/1987, de 21 de mayo, FJ 3; 73/1995, de 12 de mayo, FJ 3; y 80/2002, de 8 de abril, FJ 7).</w:t>
      </w:r>
    </w:p>
    <w:p w:rsidR="00DE14C9" w:rsidRDefault="00DE14C9" w:rsidP="00DE14C9">
      <w:pPr>
        <w:pStyle w:val="TextoNormal"/>
      </w:pPr>
      <w:r>
        <w:t>En efecto, en este específico procedimiento no ha querido la Ley Orgánica del régimen electoral general dejar la suerte de las candidaturas a merced de la sola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Orgánica del régimen electoral general que tal irregularidad depare aquella sanción sin que antes se haga posible, mediante su identificación y advertencia de oficio, la oportuna subsanación, siempre, claro ésta, que ello sea materialmente factible (SSTC 73/1986, de 3 de junio, FJ 1; 59/1987, de 19 de mayo, FJ 3; 86/1987, de 1 de junio, FJ 4; 24/1989, de 2 de febrero, FJ 95/1991, de 7 de mayo, FJ 2; 113/1991, de 20 de mayo, FJ 3; 175/1991, de 16 de septiembre, FJ 2; y 84/2003, de 8 de mayo, FJ 3).</w:t>
      </w:r>
    </w:p>
    <w:p w:rsidR="00DE14C9" w:rsidRDefault="00DE14C9" w:rsidP="00DE14C9">
      <w:pPr>
        <w:pStyle w:val="TextoNormal"/>
      </w:pPr>
      <w:r>
        <w:t>Lo cierto es que si el órgano judicial apreció, como lo hizo, la irregularidad en la que la Junta Electoral incurrió al proclamar la candidatura sin reparos, la apreciación de dicha irregularidad administrativa no debió llevar a la anulación de la proclamación misma; pues esta decisión, a la vista del sistema legal aquí aplicable y de la omisión en que incurrió la propia Junta electoral al no comunicar en su día los defectos existentes, entrañó, pese a lo que tuvo de formal restablecimiento de la legalidad quebrada, un desconocimiento de las garantías subjetivas previstas por el legislador en el citado art. 47.2 LOREG, en cuya virtud las irregularidades que puedan mostrar las candidaturas presentadas, apreciadas por la Administración electoral, habrán de dar siempre lugar a su posible subsanación.</w:t>
      </w:r>
    </w:p>
    <w:p w:rsidR="00DE14C9" w:rsidRDefault="00DE14C9" w:rsidP="00DE14C9">
      <w:pPr>
        <w:pStyle w:val="TextoNormal"/>
      </w:pPr>
      <w:r>
        <w:t xml:space="preserve">El hecho notorio de que la Ley no prevea dicho trámite de subsanación, sino con carácter previo a la proclamación de las candidaturas, no puede en modo alguno llevar a la conclusión de que los defectos, en su día, subsanables devengan definitivos e irreparables tan sólo por el irregular funcionamiento de la Administración electoral, que —según la resolución judicial— debió advertirlos y no lo hizo, en el momento que la Ley prevé para ello, ya que no puede pesar sobre los ciudadanos un resultado, gravoso para sus derechos fundamentales, que se originó en la falta de la diligencia debida por los poderes públicos en la garantía de </w:t>
      </w:r>
      <w:r>
        <w:lastRenderedPageBreak/>
        <w:t>su plena efectividad. Así, aunque por las peculiares condiciones del proceso contencioso-administrativo, previsto en el art. 49 de la Ley Orgánica 5/1985, el Juzgado no conoció de las alegaciones que de su derecho pudo haber realizado el Partido Demócrata Sada Popular, el órgano judicial debió entonces, interpretando la legalidad aplicable del modo más favorable a la plena efectividad del derecho fundamental comprometido (STC 66/1985, de 23 de mayo, FJ 2), apreciar la irregularidad en la que se incurrió en la proclamación, mas no extraer de la misma las consecuencias invalidantes dictadas. Se debió, pues, constatando la irregularidad, reconocer el derecho de la candidatura para disponer del plazo de subsanación que antes no tuvo, poniendo así fin, en su caso, ante la Junta electoral, al impedimento legal apreciado y logrando, de este modo, que el ejercicio del derecho fundamental no quedase contrariado como, sin embargo, ha ocurrido a resultas de una aplicación de la Ley contraria a su espíritu garantizador.</w:t>
      </w:r>
    </w:p>
    <w:p w:rsidR="00DE14C9" w:rsidRDefault="00DE14C9" w:rsidP="00DE14C9">
      <w:pPr>
        <w:pStyle w:val="TextoNormal"/>
      </w:pPr>
    </w:p>
    <w:p w:rsidR="00DE14C9" w:rsidRDefault="00DE14C9" w:rsidP="00DE14C9">
      <w:pPr>
        <w:pStyle w:val="TextoNormal"/>
      </w:pPr>
      <w:r w:rsidRPr="00DE14C9">
        <w:rPr>
          <w:rStyle w:val="NumeroAFNegritaCaracter"/>
        </w:rPr>
        <w:t>5</w:t>
      </w:r>
      <w:r>
        <w:t>. En consideración a cuanto antecede el amparo debe ser concedido aunque no corresponde a este Tribunal proclamar candidaturas sino, sólo y exclusivamente, pronunciamos sobre la existencia o no de lesiones de derechos fundamentales en las decisiones adoptadas al respecto por los órganos legalmente competentes y de acuerdo con lo planteado ante los mismos (STC 103/1991, de 13 de mayo, FJ 3).</w:t>
      </w:r>
    </w:p>
    <w:p w:rsidR="00DE14C9" w:rsidRDefault="00DE14C9" w:rsidP="00DE14C9">
      <w:pPr>
        <w:pStyle w:val="TextoNormal"/>
      </w:pPr>
      <w:r>
        <w:t>La circunstancia de que obre en las actuaciones copia del escrito dirigido por la formación política demandante de amparo al Juzgado de lo Contencioso-Administrativo núm. 2 de A Coruña, pidiendo se tuviera en cuenta la rectificación en la composición de la candidatura electoral —escrito que en la demanda de amparo se dice también presentado ante la Junta Electoral Provincial de Betanzos— permite concluir el presente procedimiento declarando, por lo expuesto, la nulidad de la Sentencia impugnada, así como el derecho de la entidad política demandante de amparo a que la Junta electoral de zona indicada tenga por subsanado el defecto en su día no advertido, de conformidad con lo dispuesto en el último inciso del art. 47.2 de la Ley Orgánica 5/1985.</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el Partido Demócrata Sada Popular y, en consecuencia:</w:t>
      </w:r>
    </w:p>
    <w:p w:rsidR="00DE14C9" w:rsidRDefault="00DE14C9" w:rsidP="00DE14C9">
      <w:pPr>
        <w:pStyle w:val="TextoNormal"/>
      </w:pPr>
      <w:r>
        <w:t>1° Reconocer sus derechos a acceder en condiciones de igualdad a las funciones y cargos públicos (art. 23.2 CE) y a la tutela judicial efectiva sin indefensión (art. 24.1 CE).</w:t>
      </w:r>
    </w:p>
    <w:p w:rsidR="00DE14C9" w:rsidRDefault="00DE14C9" w:rsidP="00DE14C9">
      <w:pPr>
        <w:pStyle w:val="TextoNormal"/>
      </w:pPr>
      <w:r>
        <w:t>2º Declarar la nulidad de la Sentencia de 4 de mayo de 2007, dictada por el Juzgado de lo Contencioso-Administrativo núm. 2 de A Coruña en el recurso contencioso-electoral 127-2007.</w:t>
      </w:r>
    </w:p>
    <w:p w:rsidR="00DE14C9" w:rsidRDefault="00DE14C9" w:rsidP="00DE14C9">
      <w:pPr>
        <w:pStyle w:val="TextoNormal"/>
      </w:pPr>
      <w:r>
        <w:t>3º Retrotraer las actuaciones al momento anterior al Acuerdo de la Junta electoral de zona de Betanzos de proclamación de la candidatura del Partido Demócrata Sada Popular, para que por dicha Junta electoral se permita la subsanación de la irregularidad apreciada.</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ocho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lastRenderedPageBreak/>
        <w:br w:type="page"/>
      </w:r>
    </w:p>
    <w:p w:rsidR="00DE14C9" w:rsidRDefault="00DE14C9" w:rsidP="00DE14C9">
      <w:pPr>
        <w:pStyle w:val="TtuloResolucin"/>
      </w:pPr>
      <w:bookmarkStart w:id="11" w:name="SENTENCIA_2007_98"/>
      <w:r>
        <w:lastRenderedPageBreak/>
        <w:t>SENTENCIA 98/2007, de 8 de mayo de 2007</w:t>
      </w:r>
    </w:p>
    <w:bookmarkEnd w:id="11"/>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137, de 8 de junio de 2007)</w:t>
      </w:r>
    </w:p>
    <w:p w:rsidR="00DE14C9" w:rsidRDefault="00DE14C9" w:rsidP="00DE14C9">
      <w:pPr>
        <w:pStyle w:val="TtuloBOE"/>
      </w:pPr>
    </w:p>
    <w:p w:rsidR="00DE14C9" w:rsidRDefault="00DE14C9" w:rsidP="00DE14C9">
      <w:pPr>
        <w:pStyle w:val="SntesisDescriptiva"/>
      </w:pPr>
      <w:r>
        <w:t>ECLI:ES:TC:2007:98</w:t>
      </w:r>
    </w:p>
    <w:p w:rsidR="00DE14C9" w:rsidRDefault="00DE14C9" w:rsidP="00DE14C9">
      <w:pPr>
        <w:pStyle w:val="SntesisDescriptiva"/>
      </w:pPr>
    </w:p>
    <w:p w:rsidR="00DE14C9" w:rsidRDefault="00DE14C9" w:rsidP="00DE14C9">
      <w:pPr>
        <w:pStyle w:val="SntesisDescriptiva"/>
      </w:pPr>
      <w:r>
        <w:t>Recurso de amparo electoral 4009-2007. Promovido por el Partido Socialista Obrero Español (PSOE) frente a la Sentencia del Juzgado de lo Contencioso-Administrativo núm. 4 de A Coruña que anuló la proclamación de la candidatura  del PSdG-PSOE en las elecciones locales por la circunscripción de Cee.</w:t>
      </w:r>
    </w:p>
    <w:p w:rsidR="00DE14C9" w:rsidRDefault="00DE14C9" w:rsidP="00DE14C9">
      <w:pPr>
        <w:pStyle w:val="SntesisDescriptiva"/>
      </w:pPr>
    </w:p>
    <w:p w:rsidR="00DE14C9" w:rsidRDefault="00DE14C9" w:rsidP="00DE14C9">
      <w:pPr>
        <w:pStyle w:val="SntesisAnaltica"/>
      </w:pPr>
      <w:r>
        <w:t>Vulneración de los derechos a la tutela judicial sin indefensión y a acceder a los cargos representativos: STC 96/2007.</w:t>
      </w:r>
    </w:p>
    <w:p w:rsidR="00DE14C9" w:rsidRDefault="00DE14C9" w:rsidP="00DE14C9">
      <w:pPr>
        <w:pStyle w:val="SntesisAnaltica"/>
      </w:pPr>
    </w:p>
    <w:p w:rsidR="00DE14C9" w:rsidRDefault="00DE14C9" w:rsidP="00DE14C9">
      <w:pPr>
        <w:pStyle w:val="Extracto"/>
      </w:pPr>
      <w:r>
        <w:t>1.</w:t>
      </w:r>
      <w:r>
        <w:tab/>
        <w:t xml:space="preserve">Reitera la STC 96/2007. </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electoral núm. 4009-2007, promovido por el Partido Socialista Obrero Español (PSOE), representado por la Procuradora de los Tribunales doña Virginia Aragón Segura y asistido por el Letrado don Álvaro Sánchez Manzanares, contra la Sentencia de 4 de mayo de 2007 del Juzgado de lo Contencioso-Administrativo núm. 4 de A Coruña, que estima el recurso contencioso-electoral núm. 130-2007, interpuesto por el representante de las candidaturas presentadas por el Partido Popular (PP) en la provincia de A Coruña contra el Acuerdo de la Junta electoral de zona de Corcubión de proclamación de la candidatura del PSdG-PSOE en la circunscripción electoral de Cee. Ha intervenido el Ministerio Fiscal. Ha sido Ponente el Magistrado don Roberto García-Calvo y Montiel,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el Registro General de este Tribunal el 5 de mayo de 2007, la Procuradora de los Tribunales doña Virginia Aragón Segura, en nombre y repre</w:t>
      </w:r>
      <w:r>
        <w:lastRenderedPageBreak/>
        <w:t>sentación del Partido Socialista Obrero Español (PSOE), interpuso recurso de amparo contra la resolución judicial referida en el encabezamiento, por vulneración del derecho a la tutela judicial efectiva (art. 24.1 CE) y del derecho al sufragio pasivo (art. 23.2 CE).</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en que se fundamenta la demanda de amparo electoral, relevantes para la resolución del caso, son los que se expresan a continuación:   a) La formación política PSdG-PSOE presentó ante la Junta electoral de zona de Corcubión una candidatura en la circunscripción electoral de Cee para las elecciones municipales convocadas por Real Decreto 444/2007, de 2 de abril, candidatura que fue proclamada por Acuerdo de la referida Junta electoral de zona publicado en el “Boletín Oficial de la Provincia de A Coruña” de 1 de mayo de 2007. </w:t>
      </w:r>
    </w:p>
    <w:p w:rsidR="00DE14C9" w:rsidRDefault="00DE14C9" w:rsidP="00DE14C9">
      <w:pPr>
        <w:pStyle w:val="TextoNormal"/>
      </w:pPr>
      <w:r>
        <w:t xml:space="preserve">b) El 3 de mayo de 2007 el representante de las candidaturas presentadas por el Partido Popular (PP) en la provincia de A Coruña impugnó el Acuerdo de la Junta electoral de zona de Corcubión por el que se proclamó la candidatura presentada por el PSdG-PSOE en la circunscripción electoral de Cee, interesando que se anulase dicha candidatura por incumplir lo dispuesto en el art. 44 bis de la Ley Orgánica del régimen electoral general (LOREG), introducido por la Ley Orgánica 3/2007, de 22 de marzo, para la igualdad efectiva de mujeres y hombres, toda vez que el número de mujeres de dicha candidatura no alcanzan el mínimo porcentual del cuarenta por ciento que dicho precepto establece, siendo esta exigencia legal aplicable al municipio de Cee, por contar con más de 5.000 habitantes, de conformidad con lo dispuesto en la disposición transitoria séptima LOREG, añadida también por la Ley Orgánica 3/2007. </w:t>
      </w:r>
    </w:p>
    <w:p w:rsidR="00DE14C9" w:rsidRDefault="00DE14C9" w:rsidP="00DE14C9">
      <w:pPr>
        <w:pStyle w:val="TextoNormal"/>
      </w:pPr>
      <w:r>
        <w:t>c) El Juzgado de lo Contencioso-Administrativo núm. 4 de A Coruña estimó el recurso contencioso-electoral (núm. 130-2007) interpuesto por el representante del PP contra el referido Acuerdo de la Junta electoral de zona de Corcubión, procediendo a anular dicho Acuerdo y la candidatura proclamada, al apreciar que la misma incumple la exigencia de composición equilibrada entre hombres y mujeres contenida en el art. 44 bis LOREG, pues, valorada en su conjunto la candidadura presentada por el PSdG-PSOE para las elecciones locales en el municipio de Cee, resulta que presenta cinco mujeres sobre un total de trece candidatos, por lo que no alcanza el mínimo del 40 por 100 legalmente establecido, que exigiría un mínimo de seis mujeres en la lista.</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En la demanda de amparo electoral se alega, en primer lugar, la vulneración del derecho a la tutela judicial efectiva sin indefensión (art. 24.1 CE), por cuanto en el presente supuesto la Administración electoral no cumplió con su obligación de poner en conocimiento del PSdG-PSOE las posibles irregularidades cometidas en la candidatura presentada, al objeto de permitir su subsanación, por lo que no tuvo en cuenta que la legalidad aplicable ha de ser entendida en los términos más favorables a la plena efectividad del derecho fundamental de sufragio pasivo, de conformidad con la reiterada doctrina sentada al respecto por el Tribunal Constitucional (SSTC 73/1986, 59/1987, y 86/1987). </w:t>
      </w:r>
    </w:p>
    <w:p w:rsidR="00DE14C9" w:rsidRDefault="00DE14C9" w:rsidP="00DE14C9">
      <w:pPr>
        <w:pStyle w:val="TextoNormal"/>
      </w:pPr>
      <w:r>
        <w:t xml:space="preserve">Junto a ello, se denuncia que también la Sentencia impugnada en amparo vulneró ese mismo derecho a la tutela judicial efectiva sin indefensión (art. 24.1 CE) de la formación política PSdG-PSOE, toda vez que no se le notificó el recurso contencioso electoral interpuesto por el PP ex art. 49.1 LOREG, ni se le dio, en consecuencia, trámite de alegaciones, en el que poder ejercitar su derecho de defensa (SSTC 85/2003, y 68/2005), ni existió intervención del ministerio fiscal o del estado en defensa del interés general como preceptúa la Ley 29/1998. </w:t>
      </w:r>
    </w:p>
    <w:p w:rsidR="00DE14C9" w:rsidRDefault="00DE14C9" w:rsidP="00DE14C9">
      <w:pPr>
        <w:pStyle w:val="TextoNormal"/>
      </w:pPr>
      <w:r>
        <w:lastRenderedPageBreak/>
        <w:t xml:space="preserve">Alega asimismo la representación procesal del PSOE la vulneración de su derecho de sufragio pasivo, garantizado por el art. 23.2 CE, pues no caben interpretaciones desproporcionadas, como la que lleva a cabo la Sentencia impugnada, que conduzcan a la anulación de candidaturas electorales por defectos que debieron ser puestos de manifiesto por la Administración electoral para su oportuna subsanación. Con cita de las SSTC 113/1991, 24/1989, 84/2003, 85/2003, 26/2004 y 68/2005, sostiene la formación política recurrente en amparo que la Junta electoral de zona de Corcubión debió advertirle del defecto en la composición de la candidatura presentada a las elecciones locales en el municipio de Cee, a fin de que pudiera subsanar el defecto o irregularidad que finalmente ha declarado el Juzgado en el número de mujeres de la lista. El defecto cometido por la formación política solicitante de amparo en la presentación de la candidatura al municipio de Cee no puede tener, de conformidad con la referida jurisprudencia constitucional, la trascendencia fatal para el derecho fundamental a acceder en condiciones de igualdad a las funciones y cargos públicos que ha apreciado el órgano judicial, máxime si se tiene en cuenta —se afirma— que el PSdG-PSOE ha actuado con la máxima diligencia desde el momento en que tuvo conocimiento de esa potencial e hipotética irregularidad, pues, ante las noticias aparecidas en prensa sobre la impugnación de la candidatura, intentó subsanarla ante la Junta electoral, llegando incluso a ofrecer la renuncia de varios candidatos, si bien la Junta electoral no admitió la subsanación al entender que no era posible por haberse notificado ya la Sentencia que se impugna en amparo. </w:t>
      </w:r>
    </w:p>
    <w:p w:rsidR="00DE14C9" w:rsidRDefault="00DE14C9" w:rsidP="00DE14C9">
      <w:pPr>
        <w:pStyle w:val="TextoNormal"/>
      </w:pPr>
      <w:r>
        <w:t>Por todo ello el recurrente concluye interesando que se le otorgue el amparo solicitado, dejando sin efecto la Sentencia impugnada y ordenando que se otorgue plazo para subsanar el defecto o, subsidiariamente, se admita la renuncia de los candidatos ya ofrecida, dando cumplimiento así al art. 44 bis LOREG.</w:t>
      </w:r>
    </w:p>
    <w:p w:rsidR="00DE14C9" w:rsidRDefault="00DE14C9" w:rsidP="00DE14C9">
      <w:pPr>
        <w:pStyle w:val="TextoNormal"/>
      </w:pPr>
    </w:p>
    <w:p w:rsidR="00DE14C9" w:rsidRDefault="00DE14C9" w:rsidP="00DE14C9">
      <w:pPr>
        <w:pStyle w:val="TextoNormal"/>
      </w:pPr>
      <w:r w:rsidRPr="00DE14C9">
        <w:rPr>
          <w:rStyle w:val="NumeroAFNegritaCaracter"/>
        </w:rPr>
        <w:t>4</w:t>
      </w:r>
      <w:r>
        <w:t>. Mediante diligencia de ordenación de 5 de mayo de 2007, el Secretario de Justicia de la Sala Primera de este Tribunal acordó, en conformidad con lo dispuesto en el Acuerdo del Pleno de 20 de enero de 2000, recabar del Juzgado de lo Contencioso-Administrativo núm. 4 de A Coruña las actuaciones correspondientes, así como la acreditación de emplazamiento de las partes. Igualmente se acordó dar vista al Ministerio Fiscal para que en el plazo de un día natural formulase las alegaciones pertinentes.</w:t>
      </w:r>
    </w:p>
    <w:p w:rsidR="00DE14C9" w:rsidRDefault="00DE14C9" w:rsidP="00DE14C9">
      <w:pPr>
        <w:pStyle w:val="TextoNormal"/>
      </w:pPr>
    </w:p>
    <w:p w:rsidR="00DE14C9" w:rsidRDefault="00DE14C9" w:rsidP="00DE14C9">
      <w:pPr>
        <w:pStyle w:val="TextoNormal"/>
      </w:pPr>
      <w:r w:rsidRPr="00DE14C9">
        <w:rPr>
          <w:rStyle w:val="NumeroAFNegritaCaracter"/>
        </w:rPr>
        <w:t>5</w:t>
      </w:r>
      <w:r>
        <w:t>. El Ministerio Fiscal presentó sus alegaciones el 8 de mayo de 2007, en las que, tras recordar lo dispuesto en el art. 47.2 LOREG y la doctrina de este Tribunal en materia de subsanación de irregularidades en la presentación de candidaturas (cita las SSTC 59/1987, 24/1989, 95/1991, 113/1991 y 84/2003), concluye señalando que procedería otorgar el amparo solicitado por vulneración del art. 23.2 CE si se confirma, a la vista de las actuaciones, que el partido recurrente ha sido efectivamente privado del trámite de subsanación.</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xml:space="preserve">. Se impugna en el presente recurso de amparo electoral la Sentencia de 4 de mayo de 2007 del Juzgado de lo Contencioso-Administrativo núm. 4 de A Coruña, que estimó el recurso contencioso-electoral núm. 130-2007, interpuesto por el representante de las candidaturas presentadas por el PP en la provincia de A Coruña contra el Acuerdo de la Junta electoral de zona de Corcubión de proclamación de la candidatura del PSdG-PSOE en la </w:t>
      </w:r>
      <w:r>
        <w:lastRenderedPageBreak/>
        <w:t>circunscripción electoral de Cee, publicado en el “Boletín Oficial de la Provincia de A Coruña” el 1 de mayo de 2007, para las elecciones municipales convocadas por Real Decreto 444/2007, de 2 de abril. El partido solicitante de amparo se queja de que se han vulnerado sus derechos fundamentales a la tutela judicial efectiva sin indefensión (art. 24.1 CE) y acceder en condiciones de igualdad a los cargos públicos (art. 23.2 CE). El Ministerio Fiscal interesa asimismo el otorgamiento del amparo para el caso de confirmarse, a la vista de las actuaciones, que el partido recurrente ha sido efectivamente privado del trámite de subsanación de defectos en la candidatura.</w:t>
      </w:r>
    </w:p>
    <w:p w:rsidR="00DE14C9" w:rsidRDefault="00DE14C9" w:rsidP="00DE14C9">
      <w:pPr>
        <w:pStyle w:val="TextoNormal"/>
      </w:pPr>
    </w:p>
    <w:p w:rsidR="00DE14C9" w:rsidRDefault="00DE14C9" w:rsidP="00DE14C9">
      <w:pPr>
        <w:pStyle w:val="TextoNormal"/>
      </w:pPr>
      <w:r w:rsidRPr="00DE14C9">
        <w:rPr>
          <w:rStyle w:val="NumeroAFNegritaCaracter"/>
        </w:rPr>
        <w:t>2</w:t>
      </w:r>
      <w:r>
        <w:t>. Con el fin de precisar el objeto del presente recurso de amparo electoral y cómo debe ser abordado su examen, es pertinente poner de relieve que en el asunto que nos ocupa el partido político solicitante de amparo denuncia en primer término la lesión del derecho a la tutela judicial efectiva sin indefensión (art. 24.1 CE), lesión que imputa, por distintas razones, tanto a la Junta electoral de zona de Corcubión, como al Juzgado de lo Contencioso-Administrativo núm. 4 de A Coruña.</w:t>
      </w:r>
    </w:p>
    <w:p w:rsidR="00DE14C9" w:rsidRDefault="00DE14C9" w:rsidP="00DE14C9">
      <w:pPr>
        <w:pStyle w:val="TextoNormal"/>
      </w:pPr>
      <w:r>
        <w:t>Según quedó expuesto, la vulneración del derecho a la tutela judicial efectiva sin indefensión que el partido recurrente en amparo imputa a la Junta Electoral de Zona de Corcubión se fundamenta en que ésta no cumplió con su obligación de poner en conocimiento del PSdG-PSOE la posible irregularidad en que incurrió la candidatura presentada, en cuanto a lo dispuesto en el art. 44 bis de la Ley Orgánica del régimen electoral general (LOREG), al objeto de permitir la subsanación del defecto, obviando que, conforme a reiterada doctrina constitucional, la legalidad aplicable al caso ha de ser interpretada en los términos más favorables a la plena efectividad del derecho fundamental garantizado en el art. 23.2 CE. Falta de diligencia de la Administración electoral que, a la postre, dio lugar a la anulación en vía judicial de la candidatura proclamada.</w:t>
      </w:r>
    </w:p>
    <w:p w:rsidR="00DE14C9" w:rsidRDefault="00DE14C9" w:rsidP="00DE14C9">
      <w:pPr>
        <w:pStyle w:val="TextoNormal"/>
      </w:pPr>
      <w:r>
        <w:t>Pues bien, así planteada la queja, esta pretendida lesión del derecho fundamental a la tutela judicial efectiva sin indefensión que el PSOE imputa a la Administración electoral ha de ser reconducida a la queja relativa a la vulneración del derecho al sufragio pasivo, garantizado por el derecho fundamental a acceder a los cargos representativos (art. 23.2 CE), queja a la que luego nos referiremos, sin que pueda apreciarse en el presente caso una lesión autónoma del art. 24.1 CE, toda vez no estamos ante un supuesto en el que el acuerdo adoptado por una determinada Junta Electoral no pueda ser sometido a un control judicial independiente (por todas, SSTC 103/1996, de 11 de junio, FJ 4.c; 46/1997, de 11 de marzo, FJ 1; 48/1997, de 11 de marzo; 149/2000, de 1 de junio, FJ 3; y 36/2003, de 25 de febrero, FJ 5).</w:t>
      </w:r>
    </w:p>
    <w:p w:rsidR="00DE14C9" w:rsidRDefault="00DE14C9" w:rsidP="00DE14C9">
      <w:pPr>
        <w:pStyle w:val="TextoNormal"/>
      </w:pPr>
    </w:p>
    <w:p w:rsidR="00DE14C9" w:rsidRDefault="00DE14C9" w:rsidP="00DE14C9">
      <w:pPr>
        <w:pStyle w:val="TextoNormal"/>
      </w:pPr>
      <w:r w:rsidRPr="00DE14C9">
        <w:rPr>
          <w:rStyle w:val="NumeroAFNegritaCaracter"/>
        </w:rPr>
        <w:t>3</w:t>
      </w:r>
      <w:r>
        <w:t>. El partido solicitante de amparo dirige asimismo una queja por vulneración del derecho a la tutela judicial efectiva sin indefensión (art. 24.1 CE) contra la Sentencia del Juzgado de lo Contencioso-Administrativo núm. 4 de A Coruña que anula, por incumplimiento de lo dispuesto en el art. 44 bis LOREG, la proclamación de la candidatura presentada por PSdG-PSOE para las elecciones locales en el municipio coruñés de Cee. Se aduce que el órgano judicial no le notificó el recurso interpuesto por el PP conforme al art. 49.1 LOREG contra el Acuerdo de la Junta electoral de zona de Corcubión de proclamación de la candidatura del PSdG-PSOE en la circunscripción electoral de Cee, publicado en el “Boletín Oficial de la Provincia de A Coruña” el 1 de mayo de 2007, ni se le dio, en consecuencia, trámite de alegaciones, en el que esta formación política tuviera ocasión de defender los derechos que para la candidatura presentada (esto es, para las personas que en ella figuraban) se derivaron de aquel acto de proclamación por la Administración electoral.</w:t>
      </w:r>
    </w:p>
    <w:p w:rsidR="00DE14C9" w:rsidRDefault="00DE14C9" w:rsidP="00DE14C9">
      <w:pPr>
        <w:pStyle w:val="TextoNormal"/>
      </w:pPr>
      <w:r>
        <w:lastRenderedPageBreak/>
        <w:t>Asiste la razón en su queja a la formación política demandante de amparo. Como ya tuvo ocasión de señalar este Tribunal en su STC 85/1987, de 29 de mayo, FFJJ 1 y 2, el deber de los órganos judiciales, que surge del art. 24.1 CE, de emplazar personalmente en el proceso a quienes pudieran ostentar un legítimo interés en el mantenimiento del acto impugnado (siempre que tales personas, como es obvio, sean identificables a partir de los datos expuestos en la demanda o en el expediente administrativo), no deja de pesar, como es evidente, sobre los órganos judiciales llamados a resolver el especial proceso contencioso-electoral, pues, aunque tal proceso se singulariza por una tramitación concentrada y abreviada (apartados 2 y 3 del art. 49 LOREG), “ello no podría justificar nunca la omisión de trámite de tanta relevancia para su regularidad constitucional como es el del debido llamamiento al procedimiento de quienes, por la impugnación, ven directamente comprometido su derecho de sufragio pasivo”.</w:t>
      </w:r>
    </w:p>
    <w:p w:rsidR="00DE14C9" w:rsidRDefault="00DE14C9" w:rsidP="00DE14C9">
      <w:pPr>
        <w:pStyle w:val="TextoNormal"/>
      </w:pPr>
      <w:r>
        <w:t>Pues bien, la identidad de los afectados a raíz del recurso contencioso-electoral interpuesto por el PP contra el Acuerdo de la Junta electoral de zona de Corcubión de proclamación de la candidatura del PSdG-PSOE para las elecciones locales en Cee era manifiesta. Sin embargo, según se comprueba a la vista de las actuaciones judiciales, no se hizo emplazamiento personal alguno, ni consta que hubiera sido conocida la interposición y pendencia del recurso contencioso-electoral en tiempo hábil por el partido político ahora solicitante de amparo para personarse en el procedimiento. Por tanto, el Juzgado, al omitir el emplazamiento personal del representante del partido político directamente afectado por la impugnación de la proclamación de su candidatura en la circunscripción electoral de Cee, impidió la defensa de sus derechos en el referido proceso, vulnerando de este modo el derecho fundamental del partido solicitante de amparo a la tutela judicial efectiva sin indefensión.</w:t>
      </w:r>
    </w:p>
    <w:p w:rsidR="00DE14C9" w:rsidRDefault="00DE14C9" w:rsidP="00DE14C9">
      <w:pPr>
        <w:pStyle w:val="TextoNormal"/>
      </w:pPr>
      <w:r>
        <w:t>Por otra parte, conviene advertir que no cabe hablar de falta de agotamiento de todos los recursos utilizables dentro de la vía judicial [art. 44.1 a) LOTC] por no haberse acudido al incidente excepcional de nulidad de actuaciones regulado en el art.  241 de la Ley Orgánica del Poder Judicial (LOPJ), puesto que en los supuestos de amparo electoral no resulta exigible la utilización de este incidente “atendida la regulación especial del recurso de amparo en materia electoral, la finalidad de proporcionar rápidamente certeza al resultado electoral y el tenor literal de los arts. 49 y 114 LOREG” (STC 155/2003, de 21 de julio, FJ 5, y ATC 13/2000, de 11 de enero, FJ 3).</w:t>
      </w:r>
    </w:p>
    <w:p w:rsidR="00DE14C9" w:rsidRDefault="00DE14C9" w:rsidP="00DE14C9">
      <w:pPr>
        <w:pStyle w:val="TextoNormal"/>
      </w:pPr>
      <w:r>
        <w:t>Ahora bien, la estimación de esta queja por vulneración del art. 24.1 CE no puede ni debe, sin embargo, conducirnos a acordar no sólo la nulidad de la Sentencia impugnada, sino también la retroacción de actuaciones al momento procesal oportuno para que sea citada al proceso la representación del partido político solicitante de amparo, y el Juzgado pueda dictar nueva sentencia sin ocasionar indefensión. En efecto, esta solución no la permite la perentoriedad de los plazos del proceso electoral (STC 71/1995, de 11 de mayo, FJ 2), a lo que cabe añadir que, además, este Tribunal tiene el suficiente conocimiento de los hechos para enjuiciar, aquí y ahora, las cuestiones planteadas y, en definitiva, su objeto fundamental: si la anulación judicial de la proclamación de la candidatura presentada en la circunscripción electoral de Cee por el PSdG-PSOE vulnera el derecho de sufragio pasivo de esta formación política, cuestión que seguidamente pasamos a resolver.</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Como ha quedado expuesto, el partido político solicitante de amparo denuncia como queja principal la vulneración de su derecho de sufragio pasivo, garantizado por el art. 23.2 CE, pues entiende que no resultan constitucionalmente admisibles interpretaciones desproporcionadas de la legislación electoral, como la que ha realizado la Sentencia impugnada en </w:t>
      </w:r>
      <w:r>
        <w:lastRenderedPageBreak/>
        <w:t>amparo, que conduzcan a la anulación de candidaturas electorales por defectos subsanables que no fueron puestos de manifiesto en ningún momento por la Administración electoral.</w:t>
      </w:r>
    </w:p>
    <w:p w:rsidR="00DE14C9" w:rsidRDefault="00DE14C9" w:rsidP="00DE14C9">
      <w:pPr>
        <w:pStyle w:val="TextoNormal"/>
      </w:pPr>
      <w:r>
        <w:t>Con cita de doctrina constitucional sobre la subsanación de irregularidades, defectos y errores en las candidaturas presentadas y sobre el deber de las Juntas Electorales competentes de advertir y permitir dicha subsanación, sostiene el partido recurrente en amparo que la Junta electoral de zona de Corcubión debió advertirle del defecto en la composición, a efectos del art. 44 bis LOREG, de la candidatura presentada a las elecciones locales en el municipio de Cee, a fin de que pudiera subsanar el defecto que finalmente ha apreciado el Juzgado en el número de mujeres de la lista, con el resultado de anular la candidatura. Al no hacerlo así, procediendo la Administración electoral a proclamar la candidatura presentada sin formular reparo alguno, no cabe que, con ocasión de la impugnación por otro partido ex art. 49 LOREG de la candidatura proclamada, el órgano judicial acuerde la nulidad de la candidatura por incumplimiento de lo dispuesto en el citado art. 44 bis LOREG, sin dar oportunidad a la formación política de corregir el defecto padecido, presentando una lista ajustada a la composición equilibrada de mujeres y hombres establecida por dicho precepto, añadido por la reciente Ley Orgánica 3/2007, de 22 de marzo, para la igualdad efectiva de mujeres y hombres.</w:t>
      </w:r>
    </w:p>
    <w:p w:rsidR="00DE14C9" w:rsidRDefault="00DE14C9" w:rsidP="00DE14C9">
      <w:pPr>
        <w:pStyle w:val="TextoNormal"/>
      </w:pPr>
      <w:r>
        <w:t>El partido solicitante de amparo recuerda, además, que la propia Administración electoral ha reconocido expresamente, y de manera general, el carácter subsanable de los defectos que puedan presentar las candidaturas presentadas por las formaciones políticas en cuanto a la exigencia establecida por el citado art. 44 bis LOREG, conforme al cual (apartado 1, párrafo primero) las candidaturas “deberán tener una composición equilibrada de mujeres y hombres, de forma que en el conjunto de la lista los candidatos de cada uno de los sexos supongan como mínimo el cuarenta por ciento”, proporción que deberá mantenerse también en cada tramo de cinco puestos, de suerte que si el número de candidatos o el último tramo de la lista no alcanzase los cinco puestos, la proporción de mujeres y hombres será lo más cercano posible al equilibrio numérico, manteniendo la proporción respecto del conjunto de la lista (apartados 1 y 2 del art. 44 bis LOREG), reglas éstas igualmente aplicables a las listas de suplentes (apartado 3 del art. 44 bis LOREG).</w:t>
      </w:r>
    </w:p>
    <w:p w:rsidR="00DE14C9" w:rsidRDefault="00DE14C9" w:rsidP="00DE14C9">
      <w:pPr>
        <w:pStyle w:val="TextoNormal"/>
      </w:pPr>
      <w:r>
        <w:t>Y así, en efecto, el punto primero de la instrucción 8/2007, de 19 de abril, de la Junta Electoral Central, sobre interpretación del trámite de subsanación de irregularidades previsto en el art. 48.1 LOREG por incumplimiento de los requisitos de los arts.  44 bis y 187.2 LOREG, en la redacción dada por la Ley Orgánica 3/2007, de 22 de marzo, para la igualdad efectiva de mujeres y hombres, establece que “Durante el plazo de subsanación de las irregularidades advertidas por las Juntas Electorales competentes en las candidaturas presentadas, cuando la causa sea el incumplimiento de lo dispuesto en el artículo 44 bis de la LOREG o en la legislación autonómica aplicable sobre candidaturas paritarias, podrá modificarse el orden de los candidatos, o incluir o excluir algún candidato, siempre que con ello se trate estrictamente de subsanar la irregularidad apreciada, de conformidad con lo dispuesto en el último inciso del artículo 48.1 de la LOREG”.</w:t>
      </w:r>
    </w:p>
    <w:p w:rsidR="00DE14C9" w:rsidRDefault="00DE14C9" w:rsidP="00DE14C9">
      <w:pPr>
        <w:pStyle w:val="TextoNormal"/>
      </w:pPr>
      <w:r>
        <w:t xml:space="preserve">Sin embargo, del examen de actuaciones resulta que la Junta electoral de zona de Corcubión procedió a proclamar la candidatura presentada por el PSdG-PSOE en la circunscripción electoral de Cee, para las elecciones municipales convocadas por Real Decreto 444/2007, de 2 de abril, sin advertir que dicha candidatura incumplía, como se razona en la Sentencia impugnada, la exigencia de composición equilibrada entre hombres y mujeres contenida en el art. 44 bis LOREG (exigencia aplicable al municipio de Cee, conforme a la disposición transitoria séptima LOREG, añadida también por la Ley Orgánica 3/2007, por contar con un número de residentes superior a los 5.000 habitantes), pues presenta cinco </w:t>
      </w:r>
      <w:r>
        <w:lastRenderedPageBreak/>
        <w:t>mujeres sobre un total de trece candidatos, por lo que no alcanza el mínimo del cuarenta por ciento establecido por dicho precepto, que exigiría en el presente caso al menos seis candidatas en la lista.</w:t>
      </w:r>
    </w:p>
    <w:p w:rsidR="00DE14C9" w:rsidRDefault="00DE14C9" w:rsidP="00DE14C9">
      <w:pPr>
        <w:pStyle w:val="TextoNormal"/>
      </w:pPr>
      <w:r>
        <w:t>Y se constata igualmente, lo que resulta determinante para el otorgamiento del amparo por vulneración del derecho al sufragio pasivo garantizado por el art. 23.2 CE, que la Junta electoral de zona de Corcubión, al no advertir defecto alguno en la candidatura presentada por el PSdG-PSOE en la circunscripción electoral de Cee, no dio oportunidad a esta formación política de subsanar el defecto en la composición equilibrada entre hombres y mujeres de la candidatura que exige el art. 44 bis LOREG.</w:t>
      </w:r>
    </w:p>
    <w:p w:rsidR="00DE14C9" w:rsidRDefault="00DE14C9" w:rsidP="00DE14C9">
      <w:pPr>
        <w:pStyle w:val="TextoNormal"/>
      </w:pPr>
    </w:p>
    <w:p w:rsidR="00DE14C9" w:rsidRDefault="00DE14C9" w:rsidP="00DE14C9">
      <w:pPr>
        <w:pStyle w:val="TextoNormal"/>
      </w:pPr>
      <w:r w:rsidRPr="00DE14C9">
        <w:rPr>
          <w:rStyle w:val="NumeroAFNegritaCaracter"/>
        </w:rPr>
        <w:t>5</w:t>
      </w:r>
      <w:r>
        <w:t>. Nuestra doctrina en materia de subsanación de irregularidades sufridas en la presentación de candidaturas ante la Administración electoral puede resumirse en la afirmación de que, por principio, los errores e irregularidades cometidos en la presentación de éstas son subsanables y que, en consecuencia, las Juntas electorales han de ofrecer la oportunidad de que las candidaturas en las que se han detectado lo hagan. Busca con ello la Ley Orgánica del régimen electoral general,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w:t>
      </w:r>
    </w:p>
    <w:p w:rsidR="00DE14C9" w:rsidRDefault="00DE14C9" w:rsidP="00DE14C9">
      <w:pPr>
        <w:pStyle w:val="TextoNormal"/>
      </w:pPr>
      <w:r>
        <w:t>Deriva de lo expuesto el que si por la Administración electoral se incumple este deber legal en orden al examen de los escritos de presentación de candidaturas, no dándose así ocasión a los interesados para la reparación de unos defectos que después llevan al rechazo de aquéllas, se habrá ignorado, con ello, una garantía dispuesta por la Ley Orgánica del régimen electoral general para la efectividad, como queda dicho, del derecho de sufragio pasivo, que resultará así afectado negativamente en la medida en que se desconozca por una Junta Electoral, o se atienda sólo imperfectamente la exigencia legal de la que aquí se trata. En modo alguno empaña esta conclusión, ni la consideración general que se acaba de hacer sobre la afectación del derecho reconocido en el art. 23.2 CE, el hecho de que, en estos casos, el resultado finalmente gravoso para candidaturas y candidatos —la denegación de su proclamación como tales— se llegue a producir por no haberse reparado un defecto fruto de la ignorancia o de la negligencia de quienes presentaron la candidatura sin cumplir, en todos sus extremos, las prevenciones legales, sin perjuicio, como es obvio, del deber de diligencia y de colaboración con la Administración electoral que pesa sobre los candidatos y las formaciones políticas que les avalan (SSTC 67/1987, de 21 de mayo, FJ 3; 73/1995, de 12 de mayo, FJ 3; y 80/2002, de 8 de abril, FJ 7).</w:t>
      </w:r>
    </w:p>
    <w:p w:rsidR="00DE14C9" w:rsidRDefault="00DE14C9" w:rsidP="00DE14C9">
      <w:pPr>
        <w:pStyle w:val="TextoNormal"/>
      </w:pPr>
      <w:r>
        <w:t xml:space="preserve">En efecto, en este específico procedimiento no ha querido la Ley Orgánica del régimen electoral general dejar la suerte de las candidaturas a merced de la sola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Orgánica del régimen electoral </w:t>
      </w:r>
      <w:r>
        <w:lastRenderedPageBreak/>
        <w:t>general que tal irregularidad depare aquella sanción sin que antes se haga posible, mediante su identificación y advertencia de oficio, la oportuna subsanación, siempre, claro ésta, que ello sea materialmente posible (SSTC 73/1986, de 3 de junio, FJ 1; 59/1987, de 19 de mayo, FJ 3; 86/1987, de 1 de junio, FJ 4; 24/1989, de 2 de febrero, FJ 95/1991, de 7 de mayo, FJ 2; 113/1991, de 20 de mayo, FJ 3; 175/1991, de 16 de septiembre, FJ 2; y 84/2003, de 8 de mayo, FJ 3).</w:t>
      </w:r>
    </w:p>
    <w:p w:rsidR="00DE14C9" w:rsidRDefault="00DE14C9" w:rsidP="00DE14C9">
      <w:pPr>
        <w:pStyle w:val="TextoNormal"/>
      </w:pPr>
    </w:p>
    <w:p w:rsidR="00DE14C9" w:rsidRDefault="00DE14C9" w:rsidP="00DE14C9">
      <w:pPr>
        <w:pStyle w:val="TextoNormal"/>
      </w:pPr>
      <w:r w:rsidRPr="00DE14C9">
        <w:rPr>
          <w:rStyle w:val="NumeroAFNegritaCaracter"/>
        </w:rPr>
        <w:t>6</w:t>
      </w:r>
      <w:r>
        <w:t>. Es cierto, como señala la Sentencia impugnada, que la candidatura presentada por el PSdG-PSOE en la circunscripción electoral de Cee contenía una candidata menos del número mínimo que resulta exigible para dar cumplimiento a la exigencia de composición equilibrada entre hombres y mujeres que exige el art. 44 bis LOREG. Pero la irregularidad cometida por el partido solicitante de amparo en la presentación de dicha candidatura no puede tener la trascendencia fatal para el derecho fundamental a acceder en condiciones de igualdad a las funciones y cargos públicos (art. 23.2 CE) que ha apreciado el órgano judicial, pues se trata de una irregularidad subsanable, conforme a la doctrina constitucional expuesta, y no advertida por la Junta electoral de zona de Corcubión, lo que dio lugar a que no se diese ocasión a la representación del PSdG-PSOE para su subsanación, conforme a lo dispuesto en el art. 47.2 LOREG.</w:t>
      </w:r>
    </w:p>
    <w:p w:rsidR="00DE14C9" w:rsidRDefault="00DE14C9" w:rsidP="00DE14C9">
      <w:pPr>
        <w:pStyle w:val="TextoNormal"/>
      </w:pPr>
      <w:r>
        <w:t>En definitiva, la interpretación de la legalidad aplicable del modo más favorable al derecho fundamental garantizado por el art. 23.2 CE, exigía que el órgano judicial, una vez apreciado el incumplimiento de lo dispuesto en el art. 44 bis LOREG, no se hubiese limitado a anular el Acuerdo de la Junta electoral de zona de Corcubión de proclamación de la candidatura del PSdG-PSOE en la circunscripción electoral de Cee, sino que, en aras de preservar el derecho de sufragio pasivo, era preciso que modulase los efectos de dicha declaración de nulidad, requiriendo a la referida Junta Electoral para que otorgase a dicha candidatura el plazo de subsanación previsto en el art. 47.2 LOREG, a fin de adecuar la misma a la proporción de candidatos de ambos sexos exigida por el art. 44 bis LOREG.</w:t>
      </w:r>
    </w:p>
    <w:p w:rsidR="00DE14C9" w:rsidRDefault="00DE14C9" w:rsidP="00DE14C9">
      <w:pPr>
        <w:pStyle w:val="TextoNormal"/>
      </w:pPr>
      <w:r>
        <w:t>Al no haberlo hecho así, el órgano judicial ha ocasionado al partido recurrente en amparo la denunciada vulneración de su derecho al sufragio pasivo, lo que conduce al otorgamiento del amparo solicitado, precisamente para que la Junta electoral de zona de Corcubión otorgue el trámite de subsanación omitido, procediendo, en caso de que se subsanase el defecto en la composición equilibrada entre hombres y mujeres que exige el art. 44 bis LOREG, a proclamar la candidatura, o a la no proclamación de la misma, en caso contrario.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el Partido Socialista Obrero Español (PSOE) y, su virtud:</w:t>
      </w:r>
    </w:p>
    <w:p w:rsidR="00DE14C9" w:rsidRDefault="00DE14C9" w:rsidP="00DE14C9">
      <w:pPr>
        <w:pStyle w:val="TextoNormal"/>
      </w:pPr>
      <w:r>
        <w:t>1º Reconocer sus derechos a acceder en condiciones de igualdad a las funciones y cargos públicos (art. 23.2 CE) y a la tutela judicial efectiva sin indefensión (art. 24.1 CE).</w:t>
      </w:r>
    </w:p>
    <w:p w:rsidR="00DE14C9" w:rsidRDefault="00DE14C9" w:rsidP="00DE14C9">
      <w:pPr>
        <w:pStyle w:val="TextoNormal"/>
      </w:pPr>
      <w:r>
        <w:lastRenderedPageBreak/>
        <w:t>2º Declarar la nulidad de la Sentencia de 4 de mayo de 2007 del Juzgado de lo Contencioso-administrativo núm. 4 de A Coruña, dictada en el recurso contencioso-electoral núm. 130-2007</w:t>
      </w:r>
    </w:p>
    <w:p w:rsidR="00DE14C9" w:rsidRDefault="00DE14C9" w:rsidP="00DE14C9">
      <w:pPr>
        <w:pStyle w:val="TextoNormal"/>
      </w:pPr>
      <w:r>
        <w:t>3º Retrotraer las actuaciones al momento anterior al Acuerdo de la Junta Electoral de Zona de Corcubión de proclamación de la candidatura del PSdG-PSOE en la circunscripción electoral de Cee, para que por dicha Junta Electoral se proceda a otorgar trámite de subsanación, en los términos expresados en el fundamento jurídico 6 de esta Sentencia.</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ocho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12" w:name="SENTENCIA_2007_99"/>
      <w:r>
        <w:lastRenderedPageBreak/>
        <w:t>SENTENCIA 99/2007, de 9 de mayo de 2007</w:t>
      </w:r>
    </w:p>
    <w:bookmarkEnd w:id="12"/>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137, de 8 de junio de 2007)</w:t>
      </w:r>
    </w:p>
    <w:p w:rsidR="00DE14C9" w:rsidRDefault="00DE14C9" w:rsidP="00DE14C9">
      <w:pPr>
        <w:pStyle w:val="TtuloBOE"/>
      </w:pPr>
    </w:p>
    <w:p w:rsidR="00DE14C9" w:rsidRDefault="00DE14C9" w:rsidP="00DE14C9">
      <w:pPr>
        <w:pStyle w:val="SntesisDescriptiva"/>
      </w:pPr>
      <w:r>
        <w:t>ECLI:ES:TC:2007:99</w:t>
      </w:r>
    </w:p>
    <w:p w:rsidR="00DE14C9" w:rsidRDefault="00DE14C9" w:rsidP="00DE14C9">
      <w:pPr>
        <w:pStyle w:val="SntesisDescriptiva"/>
      </w:pPr>
    </w:p>
    <w:p w:rsidR="00DE14C9" w:rsidRDefault="00DE14C9" w:rsidP="00DE14C9">
      <w:pPr>
        <w:pStyle w:val="SntesisDescriptiva"/>
      </w:pPr>
      <w:r>
        <w:t>Recurso de amparo electoral 4007-2007. Promovido por el Partido Socialista Obrero Español (PSOE) frente a la Sentencia del Juzgado de lo Contencioso-Administrativo núm. 3 de A Coruña que anuló la proclamación de las candidaturas del PSdG-PSOE en las elecciones locales por la circunscripción de Abegondo.</w:t>
      </w:r>
    </w:p>
    <w:p w:rsidR="00DE14C9" w:rsidRDefault="00DE14C9" w:rsidP="00DE14C9">
      <w:pPr>
        <w:pStyle w:val="SntesisDescriptiva"/>
      </w:pPr>
    </w:p>
    <w:p w:rsidR="00DE14C9" w:rsidRDefault="00DE14C9" w:rsidP="00DE14C9">
      <w:pPr>
        <w:pStyle w:val="SntesisAnaltica"/>
      </w:pPr>
      <w:r>
        <w:t>Vulneración de los derechos a la tutela judicial sin indefensión y a acceder a los cargos representativos: STC 96/2007.</w:t>
      </w:r>
    </w:p>
    <w:p w:rsidR="00DE14C9" w:rsidRDefault="00DE14C9" w:rsidP="00DE14C9">
      <w:pPr>
        <w:pStyle w:val="SntesisAnaltica"/>
      </w:pPr>
    </w:p>
    <w:p w:rsidR="00DE14C9" w:rsidRDefault="00DE14C9" w:rsidP="00DE14C9">
      <w:pPr>
        <w:pStyle w:val="Extracto"/>
      </w:pPr>
      <w:r>
        <w:t>1.</w:t>
      </w:r>
      <w:r>
        <w:tab/>
        <w:t>Reitera la doctrina de la STC 96/2007 [FFJJ 2 a 6].</w:t>
      </w:r>
    </w:p>
    <w:p w:rsidR="00DE14C9" w:rsidRDefault="00DE14C9" w:rsidP="00DE14C9">
      <w:pPr>
        <w:pStyle w:val="Extracto"/>
      </w:pPr>
    </w:p>
    <w:p w:rsidR="00DE14C9" w:rsidRDefault="00DE14C9" w:rsidP="00DE14C9">
      <w:pPr>
        <w:pStyle w:val="Extracto"/>
      </w:pPr>
      <w:r>
        <w:t>2.</w:t>
      </w:r>
      <w:r>
        <w:tab/>
        <w:t>Como este Tribunal tiene reiteradamente señalado, no cabe que quienes se personen en un proceso constitucional de amparo, una vez admitido a trámite el recurso, puedan convertirse en codemandantes y pedir la reparación o la preservación de sus propios derechos fundamentales [FJ 1].</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 xml:space="preserve">En el recurso de amparo electoral núm. 4007-2007, promovido por el Partido Socialista Obrero Español (PSOE), representado por la Procuradora de los Tribunales doña Virginia Aragón Segura y asistido por el Letrado don Álvaro Sánchez Manzanares, contra la Sentencia de 4 de mayo de 2007 del Juzgado de lo Contencioso-Administrativo núm. 3 de A Coruña, que estima el recurso contencioso-electoral núm. 129-2007, interpuesto por el representante de las candidaturas presentadas por el Partido Popular (PP) en la provincia de A Coruña contra el Acuerdo de la Junta electoral de zona de Betanzos de proclamación de las candidaturas del PSdG-PSOE, de la Agrupación Progresista de Abegondo (ApdeA) y del Partido Galeguista en la circunscripción electoral de Abegondo. Ha intervenido el Ministerio Fiscal y el Partido Galeguista, representado por la Procuradora de los Tribunales doña María Concepción Montero Rubiato y asistido por la Letrada doña Lucía López Vázquez. </w:t>
      </w:r>
      <w:r>
        <w:lastRenderedPageBreak/>
        <w:t>Ha sido Ponente el Magistrado don Manuel Aragón Reyes,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el Registro General de este Tribunal el 7 de mayo de 2007, la Procuradora de los Tribunales doña Virginia Aragón Segura, en nombre y representación del Partido Socialista Obrero Español (PSOE), interpuso recurso de amparo contra la resolución judicial referida en el encabezamiento, por vulneración del derecho a la tutela judicial efectiva (art. 24.1 CE) y del derecho al sufragio pasivo (art. 23.2 CE).</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en que se fundamenta la demanda de amparo electoral, relevantes para la resolución del caso, son los que se expresan a continuación:   a) La formación política PSdG-PSOE presentó ante la Junta electoral de zona de Betanzos una candidatura en la circunscripción electoral de Abegondo para las elecciones municipales convocadas por Real Decreto 444/2007, de 2 de abril, candidatura que fue proclamada por Acuerdo de la referida Junta electoral de zona publicado en el “Boletín Oficial de la Provincia de A Coruña” de 1 de mayo de 2007. </w:t>
      </w:r>
    </w:p>
    <w:p w:rsidR="00DE14C9" w:rsidRDefault="00DE14C9" w:rsidP="00DE14C9">
      <w:pPr>
        <w:pStyle w:val="TextoNormal"/>
      </w:pPr>
      <w:r>
        <w:t xml:space="preserve">b) El 3 de mayo de 2007 el representante de las candidaturas presentadas por el Partido Popular (PP) en la provincia de A Coruña impugnó el Acuerdo de la Junta Electoral de Zona de Betanzos por el que se proclamaron las candidaturas presentadas por el PSdG-PSOE, la Agrupación Progresista de Abegondo (ApdeA) y el Partido Galeguista en la circunscripción electoral de Abegondo, interesando que se anulasen dichas candidaturas por incumplir lo dispuesto en el art. 44 bis de la Ley Orgánica del régimen electoral general (LOREG), introducido por la Ley Orgánica 3/2007, de 22 de marzo, para la igualdad efectiva de mujeres y hombres, toda vez que el número de mujeres de dicha candidatura no alcanzan el mínimo porcentual del 40 por 100 que dicho precepto establece, siendo esta exigencia legal aplicable al municipio de Abegondo, por contar con más de 5.000 habitantes, de conformidad con lo dispuesto en la disposición transitoria séptima LOREG, añadida también por la Ley Orgánica 3/2007. </w:t>
      </w:r>
    </w:p>
    <w:p w:rsidR="00DE14C9" w:rsidRDefault="00DE14C9" w:rsidP="00DE14C9">
      <w:pPr>
        <w:pStyle w:val="TextoNormal"/>
      </w:pPr>
      <w:r>
        <w:t>c) El Juzgado de lo Contencioso-Administrativo núm. 3 de A Coruña estimó el recurso contencioso-electoral (núm. 129-2007) interpuesto por el representante del PP contra el referido Acuerdo de la Junta electoral de zona de Betanzos, procediendo a anular dicho Acuerdo y las candidaturas proclamadas, al apreciar que las mismas incumplen la exigencia de composición equilibrada entre hombres y mujeres contenida en el art. 44 bis LOREG, pues, valorada en su conjunto la candidatura presentada por el PSdG-PSOE para las elecciones locales en el municipio de Abegondo, resulta que presenta cinco mujeres sobre un total de trece candidatos, por lo que no alcanza el mínimo del cuarenta por ciento legalmente establecido, que exigiría un mínimo de seis mujeres en la lista. Por la misma razón se anulan las candidaturas presentadas por la Agrupación Progresista de Abegondo (ApdeA) y del Partido Galeguista en la circunscripción electoral de Abegondo, extremo éste de la Sentencia impugnada que no es objeto del presente recurso de amparo.</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En la demanda de amparo electoral se alega, en primer lugar, la vulneración del derecho a la tutela judicial efectiva sin indefensión (art. 24.1 CE), por cuanto en el presente supuesto la Administración electoral no cumplió con su obligación de poner en conocimiento del PSdG-PSOE las posibles irregularidades cometidas en la candidatura presentada, </w:t>
      </w:r>
      <w:r>
        <w:lastRenderedPageBreak/>
        <w:t xml:space="preserve">al objeto de permitir su subsanación, por lo que no tuvo en cuenta que la legalidad aplicable ha de ser entendida en los términos más favorables a la plena efectividad del derecho fundamental de sufragio pasivo, de conformidad con la reiterada doctrina sentada al respecto por el Tribunal Constitucional (SSTC 73/1986, 59/1987, y 86/1987). A su vez, se denuncia que también la Sentencia impugnada en amparo vulneró el derecho a la tutela judicial efectiva sin indefensión (art. 24.1 CE) de la formación política PSdG-PSOE, toda vez que no se le notificó el recurso contencioso electoral interpuesto por el PP ex art. 49.1 LOREG, ni se le dio, en consecuencia, trámite de alegaciones, en el que poder ejercitar su derecho de defensa (SSTC 85/2003, y 68/2005). </w:t>
      </w:r>
    </w:p>
    <w:p w:rsidR="00DE14C9" w:rsidRDefault="00DE14C9" w:rsidP="00DE14C9">
      <w:pPr>
        <w:pStyle w:val="TextoNormal"/>
      </w:pPr>
      <w:r>
        <w:t xml:space="preserve">Alega asimismo la representación procesal del PSOE la vulneración de su derecho de sufragio pasivo, garantizado por el art. 23.2 CE, pues no caben interpretaciones desproporcionadas, como la que lleva a cabo la Sentencia impugnada, que conduzcan a la anulación de candidaturas electorales por defectos que debieron ser puestos de manifiesto por la Administración electoral para su oportuna subsanación. Con cita de las SSTC 113/1991, 24/1989, 84/2003, 85/2003, y 26/2004, sostiene la formación política recurrente en amparo que la Junta electoral de zona de Betanzos debió advertirle del defecto en la composición de la candidatura presentada a las elecciones locales en el municipio de Abegondo, a fin de que pudiera subsanar el defecto o irregularidad que finalmente ha declarado el Juzgado en el número de mujeres de la lista. El defecto cometido por la formación política solicitante de amparo en la presentación de la candidatura al municipio de Abegondo no puede tener, de conformidad con la referida jurisprudencia constitucional, la trascendencia fatal para el derecho fundamental a acceder en condiciones de igualdad a las funciones y cargos públicos que ha apreciado el órgano judicial, máxime si se tiene en cuenta —se afirma— que el PSdG-PSOE ha actuado con la máxima diligencia desde el momento en que tuvo conocimiento de esa potencial e hipotética irregularidad, pues, ante las noticias aparecidas en prensa sobre la impugnación de la candidatura, intentó subsanarla ante la Junta electoral, llegando incluso a ofrecer la renuncia de varios candidatos, si bien la Junta Electoral no admitió la subsanación al entender que no era posible por haberse notificado ya la Sentencia que se impugna en amparo. </w:t>
      </w:r>
    </w:p>
    <w:p w:rsidR="00DE14C9" w:rsidRDefault="00DE14C9" w:rsidP="00DE14C9">
      <w:pPr>
        <w:pStyle w:val="TextoNormal"/>
      </w:pPr>
      <w:r>
        <w:t>Por todo ello el partido recurrente concluye interesando que se le otorgue el amparo solicitado, dejando sin efecto la Sentencia impugnada y ordenando que se otorgue plazo para subsanar el defecto o, subsidiariamente, se admita la renuncia de los candidatos ya ofrecida, dando cumplimiento así al art. 44 bis LOREG.</w:t>
      </w:r>
    </w:p>
    <w:p w:rsidR="00DE14C9" w:rsidRDefault="00DE14C9" w:rsidP="00DE14C9">
      <w:pPr>
        <w:pStyle w:val="TextoNormal"/>
      </w:pPr>
    </w:p>
    <w:p w:rsidR="00DE14C9" w:rsidRDefault="00DE14C9" w:rsidP="00DE14C9">
      <w:pPr>
        <w:pStyle w:val="TextoNormal"/>
      </w:pPr>
      <w:r w:rsidRPr="00DE14C9">
        <w:rPr>
          <w:rStyle w:val="NumeroAFNegritaCaracter"/>
        </w:rPr>
        <w:t>4</w:t>
      </w:r>
      <w:r>
        <w:t>. Mediante diligencia de ordenación de 7 de mayo de 2007, el Secretario de Justicia de la Sala Primera de este Tribunal acordó, en conformidad con lo dispuesto en el Acuerdo del Pleno de 20 de enero de 2000, recabar del Juzgado de lo Contencioso-Administrativo núm. 3 de A Coruña las actuaciones correspondientes, así como la acreditación de emplazamiento de las partes, que fueron remitidas a este Tribunal. Igualmente se acordó dar vista al Ministerio Fiscal para que en el plazo de un día natural formulase las alegaciones pertinentes.</w:t>
      </w:r>
    </w:p>
    <w:p w:rsidR="00DE14C9" w:rsidRDefault="00DE14C9" w:rsidP="00DE14C9">
      <w:pPr>
        <w:pStyle w:val="TextoNormal"/>
      </w:pPr>
    </w:p>
    <w:p w:rsidR="00DE14C9" w:rsidRDefault="00DE14C9" w:rsidP="00DE14C9">
      <w:pPr>
        <w:pStyle w:val="TextoNormal"/>
      </w:pPr>
      <w:r w:rsidRPr="00DE14C9">
        <w:rPr>
          <w:rStyle w:val="NumeroAFNegritaCaracter"/>
        </w:rPr>
        <w:t>5</w:t>
      </w:r>
      <w:r>
        <w:t>. El Ministerio Fiscal presentó sus alegaciones el 8 de mayo de 2007, en las que, tras recordar lo dispuesto en el art. 47.2 LOREG y la doctrina de este Tribunal en materia de subsanación de irregularidades en la presentación de candidaturas (cita las SSTC 24/1989, 95/1991, 113/1991 y 84/2003), concluye señalando que procedería otorgar el amparo solicitado por vulneración del art. 23.2 CE si se confirma, a la vista de las actuaciones, que el partido recurrente ha sido efectivamente privado del trámite de subsanación.</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6</w:t>
      </w:r>
      <w:r>
        <w:t>. Con fecha 9 de mayo de 2007 se personó en el presente proceso constitucional la Procuradora de los Tribunales doña María Concepción Montero Rubiato, en nombre y representación del Partido Galeguista, en el que manifiesta su adhesión al recurso de amparo electoral interpuesto por el PSOE contra la Sentencia impugnada y alega la vulneración de sus derechos a la tutela judicial efectiva sin indefensión (art. 24.1 CE) y al sufragio pasivo (art. 23.2 CE), por las mismas razones esgrimidas por el partido demandante de amparo. Por todo ello, la representación del Partido Galeguista concluye solicitando de este Tribunal que anule la Sentencia de 4 de mayo de 2007 del Juzgado de lo Contencioso-Administrativo núm. 3 de A Coruña, dictada en el recurso contencioso-electoral núm. 129-2007, y ordene que se otorgue plazo al Partido Galeguista para subsanar el defecto apreciado por el Juzgado en la candidatura en cuanto al cumplimiento de la exigencia establecida en el art. 44 bis LOREG.</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Se impugna en el presente recurso de amparo electoral la Sentencia de 4 de mayo de 2007 del Juzgado de lo Contencioso-Administrativo núm. 3 de A Coruña, que estimó el recurso contencioso-electoral núm. 129-2007, interpuesto por el representante de las candidaturas presentadas por el PP en la provincia de A Coruña contra el Acuerdo de la Junta Electoral de Zona de Betanzos de proclamación de la candidatura del PSdG-PSOE en la circunscripción electoral de Abegondo, publicado en el “Boletín Oficial de la Provincia de A Coruña” el 1 de mayo de 2007, para las elecciones municipales convocadas por Real Decreto 444/2007, de 2 de abril. El partido solicitante de amparo se queja de que se han vulnerado sus derechos fundamentales a la tutela judicial efectiva sin indefensión (art. 24.1 CE) y acceder en condiciones de igualdad a los cargos públicos (art. 23.2 CE). El Ministerio Fiscal interesa asimismo el otorgamiento del amparo para el caso de confirmarse, a la vista de las actuaciones, que el partido recurrente ha sido efectivamente privado del trámite de subsanación de defectos en la candidatura.</w:t>
      </w:r>
    </w:p>
    <w:p w:rsidR="00DE14C9" w:rsidRDefault="00DE14C9" w:rsidP="00DE14C9">
      <w:pPr>
        <w:pStyle w:val="TextoNormal"/>
      </w:pPr>
      <w:r>
        <w:t xml:space="preserve">El Partido Galeguista ha comparecido en el presente recurso de amparo electoral, manifestando su adhesión a la pretensión deducida por el PSOE, e interesando, por las mismas razones, que se otorgue también el amparo al Partido Galeguista, declarando la nulidad de la Sentencia impugnada y ordenando la retroacción de actuaciones para que la Junta electoral confiera trámite de subsanación de defectos a este partido para acomodar su candidatura a la exigencia establecida en el art. 44 bis de la Ley Orgánica del régimen electoral general (LOREG). Sin embargo, tal pretensión no puede ser atendida, toda vez que, como este Tribunal tiene reiteradamente señalado, no cabe que quienes se personan en un proceso constitucional de amparo una vez admitido a trámite el recurso puedan convertirse en codemandantes y pedir la reparación o la preservación de sus propios derechos fundamentales. Lo contrario implicaría la admisión de recursos de amparo formulados de manera extemporánea o sin cumplir los presupuestos procesales de admisibilidad, y la consiguiente irregular formulación de pretensiones propias, independientes del recurso de amparo ya admitido y al socaire de éste. El papel de los restantes comparecientes queda reducido, pues, a formular alegaciones y a que se les notifiquen las resoluciones que recaigan en el proceso, que tiene por objeto, exclusivamente, las pretensiones deducidas por quien lo interpuso en tiempo y forma (SSTC 241/1994, de 20 de julio, FJ 3; 113/1998, de 1 de junio, FJ 1; y 192/2004, de 2 de noviembre, FJ 5). Regla ésta plenamente aplicable al amparo electoral, que es una modalidad específica del recurso de amparo, por lo que le son de aplicación con carácter </w:t>
      </w:r>
      <w:r>
        <w:lastRenderedPageBreak/>
        <w:t>general los requisitos establecidos por la Ley Orgánica de este Tribunal, sin más modificaciones que las que expresamente se deducen de las normas especiales que lo regulan (SSTC 71/1986, de 31 de mayo, FJ 2; 1/1988, de 13 de enero, FJ 1; y 168/1989, de 16 de octubre, FJ 2).</w:t>
      </w:r>
    </w:p>
    <w:p w:rsidR="00DE14C9" w:rsidRDefault="00DE14C9" w:rsidP="00DE14C9">
      <w:pPr>
        <w:pStyle w:val="TextoNormal"/>
      </w:pPr>
    </w:p>
    <w:p w:rsidR="00DE14C9" w:rsidRDefault="00DE14C9" w:rsidP="00DE14C9">
      <w:pPr>
        <w:pStyle w:val="TextoNormal"/>
      </w:pPr>
      <w:r w:rsidRPr="00DE14C9">
        <w:rPr>
          <w:rStyle w:val="NumeroAFNegritaCaracter"/>
        </w:rPr>
        <w:t>2</w:t>
      </w:r>
      <w:r>
        <w:t>. Con el fin de precisar el objeto del presente recurso de amparo electoral y cómo debe ser abordado su examen, es pertinente poner de relieve que en el asunto que nos ocupa el partido político solicitante de amparo denuncia en primer término la lesión del derecho a la tutela judicial efectiva sin indefensión (art. 24.1 CE), lesión que imputa, por distintas razones, tanto a la Junta Electoral de Zona de Betanzos, como al Juzgado de lo Contencioso-Administrativo núm. 3 de A Coruña.</w:t>
      </w:r>
    </w:p>
    <w:p w:rsidR="00DE14C9" w:rsidRDefault="00DE14C9" w:rsidP="00DE14C9">
      <w:pPr>
        <w:pStyle w:val="TextoNormal"/>
      </w:pPr>
      <w:r>
        <w:t>Según quedó expuesto, la vulneración del derecho a la tutela judicial efectiva sin indefensión que el partido recurrente en amparo imputa a la Junta electoral de zona de Betanzos se fundamenta en que ésta no cumplió con su obligación de poner en conocimiento del PSdG-PSOE la posible irregularidad en que incurrió la candidatura presentada, en cuanto a lo dispuesto en el art. 44 bis LOREG, al objeto de permitir la subsanación del defecto, obviando que, conforme a reiterada doctrina constitucional, la legalidad aplicable al caso ha de ser interpretada en los términos más favorables a la plena efectividad del derecho fundamental garantizado en el art. 23.2 CE. Falta de diligencia de la Administración electoral que, a la postre, dio lugar a la anulación en vía judicial de la candidatura proclamada.</w:t>
      </w:r>
    </w:p>
    <w:p w:rsidR="00DE14C9" w:rsidRDefault="00DE14C9" w:rsidP="00DE14C9">
      <w:pPr>
        <w:pStyle w:val="TextoNormal"/>
      </w:pPr>
      <w:r>
        <w:t>Pues bien, así planteada la queja, esta pretendida lesión del derecho fundamental a la tutela judicial efectiva sin indefensión que el PSOE imputa a la Administración electoral ha de ser reconducida a la queja relativa a la vulneración del derecho al sufragio pasivo, garantizado por el derecho fundamental a acceder a los cargos representativos (art. 23.2 CE), queja a la que luego nos referiremos, sin que pueda apreciarse en el presente caso una lesión autónoma del art. 24.1 CE, toda vez no estamos ante un supuesto en el que el acuerdo adoptado por una determinada Junta electoral no pueda ser sometido a un control judicial independiente (por todas, SSTC 103/1996, de 11 de junio, FJ 4.c; 46/1997, de 11 de marzo, FJ 1; 48/1997, de 11 de marzo; 149/2000, de 1 de junio, FJ 3; y 36/2003, de 25 de febrero, FJ 5).</w:t>
      </w:r>
    </w:p>
    <w:p w:rsidR="00DE14C9" w:rsidRDefault="00DE14C9" w:rsidP="00DE14C9">
      <w:pPr>
        <w:pStyle w:val="TextoNormal"/>
      </w:pPr>
    </w:p>
    <w:p w:rsidR="00DE14C9" w:rsidRDefault="00DE14C9" w:rsidP="00DE14C9">
      <w:pPr>
        <w:pStyle w:val="TextoNormal"/>
      </w:pPr>
      <w:r w:rsidRPr="00DE14C9">
        <w:rPr>
          <w:rStyle w:val="NumeroAFNegritaCaracter"/>
        </w:rPr>
        <w:t>3</w:t>
      </w:r>
      <w:r>
        <w:t>. El partido solicitante de amparo dirige asimismo una queja por vulneración del derecho a la tutela judicial efectiva sin indefensión (art. 24.1 CE) contra la Sentencia del Juzgado de lo Contencioso-Administrativo núm. 3 de A Coruña que anula, por incumplimiento de lo dispuesto en el art. 44 bis LOREG, la proclamación de la candidatura presentada por PSdG-PSOE para las elecciones locales en el municipio coruñés de Abegondo. Se aduce que el órgano judicial no le notificó el recurso interpuesto por el PP conforme al art. 49.1 LOREG contra el Acuerdo de la Junta electoral de zona de Betanzos de proclamación de la candidatura del PSdG-PSOE en la circunscripción electoral de Abegondo, publicado en el “Boletín Oficial de la Provincia de A Coruña” el 1 de mayo de 2007, ni se le dio, en consecuencia, trámite de alegaciones, en el que esta formación política tuviera ocasión de defender los derechos que para la candidatura presentada (esto es, para las personas que en ella figuraban) se derivaron de aquel acto de proclamación por la Administración electoral.</w:t>
      </w:r>
    </w:p>
    <w:p w:rsidR="00DE14C9" w:rsidRDefault="00DE14C9" w:rsidP="00DE14C9">
      <w:pPr>
        <w:pStyle w:val="TextoNormal"/>
      </w:pPr>
      <w:r>
        <w:t xml:space="preserve">Asiste la razón en su queja a la formación política demandante de amparo. Como ya tuvo ocasión de señalar este Tribunal en su STC 85/1987, de 29 de mayo, FFJJ 1 y 2, el deber de los órganos judiciales, que surge del art. 24.1 CE, de emplazar personalmente en el proceso a quienes pudieran ostentar un legítimo interés en el mantenimiento del acto impugnado </w:t>
      </w:r>
      <w:r>
        <w:lastRenderedPageBreak/>
        <w:t>(siempre que tales personas, como es obvio, sean identificables a partir de los datos expuestos en la demanda o en el expediente administrativo), no deja de pesar, como es evidente, sobre los órganos judiciales llamados a resolver el especial proceso contencioso-electoral, pues, aunque tal proceso se singulariza por una tramitación concentrada y abreviada (apartados 2 y 3 del art. 49 LOREG), “ello no podría justificar nunca la omisión de trámite de tanta relevancia para su regularidad constitucional como es el del debido llamamiento al procedimiento de quienes, por la impugnación, ven directamente comprometido su derecho de sufragio pasivo”.</w:t>
      </w:r>
    </w:p>
    <w:p w:rsidR="00DE14C9" w:rsidRDefault="00DE14C9" w:rsidP="00DE14C9">
      <w:pPr>
        <w:pStyle w:val="TextoNormal"/>
      </w:pPr>
      <w:r>
        <w:t>Pues bien, la identidad de los afectados a raíz del recurso contencioso-electoral interpuesto por el PP contra el Acuerdo de la Junta electoral de zona de Betanzos de proclamación de la candidatura del PSdG-PSOE para las elecciones locales en Abegondo era manifiesta. Sin embargo, según se comprueba a la vista de las actuaciones judiciales, no se hizo emplazamiento personal alguno, ni consta que hubiera sido conocida la interposición y pendencia del recurso contencioso-electoral en tiempo hábil por el partido político ahora solicitante de amparo para personarse en el procedimiento. Por tanto, el Juzgado, al omitir el emplazamiento personal del representante del partido político directamente afectado por la impugnación de la proclamación de su candidatura en la circunscripción electoral de Abegondo, impidió la defensa de sus derechos en el referido proceso, vulnerando de este modo el derecho fundamental del partido solicitante de amparo a la tutela judicial efectiva sin indefensión.</w:t>
      </w:r>
    </w:p>
    <w:p w:rsidR="00DE14C9" w:rsidRDefault="00DE14C9" w:rsidP="00DE14C9">
      <w:pPr>
        <w:pStyle w:val="TextoNormal"/>
      </w:pPr>
      <w:r>
        <w:t>Por otra parte, conviene advertir que no cabe hablar de falta de agotamiento de todos los recursos utilizables dentro de la vía judicial [art. 44.1 a) LOTC] por no haberse acudido al incidente excepcional de nulidad de actuaciones regulado en el art.  241 de la Ley Orgánica del Poder Judicial (LOPJ), puesto que en los supuestos de amparo electoral no resulta exigible la utilización de este incidente “atendida la regulación especial del recurso de amparo en materia electoral, la finalidad de proporcionar rápidamente certeza al resultado electoral y el tenor literal de los arts. 49 y 114 LOREG” (STC 155/2003, de 21 de julio, FJ 5, y ATC 13/2000, de 11 de enero, FJ 3).</w:t>
      </w:r>
    </w:p>
    <w:p w:rsidR="00DE14C9" w:rsidRDefault="00DE14C9" w:rsidP="00DE14C9">
      <w:pPr>
        <w:pStyle w:val="TextoNormal"/>
      </w:pPr>
      <w:r>
        <w:t>Ahora bien, la estimación de esta queja por vulneración del art. 24.1 CE no puede ni debe, sin embargo, conducirnos a acordar no sólo la nulidad de la Sentencia impugnada, sino también la retroacción de actuaciones al momento procesal oportuno para que sea citada al proceso la representación del partido político solicitante de amparo, y el Juzgado pueda dictar nueva sentencia sin ocasionar indefensión. En efecto, esta solución no la permite la perentoriedad de los plazos del proceso electoral (STC 71/1995, de 11 de mayo, FJ 2), a lo que cabe añadir que, además, este Tribunal tiene el suficiente conocimiento de los hechos para enjuiciar, aquí y ahora, las cuestiones planteadas y, en definitiva, su objeto fundamental: si la anulación judicial de la proclamación de la candidatura presentada en la circunscripción electoral de Abegondo por el PSdG-PSOE vulnera el derecho de sufragio pasivo de esta formación política, cuestión que seguidamente pasamos a resolver.</w:t>
      </w:r>
    </w:p>
    <w:p w:rsidR="00DE14C9" w:rsidRDefault="00DE14C9" w:rsidP="00DE14C9">
      <w:pPr>
        <w:pStyle w:val="TextoNormal"/>
      </w:pPr>
    </w:p>
    <w:p w:rsidR="00DE14C9" w:rsidRDefault="00DE14C9" w:rsidP="00DE14C9">
      <w:pPr>
        <w:pStyle w:val="TextoNormal"/>
      </w:pPr>
      <w:r w:rsidRPr="00DE14C9">
        <w:rPr>
          <w:rStyle w:val="NumeroAFNegritaCaracter"/>
        </w:rPr>
        <w:t>4</w:t>
      </w:r>
      <w:r>
        <w:t>. Como ha quedado expuesto, el partido político solicitante de amparo denuncia como queja principal la vulneración de su derecho de sufragio pasivo, garantizado por el art. 23.2 CE, pues entiende que no resultan constitucionalmente admisibles interpretaciones desproporcionadas de la legislación electoral, como la que ha realizado la Sentencia impugnada en amparo, que conduzcan a la anulación de candidaturas electorales por defectos subsanables que no fueron puestos de manifiesto en ningún momento por la Administración electoral.</w:t>
      </w:r>
    </w:p>
    <w:p w:rsidR="00DE14C9" w:rsidRDefault="00DE14C9" w:rsidP="00DE14C9">
      <w:pPr>
        <w:pStyle w:val="TextoNormal"/>
      </w:pPr>
      <w:r>
        <w:t xml:space="preserve">Con cita de doctrina constitucional sobre la subsanación de irregularidades, defectos y errores en las candidaturas presentadas y sobre el deber de las juntas electorales competentes </w:t>
      </w:r>
      <w:r>
        <w:lastRenderedPageBreak/>
        <w:t>de advertir y permitir dicha subsanación, sostiene el partido recurrente en amparo que la Junta electoral de zona de Betanzos debió advertirle del defecto en la composición, a efectos del art. 44 bis LOREG, de la candidatura presentada a las elecciones locales en el municipio de Abegondo, a fin de que pudiera subsanar el defecto que finalmente ha apreciado el Juzgado en el número de mujeres de la lista, con el resultado de anular la candidatura. Al no hacerlo así, procediendo la Administración electoral a proclamar la candidatura presentada sin formular reparo alguno, no cabe que, con ocasión de la impugnación por otro partido ex art. 49 LOREG de la candidatura proclamada, el órgano judicial acuerde la nulidad de la candidatura por incumplimiento de lo dispuesto en el citado art. 44 bis LOREG, sin dar oportunidad a la formación política de corregir el defecto padecido, presentando una lista ajustada a la composición equilibrada de mujeres y hombres establecida por dicho precepto, añadido por la reciente Ley Orgánica 3/2007, de 22 de marzo, para la igualdad efectiva de mujeres y hombres.</w:t>
      </w:r>
    </w:p>
    <w:p w:rsidR="00DE14C9" w:rsidRDefault="00DE14C9" w:rsidP="00DE14C9">
      <w:pPr>
        <w:pStyle w:val="TextoNormal"/>
      </w:pPr>
      <w:r>
        <w:t>El partido solicitante de amparo recuerda, además, que la propia Administración electoral ha reconocido expresamente, y de manera general, el carácter subsanable de los defectos que puedan presentar las candidaturas presentadas por las formaciones políticas en cuanto a la exigencia establecida por el citado art. 44 bis LOREG, conforme al cual (apartado 1, párrafo primero) las candidaturas “deberán tener una composición equilibrada de mujeres y hombres, de forma que en el conjunto de la lista los candidatos de cada uno de los sexos supongan como mínimo el cuarenta por ciento”, proporción que deberá mantenerse también en cada tramo de cinco puestos, de suerte que si el número de candidatos o el último tramo de la lista no alcanzase los cinco puestos, la proporción de mujeres y hombres será lo más cercano posible al equilibrio numérico, manteniendo la proporción respecto del conjunto de la lista (apartados 1 y 2 del art. 44 bis LOREG), reglas éstas igualmente aplicables a las listas de suplentes (apartado 3 del art. 44 bis LOREG).</w:t>
      </w:r>
    </w:p>
    <w:p w:rsidR="00DE14C9" w:rsidRDefault="00DE14C9" w:rsidP="00DE14C9">
      <w:pPr>
        <w:pStyle w:val="TextoNormal"/>
      </w:pPr>
      <w:r>
        <w:t>Y así, en efecto, el punto primero de la Instrucción 8/2007, de 19 de abril, de la Junta Electoral Central, sobre interpretación del trámite de subsanación de irregularidades previsto en el art. 48.1 LOREG por incumplimiento de los requisitos de los arts.  44 bis y 187.2 LOREG, en la redacción dada por la Ley Orgánica 3/2007, de 22 de marzo, para la igualdad efectiva de mujeres y hombres, establece que “Durante el plazo de subsanación de las irregularidades advertidas por las Juntas Electorales competentes en las candidaturas presentadas, cuando la causa sea el incumplimiento de lo dispuesto en el artículo 44 bis de la LOREG o en la legislación autonómica aplicable sobre candidaturas paritarias, podrá modificarse el orden de los candidatos, o incluir o excluir algún candidato, siempre que con ello se trate estrictamente de subsanar la irregularidad apreciada, de conformidad con lo dispuesto en el último inciso del artículo 48.1 de la LOREG”.</w:t>
      </w:r>
    </w:p>
    <w:p w:rsidR="00DE14C9" w:rsidRDefault="00DE14C9" w:rsidP="00DE14C9">
      <w:pPr>
        <w:pStyle w:val="TextoNormal"/>
      </w:pPr>
      <w:r>
        <w:t>Sin embargo, del examen de actuaciones resulta que la Junta electoral de zona de Betanzos procedió a proclamar la candidatura presentada por el PSdG-PSOE en la circunscripción electoral de Abegondo, para las elecciones municipales convocadas por Real Decreto 444/2007, de 2 de abril, sin advertir que dicha candidatura incumplía, como se razona en la Sentencia impugnada, la exigencia de composición equilibrada entre hombres y mujeres contenida en el art. 44 bis LOREG (exigencia aplicable al municipio de Abegondo, conforme a la disposición transitoria séptima LOREG, añadida también por la Ley Orgánica 3/2007, por contar con un número de residentes superior a los 5.000 habitantes), pues presenta cinco mujeres sobre un total de trece candidatos, por lo que no alcanza el mínimo del 40 por 100 establecido por dicho precepto, que exigiría en el presente caso al menos seis candidatas en la lista.</w:t>
      </w:r>
    </w:p>
    <w:p w:rsidR="00DE14C9" w:rsidRDefault="00DE14C9" w:rsidP="00DE14C9">
      <w:pPr>
        <w:pStyle w:val="TextoNormal"/>
      </w:pPr>
      <w:r>
        <w:lastRenderedPageBreak/>
        <w:t>Y se constata igualmente, lo que resulta determinante para el otorgamiento del amparo por vulneración del derecho al sufragio pasivo garantizado por el art. 23.2 CE, que la Junta electoral de zona de Betanzos, al no advertir defecto alguno en la candidatura presentada por el PSdG-PSOE en la circunscripción electoral de Abegondo, no dio oportunidad a esta formación política de subsanar el defecto en la composición equilibrada entre hombres y mujeres de la candidatura que exige el art. 44 bis LOREG.</w:t>
      </w:r>
    </w:p>
    <w:p w:rsidR="00DE14C9" w:rsidRDefault="00DE14C9" w:rsidP="00DE14C9">
      <w:pPr>
        <w:pStyle w:val="TextoNormal"/>
      </w:pPr>
    </w:p>
    <w:p w:rsidR="00DE14C9" w:rsidRDefault="00DE14C9" w:rsidP="00DE14C9">
      <w:pPr>
        <w:pStyle w:val="TextoNormal"/>
      </w:pPr>
      <w:r w:rsidRPr="00DE14C9">
        <w:rPr>
          <w:rStyle w:val="NumeroAFNegritaCaracter"/>
        </w:rPr>
        <w:t>5</w:t>
      </w:r>
      <w:r>
        <w:t>. Nuestra doctrina en materia de subsanación de irregularidades sufridas en la presentación de candidaturas ante la Administración electoral puede resumirse en la afirmación de que, por principio, los errores e irregularidades cometidos en la presentación de éstas son subsanables y que, en consecuencia, las Juntas electorales han de ofrecer la oportunidad de que las candidaturas en las que se han detectado lo hagan. Busca con ello la LOREG,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w:t>
      </w:r>
    </w:p>
    <w:p w:rsidR="00DE14C9" w:rsidRDefault="00DE14C9" w:rsidP="00DE14C9">
      <w:pPr>
        <w:pStyle w:val="TextoNormal"/>
      </w:pPr>
      <w:r>
        <w:t>Deriva de lo expuesto el que si por la Administración electoral se incumple este deber legal en orden al examen de los escritos de presentación de candidaturas, no dándose así ocasión a los interesados para la reparación de unos defectos que después llevan al rechazo de aquéllas, se habrá ignorado, con ello, una garantía dispuesta por la Ley Orgánica del régimen electoral general para la efectividad, como queda dicho, del derecho de sufragio pasivo, que resultará así afectado negativamente en la medida en que se desconozca por una Junta Electoral, o se atienda sólo imperfectamente la exigencia legal de la que aquí se trata. En modo alguno empaña esta conclusión, ni la consideración general que se acaba de hacer sobre la afectación del derecho reconocido en el art. 23.2 CE, el hecho de que, en estos casos, el resultado finalmente gravoso para candidaturas y candidatos —la denegación de su proclamación como tales— se llegue a producir por no haberse reparado un defecto fruto de la ignorancia o de la negligencia de quienes presentaron la candidatura sin cumplir, en todos sus extremos, las prevenciones legales, sin perjuicio, como es obvio, del deber de diligencia y de colaboración con la Administración electoral que pesa sobre los candidatos y las formaciones políticas que les avalan (SSTC 67/1987, de 21 de mayo, FJ 3; 73/1995, de 12 de mayo, FJ 3; y 80/2002, de 8 de abril, FJ 7).</w:t>
      </w:r>
    </w:p>
    <w:p w:rsidR="00DE14C9" w:rsidRDefault="00DE14C9" w:rsidP="00DE14C9">
      <w:pPr>
        <w:pStyle w:val="TextoNormal"/>
      </w:pPr>
      <w:r>
        <w:t xml:space="preserve">En efecto, en este específico procedimiento no ha querido la Ley Orgánica del régimen electoral general dejar la suerte de las candidaturas a merced de la sola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Orgánica del régimen electoral general que tal irregularidad depare aquella sanción sin que antes se haga posible, mediante su identificación y advertencia de oficio, la oportuna subsanación, siempre, claro ésta, que ello sea materialmente posible (SSTC 73/1986, de 3 de junio, FJ 1; 59/1987, de 19 de mayo, </w:t>
      </w:r>
      <w:r>
        <w:lastRenderedPageBreak/>
        <w:t>FJ 3; 86/1987, de 1 de junio, FJ 4; 24/1989, de 2 de febrero, FJ 95/1991, de 7 de mayo, FJ 2; 113/1991, de 20 de mayo, FJ 3; 175/1991, de 16 de septiembre, FJ 2; y 84/2003, de 8 de mayo, FJ 3).</w:t>
      </w:r>
    </w:p>
    <w:p w:rsidR="00DE14C9" w:rsidRDefault="00DE14C9" w:rsidP="00DE14C9">
      <w:pPr>
        <w:pStyle w:val="TextoNormal"/>
      </w:pPr>
    </w:p>
    <w:p w:rsidR="00DE14C9" w:rsidRDefault="00DE14C9" w:rsidP="00DE14C9">
      <w:pPr>
        <w:pStyle w:val="TextoNormal"/>
      </w:pPr>
      <w:r w:rsidRPr="00DE14C9">
        <w:rPr>
          <w:rStyle w:val="NumeroAFNegritaCaracter"/>
        </w:rPr>
        <w:t>6</w:t>
      </w:r>
      <w:r>
        <w:t>. Es cierto, como señala la Sentencia impugnada, que la candidatura presentada por el PSdG-PSOE en la circunscripción electoral de Abegondo contenía una candidata menos del número mínimo que resulta exigible para dar cumplimiento a la exigencia de composición equilibrada entre hombres y mujeres que exige el art. 44 bis LOREG. Pero la irregularidad cometida por el partido solicitante de amparo en la presentación de dicha candidatura no puede tener la trascendencia fatal para el derecho fundamental a acceder en condiciones de igualdad a las funciones y cargos públicos (art. 23.2 CE) que ha apreciado el órgano judicial, pues se trata de una irregularidad subsanable, conforme a la doctrina constitucional expuesta, y no advertida por la Junta electoral de zona de Betanzos, lo que dio lugar a que no se diese ocasión a la representación del PSdG-PSOE para su subsanación, conforme a lo dispuesto en el art. 47.2 LOREG.</w:t>
      </w:r>
    </w:p>
    <w:p w:rsidR="00DE14C9" w:rsidRDefault="00DE14C9" w:rsidP="00DE14C9">
      <w:pPr>
        <w:pStyle w:val="TextoNormal"/>
      </w:pPr>
      <w:r>
        <w:t>En definitiva, la interpretación de la legalidad aplicable del modo más favorable al derecho fundamental garantizado por el art. 23.2 CE, exigía que el órgano judicial, una vez apreciado el incumplimiento de lo dispuesto en el art. 44 bis LOREG, no se hubiese limitado a anular el Acuerdo de la junta electoral de zona de Betanzos de proclamación de la candidatura del PSdG-PSOE en la circunscripción electoral de Abegondo, sino que, en aras de preservar el derecho de sufragio pasivo, era preciso que modulase los efectos de dicha declaración de nulidad, requiriendo a la referida junta electoral para que otorgase a dicha candidatura el plazo de subsanación previsto en el art. 47.2 LOREG, a fin de adecuar la misma a la proporción de candidatos de ambos sexos exigida por el art. 44 bis LOREG.</w:t>
      </w:r>
    </w:p>
    <w:p w:rsidR="00DE14C9" w:rsidRDefault="00DE14C9" w:rsidP="00DE14C9">
      <w:pPr>
        <w:pStyle w:val="TextoNormal"/>
      </w:pPr>
      <w:r>
        <w:t>Al no haberlo hecho así, el órgano judicial ha ocasionado al partido recurrente en amparo la denunciada vulneración de su derecho al sufragio pasivo, lo que conduce al otorgamiento del amparo solicitado, precisamente para que la Junta electoral de zona de Betanzos otorgue el trámite de subsanación omitido, procediendo, en caso de que se subsanase el defecto en la composición equilibrada entre hombres y mujeres que exige el art. 44 bis LOREG, a proclamar la candidatura, o a la no proclamación de la misma, en caso contrario.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el Partido Socialista Obrero Español (PSOE) y, su virtud:</w:t>
      </w:r>
    </w:p>
    <w:p w:rsidR="00DE14C9" w:rsidRDefault="00DE14C9" w:rsidP="00DE14C9">
      <w:pPr>
        <w:pStyle w:val="TextoNormal"/>
      </w:pPr>
      <w:r>
        <w:t>1º Reconocer sus derechos a acceder en condiciones de igualdad a las funciones y cargos públicos (art. 23.2 CE) y a la tutela judicial efectiva sin indefensión (art. 24.1 CE).</w:t>
      </w:r>
    </w:p>
    <w:p w:rsidR="00DE14C9" w:rsidRDefault="00DE14C9" w:rsidP="00DE14C9">
      <w:pPr>
        <w:pStyle w:val="TextoNormal"/>
      </w:pPr>
      <w:r>
        <w:t>2º Declarar la nulidad de la Sentencia de 4 de mayo de 2007 del Juzgado de lo Contencioso-administrativo núm. 3 de A Coruña, dictada en el recurso contencioso-electoral núm. 129-2007, en cuanto a la declaración de nulidad del Acuerdo de la Junta electoral de zona de Betanzos de proclamación de la candidatura del PSdG-PSOE en la circunscripción electoral de Abegondo.</w:t>
      </w:r>
    </w:p>
    <w:p w:rsidR="00DE14C9" w:rsidRDefault="00DE14C9" w:rsidP="00DE14C9">
      <w:pPr>
        <w:pStyle w:val="TextoNormal"/>
      </w:pPr>
      <w:r>
        <w:lastRenderedPageBreak/>
        <w:t>3º Retrotraer las actuaciones al momento anterior al Acuerdo de la Junta electoral de zona de Betanzos de proclamación de la candidatura del PSdG-PSOE en la circunscripción electoral de Abegondo, para que por dicha Junta electoral se proceda a otorgar trámite de subsanación, en los términos expresados en el fundamento jurídico 6 de esta Sentencia.</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nueve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13" w:name="SENTENCIA_2007_100"/>
      <w:r>
        <w:lastRenderedPageBreak/>
        <w:t>SENTENCIA 100/2007, de 9 de mayo de 2007</w:t>
      </w:r>
    </w:p>
    <w:bookmarkEnd w:id="13"/>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137, de 8 de junio de 2007)</w:t>
      </w:r>
    </w:p>
    <w:p w:rsidR="00DE14C9" w:rsidRDefault="00DE14C9" w:rsidP="00DE14C9">
      <w:pPr>
        <w:pStyle w:val="TtuloBOE"/>
      </w:pPr>
    </w:p>
    <w:p w:rsidR="00DE14C9" w:rsidRDefault="00DE14C9" w:rsidP="00DE14C9">
      <w:pPr>
        <w:pStyle w:val="SntesisDescriptiva"/>
      </w:pPr>
      <w:r>
        <w:t>ECLI:ES:TC:2007:100</w:t>
      </w:r>
    </w:p>
    <w:p w:rsidR="00DE14C9" w:rsidRDefault="00DE14C9" w:rsidP="00DE14C9">
      <w:pPr>
        <w:pStyle w:val="SntesisDescriptiva"/>
      </w:pPr>
    </w:p>
    <w:p w:rsidR="00DE14C9" w:rsidRDefault="00DE14C9" w:rsidP="00DE14C9">
      <w:pPr>
        <w:pStyle w:val="SntesisDescriptiva"/>
      </w:pPr>
      <w:r>
        <w:t>Recurso de amparo electoral 4008-2007. Promovido por el Partido Socialista Obrero Español (PSOE) frente a la Sentencia del Juzgado de lo Contencioso-Administrativo núm. 4 de A Coruña que anuló la candidatura del PSdeG-PSOE en las elecciones locales por la circunscripción de Malpica.</w:t>
      </w:r>
    </w:p>
    <w:p w:rsidR="00DE14C9" w:rsidRDefault="00DE14C9" w:rsidP="00DE14C9">
      <w:pPr>
        <w:pStyle w:val="SntesisDescriptiva"/>
      </w:pPr>
    </w:p>
    <w:p w:rsidR="00DE14C9" w:rsidRDefault="00DE14C9" w:rsidP="00DE14C9">
      <w:pPr>
        <w:pStyle w:val="SntesisAnaltica"/>
      </w:pPr>
      <w:r>
        <w:t>Vulneración de los derechos a la tutela judicial sin indefensión y a acceder a los cargos representativos: contencioso-electoral sin contradicción; anulación de candidatura electoral por infringir la paridad entre mujeres y hombres sin permitir su subsanación (STC 96/2007).</w:t>
      </w:r>
    </w:p>
    <w:p w:rsidR="00DE14C9" w:rsidRDefault="00DE14C9" w:rsidP="00DE14C9">
      <w:pPr>
        <w:pStyle w:val="SntesisAnaltica"/>
      </w:pPr>
    </w:p>
    <w:p w:rsidR="00DE14C9" w:rsidRDefault="00DE14C9" w:rsidP="00DE14C9">
      <w:pPr>
        <w:pStyle w:val="Extracto"/>
      </w:pPr>
      <w:r>
        <w:t>1.</w:t>
      </w:r>
      <w:r>
        <w:tab/>
        <w:t>El hecho de que la Junta Electoral de Zona proclame la candidatura presentada por un partido sin advertir que dicha candidatura incumple la exigencia de composición equilibrada entre hombres y mujeres contenida en el art. 44 bis LOREG (siendo este un defecto subsanable), vulnera el derecho al sufragio pasivo (STC 96/2007) [FJ 3].</w:t>
      </w:r>
    </w:p>
    <w:p w:rsidR="00DE14C9" w:rsidRDefault="00DE14C9" w:rsidP="00DE14C9">
      <w:pPr>
        <w:pStyle w:val="Extracto"/>
      </w:pPr>
    </w:p>
    <w:p w:rsidR="00DE14C9" w:rsidRDefault="00DE14C9" w:rsidP="00DE14C9">
      <w:pPr>
        <w:pStyle w:val="Extracto"/>
      </w:pPr>
      <w:r>
        <w:t>2.</w:t>
      </w:r>
      <w:r>
        <w:tab/>
        <w:t>El órgano judicial debió, al constatar la irregularidad, reconocer el derecho de la candidatura para disponer del plazo de subsanación que antes no tuvo, poniendo así fin ante la Junta electoral, al impedimento legal apreciado, logrando que el ejercicio del derecho fundamental no quedase contrariado [FJ 3].</w:t>
      </w:r>
    </w:p>
    <w:p w:rsidR="00DE14C9" w:rsidRDefault="00DE14C9" w:rsidP="00DE14C9">
      <w:pPr>
        <w:pStyle w:val="Extracto"/>
      </w:pPr>
    </w:p>
    <w:p w:rsidR="00DE14C9" w:rsidRDefault="00DE14C9" w:rsidP="00DE14C9">
      <w:pPr>
        <w:pStyle w:val="Extracto"/>
      </w:pPr>
      <w:r>
        <w:t>3.</w:t>
      </w:r>
      <w:r>
        <w:tab/>
        <w:t>El artículo 24.1 CE resulta violado cuando en un procedimiento contencioso electoral no se emplaza a la representante de la candidatura cuya proclamación se cuestiona, máxime no constando que hubiera sido conocida por la misma la interposición y pendencia del recurso en tiempo hábil para personarse en el procedimiento [FJ 2].</w:t>
      </w:r>
    </w:p>
    <w:p w:rsidR="00DE14C9" w:rsidRDefault="00DE14C9" w:rsidP="00DE14C9">
      <w:pPr>
        <w:pStyle w:val="Extracto"/>
      </w:pPr>
    </w:p>
    <w:p w:rsidR="00DE14C9" w:rsidRDefault="00DE14C9" w:rsidP="00DE14C9">
      <w:pPr>
        <w:pStyle w:val="Extracto"/>
      </w:pPr>
      <w:r>
        <w:t>4.</w:t>
      </w:r>
      <w:r>
        <w:tab/>
        <w:t>La perentoriedad de los plazos del proceso electoral no permite la mera retroacción de actuaciones al momento procesal oportuno para que la representación del partido político solicitante de amparo sea citada al proceso y el Juzgado pueda dictar nueva sentencia sin ocasionar indefensión (STC 71/1995) [FJ 3].</w:t>
      </w:r>
    </w:p>
    <w:p w:rsidR="00DE14C9" w:rsidRDefault="00DE14C9" w:rsidP="00DE14C9">
      <w:pPr>
        <w:pStyle w:val="Extracto"/>
      </w:pPr>
    </w:p>
    <w:p w:rsidR="00DE14C9" w:rsidRDefault="00DE14C9" w:rsidP="00DE14C9">
      <w:pPr>
        <w:pStyle w:val="Extracto"/>
      </w:pPr>
      <w:r>
        <w:t>5.</w:t>
      </w:r>
      <w:r>
        <w:tab/>
        <w:t>No corresponde al Tribunal pronunciarse acerca de si la candidatura presentada cumple las exigencias impuestas por el art. 44 bis LOREG [FJ 3].</w:t>
      </w:r>
    </w:p>
    <w:p w:rsidR="00DE14C9" w:rsidRDefault="00DE14C9" w:rsidP="00DE14C9">
      <w:pPr>
        <w:pStyle w:val="Extracto"/>
      </w:pPr>
    </w:p>
    <w:p w:rsidR="00DE14C9" w:rsidRDefault="00DE14C9" w:rsidP="00DE14C9">
      <w:pPr>
        <w:pStyle w:val="Extracto"/>
      </w:pPr>
      <w:r>
        <w:t>6.</w:t>
      </w:r>
      <w:r>
        <w:tab/>
        <w:t>La circunstancia de que obre en las actuaciones copia del escrito dirigido por el partido político al Juzgado pidiendo se tuviera en cuenta la rectificación en la composición de la candidatura electoral permite anular la Sentencia impugnada y declarar el derecho de la entidad a que la Junta electoral tenga por subsanado el defecto en su día no advertido [FJ 4].</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electoral núm. 4008-2007, promovido por el Partido Socialista Obrero Español (PSOE), representado por la Procuradora de los Tribunales doña Virginia Aragón Segura y asistido por el Abogado don Avaro Sánchez Manzanares, contra la Sentencia dictada el 4 de mayo de 2007 por el Juzgado de lo Contencioso-Administrativo núm. 4 de A Coruña, que estimó el recurso contencioso-electoral núm. 131-2007 interpuesto por el representante del Partido Popular contra el Acuerdo de la Junta electoral de zona de Carballo de proclamación de la candidatura del Partido dos Socialistas de Galicia-Partido Socialista Obrero Español (PSdeG-PSOE) para participar, en la circunscripción de Malpica, en las elecciones locales convocadas por Real Decreto 444/2007, de 2 de abril. Ha intervenido el Ministerio Fiscal. Ha sido Ponente el Magistrado don Jorge Rodríguez-Zapata Pérez,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El 7 de mayo de 2007 tuvo entrada en el Registro General de este Tribunal el recurso de amparo electoral presentado por la Procuradora de los Tribunales doña Virginia Aragón Segura en nombre y representación del Partido Socialista Obrero Español, contra la Sentencia dictada el 4 de mayo de 2007 por el Juzgado de lo Contencioso-Administrativo núm. 4 de A Coruña en el recurso contencioso-electoral registrado con el núm. 131-2007.</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fundamentos de hecho en los que tiene su origen el presente proceso de amparo son los siguientes: </w:t>
      </w:r>
    </w:p>
    <w:p w:rsidR="00DE14C9" w:rsidRDefault="00DE14C9" w:rsidP="00DE14C9">
      <w:pPr>
        <w:pStyle w:val="TextoNormal"/>
      </w:pPr>
      <w:r>
        <w:t xml:space="preserve">a) El representante del Partido dos Socialistas de Galicia-Partido Socialista Obrero Español (PSdeG-PSOE) presentó ante la Junta electoral de zona de Carballo (A Coruña) la candidatura de dicha formación política para participar en las elecciones locales convocadas por Real Decreto 444/2007, de 2 de abril, en la circunscripción de Malpica. </w:t>
      </w:r>
    </w:p>
    <w:p w:rsidR="00DE14C9" w:rsidRDefault="00DE14C9" w:rsidP="00DE14C9">
      <w:pPr>
        <w:pStyle w:val="TextoNormal"/>
      </w:pPr>
      <w:r>
        <w:t xml:space="preserve">b) El 25 de abril de 2007 se procedió a la publicación en el “Boletín Oficial de la Provincia de A Coruña” de las candidaturas presentadas y el 1 de mayo a la publicación oficial de las candidaturas proclamadas por la indicada Junta electoral. </w:t>
      </w:r>
    </w:p>
    <w:p w:rsidR="00DE14C9" w:rsidRDefault="00DE14C9" w:rsidP="00DE14C9">
      <w:pPr>
        <w:pStyle w:val="TextoNormal"/>
      </w:pPr>
      <w:r>
        <w:t>c) Efectuados los referidos trámites, el representante de las candidaturas presentadas por el Partido Popular en la provincia de A Coruña interpuso recurso contencioso-electoral contra la proclamación de la candidatura presentada en la circunscripción de Malpica (A Coruña) por el Partido dos Socialistas de Galicia-Partido Socialista Obrero Español (PSdeG-</w:t>
      </w:r>
      <w:r>
        <w:lastRenderedPageBreak/>
        <w:t xml:space="preserve">PSOE). En el escrito de recurso se interesaba la anulación de dicha candidatura por incumplir lo dispuesto en el art. 44 bis de la Ley Orgánica del régimen electoral general (LOREG), introducido por la Ley Orgánica 3/2007, de 22 de marzo, para la igualdad efectiva de mujeres y hombres, toda vez que el número de mujeres de dicha candidatura no alcanzan el mínimo porcentual del 40 por 100 que dicho precepto establece, siendo esta exigencia legal aplicable al municipio de Malpica, por contar con más de 5.000 habitantes, de conformidad con lo dispuesto en la disposición transitoria séptima LOREG, incorporada igualmente por la Ley Orgánica 3/2007, de 22 de marzo. </w:t>
      </w:r>
    </w:p>
    <w:p w:rsidR="00DE14C9" w:rsidRDefault="00DE14C9" w:rsidP="00DE14C9">
      <w:pPr>
        <w:pStyle w:val="TextoNormal"/>
      </w:pPr>
      <w:r>
        <w:t>d) El conocimiento de la impugnación correspondió al Juzgado de lo Contencioso-Administrativo núm. 4 de A Coruña, quedando registrada con el núm. 131-2007 y dictándose Sentencia el 4 de mayo, mediante la que, estimando el recurso interpuesto por el Partido Popular, se anuló el Acuerdo de la Junta electoral de zona de Carballo que había acordado la proclamación de la candidatura presentada por el Partido dos Socialistas de Galicia-Partido Socialista Obrero Español (PSdeG-PSOE). La decisión judicial se sustenta en que la candidatura presentada incumple el régimen de paridad fijado por el art. 44 bis LOREG, introducido por la Ley Orgánica 3/2007, de 22 de marzo, para la igualdad efectiva de mujeres y hombres. En particular aprecia la Sentencia que la candidatura cuestionada incumple la exigencia de composición equilibrada entre hombres y mujeres contenida en el art. 44 bis LOREG, pues, valorada en su conjunto, resulta que presenta cinco mujeres sobre un total de trece candidatos, por lo que no alcanza el mínimo del 40 por 100 legalmente establecido, que exigiría un mínimo de seis mujeres en la lista.</w:t>
      </w:r>
    </w:p>
    <w:p w:rsidR="00DE14C9" w:rsidRDefault="00DE14C9" w:rsidP="00DE14C9">
      <w:pPr>
        <w:pStyle w:val="TextoNormal"/>
      </w:pPr>
    </w:p>
    <w:p w:rsidR="00DE14C9" w:rsidRDefault="00DE14C9" w:rsidP="00DE14C9">
      <w:pPr>
        <w:pStyle w:val="TextoNormal"/>
      </w:pPr>
      <w:r w:rsidRPr="00DE14C9">
        <w:rPr>
          <w:rStyle w:val="NumeroAFNegritaCaracter"/>
        </w:rPr>
        <w:t>3</w:t>
      </w:r>
      <w:r>
        <w:t>. En la demanda de amparo electoral se alega la vulneración del derecho a la tutela judicial efectiva (art. 24.1 CE) como consecuencia de que el proceso contencioso-electoral ante el Juzgado de lo Contencioso-Administrativo núm. 4 de A Coruña se ha seguido inaudita parte, sin que la demandante haya tenido conocimiento de su existencia. De otro lado se aduce la vulneración del derecho de sufragio pasivo (art. 23.2 CE) a causa de que la Junta electoral de zona no abrió el plazo de subsanación a que se refiere el art. 47.2 LOREG, lo que tampoco ha llevado a cabo el órgano judicial cuando ha advertido la omisión de la Junta electoral.</w:t>
      </w:r>
    </w:p>
    <w:p w:rsidR="00DE14C9" w:rsidRDefault="00DE14C9" w:rsidP="00DE14C9">
      <w:pPr>
        <w:pStyle w:val="TextoNormal"/>
      </w:pPr>
    </w:p>
    <w:p w:rsidR="00DE14C9" w:rsidRDefault="00DE14C9" w:rsidP="00DE14C9">
      <w:pPr>
        <w:pStyle w:val="TextoNormal"/>
      </w:pPr>
      <w:r w:rsidRPr="00DE14C9">
        <w:rPr>
          <w:rStyle w:val="NumeroAFNegritaCaracter"/>
        </w:rPr>
        <w:t>4</w:t>
      </w:r>
      <w:r>
        <w:t>. Por diligencia de ordenación de 8 de mayo de 2007 el Secretario de Justicia de la Sección Segunda de este Tribunal acordó, en conformidad con lo dispuesto en el art. 49 LOREG y en el Acuerdo del Pleno de 20 de enero de 2000, tener por interpuesto el recurso de amparo y recabar del Juzgado de lo Contencioso-Administrativo núm. 4 de A Coruña el envío de las actuaciones correspondientes a su proceso contencioso-electoral núm. 131-2007, incluidas las seguidas ante la Junta electoral, interesando al propio tiempo que se emplazara a quienes fueron parte en el procedimiento, a excepción de la formación política recurrente en amparo, que aparece ya personada, para que en el plazo de dos días pudieran comparecer y formular alegaciones en este proceso constitucional. Igualmente se acordó dar vista al Ministerio Fiscal para que en el plazo de un día formulase las alegaciones pertinentes.</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La Fiscalía ante este Tribunal Constitucional presentó el 8 de mayo su escrito de alegaciones, en el que tras recordar lo dispuesto en el art. 47.2 LOREG y la doctrina de este Tribunal en materia de subsanación de irregularidades en la presentación de candidaturas (con cita de las SSTC 24/1989, 95/1991, 113/1991 y 84/2003), concluye señalando que </w:t>
      </w:r>
      <w:r>
        <w:lastRenderedPageBreak/>
        <w:t>procedería otorgar el amparo solicitado por vulneración del art. 23.2 CE si se confirma, a la vista de las actuaciones, que el partido recurrente ha sido efectivamente privado del trámite de subsanación.</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 demanda de amparo electoral se dirige contra la Sentencia de 4 de mayo de 2007 del Juzgado de lo Contencioso-Administrativo núm. 4 de A Coruña, que estimó el recurso contencioso-electoral núm. 131-2007, interpuesto por el representante de las candidaturas presentadas por el Partido Popular en la provincia de A Coruña contra el Acuerdo de la Junta electoral de zona de Carballo —publicado en el “Boletín Oficial de la Provincia de A Coruña” el 1 de mayo de 2007— de proclamación de la candidatura del Partido dos Socialistas de Galicia-Partido Socialista Obrero Español (PSdeG-PSOE) en la circunscripción electoral de Malpica para participar en las elecciones municipales convocadas por Real Decreto 444/2007, de 2 de abril.</w:t>
      </w:r>
    </w:p>
    <w:p w:rsidR="00DE14C9" w:rsidRDefault="00DE14C9" w:rsidP="00DE14C9">
      <w:pPr>
        <w:pStyle w:val="TextoNormal"/>
      </w:pPr>
      <w:r>
        <w:t>La formación política demandante de amparo denuncia la vulneración del derecho a la tutela judicial efectiva (art. 24.1 CE) como consecuencia de que el proceso contencioso-electoral ante el Juzgado de lo Contencioso-Administrativo núm. 4 de A Coruña se ha seguido inaudita parte, sin que la demandante haya tenido conocimiento de su existencia. De otro lado se aduce la vulneración del derecho de sufragio pasivo (art. 23.2 CE) a causa de que la Junta electoral de zona no abrió el plazo de subsanación a que se refiere el art. 47.2 de la Ley Orgánica del régimen electoral general (LOREG), lo que tampoco ha llevado a cabo el órgano judicial cuando ha advertido la omisión de la Junta electoral. El Ministerio Fiscal interesa el otorgamiento del amparo —por vulneración del art. 23.2 CE— para el caso de confirmarse, a la vista de las actuaciones, que el partido recurrente ha sido efectivamente privado del trámite de subsanación de defectos en la candidatura.</w:t>
      </w:r>
    </w:p>
    <w:p w:rsidR="00DE14C9" w:rsidRDefault="00DE14C9" w:rsidP="00DE14C9">
      <w:pPr>
        <w:pStyle w:val="TextoNormal"/>
      </w:pPr>
    </w:p>
    <w:p w:rsidR="00DE14C9" w:rsidRDefault="00DE14C9" w:rsidP="00DE14C9">
      <w:pPr>
        <w:pStyle w:val="TextoNormal"/>
      </w:pPr>
      <w:r w:rsidRPr="00DE14C9">
        <w:rPr>
          <w:rStyle w:val="NumeroAFNegritaCaracter"/>
        </w:rPr>
        <w:t>2</w:t>
      </w:r>
      <w:r>
        <w:t>. Se denuncia en la demanda de amparo, en primer lugar, la vulneración del derecho a la tutela judicial efectiva (art. 24.1 CE) en la medida en que el recurso contencioso-electoral se tramitó y resolvió sin emplazar a la representación de la candidatura cuya proclamación se impugnaba. Al respecto debemos recordar una vez más la constante doctrina de este Tribunal (por todas, la STC 52/1984, de 2 de mayo), según la cual del derecho fundamental reconocido en el art. 24.1 CE se deriva, para los órganos judiciales, el deber de promover la defensa de todas cuantas personas pudieran resultar directamente afectadas en sus derechos e intereses a resultas de la impugnación deducida ante esos mismos órganos judiciales, exigencia ésta que, para el ámbito del recurso contencioso-administrativo, se traduce en la necesidad de llamar personalmente al proceso a quienes así pudieran ostentar en él, por su interés en el mantenimiento del acto impugnado, la condición de demandados y siempre que tales personas, como es obvio, sean identificables a partir de los datos expuestos en la demanda o en el expediente administrativo. El deber que así nace del precepto constitucional no deja de pesar, como es evidente, sobre los órganos judiciales llamados a resolver el especial proceso contencioso que aquí se interpuso y sustanció, pues, aunque tal proceso se singulariza por una tramitación concentrada y abreviada (apartados 2 y 3 del art. 49 LOREG), ello no podría justificar nunca la omisión de trámite de tanta relevancia para su regularidad constitucional como es el del debido llamamiento al procedimiento de quienes, por la impugnación, ven directamente comprometido su derecho de sufragio pasivo (STC 85/1987, de 29 de mayo, FJ 2).</w:t>
      </w:r>
    </w:p>
    <w:p w:rsidR="00DE14C9" w:rsidRDefault="00DE14C9" w:rsidP="00DE14C9">
      <w:pPr>
        <w:pStyle w:val="TextoNormal"/>
      </w:pPr>
      <w:r>
        <w:lastRenderedPageBreak/>
        <w:t>En el presente caso, según resulta de las actuaciones, no se hizo emplazamiento alguno a la representante de la candidatura cuya proclamación se cuestionaba ni consta que hubiera sido conocida la interposición y pendencia del recurso contencioso-electoral en tiempo hábil para personarse en el procedimiento por el partido político ahora solicitante de amparo. De este modo el órgano judicial impidió la defensa de sus derechos a quienes pudieran tener entonces la condición de demandados. Por ello, al resolver no respetando la contradicción, se vulneró el derecho fundamental reconocido en el art. 24.1 CE, produciendo la indefensión de los directamente afectados por la decisión, en este caso de la representación electoral de las personas que figuraban como candidatos. Pues aun cuando la función primaria que cumple este amparo consista en garantizar los derechos fundamentales comprometidos en la contienda electoral, siendo el del art. 23 CE el afectado cuando se trata, como ahora, de la proclamación de candidaturas, no cabe soslayar que, por su naturaleza instrumental, también puede ser objeto del mismo proceso el derecho a la tutela judicial (art. 24.1 CE) si fuere desconocido o conculcado en la vía judicial configurada precisamente para la protección y garantía de los derivados del art. 23 CE (STC 71/1995, de 11 de mayo, FJ 2).</w:t>
      </w:r>
    </w:p>
    <w:p w:rsidR="00DE14C9" w:rsidRDefault="00DE14C9" w:rsidP="00DE14C9">
      <w:pPr>
        <w:pStyle w:val="TextoNormal"/>
      </w:pPr>
    </w:p>
    <w:p w:rsidR="00DE14C9" w:rsidRDefault="00DE14C9" w:rsidP="00DE14C9">
      <w:pPr>
        <w:pStyle w:val="TextoNormal"/>
      </w:pPr>
      <w:r w:rsidRPr="00DE14C9">
        <w:rPr>
          <w:rStyle w:val="NumeroAFNegritaCaracter"/>
        </w:rPr>
        <w:t>3</w:t>
      </w:r>
      <w:r>
        <w:t>. Ahora bien, constatada la lesión del derecho a obtener tutela judicial efectiva y sin indefensión (art. 24.1 CE), no podemos sin embargo detener aquí nuestro enjuiciamiento. La perentoriedad de los plazos del proceso electoral no permite la mera retroacción de actuaciones al momento procesal oportuno para que la representación del partido político solicitante de amparo sea citada al proceso y el Juzgado pueda dictar nueva sentencia sin ocasionar indefensión (STC 71/1995, de 11 de mayo, FJ 2), a lo que cabe añadir que, además, este Tribunal tiene el necesario conocimiento de los hechos para enjuiciar las cuestiones planteadas y, en definitiva, su objeto fundamental: si la anulación judicial de la proclamación de la candidatura presentada en la circunscripción electoral de Malpica por el Partido dos Socialistas de Galicia-Partido Socialista Obrero Español (PSdeG-PSOE) vulnera su derecho de sufragio pasivo (art. 23.2 CE), cuestión que seguidamente pasamos a resolver.</w:t>
      </w:r>
    </w:p>
    <w:p w:rsidR="00DE14C9" w:rsidRDefault="00DE14C9" w:rsidP="00DE14C9">
      <w:pPr>
        <w:pStyle w:val="TextoNormal"/>
      </w:pPr>
      <w:r>
        <w:t>Antes debemos señalar que no corresponde a este Tribunal pronunciarse acerca de si en este concreto caso la candidatura presentada cumple las exigencias impuestas por el art. 44 bis LOREG, al no ser ese el objeto del presente recurso de amparo electoral, sino exclusivamente dilucidar si, una vez apreciada por el órgano judicial que la candidatura no podía ser válidamente proclamada por la razón antedicha, de ello debía derivarse la consecuencia de que la candidatura no pudiera participar en las elecciones locales convocadas o si, por el contrario, en aplicación del art. 47.2 LOREG debió permitirse la subsanación de la irregularidad apreciada.</w:t>
      </w:r>
    </w:p>
    <w:p w:rsidR="00DE14C9" w:rsidRDefault="00DE14C9" w:rsidP="00DE14C9">
      <w:pPr>
        <w:pStyle w:val="TextoNormal"/>
      </w:pPr>
      <w:r>
        <w:t xml:space="preserve">Nuestra doctrina en materia de subsanación de irregularidades sufridas en la presentación de candidaturas ante la Administración electoral puede resumirse en la afirmación de que, por principio, los errores e irregularidades cometidos en la presentación de aquéllas son subsanables y que, en consecuencia, las Juntas Electorales han de ofrecer la oportunidad de que las candidaturas en las que se han detectado lo hagan. Busca con ello la Ley Orgánica del régimen electoral general,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w:t>
      </w:r>
      <w:r>
        <w:lastRenderedPageBreak/>
        <w:t>CE) que, a través de las vías dispuestas por la Ley, quieran presentarse ante el cuerpo electoral recabando los sufragios necesarios para acceder a las instituciones representativas.</w:t>
      </w:r>
    </w:p>
    <w:p w:rsidR="00DE14C9" w:rsidRDefault="00DE14C9" w:rsidP="00DE14C9">
      <w:pPr>
        <w:pStyle w:val="TextoNormal"/>
      </w:pPr>
      <w:r>
        <w:t>Deriva de lo expuesto el que si por la Administración electoral se incumple este deber legal en orden al examen de los escritos de presentación de candidaturas, no dándose así ocasión a los interesados para la reparación de unos defectos que después llevan al rechazo de aquéllas, se habrá ignorado, con ello, una garantía dispuesta por la Ley Orgánica del régimen electoral general para la efectividad, como queda dicho, del derecho de sufragio pasivo, que resultará así afectado negativamente en la medida en que se desconozca por una Junta electoral, o se atienda sólo imperfectamente la exigencia legal de la que aquí se trata. En modo alguno empaña esta conclusión, ni la consideración general que se acaba de hacer sobre la afectación del derecho reconocido en el art. 23.2 CE, el hecho de que, en estos casos, el resultado finalmente gravoso para candidaturas y candidatos —la denegación de su proclamación como tales— se llegue a producir por no haberse reparado un defecto fruto de la ignorancia o de la negligencia de quienes presentaron la candidatura sin cumplir, en todos sus extremos, las prevenciones legales, sin perjuicio, como es obvio, del deber de diligencia y de colaboración con la Administración electoral que pesa sobre los candidatos y las formaciones políticas que les avalan (SSTC 67/1987, de 21 de mayo, FJ 3; 73/1995, de 12 de mayo, FJ 3; y 80/2002, de 8 de abril, FJ 7).</w:t>
      </w:r>
    </w:p>
    <w:p w:rsidR="00DE14C9" w:rsidRDefault="00DE14C9" w:rsidP="00DE14C9">
      <w:pPr>
        <w:pStyle w:val="TextoNormal"/>
      </w:pPr>
      <w:r>
        <w:t>En efecto, en este específico procedimiento no ha querido la Ley Orgánica del régimen electoral general dejar la suerte de las candidaturas a merced de la sola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Orgánica del régimen electoral general que tal irregularidad depare aquella sanción sin que antes se haga posible, mediante su identificación y advertencia de oficio, la oportuna subsanación, siempre, claro ésta, que ello sea materialmente factible (SSTC 73/1986, de 3 de junio, FJ 1; 59/1987, de 19 de mayo, FJ 3; 86/1987, de 1 de junio, FJ 4; 24/1989, de 2 de febrero, FJ 95/1991, de 7 de mayo, FJ 2; 113/1991, de 20 de mayo, FJ 3; 175/1991, de 16 de septiembre, FJ 2; y 84/2003, de 8 de mayo, FJ 3).</w:t>
      </w:r>
    </w:p>
    <w:p w:rsidR="00DE14C9" w:rsidRDefault="00DE14C9" w:rsidP="00DE14C9">
      <w:pPr>
        <w:pStyle w:val="TextoNormal"/>
      </w:pPr>
      <w:r>
        <w:t>Lo cierto es que si el órgano judicial apreció, como lo hizo, una irregularidad en que la Junta electoral proclama la candidatura sin reparos, la apreciación de dicha irregularidad administrativa no debió llevar a la anulación de la proclamación misma; pues, esta decisión, a la vista del sistema legal aquí aplicable y de la omisión en que incurrió la propia Junta electoral al no comunicar en su día los defectos existentes, entrañó, pese a lo que tuvo de formal restablecimiento de la legalidad quebrada, un desconocimiento de las garantías subjetivas previstas por el legislador en el citado art. 47.2 LOREG, en cuya virtud las irregularidades que puedan mostrar las candidaturas presentadas, apreciadas por la Administración electoral, habrán de dar siempre lugar a su posible subsanación.</w:t>
      </w:r>
    </w:p>
    <w:p w:rsidR="00DE14C9" w:rsidRDefault="00DE14C9" w:rsidP="00DE14C9">
      <w:pPr>
        <w:pStyle w:val="TextoNormal"/>
      </w:pPr>
      <w:r>
        <w:t xml:space="preserve">El hecho notorio de que la Ley no prevea dicho trámite de subsanación, sino con carácter previo a la proclamación de las candidaturas, no puede en modo alguno llevar a la conclusión de que los defectos, en su día, subsanables devengan definitivos e irreparables tan sólo por el irregular funcionamiento de la Administración electoral, que —según la resolución judicial— debió advertirlos y no lo hizo, en el momento que la Ley prevé para ello, ya que no puede pesar sobre los ciudadanos un resultado, gravoso para sus derechos fundamentales, que se originó en la falta de la diligencia debida por los poderes públicos en la garantía de su plena efectividad. Se debió, pues, reconocer el derecho de la candidatura para disponer </w:t>
      </w:r>
      <w:r>
        <w:lastRenderedPageBreak/>
        <w:t>del plazo de subsanación que antes no tuvo, poniendo así fin, en su caso, ante la Junta Electoral, al impedimento legal apreciado y logrando, de este modo, que el ejercicio del derecho fundamental no quedase contrariado como, sin embargo, ha ocurrido a resultas de una aplicación de la Ley contraria a su espíritu garantizador.</w:t>
      </w:r>
    </w:p>
    <w:p w:rsidR="00DE14C9" w:rsidRDefault="00DE14C9" w:rsidP="00DE14C9">
      <w:pPr>
        <w:pStyle w:val="TextoNormal"/>
      </w:pPr>
    </w:p>
    <w:p w:rsidR="00DE14C9" w:rsidRDefault="00DE14C9" w:rsidP="00DE14C9">
      <w:pPr>
        <w:pStyle w:val="TextoNormal"/>
      </w:pPr>
      <w:r w:rsidRPr="00DE14C9">
        <w:rPr>
          <w:rStyle w:val="NumeroAFNegritaCaracter"/>
        </w:rPr>
        <w:t>4</w:t>
      </w:r>
      <w:r>
        <w:t>. En consideración a cuanto antecede el amparo debe ser concedido aunque no corresponde a este Tribunal proclamar candidaturas sino, sólo y exclusivamente, pronunciamos sobre la existencia o no de lesiones de derechos fundamentales en las decisiones adoptadas al respecto por los órganos legalmente competentes y de acuerdo con lo planteado ante los mismos (STC 103/1991, de 13 de mayo, FJ 3).</w:t>
      </w:r>
    </w:p>
    <w:p w:rsidR="00DE14C9" w:rsidRDefault="00DE14C9" w:rsidP="00DE14C9">
      <w:pPr>
        <w:pStyle w:val="TextoNormal"/>
      </w:pPr>
      <w:r>
        <w:t>La circunstancia de que obre en las actuaciones copia del escrito dirigido por la formación política demandante de amparo al Juzgado de lo Contencioso-Administrativo núm. 4 de A Coruña, pidiendo se tuviera en cuenta la rectificación en la composición de la candidatura electoral —escrito también presentado ante la Junta Electoral Provincial de Carballo— permite concluir el presente procedimiento declarando, por lo expuesto, la nulidad de la Sentencia impugnada, así como el derecho de la entidad política demandante de amparo a que la Junta electoral de zona indicada tenga por subsanado el defecto en su día no advertido, de conformidad con lo dispuesto en el último inciso del art. 47.2 de la Ley Orgánica 5/1985.</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el Partido dos Socialistas de Galicia-Partido Socialista Obrero Español (PSdeG-PSOE) y, en consecuencia:</w:t>
      </w:r>
    </w:p>
    <w:p w:rsidR="00DE14C9" w:rsidRDefault="00DE14C9" w:rsidP="00DE14C9">
      <w:pPr>
        <w:pStyle w:val="TextoNormal"/>
      </w:pPr>
      <w:r>
        <w:t>1° Reconocer sus derechos a acceder en condiciones de igualdad a las funciones y cargos públicos (art. 23.2 CE) y a la tutela judicial efectiva sin indefensión (art. 24.1 CE).</w:t>
      </w:r>
    </w:p>
    <w:p w:rsidR="00DE14C9" w:rsidRDefault="00DE14C9" w:rsidP="00DE14C9">
      <w:pPr>
        <w:pStyle w:val="TextoNormal"/>
      </w:pPr>
      <w:r>
        <w:t>2º Declarar la nulidad de la Sentencia de 4 de mayo de 2007, dictada por el Juzgado de lo Contencioso-Administrativo núm. 4 de A Coruña en el recurso contencioso-electoral 131-2007.</w:t>
      </w:r>
    </w:p>
    <w:p w:rsidR="00DE14C9" w:rsidRDefault="00DE14C9" w:rsidP="00DE14C9">
      <w:pPr>
        <w:pStyle w:val="TextoNormal"/>
      </w:pPr>
      <w:r>
        <w:t>3º Retrotraer las actuaciones al momento anterior al Acuerdo de la Junta electoral de zona de Carballo de proclamación de la candidatura del Partido dos Socialistas de Galicia-Partido Socialista Obrero Español (PSdeG-PSOE), para que por dicha Junta Electoral se permita la subsanación de la irregularidad apreciada.</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nueve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14" w:name="SENTENCIA_2007_101"/>
      <w:r>
        <w:lastRenderedPageBreak/>
        <w:t>SENTENCIA 101/2007, de 9 de mayo de 2007</w:t>
      </w:r>
    </w:p>
    <w:bookmarkEnd w:id="14"/>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137, de 8 de junio de 2007)</w:t>
      </w:r>
    </w:p>
    <w:p w:rsidR="00DE14C9" w:rsidRDefault="00DE14C9" w:rsidP="00DE14C9">
      <w:pPr>
        <w:pStyle w:val="TtuloBOE"/>
      </w:pPr>
    </w:p>
    <w:p w:rsidR="00DE14C9" w:rsidRDefault="00DE14C9" w:rsidP="00DE14C9">
      <w:pPr>
        <w:pStyle w:val="SntesisDescriptiva"/>
      </w:pPr>
      <w:r>
        <w:t>ECLI:ES:TC:2007:101</w:t>
      </w:r>
    </w:p>
    <w:p w:rsidR="00DE14C9" w:rsidRDefault="00DE14C9" w:rsidP="00DE14C9">
      <w:pPr>
        <w:pStyle w:val="SntesisDescriptiva"/>
      </w:pPr>
    </w:p>
    <w:p w:rsidR="00DE14C9" w:rsidRDefault="00DE14C9" w:rsidP="00DE14C9">
      <w:pPr>
        <w:pStyle w:val="SntesisDescriptiva"/>
      </w:pPr>
      <w:r>
        <w:t>Recurso de amparo electoral 4011-2007. Promovido por la Agrupación Progresista de Abegondo respecto a la Sentencia del Juzgado de lo Contencioso-Administrativo núm. 3 de A Coruña que anuló la proclamación de candidaturas en las elecciones locales por la circunscripción de Abegondo.</w:t>
      </w:r>
    </w:p>
    <w:p w:rsidR="00DE14C9" w:rsidRDefault="00DE14C9" w:rsidP="00DE14C9">
      <w:pPr>
        <w:pStyle w:val="SntesisDescriptiva"/>
      </w:pPr>
    </w:p>
    <w:p w:rsidR="00DE14C9" w:rsidRDefault="00DE14C9" w:rsidP="00DE14C9">
      <w:pPr>
        <w:pStyle w:val="SntesisAnaltica"/>
      </w:pPr>
      <w:r>
        <w:t>Vulneración de los derechos a acceder a los cargos representativos y a la tutela judicial sin indefensión: anulación de candidatura electoral por infringir la paridad entre mujeres y hombres sin permitir su subsanación; contencioso-electoral sin contradicción (STC 96/2007).</w:t>
      </w:r>
    </w:p>
    <w:p w:rsidR="00DE14C9" w:rsidRDefault="00DE14C9" w:rsidP="00DE14C9">
      <w:pPr>
        <w:pStyle w:val="SntesisAnaltica"/>
      </w:pPr>
    </w:p>
    <w:p w:rsidR="00DE14C9" w:rsidRDefault="00DE14C9" w:rsidP="00DE14C9">
      <w:pPr>
        <w:pStyle w:val="Extracto"/>
      </w:pPr>
      <w:r>
        <w:t>1.</w:t>
      </w:r>
      <w:r>
        <w:tab/>
        <w:t>No resultan constitucionalmente admisibles interpretaciones desproporcionadas de la legislación electoral que conduzcan a la anulación de candidaturas electorales por defectos subsanables que no fueron puestos de manifiesto en ningún momento por la Administración electoral, resultando de este modo vulnerado el art. 23.2 CE, ya que la LOREG introduce un deber de examen de oficio para la Administración (SSTC 73/1986, 84/2003) [FFJJ 2, 3].</w:t>
      </w:r>
    </w:p>
    <w:p w:rsidR="00DE14C9" w:rsidRDefault="00DE14C9" w:rsidP="00DE14C9">
      <w:pPr>
        <w:pStyle w:val="Extracto"/>
      </w:pPr>
    </w:p>
    <w:p w:rsidR="00DE14C9" w:rsidRDefault="00DE14C9" w:rsidP="00DE14C9">
      <w:pPr>
        <w:pStyle w:val="Extracto"/>
      </w:pPr>
      <w:r>
        <w:t>2.</w:t>
      </w:r>
      <w:r>
        <w:tab/>
        <w:t>El órgano  judicial vulnera el derecho al sufragio pasivo por no modular los efectos de la declaración de nulidad, requiriendo a la Junta electoral para que otorgase a la candidatura el plazo de subsanación [FJ 4].</w:t>
      </w:r>
    </w:p>
    <w:p w:rsidR="00DE14C9" w:rsidRDefault="00DE14C9" w:rsidP="00DE14C9">
      <w:pPr>
        <w:pStyle w:val="Extracto"/>
      </w:pPr>
    </w:p>
    <w:p w:rsidR="00DE14C9" w:rsidRDefault="00DE14C9" w:rsidP="00DE14C9">
      <w:pPr>
        <w:pStyle w:val="Extracto"/>
      </w:pPr>
      <w:r>
        <w:t>3.</w:t>
      </w:r>
      <w:r>
        <w:tab/>
        <w:t>El deber de los órganos judiciales de emplazar personalmente a quienes pudieran ostentar un legítimo interés en el mantenimiento del acto impugnado, pesa sobre los órganos judiciales llamados a resolver el proceso contencioso-electoral, pues no se podría justificar nunca la omisión del llamamiento al procedimiento de quienes ven directamente comprometido su derecho de sufragio pasivo (STC 85/1987) [FJ 5].</w:t>
      </w:r>
    </w:p>
    <w:p w:rsidR="00DE14C9" w:rsidRDefault="00DE14C9" w:rsidP="00DE14C9">
      <w:pPr>
        <w:pStyle w:val="Extracto"/>
      </w:pPr>
    </w:p>
    <w:p w:rsidR="00DE14C9" w:rsidRDefault="00DE14C9" w:rsidP="00DE14C9">
      <w:pPr>
        <w:pStyle w:val="Extracto"/>
      </w:pPr>
      <w:r>
        <w:t>4.</w:t>
      </w:r>
      <w:r>
        <w:tab/>
        <w:t>Una alegada vulneración del derecho a la igualdad carece de contenido constitucional si no se ofrece ningún término válido de comparación para el cotejo de las resoluciones impugnadas (SSTC 111/2002, 106/2003) [FJ 5].</w:t>
      </w:r>
    </w:p>
    <w:p w:rsidR="00DE14C9" w:rsidRDefault="00DE14C9" w:rsidP="00DE14C9">
      <w:pPr>
        <w:pStyle w:val="Extracto"/>
      </w:pPr>
    </w:p>
    <w:p w:rsidR="00DE14C9" w:rsidRDefault="00DE14C9" w:rsidP="00DE14C9">
      <w:pPr>
        <w:pStyle w:val="Extracto"/>
      </w:pPr>
      <w:r>
        <w:t>5.</w:t>
      </w:r>
      <w:r>
        <w:tab/>
        <w:t>La perentoriedad de los plazos del proceso electoral no permite la mera retroacción de actuaciones al momento procesal oportuno para que la representación del partido político solicitante de amparo sea citada al proceso y el Juzgado pueda dictar nueva sentencia sin ocasionar indefensión (STC 71/1995) [FJ 5].</w:t>
      </w:r>
    </w:p>
    <w:p w:rsidR="00DE14C9" w:rsidRDefault="00DE14C9" w:rsidP="00DE14C9">
      <w:pPr>
        <w:pStyle w:val="Extracto"/>
      </w:pPr>
    </w:p>
    <w:p w:rsidR="00DE14C9" w:rsidRDefault="00DE14C9" w:rsidP="00DE14C9">
      <w:pPr>
        <w:pStyle w:val="Extracto"/>
      </w:pPr>
      <w:r>
        <w:t>6.</w:t>
      </w:r>
      <w:r>
        <w:tab/>
        <w:t>En los supuestos de amparo electoral no resulta exigible la utilización del incidente excepcional de nulidad de actuaciones del art. 241 Ley Orgánica del Poder Judicial [FJ 5].</w:t>
      </w:r>
    </w:p>
    <w:p w:rsidR="00DE14C9" w:rsidRDefault="00DE14C9" w:rsidP="00DE14C9">
      <w:pPr>
        <w:pStyle w:val="Extracto"/>
      </w:pPr>
    </w:p>
    <w:p w:rsidR="00DE14C9" w:rsidRDefault="00DE14C9" w:rsidP="00DE14C9">
      <w:pPr>
        <w:pStyle w:val="Extracto"/>
      </w:pPr>
      <w:r>
        <w:lastRenderedPageBreak/>
        <w:t>7.</w:t>
      </w:r>
      <w:r>
        <w:tab/>
        <w:t>El Tribunal ha negado siempre la posibilidad de que quienes se personan en un proceso constitucional de amparo a tenor del art. 51.2 LOTC, una vez admitido a trámite el recurso, puedan convertirse en codemandantes y pedir la reparación o la preservación de sus propios derechos fundamentales (STC 220/2004) [FJ 6].</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electoral núm. 4011-2007, promovido por la Agrupación Progresista de Abegondo, representado por la Procuradora de los Tribunales doña Begoña Fernández P. Zabalgoitia y asistido por el Letrado don Antonio Platas Tasende, contra la Sentencia de 4 de mayo de 2007 del Juzgado de lo Contencioso-Administrativo núm. 3 de A Coruña, que estima el recurso contencioso-electoral núm. 129-2007, interpuesto por el representante de las candidaturas presentadas por el Partido Popular (PP) en la provincia de A Coruña contra el Acuerdo de la Junta electoral de zona de Betanzos de proclamación de las candidaturas del PSdG-PSOE, de la Agrupación Progresista de Abegondo (APdA) y del Partido Galeguista en la circunscripción electoral de Abegondo. Ha intervenido el Ministerio Fiscal. Ha sido Ponente la Presidenta doña María Emilia Casas Baamonde,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el Registro General de este Tribunal el 7 de mayo de 2007, la Procuradora de los Tribunales doña Begoña Fernández P. Zabalgoitia, en nombre y representación la Agrupación Progresista de Abegondo, interpuso recurso de amparo contra la resolución judicial referida en el encabezamiento, por vulneración de los derechos a la igualdad (art. 14 CE), a acceder a los cargos públicos en condiciones de igualdad (art. 23.2 CE), a la tutela judicial efectiva (art. 24.1 CE) y a un proceso con todas las garantías (art. 23.2 CE).</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en que se fundamenta la demanda de amparo electoral, relevantes para la resolución del caso, son los que se expresan a continuación: </w:t>
      </w:r>
    </w:p>
    <w:p w:rsidR="00DE14C9" w:rsidRDefault="00DE14C9" w:rsidP="00DE14C9">
      <w:pPr>
        <w:pStyle w:val="TextoNormal"/>
      </w:pPr>
      <w:r>
        <w:t xml:space="preserve">a) La Agrupación Progresista de Abegondo presentó ante la Junta electoral de zona de Betanzos una candidatura en la circunscripción electoral de Abegondo para las elecciones </w:t>
      </w:r>
      <w:r>
        <w:lastRenderedPageBreak/>
        <w:t xml:space="preserve">municipales convocadas por Real Decreto 444/2007, de 2 de abril, candidatura que fue proclamada por Acuerdo de la referida Junta electoral de zona publicado en el “Boletín Oficial de la Provincia de A Coruña” de 1 de mayo de 2007. </w:t>
      </w:r>
    </w:p>
    <w:p w:rsidR="00DE14C9" w:rsidRDefault="00DE14C9" w:rsidP="00DE14C9">
      <w:pPr>
        <w:pStyle w:val="TextoNormal"/>
      </w:pPr>
      <w:r>
        <w:t xml:space="preserve">b) El 3 de mayo de 2007 el representante de las candidaturas presentadas por el Partido Popular (PP) en la provincia de A Coruña impugnó el Acuerdo de la Junta electoral de zona de Betanzos por el que se proclamaron las candidaturas presentadas por el Partido dos Socialistas de Galicia–Partido Socialista Obrero Español (PSdG-PSOE), la Agrupación Progresista de Abegondo (APdeA) y el Partido Galeguista en la circunscripción electoral de Abegondo, interesando que se anulasen dichas candidaturas por incumplir lo dispuesto en el art. 44 bis de la Ley Orgánica del régimen electoral general (LOREG), introducido por la Ley Orgánica 3/2007, de 22 de marzo, para la igualdad efectiva de mujeres y hombres, toda vez que el número de mujeres de dichas candidaturas no alcanzaban el mínimo porcentual del cuarenta por ciento que dicho precepto establece, siendo esta exigencia legal aplicable al municipio de Abegondo, por contar con más de 5.000 habitantes, de conformidad con lo dispuesto en la disposición transitoria séptima de la LOREG, añadida también por la Ley Orgánica 3/2007. </w:t>
      </w:r>
    </w:p>
    <w:p w:rsidR="00DE14C9" w:rsidRDefault="00DE14C9" w:rsidP="00DE14C9">
      <w:pPr>
        <w:pStyle w:val="TextoNormal"/>
      </w:pPr>
      <w:r>
        <w:t>c) El Juzgado de lo Contencioso-Administrativo núm. 3 de A Coruña estimó el recurso contencioso-electoral (núm. 129-2007) interpuesto por el representante del PP contra el referido Acuerdo de la Junta electoral de zona de Betanzos, procediendo a anular dicho Acuerdo y las candidaturas proclamadas, al apreciar que las mismas incumplen la exigencia de composición equilibrada entre hombres y mujeres contenida en el art. 44 bis LOREG, pues, valorada en su conjunto la candidatura presentada por la Agrupación Progresista de Abegondo para las elecciones locales en el municipio de Abegondo, resulta que presenta cinco mujeres sobre un total de trece candidatos, por lo que no alcanza el mínimo del 40 por 100 legalmente establecido, que exigiría un mínimo de seis mujeres en la lista. Por la misma razón se anulan las candidaturas presentadas por el Partido dos Socialistas de Galicia–Partido Socialista Obrero Español (PSdG-PSOE) y por el Partido Galeguista en la circunscripción electoral de Abegondo, extremo éste de la Sentencia impugnada que no es objeto del presente recurso de amparo.</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La agrupación demandante de amparo solicita que se anule la Sentencia recurrida y que se declare en consecuencia la validez del Acuerdo de la Junta electoral de zona de Betanzos por el que se proclamó la candidatura que presentaba. Subsidiariamente pide la retroacción de actuaciones al momento anterior a la adopción de este Acuerdo para que se le conceda el plazo de subsanación al que se refiere el art. 47.2 LOREG. Aún subsidiariamente solicita la retroacción al momento anterior al dictado de la Sentencia impugnada para que se le emplace y se le conceda un trámite de alegaciones. Sustenta estas peticiones en la vulneración de los derechos a la igualdad (art. 14 CE), a acceder a los cargos públicos en condiciones de igualdad (art. 23.2 CE), a la tutela judicial efectiva (art. 24.1 CE) y a un proceso con todas las garantías (art. 23.2 CE). </w:t>
      </w:r>
    </w:p>
    <w:p w:rsidR="00DE14C9" w:rsidRDefault="00DE14C9" w:rsidP="00DE14C9">
      <w:pPr>
        <w:pStyle w:val="TextoNormal"/>
      </w:pPr>
      <w:r>
        <w:t xml:space="preserve">En la primera de las quejas de amparo se invoca como vulnerado el derecho a la igualdad, dado que la Junta electoral de zona de Betanzos ha otorgado el plazo de subsanación al que se refiere el art. 47.2 LOREG a otras candidaturas que presentaban el mismo defecto y dado que cuando no ha sido así “el Juzgado de lo Contencioso-administrativo de A Coruña” ha otorgado su tutela y ha concedido tal plazo. </w:t>
      </w:r>
    </w:p>
    <w:p w:rsidR="00DE14C9" w:rsidRDefault="00DE14C9" w:rsidP="00DE14C9">
      <w:pPr>
        <w:pStyle w:val="TextoNormal"/>
      </w:pPr>
      <w:r>
        <w:t xml:space="preserve">Con cita de las STC 59/1987, de 19 de mayo, la segunda queja tiene por contenido la vulneración del derecho de acceso a los cargos públicos en condiciones de igualdad, pues la Sentencia impugnada ha llevado a cabo una interpretación desproporcionada del art. 47.2 </w:t>
      </w:r>
      <w:r>
        <w:lastRenderedPageBreak/>
        <w:t xml:space="preserve">LOREG que ha conducido a la anulación de una candidatura electoral por un defecto que debió ser puesto de manifiesto por la Administración electoral para su oportuna subsanación. </w:t>
      </w:r>
    </w:p>
    <w:p w:rsidR="00DE14C9" w:rsidRDefault="00DE14C9" w:rsidP="00DE14C9">
      <w:pPr>
        <w:pStyle w:val="TextoNormal"/>
      </w:pPr>
      <w:r>
        <w:t>La tercera y última queja se refiere a la vulneración de los derechos a la tutela judicial efectiva y a un proceso con todas las garantías que se derivaría del hecho de que el Juzgado no notificara a la agrupación recurrente el recurso contencioso electoral interpuesto por el PP ex art. 49.1 LOREG, ni se le diera, en consecuencia, trámite de alegaciones con el que poder ejercitar su derecho de defensa. Además, la Sentencia del Juzgado se limitó a anular el acuerdo de proclamación, sin retroacción para la concesión a la recurrente de un plazo de subsanación.</w:t>
      </w:r>
    </w:p>
    <w:p w:rsidR="00DE14C9" w:rsidRDefault="00DE14C9" w:rsidP="00DE14C9">
      <w:pPr>
        <w:pStyle w:val="TextoNormal"/>
      </w:pPr>
    </w:p>
    <w:p w:rsidR="00DE14C9" w:rsidRDefault="00DE14C9" w:rsidP="00DE14C9">
      <w:pPr>
        <w:pStyle w:val="TextoNormal"/>
      </w:pPr>
      <w:r w:rsidRPr="00DE14C9">
        <w:rPr>
          <w:rStyle w:val="NumeroAFNegritaCaracter"/>
        </w:rPr>
        <w:t>4</w:t>
      </w:r>
      <w:r>
        <w:t>. Mediante diligencia de ordenación de 7 de mayo de 2007, el Secretario de Justicia de la Sala Primera de este Tribunal acordó, en conformidad con lo dispuesto en el Acuerdo del Pleno de 20 de enero de 2000, recabar del Juzgado de lo Contencioso-Administrativo núm. 3 de A Coruña las actuaciones correspondientes, así como la acreditación de emplazamiento de las partes, que fueron remitidas a este Tribunal. Igualmente se acordó dar vista al Ministerio Fiscal para que en el plazo de un día natural formulase las alegaciones pertinentes.</w:t>
      </w:r>
    </w:p>
    <w:p w:rsidR="00DE14C9" w:rsidRDefault="00DE14C9" w:rsidP="00DE14C9">
      <w:pPr>
        <w:pStyle w:val="TextoNormal"/>
      </w:pPr>
    </w:p>
    <w:p w:rsidR="00DE14C9" w:rsidRDefault="00DE14C9" w:rsidP="00DE14C9">
      <w:pPr>
        <w:pStyle w:val="TextoNormal"/>
      </w:pPr>
      <w:r w:rsidRPr="00DE14C9">
        <w:rPr>
          <w:rStyle w:val="NumeroAFNegritaCaracter"/>
        </w:rPr>
        <w:t>5</w:t>
      </w:r>
      <w:r>
        <w:t>. El Ministerio Fiscal presentó sus alegaciones el 8 de mayo de 2007, en las que, tras recordar lo dispuesto en el art. 47.2 LOREG y la doctrina de este Tribunal en materia de subsanación de irregularidades en la presentación de candidaturas (cita las SSTC 24/1989, 95/1991, 113/1991 y 84/2003), concluye señalando que procedería otorgar el amparo solicitado por vulneración del art. 23.2 CE si se confirma, a la vista de las actuaciones, que la agrupación recurrente ha sido efectivamente privada del trámite de subsanación.</w:t>
      </w:r>
    </w:p>
    <w:p w:rsidR="00DE14C9" w:rsidRDefault="00DE14C9" w:rsidP="00DE14C9">
      <w:pPr>
        <w:pStyle w:val="TextoNormal"/>
      </w:pPr>
    </w:p>
    <w:p w:rsidR="00DE14C9" w:rsidRDefault="00DE14C9" w:rsidP="00DE14C9">
      <w:pPr>
        <w:pStyle w:val="TextoNormal"/>
      </w:pPr>
      <w:r w:rsidRPr="00DE14C9">
        <w:rPr>
          <w:rStyle w:val="NumeroAFNegritaCaracter"/>
        </w:rPr>
        <w:t>6</w:t>
      </w:r>
      <w:r>
        <w:t>. Por escrito de 9 de mayo de 2007 comparece la representación del Partido Galeguista y se adhiere al recurso de amparo, solicitando que como consecuencia de la anulación de la Sentencia impugnada se permita a su representada trámite de subsanación de su candidatura.</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Se impugna en el presente recurso de amparo electoral la Sentencia de 4 de mayo de 2007 del Juzgado de lo Contencioso-Administrativo núm. 3 de A Coruña, que estimó el recurso contencioso-electoral núm. 129-2007, contra el Acuerdo de la Junta electoral de zona de Betanzos de proclamación de la candidatura de la Agrupación Progresista de Abegondo en la circunscripción electoral de Abegondo. La agrupación solicitante de amparo se queja de que se han vulnerado sus derechos fundamentales a la igualdad (art.  14 CE), a acceder a los cargos públicos en condiciones de igualdad (art. 23.2 CE), a la tutela judicial efectiva (art. 24.1 CE) y a un proceso con todas las garantías (art. 24.2 CE).</w:t>
      </w:r>
    </w:p>
    <w:p w:rsidR="00DE14C9" w:rsidRDefault="00DE14C9" w:rsidP="00DE14C9">
      <w:pPr>
        <w:pStyle w:val="TextoNormal"/>
      </w:pPr>
    </w:p>
    <w:p w:rsidR="00DE14C9" w:rsidRDefault="00DE14C9" w:rsidP="00DE14C9">
      <w:pPr>
        <w:pStyle w:val="TextoNormal"/>
      </w:pPr>
      <w:r w:rsidRPr="00DE14C9">
        <w:rPr>
          <w:rStyle w:val="NumeroAFNegritaCaracter"/>
        </w:rPr>
        <w:t>2</w:t>
      </w:r>
      <w:r>
        <w:t>. La agrupación electoral solicitante de amparo denuncia como queja principal la vulneración de su derecho de sufragio pasivo, garantizado por el art. 23.2 CE, pues entiende que no resultan constitucionalmente admisibles interpretaciones desproporcionadas de la legislación electoral, como la que ha realizado la Sentencia impugnada en amparo, que conduzcan a la anulación de candidaturas electorales por defectos subsanables que no fueron puestos de manifiesto en ningún momento por la Administración electoral.</w:t>
      </w:r>
    </w:p>
    <w:p w:rsidR="00DE14C9" w:rsidRDefault="00DE14C9" w:rsidP="00DE14C9">
      <w:pPr>
        <w:pStyle w:val="TextoNormal"/>
      </w:pPr>
      <w:r>
        <w:lastRenderedPageBreak/>
        <w:t>Del examen de actuaciones resulta, en efecto, que la Junta electoral de zona de Betanzos procedió a proclamar la candidatura presentada por la Agrupación Progresista de Abegondo en la circunscripción electoral de Abegondo, para las elecciones municipales convocadas por Real Decreto 444/2007, de 2 de abril, sin advertir que dicha candidatura incumplía, como se razona en la Sentencia impugnada, la exigencia de composición equilibrada entre hombres y mujeres contenida en el art. 44 bis de la Ley Orgánica del régimen electoral general (LOREG: exigencia aplicable al municipio de Abegondo, conforme a la disposición transitoria séptima LOREG, añadida también por la Ley Orgánica 3/2007, por contar con un número de residentes superior a los 5.000 habitantes), pues presenta cinco mujeres sobre un total de trece candidatos, por lo que no alcanza el mínimo del 40 por 100 establecido por dicho precepto, que exigiría en el presente caso al menos seis candidatas en la lista.</w:t>
      </w:r>
    </w:p>
    <w:p w:rsidR="00DE14C9" w:rsidRDefault="00DE14C9" w:rsidP="00DE14C9">
      <w:pPr>
        <w:pStyle w:val="TextoNormal"/>
      </w:pPr>
      <w:r>
        <w:t>Y se constata igualmente, lo que resulta determinante para el otorgamiento del amparo por vulneración del derecho al sufragio pasivo garantizado por el art. 23.2 CE, que la Junta electoral de zona de Betanzos, al no advertir defecto alguno en la candidatura presentada por la Agrupación Progresista de Abegondo en la circunscripción electoral de Abegondo, no dio oportunidad a esta formación política de subsanar el defecto en la composición equilibrada entre hombres y mujeres de la candidatura que exige el art. 44 bis LOREG, subsanación que tampoco posibilitó posteriormente la Sentencia impugnada del Juzgado de lo Contencioso-Administrativo.</w:t>
      </w:r>
    </w:p>
    <w:p w:rsidR="00DE14C9" w:rsidRDefault="00DE14C9" w:rsidP="00DE14C9">
      <w:pPr>
        <w:pStyle w:val="TextoNormal"/>
      </w:pPr>
    </w:p>
    <w:p w:rsidR="00DE14C9" w:rsidRDefault="00DE14C9" w:rsidP="00DE14C9">
      <w:pPr>
        <w:pStyle w:val="TextoNormal"/>
      </w:pPr>
      <w:r w:rsidRPr="00DE14C9">
        <w:rPr>
          <w:rStyle w:val="NumeroAFNegritaCaracter"/>
        </w:rPr>
        <w:t>3</w:t>
      </w:r>
      <w:r>
        <w:t>. Nuestra doctrina en materia de subsanación de irregularidades sufridas en la presentación de candidaturas ante la Administración electoral puede resumirse en la afirmación de que, por principio, los errores e irregularidades cometidos en la presentación de éstas son subsanables y que, en consecuencia, las Juntas electorales han de ofrecer la oportunidad de que las candidaturas en las que se han detectado lo hagan. Busca con ello la Ley Orgánica del régimen electoral general,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w:t>
      </w:r>
    </w:p>
    <w:p w:rsidR="00DE14C9" w:rsidRDefault="00DE14C9" w:rsidP="00DE14C9">
      <w:pPr>
        <w:pStyle w:val="TextoNormal"/>
      </w:pPr>
      <w:r>
        <w:t xml:space="preserve">Deriva de lo expuesto el que si por la Administración electoral se incumple este deber legal en orden al examen de los escritos de presentación de candidaturas, no dándose así ocasión a los interesados para la reparación de unos defectos que después llevan al rechazo de aquéllas, se habrá ignorado, con ello, una garantía dispuesta por la Ley Orgánica del régimen electoral general para la efectividad, como queda dicho, del derecho de sufragio pasivo, que resultará así afectado negativamente en la medida en que se desconozca por una Junta electoral, o se atienda sólo imperfectamente la exigencia legal de la que aquí se trata. En modo alguno empaña esta conclusión, ni la consideración general que se acaba de hacer sobre la afectación del derecho reconocido en el art. 23.2 CE, el hecho de que, en estos casos, el resultado finalmente gravoso para candidaturas y candidatos —la denegación de su proclamación como tales— se llegue a producir por no haberse reparado un defecto fruto de la ignorancia o de la negligencia de quienes presentaron la candidatura sin cumplir, en todos sus extremos, las prevenciones legales, sin perjuicio, como es obvio, del deber de </w:t>
      </w:r>
      <w:r>
        <w:lastRenderedPageBreak/>
        <w:t>diligencia y de colaboración con la Administración electoral que pesa sobre los candidatos y las formaciones políticas que les avalan (SSTC 67/1987, de 21 de mayo, FJ 3; 73/1995, de 12 de mayo, FJ 3; y 80/2002, de 8 de abril, FJ 7).</w:t>
      </w:r>
    </w:p>
    <w:p w:rsidR="00DE14C9" w:rsidRDefault="00DE14C9" w:rsidP="00DE14C9">
      <w:pPr>
        <w:pStyle w:val="TextoNormal"/>
      </w:pPr>
      <w:r>
        <w:t>En efecto, en este específico procedimiento, no ha querido la Ley Orgánica del régimen electoral general dejar la suerte de las candidaturas a merced de la sola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Orgánica del régimen electoral general que tal irregularidad depare aquella sanción sin que antes se haga posible, mediante su identificación y advertencia de oficio, la oportuna subsanación, siempre, claro ésta, que ello sea materialmente factible (SSTC 73/1986, de 3 de junio, FJ 1; 59/1987, de 19 de mayo, FJ 3; 86/1987, de 1 de junio, FJ 4; 24/1989, de 2 de febrero, FJ 95/1991, de 7 de mayo, FJ 2; 113/1991, de 20 de mayo, FJ 3; 175/1991, de 16 de septiembre, FJ 2; y 84/2003, de 8 de mayo, FJ 3).</w:t>
      </w:r>
    </w:p>
    <w:p w:rsidR="00DE14C9" w:rsidRDefault="00DE14C9" w:rsidP="00DE14C9">
      <w:pPr>
        <w:pStyle w:val="TextoNormal"/>
      </w:pPr>
    </w:p>
    <w:p w:rsidR="00DE14C9" w:rsidRDefault="00DE14C9" w:rsidP="00DE14C9">
      <w:pPr>
        <w:pStyle w:val="TextoNormal"/>
      </w:pPr>
      <w:r w:rsidRPr="00DE14C9">
        <w:rPr>
          <w:rStyle w:val="NumeroAFNegritaCaracter"/>
        </w:rPr>
        <w:t>4</w:t>
      </w:r>
      <w:r>
        <w:t>. La Sentencia impugnada señala que la candidatura presentada por la Agrupación Progresista de Abegondo en la circunscripción electoral de Abegondo contenía una candidata menos del número mínimo que resulta exigible para dar cumplimiento a la exigencia de composición equilibrada entre hombres y mujeres que exige el art. 44 bis LOREG. Pero la irregularidad cometida por la agrupación solicitante de amparo en la presentación de dicha candidatura no puede tener la trascendencia fatal para el derecho fundamental a acceder en condiciones de igualdad a las funciones y cargos públicos (art. 23.2 CE) que ha apreciado el órgano judicial, pues se trata de una irregularidad subsanable y no advertida por la Junta electoral de zona de Betanzos, lo que dio lugar a que no se diese ocasión a la representación de la Agrupación Progresista de Abegondo para su subsanación, conforme a lo dispuesto en el art. 47.2 LOREG.</w:t>
      </w:r>
    </w:p>
    <w:p w:rsidR="00DE14C9" w:rsidRDefault="00DE14C9" w:rsidP="00DE14C9">
      <w:pPr>
        <w:pStyle w:val="TextoNormal"/>
      </w:pPr>
      <w:r>
        <w:t>La Administración electoral considera expresamente, y de manera general, el carácter subsanable de los defectos que puedan presentar las candidaturas presentadas por las formaciones políticas en cuanto a la exigencia establecida por el citado art.  44 bis LOREG, conforme al cual (apartado 1, párrafo primero) las candidaturas “deberán tener una composición equilibrada de mujeres y hombres, de forma que en el conjunto de la lista los candidatos de cada uno de los sexos supongan como mínimo el cuarenta por ciento”, proporción que deberá mantenerse también en cada tramo de cinco puestos, de suerte que si el número de candidatos o el último tramo de la lista no alcanzase los cinco puestos, la proporción de mujeres y hombres será lo más cercano posible al equilibrio numérico, manteniendo la proporción respecto del conjunto de la lista (apartados 1 y 2 del art. 44 bis LOREG), reglas éstas igualmente aplicables a las listas de suplentes (apartado 3 del art. 44 bis LOREG).</w:t>
      </w:r>
    </w:p>
    <w:p w:rsidR="00DE14C9" w:rsidRDefault="00DE14C9" w:rsidP="00DE14C9">
      <w:pPr>
        <w:pStyle w:val="TextoNormal"/>
      </w:pPr>
      <w:r>
        <w:t xml:space="preserve">Y así, en efecto, el punto primero de la Instrucción 8/2007, de 19 de abril, de la Junta Electoral Central, sobre interpretación del trámite de subsanación de irregularidades previsto en el art. 48.1 LOREG por incumplimiento de los requisitos de los arts.  44 bis y 187.2 LOREG, en la redacción dada por la Ley Orgánica 3/2007, de 22 de marzo, para la igualdad efectiva de mujeres y hombres, establece que “(d)urante el plazo de subsanación de las irregularidades advertidas por las Juntas Electorales competentes en las candidaturas presentadas, cuando la causa sea el incumplimiento de lo dispuesto en el artículo 44 bis de la LOREG o en la legislación autonómica aplicable sobre candidaturas paritarias, podrá modificarse el orden de los candidatos, o incluir o excluir algún candidato, siempre que con ello se trate </w:t>
      </w:r>
      <w:r>
        <w:lastRenderedPageBreak/>
        <w:t>estrictamente de subsanar la irregularidad apreciada, de conformidad con lo dispuesto en el último inciso del artículo 48.1 de la LOREG”.</w:t>
      </w:r>
    </w:p>
    <w:p w:rsidR="00DE14C9" w:rsidRDefault="00DE14C9" w:rsidP="00DE14C9">
      <w:pPr>
        <w:pStyle w:val="TextoNormal"/>
      </w:pPr>
      <w:r>
        <w:t>En definitiva, la interpretación de la legalidad aplicable del modo más favorable al derecho fundamental garantizado por el art. 23.2 CE, exigía que el órgano judicial, una vez apreciado el incumplimiento de lo dispuesto en el art. 44 bis LOREG, no se hubiese limitado a anular el Acuerdo de la Junta electoral de zona de Betanzos de proclamación de la candidatura de la Agrupación Progresista de Abegondo en la circunscripción electoral de Abegondo, sino que, en aras de preservar el derecho de sufragio pasivo, era preciso que modulase los efectos de dicha declaración de nulidad, requiriendo a la referida Junta electoral para que otorgase a dicha candidatura el plazo de subsanación previsto en el art. 47.2 LOREG, a fin de adecuar la misma a la proporción de candidatos de ambos sexos exigida por el art. 44 bis LOREG.</w:t>
      </w:r>
    </w:p>
    <w:p w:rsidR="00DE14C9" w:rsidRDefault="00DE14C9" w:rsidP="00DE14C9">
      <w:pPr>
        <w:pStyle w:val="TextoNormal"/>
      </w:pPr>
      <w:r>
        <w:t>Al no haberlo hecho así, el órgano judicial ha ocasionado a la agrupación recurrente en amparo la denunciada vulneración de su derecho al sufragio pasivo, lo que conduce al otorgamiento del amparo solicitado, precisamente para que la Junta electoral de zona de Betanzos otorgue el trámite de subsanación omitido, procediendo, en caso de que se subsanase el defecto en la composición equilibrada entre hombres y mujeres que exige el art. 44 bis LOREG, a proclamar la candidatura, o a la no proclamación de la misma, en caso contrario.</w:t>
      </w:r>
    </w:p>
    <w:p w:rsidR="00DE14C9" w:rsidRDefault="00DE14C9" w:rsidP="00DE14C9">
      <w:pPr>
        <w:pStyle w:val="TextoNormal"/>
      </w:pPr>
    </w:p>
    <w:p w:rsidR="00DE14C9" w:rsidRDefault="00DE14C9" w:rsidP="00DE14C9">
      <w:pPr>
        <w:pStyle w:val="TextoNormal"/>
      </w:pPr>
      <w:r w:rsidRPr="00DE14C9">
        <w:rPr>
          <w:rStyle w:val="NumeroAFNegritaCaracter"/>
        </w:rPr>
        <w:t>5</w:t>
      </w:r>
      <w:r>
        <w:t>. La demanda de amparo contiene otras dos quejas, atinentes al derecho a la igualdad (art. 14 CE) y al derecho a la tutela judicial efectiva (art. 24.1 CE). Si la primera carece de contenido constitucional, pues, con independencia de cualquier otra consideración, ningún término válido de comparación se ofrece para el cotejo de las resoluciones impugnadas (por todas, SSTC 111/2002, de 6 de mayo, FFJJ 2 y 4, y 106/2003, de 2 de junio, FJ 2), la segunda genera una segunda razón para el otorgamiento del amparo, puesto que el órgano judicial no notificó a la agrupación electoral recurrente el recurso interpuesto por el PP conforme al art. 49.1 LOREG contra el Acuerdo de la Junta electoral de zona de Betanzos de proclamación de su candidatura en la circunscripción electoral de Abegondo, ni le dio, en consecuencia, trámite de alegaciones para que tuviera ocasión de defender los derechos que para la candidatura presentada (esto es, para las personas que en ella figuraban) se derivaron de aquel acto de proclamación por la Administración electoral.</w:t>
      </w:r>
    </w:p>
    <w:p w:rsidR="00DE14C9" w:rsidRDefault="00DE14C9" w:rsidP="00DE14C9">
      <w:pPr>
        <w:pStyle w:val="TextoNormal"/>
      </w:pPr>
      <w:r>
        <w:t>Como ya tuvo ocasión de señalar este Tribunal en su STC 85/1987, de 29 de mayo, el deber de los órganos judiciales, que surge del art. 24.1 CE, de emplazar personalmente en el proceso a quienes pudieran ostentar un legítimo interés en el mantenimiento del acto impugnado (siempre que tales personas, como es obvio, sean identificables a partir de los datos expuestos en la demanda o en el expediente administrativo), no deja de pesar, como es evidente, sobre los órganos judiciales llamados a resolver el especial proceso contencioso-electoral, pues, aunque tal proceso se singulariza por una tramitación concentrada y abreviada (apartados 2 y 3 del art. 49 LOREG), “ello no podría justificar nunca la omisión de trámite de tanta relevancia para su regularidad constitucional como es el del debido llamamiento al procedimiento de quienes, por la impugnación, ven directamente comprometido su derecho de sufragio pasivo” (FFJJ 1 y 2).</w:t>
      </w:r>
    </w:p>
    <w:p w:rsidR="00DE14C9" w:rsidRDefault="00DE14C9" w:rsidP="00DE14C9">
      <w:pPr>
        <w:pStyle w:val="TextoNormal"/>
      </w:pPr>
      <w:r>
        <w:t xml:space="preserve">En el presente caso, la identidad de los afectados a raíz del recurso contencioso-electoral interpuesto por el PP contra el Acuerdo de la Junta electoral de zona de Betanzos de proclamación de la candidatura de la Agrupación Progresista de Abegondo para las elecciones locales en Abegondo era manifiesta. Sin embargo, según se comprueba a la vista de las actuaciones judiciales, no se hizo emplazamiento personal alguno, ni consta que hubiera sido conocida la interposición y pendencia del recurso contencioso-electoral en tiempo hábil </w:t>
      </w:r>
      <w:r>
        <w:lastRenderedPageBreak/>
        <w:t>por la agrupación ahora solicitante de amparo para personarse en el procedimiento. Por tanto, el Juzgado, al omitir el emplazamiento personal del representante de la agrupación directamente afectada por la impugnación de la proclamación de su candidatura en la circunscripción electoral de Abegondo, impidió la defensa de sus derechos en el referido proceso, vulnerando de este modo el derecho fundamental de la misma a la tutela judicial efectiva sin indefensión.</w:t>
      </w:r>
    </w:p>
    <w:p w:rsidR="00DE14C9" w:rsidRDefault="00DE14C9" w:rsidP="00DE14C9">
      <w:pPr>
        <w:pStyle w:val="TextoNormal"/>
      </w:pPr>
      <w:r>
        <w:t>Por otra parte, conviene advertir que no cabe hablar de falta de agotamiento de todos los recursos utilizables dentro de la vía judicial [art. 44.1 a) LOTC] por no haberse acudido al incidente excepcional de nulidad de actuaciones regulado en el art.  241 de la Ley Orgánica del Poder Judicial (LOPJ), puesto que en los supuestos de amparo electoral no resulta exigible la utilización de este incidente “atendida la regulación especial del recurso de amparo en materia electoral, la finalidad de proporcionar rápidamente certeza al resultado electoral y el tenor literal de los arts. 49 y 114 LOREG” (STC 155/2003, de 21 de julio, FJ 5, y ATC 13/2000, de 11 de enero, FJ 3).</w:t>
      </w:r>
    </w:p>
    <w:p w:rsidR="00DE14C9" w:rsidRDefault="00DE14C9" w:rsidP="00DE14C9">
      <w:pPr>
        <w:pStyle w:val="TextoNormal"/>
      </w:pPr>
      <w:r>
        <w:t>La estimación de esta queja por vulneración del art. 24.1 CE no puede ni debe modificar las consecuencias del amparo otorgado ex art. 23.2 CE (FJ 4). No es procedente en este caso la retroacción de actuaciones al momento procesal oportuno para que sea citada al proceso la representación de la agrupación solicitante de amparo, y el Juzgado pueda dictar nueva sentencia sin ocasionar indefensión. En efecto, esta solución no la permite la perentoriedad de los plazos del proceso electoral (STC 71/1995, de 11 de mayo, FJ 2), a lo que cabe añadir que, además, este Tribunal ha tenido el suficiente conocimiento de los hechos para enjuiciar, aquí y ahora, las cuestiones planteadas y, en definitiva, su objeto fundamental: si la anulación judicial de la proclamación de la candidatura presentada en la circunscripción electoral de Abegondo por la Agrupación Progresista de Abegondo vulnera el derecho de sufragio pasivo de esta formación política.</w:t>
      </w:r>
    </w:p>
    <w:p w:rsidR="00DE14C9" w:rsidRDefault="00DE14C9" w:rsidP="00DE14C9">
      <w:pPr>
        <w:pStyle w:val="TextoNormal"/>
      </w:pPr>
    </w:p>
    <w:p w:rsidR="00DE14C9" w:rsidRDefault="00DE14C9" w:rsidP="00DE14C9">
      <w:pPr>
        <w:pStyle w:val="TextoNormal"/>
      </w:pPr>
      <w:r w:rsidRPr="00DE14C9">
        <w:rPr>
          <w:rStyle w:val="NumeroAFNegritaCaracter"/>
        </w:rPr>
        <w:t>6</w:t>
      </w:r>
      <w:r>
        <w:t>. No es posible extender los efectos del amparo al Partido Galeguista, compareciente que así lo ha solicitado. Este Tribunal “ha negado siempre la posibilidad de que quienes se personan en un proceso constitucional de amparo a tenor del art. 51.2 LOTC, una vez admitido a trámite el recurso (AATC 308/1990, de 18 de julio, y 315/1995, de 20 de noviembre), puedan convertirse en codemandantes y pedir la reparación o la preservación de sus propios derechos fundamentales” (STC 220/2004, de 29 de noviembre, FJ 3).</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la Agrupación Progresista de Abegondo y, su virtud:</w:t>
      </w:r>
    </w:p>
    <w:p w:rsidR="00DE14C9" w:rsidRDefault="00DE14C9" w:rsidP="00DE14C9">
      <w:pPr>
        <w:pStyle w:val="TextoNormal"/>
      </w:pPr>
      <w:r>
        <w:t>1º Reconocer sus derechos a acceder en condiciones de igualdad a las funciones y cargos públicos (art. 23.2 CE) y a la tutela judicial efectiva sin indefensión (art. 24.1 CE).</w:t>
      </w:r>
    </w:p>
    <w:p w:rsidR="00DE14C9" w:rsidRDefault="00DE14C9" w:rsidP="00DE14C9">
      <w:pPr>
        <w:pStyle w:val="TextoNormal"/>
      </w:pPr>
      <w:r>
        <w:t xml:space="preserve">2º Declarar la nulidad de la Sentencia de 4 de mayo de 2007 del Juzgado de lo Contencioso-Administrativo núm. 3 de A Coruña, dictada en el recurso contencioso-electoral núm. 129-2007, en cuanto a la declaración de nulidad del Acuerdo de la Junta electoral de zona </w:t>
      </w:r>
      <w:r>
        <w:lastRenderedPageBreak/>
        <w:t>de Betanzos de proclamación de la candidatura la Agrupación Progresista de Abegondo en la circunscripción electoral de Abegondo.</w:t>
      </w:r>
    </w:p>
    <w:p w:rsidR="00DE14C9" w:rsidRDefault="00DE14C9" w:rsidP="00DE14C9">
      <w:pPr>
        <w:pStyle w:val="TextoNormal"/>
      </w:pPr>
      <w:r>
        <w:t>3º Retrotraer las actuaciones al momento anterior al Acuerdo de la Junta electoral de zona de Betanzos de proclamación de la candidatura de la Agrupación Progresista de Abegondo en la circunscripción electoral de Abegondo, para que por dicha Junta electoral se proceda a otorgar trámite de subsanación, en los términos expresados en el fundamento jurídico 4 de esta Sentencia.</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nueve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15" w:name="SENTENCIA_2007_102"/>
      <w:r>
        <w:lastRenderedPageBreak/>
        <w:t>SENTENCIA 102/2007, de 9 de mayo de 2007</w:t>
      </w:r>
    </w:p>
    <w:bookmarkEnd w:id="15"/>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137, de 8 de junio de 2007)</w:t>
      </w:r>
    </w:p>
    <w:p w:rsidR="00DE14C9" w:rsidRDefault="00DE14C9" w:rsidP="00DE14C9">
      <w:pPr>
        <w:pStyle w:val="TtuloBOE"/>
      </w:pPr>
    </w:p>
    <w:p w:rsidR="00DE14C9" w:rsidRDefault="00DE14C9" w:rsidP="00DE14C9">
      <w:pPr>
        <w:pStyle w:val="SntesisDescriptiva"/>
      </w:pPr>
      <w:r>
        <w:t>ECLI:ES:TC:2007:102</w:t>
      </w:r>
    </w:p>
    <w:p w:rsidR="00DE14C9" w:rsidRDefault="00DE14C9" w:rsidP="00DE14C9">
      <w:pPr>
        <w:pStyle w:val="SntesisDescriptiva"/>
      </w:pPr>
    </w:p>
    <w:p w:rsidR="00DE14C9" w:rsidRDefault="00DE14C9" w:rsidP="00DE14C9">
      <w:pPr>
        <w:pStyle w:val="SntesisDescriptiva"/>
      </w:pPr>
      <w:r>
        <w:t>Recurso de amparo electoral 4106-2007. Promovido por la Agrupación vecinal de electores das Parroquias de Malpica (AVE-Malpica) frente a la Sentencia del Juzgado de lo Contencioso-Administrativo núm. 4 de A Coruña que anuló la proclamación de su candidatura en las elecciones locales por la circunscripción de Malpica.</w:t>
      </w:r>
    </w:p>
    <w:p w:rsidR="00DE14C9" w:rsidRDefault="00DE14C9" w:rsidP="00DE14C9">
      <w:pPr>
        <w:pStyle w:val="SntesisDescriptiva"/>
      </w:pPr>
    </w:p>
    <w:p w:rsidR="00DE14C9" w:rsidRDefault="00DE14C9" w:rsidP="00DE14C9">
      <w:pPr>
        <w:pStyle w:val="SntesisAnaltica"/>
      </w:pPr>
      <w:r>
        <w:t>Vulneración de los derechos a acceder a los cargos representativos y a la tutela judicial sin indefensión: anulación de candidatura electoral por infringir la paridad entre mujeres y hombres sin permitir su subsanación; contencioso-electoral sin contradicción (STC 96/2007).</w:t>
      </w:r>
    </w:p>
    <w:p w:rsidR="00DE14C9" w:rsidRDefault="00DE14C9" w:rsidP="00DE14C9">
      <w:pPr>
        <w:pStyle w:val="SntesisAnaltica"/>
      </w:pPr>
    </w:p>
    <w:p w:rsidR="00DE14C9" w:rsidRDefault="00DE14C9" w:rsidP="00DE14C9">
      <w:pPr>
        <w:pStyle w:val="Extracto"/>
      </w:pPr>
      <w:r>
        <w:t>1.</w:t>
      </w:r>
      <w:r>
        <w:tab/>
        <w:t>No resultan constitucionalmente admisibles interpretaciones desproporcionadas de la legislación electoral que conduzcan a la anulación de candidaturas electorales por defectos subsanables que no fueron puestos de manifiesto en ningún momento por la Administración electoral, resultando de este modo vulnerado el art. 23.2 CE, ya que la LOREG introduce un deber de examen de oficio para la Administración (SSTC 73/1986, 84/2003) [FJ 3].</w:t>
      </w:r>
    </w:p>
    <w:p w:rsidR="00DE14C9" w:rsidRDefault="00DE14C9" w:rsidP="00DE14C9">
      <w:pPr>
        <w:pStyle w:val="Extracto"/>
      </w:pPr>
    </w:p>
    <w:p w:rsidR="00DE14C9" w:rsidRDefault="00DE14C9" w:rsidP="00DE14C9">
      <w:pPr>
        <w:pStyle w:val="Extracto"/>
      </w:pPr>
      <w:r>
        <w:t>2.</w:t>
      </w:r>
      <w:r>
        <w:tab/>
        <w:t>El órgano  judicial vulnera el derecho al sufragio pasivo por no modular los efectos de la declaración de nulidad, requiriendo a la Junta electoral para que otorgase a la candidatura el plazo de subsanación [FJ 4].</w:t>
      </w:r>
    </w:p>
    <w:p w:rsidR="00DE14C9" w:rsidRDefault="00DE14C9" w:rsidP="00DE14C9">
      <w:pPr>
        <w:pStyle w:val="Extracto"/>
      </w:pPr>
    </w:p>
    <w:p w:rsidR="00DE14C9" w:rsidRDefault="00DE14C9" w:rsidP="00DE14C9">
      <w:pPr>
        <w:pStyle w:val="Extracto"/>
      </w:pPr>
      <w:r>
        <w:t>3.</w:t>
      </w:r>
      <w:r>
        <w:tab/>
        <w:t>El deber de los órganos judiciales de emplazar personalmente a quienes pudieran ostentar un legítimo interés en el mantenimiento del acto impugnado, pesa sobre los órganos judiciales llamados a resolver el proceso contencioso-electoral, pues no se podría justificar nunca la omisión del llamamiento al procedimiento de quienes ven directamente comprometido su derecho de sufragio pasivo (STC 85/1987) [FJ 5].</w:t>
      </w:r>
    </w:p>
    <w:p w:rsidR="00DE14C9" w:rsidRDefault="00DE14C9" w:rsidP="00DE14C9">
      <w:pPr>
        <w:pStyle w:val="Extracto"/>
      </w:pPr>
    </w:p>
    <w:p w:rsidR="00DE14C9" w:rsidRDefault="00DE14C9" w:rsidP="00DE14C9">
      <w:pPr>
        <w:pStyle w:val="Extracto"/>
      </w:pPr>
      <w:r>
        <w:t>4.</w:t>
      </w:r>
      <w:r>
        <w:tab/>
        <w:t>Si las quejas relativas a valores no contienen invocación de derecho fundamental alguno susceptible de amparo, o las vulneraciones de derechos alegadas carecen de argumentación, sustrato fáctico mínimo que permita su análisis o contenido constitucional, merecerán un claro rechazo desde la perspectiva constitucional (SSTC 111/2002, 262/2006) [FJ 2].</w:t>
      </w:r>
    </w:p>
    <w:p w:rsidR="00DE14C9" w:rsidRDefault="00DE14C9" w:rsidP="00DE14C9">
      <w:pPr>
        <w:pStyle w:val="Extracto"/>
      </w:pPr>
    </w:p>
    <w:p w:rsidR="00DE14C9" w:rsidRDefault="00DE14C9" w:rsidP="00DE14C9">
      <w:pPr>
        <w:pStyle w:val="Extracto"/>
      </w:pPr>
      <w:r>
        <w:t>5.</w:t>
      </w:r>
      <w:r>
        <w:tab/>
        <w:t>La perentoriedad de los plazos del proceso electoral no permite la mera retroacción de actuaciones al momento procesal oportuno para que la representación del partido político solicitante de amparo sea citada al proceso y el Juzgado pueda dictar nueva sentencia sin ocasionar indefensión (STC 71/1995) [FJ 5].</w:t>
      </w:r>
    </w:p>
    <w:p w:rsidR="00DE14C9" w:rsidRDefault="00DE14C9" w:rsidP="00DE14C9">
      <w:pPr>
        <w:pStyle w:val="Extracto"/>
      </w:pPr>
    </w:p>
    <w:p w:rsidR="00DE14C9" w:rsidRDefault="00DE14C9" w:rsidP="00DE14C9">
      <w:pPr>
        <w:pStyle w:val="Extracto"/>
      </w:pPr>
      <w:r>
        <w:lastRenderedPageBreak/>
        <w:t>6.</w:t>
      </w:r>
      <w:r>
        <w:tab/>
        <w:t>En los supuestos de amparo electoral no resulta exigible la utilización del incidente excepcional de nulidad de actuaciones del art. 241 Ley Orgánica del Poder Judicial [FJ 5].</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electoral núm. 4106-2007, promovido por la Agrupación vecinal de electores das Parroquias de Malpica (AVE-Malpica), representado por el Procurador de los Tribunales don Argimiro Vázquez Guillén y asistido por el Letrado don Ramón Sabin Sabin, contra la Sentencia de 4 de mayo de 2007 del Juzgado de lo Contencioso-Administrativo núm. 4 de A Coruña, que estima el recurso contencioso-electoral núm. 131-2007, interpuesto por el representante de las candidaturas presentadas por el Partido Popular (PP) en la provincia de A Coruña contra el Acuerdo de la Junta electoral de zona de Carballo de proclamación de las candidaturas del Partido dos Socialistas de Galicia–Partido Socialista Obrero Español (PSdG-PSOE) y de la Agrupación vecinal de electores das Parroquias de Malpica (AVE-Malpica) en la circunscripción electoral de Malpica. Ha intervenido el Ministerio Fiscal. Ha sido Ponente la Presidenta doña María Emilia Casas Baamonde,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registrado en este Tribunal el 8 de mayo de 2007, el Procurador de los Tribunales don Argimiro Vázquez Guillén, en nombre y representación de la Agrupación vecinal de electores das Parroquias de Malpica (AVE-Malpica), interpuso recurso de amparo contra la resolución judicial referida en el encabezamiento, por vulneración de los derechos a la igualdad (art. 14 CE), a participar en los asuntos públicos (art. 23.1 CE), a acceder a los cargos públicos en condiciones de igualdad (art. 23.2 CE) y a la tutela judicial efectiva (art. 24.1 CE).</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en que se fundamenta la demanda de amparo electoral, relevantes para la resolución del caso, son los que se expresan a continuación: </w:t>
      </w:r>
    </w:p>
    <w:p w:rsidR="00DE14C9" w:rsidRDefault="00DE14C9" w:rsidP="00DE14C9">
      <w:pPr>
        <w:pStyle w:val="TextoNormal"/>
      </w:pPr>
      <w:r>
        <w:t xml:space="preserve">a) La Agrupación vecinal de electores das Parroquias de Malpica (AVE-Malpica) presentó ante la Junta Electoral de Zona de Carballo una candidatura en la circunscripción electoral de Malpica para las elecciones municipales convocadas por Real Decreto 444/2007, de 2 de abril, candidatura que fue proclamada por Acuerdo de la referida Junta </w:t>
      </w:r>
      <w:r>
        <w:lastRenderedPageBreak/>
        <w:t xml:space="preserve">electoral de Zona publicado en el “Boletín Oficial de la Provincia de A Coruña” de 1 de mayo de 2007. </w:t>
      </w:r>
    </w:p>
    <w:p w:rsidR="00DE14C9" w:rsidRDefault="00DE14C9" w:rsidP="00DE14C9">
      <w:pPr>
        <w:pStyle w:val="TextoNormal"/>
      </w:pPr>
      <w:r>
        <w:t>b) El 3 de mayo de 2007 el representante de las candidaturas presentadas por el Partido Popular (PP) en la provincia de A Coruña impugnó el Acuerdo de la Junta electoral de zona de Carballo por el que se proclamaron las candidaturas presentadas por el Partido dos Socialistas de Galicia–Partido Socialista Obrero Español (PSdG-PSOE) y por la Agrupación vecinal de electores das Parroquias de Malpica (AVE-Malpica) en la circunscripción electoral de Malpica, interesando que se anulasen dichas candidaturas por incumplir lo dispuesto en el art. 44 bis de la Ley Orgánica del régimen electoral general (LOREG), introducido por la Ley Orgánica 3/2007, de 22 de marzo, para la igualdad efectiva de mujeres y hombres, toda vez que el número de mujeres de dichas candidaturas no alcanzaban el mínimo porcentual del cuarenta por ciento que dicho precepto establece, siendo esta exigencia legal aplicable al municipio de Malpica, por contar con más de 5.000 habitantes, de conformidad con lo dispuesto en la disposición transitoria séptima LOREG, añadida también por la Ley Orgánica 3/2007.   c) El Juzgado de lo Contencioso-Administrativo núm. 4 de A Coruña estimó el recurso contencioso-electoral (núm. 131-2007) interpuesto por el representante del PP contra el referido Acuerdo de la Junta electoral de zona de Carballo, procediendo a anular dicho Acuerdo y las candidaturas proclamadas, al apreciar que las mismas incumplen la exigencia de composición equilibrada entre hombres y mujeres contenida en el art. 44 bis LOREG, pues, valorada en su conjunto la candidatura presentada por la Agrupación vecinal de electores das Parroquias de Malpica (AVE-Malpica) para las elecciones locales en el municipio de Malpica, resulta que presenta cuatro mujeres sobre un total de trece candidatos, por lo que no alcanza el mínimo del 40 por 100 legalmente establecido. Por la misma razón se anula la candidatura presentada por el Partido dos Socialistas de Galicia–Partido Socialista Obrero Español (PSdG-PSOE), extremo éste de la Sentencia impugnada que no es objeto del presente recurso de amparo.</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La agrupación demandante de amparo solicita que se anule la Sentencia recurrida y que se retrotraigan las actuaciones al momento anterior a la adopción del Acuerdo anulado de proclamación de candidaturas para que se le conceda el plazo de subsanación al que se refiere el art. 47.2 LOREG o que se acuerde la legalidad de la nueva lista de candidatos que se adjunta. Sustenta estas peticiones en la vulneración de los derechos a la igualdad (art. 14 CE), a participar en los asuntos públicos (art. 23.1 CE), a acceder a los cargos públicos en condiciones de igualdad (art. 23.2 CE) y a la tutela judicial efectiva (art. 24.1 CE). </w:t>
      </w:r>
    </w:p>
    <w:p w:rsidR="00DE14C9" w:rsidRDefault="00DE14C9" w:rsidP="00DE14C9">
      <w:pPr>
        <w:pStyle w:val="TextoNormal"/>
      </w:pPr>
      <w:r>
        <w:t xml:space="preserve">En la primera de las quejas de amparo se invoca como vulnerado el valor superior del pluralismo político (art. 1.1 CE), cercenado por la anulación de la candidatura sin posibilidad de subsanación y por el hecho de que en el municipio de Malpica las candidaturas hayan quedado reducidas a la presentada por el Partido Popular. La segunda queja se refiere al derecho de participación en los asuntos públicos, pues la anulación del acto administrativo en lugar de su anulabilidad menoscaba los derechos de sufragio activo y pasivo. En la tercera queja, con invocación del art. 23.2 CE, se alega la vulneración del principio de igualdad “al entender que la ley discrimina positivamente al ciudadano hembra en detrimento del varón”, y por la interpretación restrictiva realizada por la Sentencia impugnada al considerar “que el tramo a favor de las mujeres no se ha cumplido en la lista presentada”. Con la misma invocación se queja la demanda, en cuarto lugar, de la diversidad de criterios adoptados por distintos Juzgados de lo Contencioso-Administrativo en relación a supuestos análogos al presente: aceptando la proclamación o concediendo un plazo de subsanación. Esta misma alegación fundamenta una quinta queja de amparo, atinente ahora al derecho a la igualdad </w:t>
      </w:r>
      <w:r>
        <w:lastRenderedPageBreak/>
        <w:t>y a la tutela judicial efectiva. Estos mismos derechos se dicen vulnerados, en sexto lugar, porque en otros Juzgados de lo Contencioso-Administrativo se ha concedido audiencia a los diferentes partidos y agrupaciones, a diferencia de lo sucedido en el presente caso. Este hecho es el contenido de la séptima queja, que denuncia que se ha padecido indefensión por falta de traslado del recurso interpuesto y de trámite de audiencia. La falta de anulabilidad y de posibilidad de subsanación, en octavo lugar, sería contraria al principio de legalidad (arts. 9.1, 9.3, 24 y 25 CE). La admisión del recurso contencioso-administrativo, a pesar de no ser presentado en tiempo y forma, generaría una nueva infracción de derecho a la tutela judicial efectiva. La imposibilidad final de subsanación de la irregularidad detectada en las listas, en fin, habría generado la indefensión proscrita en el art. 24.1 CE.</w:t>
      </w:r>
    </w:p>
    <w:p w:rsidR="00DE14C9" w:rsidRDefault="00DE14C9" w:rsidP="00DE14C9">
      <w:pPr>
        <w:pStyle w:val="TextoNormal"/>
      </w:pPr>
    </w:p>
    <w:p w:rsidR="00DE14C9" w:rsidRDefault="00DE14C9" w:rsidP="00DE14C9">
      <w:pPr>
        <w:pStyle w:val="TextoNormal"/>
      </w:pPr>
      <w:r w:rsidRPr="00DE14C9">
        <w:rPr>
          <w:rStyle w:val="NumeroAFNegritaCaracter"/>
        </w:rPr>
        <w:t>4</w:t>
      </w:r>
      <w:r>
        <w:t>. Mediante diligencia de ordenación de 8 de mayo de 2007, el Secretario de Justicia de la Sala Primera de este Tribunal acordó, en conformidad con lo dispuesto en el Acuerdo del Pleno de 20 de enero de 2000, recabar del Juzgado de lo Contencioso-Administrativo núm. 4 de A Coruña las actuaciones correspondientes, así como la acreditación de emplazamiento de las partes, que fueron remitidas a este Tribunal. Igualmente se acordó dar vista al Ministerio Fiscal para que formulase las alegaciones pertinentes.</w:t>
      </w:r>
    </w:p>
    <w:p w:rsidR="00DE14C9" w:rsidRDefault="00DE14C9" w:rsidP="00DE14C9">
      <w:pPr>
        <w:pStyle w:val="TextoNormal"/>
      </w:pPr>
    </w:p>
    <w:p w:rsidR="00DE14C9" w:rsidRDefault="00DE14C9" w:rsidP="00DE14C9">
      <w:pPr>
        <w:pStyle w:val="TextoNormal"/>
      </w:pPr>
      <w:r w:rsidRPr="00DE14C9">
        <w:rPr>
          <w:rStyle w:val="NumeroAFNegritaCaracter"/>
        </w:rPr>
        <w:t>5</w:t>
      </w:r>
      <w:r>
        <w:t>. El Ministerio Fiscal presentó sus alegaciones el 8 de mayo de 2007, en las que, tras recordar lo dispuesto en el art. 47.2 LOREG y la doctrina de este Tribunal en materia de subsanación de irregularidades en la presentación de candidaturas (cita las SSTC 24/1989, 95/1991, 113/1991 y 84/2003), concluye señalando que procedería otorgar el amparo solicitado por vulneración del art. 23.2 CE si se confirma, a la vista de las actuaciones, que la agrupación recurrente ha sido efectivamente privado del trámite de subsanación.</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Se impugna en el presente recurso de amparo electoral la Sentencia de 4 de mayo de 2007 del Juzgado de lo Contencioso-Administrativo núm. 4 de A Coruña, que estimó el recurso contencioso-electoral núm. 131-2007, interpuesto por el representante de las candidaturas presentadas por el Partido Popular en la provincia de A Coruña contra el Acuerdo de la Junta electoral de zona de Carballo de proclamación de la candidatura de la Agrupación vecinal de electores das Parroquias de Malpica (AVE-Malpica) en la circunscripción electoral de Malpica, publicado en el “Boletín Oficial de la Provincia de A Coruña” el 1 de mayo de 2007, para las elecciones municipales convocadas por Real Decreto 444/2007, de 2 de abril. La agrupación solicitante de amparo se queja de que se han vulnerado sus derechos fundamentales a la igualdad (art. 14 CE), a participar en los asuntos públicos (art. 23.1 CE), a acceder a los cargos públicos en condiciones de igualdad (art. 23.2 CE) y a la tutela judicial efectiva (art. 24.1 CE).  El Ministerio Fiscal interesa asimismo el otorgamiento del amparo para el caso de confirmarse, a la vista de las actuaciones, que la agrupación recurrente ha sido efectivamente privada del trámite de subsanación de defectos en la candidatura.</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De las múltiples quejas de amparo contenidas en la demanda merecen un claro rechazo desde la perspectiva constitucional las relativas al valor del pluralismo político (art. 1.1 CE), </w:t>
      </w:r>
      <w:r>
        <w:lastRenderedPageBreak/>
        <w:t>que no contiene la invocación de derecho fundamental alguno susceptible de amparo constitucional, y a la prohibición de discriminación (que la demanda sitúa en el art. 23.2 CE) y al defecto de tutela que habría supuesto la admisión del recurso contencioso-electoral (art. 24.1 CE), carentes ambas de una argumentación o de un sustrato fáctico mínimo que permita su análisis (por todas, STC 262/2006, de 11 de septiembre, FJ 3; ATC 181/2001, de 2 de julio, FJ 2). Resulta asimismo patente la falta de contenido constitucional de las diversas quejas atinentes al derecho a la igualdad en la aplicación de la ley, pues, con independencia de cualquier otra consideración, ni se ofrecen resoluciones concretas de comparación ni las aludidas tienen por agente el órgano judicial cuya Sentencia ahora se impugna (por todas, SSTC 111/2002, de 6 de mayo, FFJJ 2 y 4, y 106/2003, de 2 de junio, FJ 2).</w:t>
      </w:r>
    </w:p>
    <w:p w:rsidR="00DE14C9" w:rsidRDefault="00DE14C9" w:rsidP="00DE14C9">
      <w:pPr>
        <w:pStyle w:val="TextoNormal"/>
      </w:pPr>
    </w:p>
    <w:p w:rsidR="00DE14C9" w:rsidRDefault="00DE14C9" w:rsidP="00DE14C9">
      <w:pPr>
        <w:pStyle w:val="TextoNormal"/>
      </w:pPr>
      <w:r w:rsidRPr="00DE14C9">
        <w:rPr>
          <w:rStyle w:val="NumeroAFNegritaCaracter"/>
        </w:rPr>
        <w:t>3</w:t>
      </w:r>
      <w:r>
        <w:t>. Las tres quejas que se refieren al hecho de que se haya producido finalmente la exclusión de la candidatura sin que se haya concedido a la misma la posibilidad de subsanar la irregularidad apreciada encuentran su perspectiva constitucional adecuada en la que proporciona el derecho de acceso a la funciones y cargos públicos (art. 23.2 CE).</w:t>
      </w:r>
    </w:p>
    <w:p w:rsidR="00DE14C9" w:rsidRDefault="00DE14C9" w:rsidP="00DE14C9">
      <w:pPr>
        <w:pStyle w:val="TextoNormal"/>
      </w:pPr>
      <w:r>
        <w:t>a) Respecto a su base fáctica resulta. en efecto. del examen de las actuaciones que la Junta electoral de zona de Carballo procedió a proclamar la candidatura presentada por la Agrupación vecinal de electores das Parroquias de Malpica (AVE-Malpica) en la circunscripción electoral de Malpica, para las elecciones municipales convocadas por Real Decreto 444/2007, de 2 de abril, sin advertir o considerar la irregularidad que posteriormente aprecia la Sentencia impugnada en relación con la exigencia de composición equilibrada entre hombres y mujeres contenida en el art. 44 bis de la Ley Orgánica del régimen electoral general (LOREG: exigencia aplicable al municipio de Malpica, conforme a la disposición transitoria séptima LOREG, añadida también por la Ley Orgánica 3/2007, por contar con un número de residentes superior a los 5.000 habitantes). Esta resolución judicial estima que la candidatura en cuestión no alcanza el mínimo del 40 por 100 establecido por dicho precepto, pues presenta cuatro mujeres sobre un total de trece candidatos.</w:t>
      </w:r>
    </w:p>
    <w:p w:rsidR="00DE14C9" w:rsidRDefault="00DE14C9" w:rsidP="00DE14C9">
      <w:pPr>
        <w:pStyle w:val="TextoNormal"/>
      </w:pPr>
      <w:r>
        <w:t>Se constata igualmente, lo que va a resultar determinante para el otorgamiento del amparo por vulneración del derecho al sufragio pasivo garantizado por el art. 23.2 CE, que la Junta electoral de zona de Carballo no dio oportunidad a la agrupación recurrente de subsanar defecto alguno en la composición de la candidatura, pues no apreció tal defecto, y que tampoco lo hizo quien sí lo apreció, el Juzgado de lo Contencioso-Administrativo núm. 4 de A Coruña, que se limitó a anular el acuerdo de proclamación de la candidatura.</w:t>
      </w:r>
    </w:p>
    <w:p w:rsidR="00DE14C9" w:rsidRDefault="00DE14C9" w:rsidP="00DE14C9">
      <w:pPr>
        <w:pStyle w:val="TextoNormal"/>
      </w:pPr>
      <w:r>
        <w:t>b) Nuestra doctrina en materia de subsanación de irregularidades sufridas en la presentación de candidaturas ante la Administración electoral puede resumirse en la afirmación de que, por principio, los errores e irregularidades cometidos en la presentación de éstas son subsanables y que, en consecuencia, las juntas electorales han de ofrecer la oportunidad de que las candidaturas en las que se han detectado lo hagan. Busca con ello la Ley Orgánica del régimen electoral general,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w:t>
      </w:r>
    </w:p>
    <w:p w:rsidR="00DE14C9" w:rsidRDefault="00DE14C9" w:rsidP="00DE14C9">
      <w:pPr>
        <w:pStyle w:val="TextoNormal"/>
      </w:pPr>
      <w:r>
        <w:lastRenderedPageBreak/>
        <w:t>Deriva de lo expuesto el que si por la Administración electoral se incumple este deber legal en orden al examen de los escritos de presentación de candidaturas, no dándose así ocasión a los interesados para la reparación de unos defectos que después llevan al rechazo de aquéllas, se habrá ignorado, con ello, una garantía dispuesta por la Ley Orgánica del régimen electoral general para la efectividad, como queda dicho, del derecho de sufragio pasivo, que resultará así afectado negativamente en la medida en que se desconozca por una junta electoral, o se atienda sólo imperfectamente la exigencia legal de la que aquí se trata. En modo alguno empaña esta conclusión, ni la consideración general que se acaba de hacer sobre la afectación del derecho reconocido en el art. 23.2 CE, el hecho de que, en estos casos, el resultado finalmente gravoso para candidaturas y candidatos —la denegación de su proclamación como tales— se llegue a producir por no haberse reparado un defecto fruto de la ignorancia o de la negligencia de quienes presentaron la candidatura sin cumplir, en todos sus extremos, las prevenciones legales, sin perjuicio, como es obvio, del deber de diligencia y de colaboración con la Administración electoral que pesa sobre los candidatos y las formaciones políticas que les avalan (SSTC 67/1987, de 21 de mayo, FJ 3; 73/1995, de 12 de mayo, FJ 3; y 80/2002, de 8 de abril, FJ 7).</w:t>
      </w:r>
    </w:p>
    <w:p w:rsidR="00DE14C9" w:rsidRDefault="00DE14C9" w:rsidP="00DE14C9">
      <w:pPr>
        <w:pStyle w:val="TextoNormal"/>
      </w:pPr>
      <w:r>
        <w:t>En efecto, en este específico procedimiento, no ha querido la Ley Orgánica del régimen electoral general dejar la suerte de las candidaturas a merced de la sola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Orgánica del régimen electoral general que tal irregularidad depare aquella sanción sin que antes se haga posible, mediante su identificación y advertencia de oficio, la oportuna subsanación, siempre, claro ésta, que ello sea materialmente factible (SSTC 73/1986, de 3 de junio, FJ 1; 59/1987, de 19 de mayo, FJ 3; 86/1987, de 1 de junio, FJ 4; 24/1989, de 2 de febrero, FJ 95/1991, de 7 de mayo, FJ 2; 113/1991, de 20 de mayo, FJ 3; 175/1991, de 16 de septiembre, FJ 2; y 84/2003, de 8 de mayo, FJ 3).</w:t>
      </w:r>
    </w:p>
    <w:p w:rsidR="00DE14C9" w:rsidRDefault="00DE14C9" w:rsidP="00DE14C9">
      <w:pPr>
        <w:pStyle w:val="TextoNormal"/>
      </w:pPr>
    </w:p>
    <w:p w:rsidR="00DE14C9" w:rsidRDefault="00DE14C9" w:rsidP="00DE14C9">
      <w:pPr>
        <w:pStyle w:val="TextoNormal"/>
      </w:pPr>
      <w:r w:rsidRPr="00DE14C9">
        <w:rPr>
          <w:rStyle w:val="NumeroAFNegritaCaracter"/>
        </w:rPr>
        <w:t>4</w:t>
      </w:r>
      <w:r>
        <w:t>. La Sentencia impugnada señala que la candidatura presentada por la Agrupación vecinal de electores das Parroquias de Malpica (AVE-Malpica) en la circunscripción electoral de Malpica no contenía el número mínimo de candidatas que resulta exigible para dar cumplimiento a la exigencia de composición equilibrada entre hombres y mujeres del art. 44 bis LOREG. Esta irregularidad apreciada por el Juzgado no puede sin embargo tener la trascendencia fatal que el mismo le atribuye para el derecho fundamental a acceder en condiciones de igualdad a las funciones y cargos públicos (art. 23.2 CE), pues se trata de un defecto subsanable.</w:t>
      </w:r>
    </w:p>
    <w:p w:rsidR="00DE14C9" w:rsidRDefault="00DE14C9" w:rsidP="00DE14C9">
      <w:pPr>
        <w:pStyle w:val="TextoNormal"/>
      </w:pPr>
      <w:r>
        <w:t xml:space="preserve">La Administración electoral considera expresamente, y de manera general, el carácter subsanable de los defectos que puedan presentar las candidaturas presentadas por las formaciones políticas en cuanto a la exigencia establecida por el citado art.  44 bis LOREG, conforme al cual (apartado 1, párrafo primero) las candidaturas “deberán tener una composición equilibrada de mujeres y hombres, de forma que en el conjunto de la lista los candidatos de cada uno de los sexos supongan como mínimo el cuarenta por ciento”, proporción que deberá mantenerse también en cada tramo de cinco puestos, de suerte que si el número de candidatos o el último tramo de la lista no alcanzase los cinco puestos, la proporción de mujeres y hombres será lo más cercano posible al equilibrio numérico, manteniendo la proporción respecto del conjunto de la lista (apartados 1 y 2 del art. 44 bis LOREG), reglas </w:t>
      </w:r>
      <w:r>
        <w:lastRenderedPageBreak/>
        <w:t>éstas igualmente aplicables a las listas de suplentes (apartado 3 del art. 44 bis LOREG). Así, el punto primero de la Instrucción 8/2007, de 19 de abril, de la Junta Electoral Central, sobre interpretación del trámite de subsanación de irregularidades previsto en el art. 48.1 LOREG por incumplimiento de los requisitos de los arts. 44 bis y 187.2 LOREG, en la redacción dada por la Ley Orgánica 3/2007, de 22 de marzo, para la igualdad efectiva de mujeres y hombres, establece que “(d)urante el plazo de subsanación de las irregularidades advertidas por las Juntas Electorales competentes en las candidaturas presentadas, cuando la causa sea el incumplimiento de lo dispuesto en el artículo 44 bis de la LOREG o en la legislación autonómica aplicable sobre candidaturas paritarias, podrá modificarse el orden de los candidatos, o incluir o excluir algún candidato, siempre que con ello se trate estrictamente de subsanar la irregularidad apreciada, de conformidad con lo dispuesto en el último inciso del artículo 48.1 de la LOREG”.</w:t>
      </w:r>
    </w:p>
    <w:p w:rsidR="00DE14C9" w:rsidRDefault="00DE14C9" w:rsidP="00DE14C9">
      <w:pPr>
        <w:pStyle w:val="TextoNormal"/>
      </w:pPr>
      <w:r>
        <w:t>De este modo, la interpretación de la legalidad aplicable del modo más favorable al derecho fundamental garantizado por el art. 23.2 CE, exigía que el órgano judicial, una vez apreciado el incumplimiento de lo dispuesto en el art. 44 bis LOREG, no se hubiese limitado a anular el Acuerdo de la Junta electoral de zona de Carballo de proclamación de la candidatura de la Agrupación vecinal de electores das Parroquias de Malpica (AVE-Malpica) en la circunscripción electoral de Malpica, sino que, en aras de preservar el derecho de sufragio pasivo, era preciso que modulase los efectos de dicha declaración de nulidad, requiriendo a la referida Junta electoral para que otorgase a dicha candidatura el trámite de subsanación previsto en el art. 47.2 LOREG, a fin de adecuar la misma a la proporción de candidatos de ambos sexos exigida por el art. 44 bis LOREG. Al no haberlo hecho así, el órgano judicial ha ocasionado a la agrupación recurrente en amparo la denunciada vulneración de su derecho al sufragio pasivo, lo que conduce al otorgamiento del amparo solicitado, precisamente para que la Junta electoral de zona de Carballo otorgue el trámite de subsanación omitido, procediendo, en caso de que se subsanase el defecto en la composición equilibrada entre hombres y mujeres que exige el art. 44 bis LOREG, a proclamar la candidatura, o a la no proclamación de la misma, en caso contrario.</w:t>
      </w:r>
    </w:p>
    <w:p w:rsidR="00DE14C9" w:rsidRDefault="00DE14C9" w:rsidP="00DE14C9">
      <w:pPr>
        <w:pStyle w:val="TextoNormal"/>
      </w:pPr>
    </w:p>
    <w:p w:rsidR="00DE14C9" w:rsidRDefault="00DE14C9" w:rsidP="00DE14C9">
      <w:pPr>
        <w:pStyle w:val="TextoNormal"/>
      </w:pPr>
      <w:r w:rsidRPr="00DE14C9">
        <w:rPr>
          <w:rStyle w:val="NumeroAFNegritaCaracter"/>
        </w:rPr>
        <w:t>5</w:t>
      </w:r>
      <w:r>
        <w:t>. La queja restante de la demanda, atinente a la indefensión sufrida en el procedimiento judicial, genera una segunda razón para el otorgamiento del amparo, puesto que el órgano judicial no notificó a la agrupación electoral recurrente el recurso interpuesto por el Partido Popular conforme al art. 49.1 LOREG contra el Acuerdo de la Junta electoral de zona de Carballo de proclamación de su candidatura en la circunscripción electoral de Malpica, ni le dio, en consecuencia, trámite de alegaciones para que tuviera ocasión de defender los derechos que para la candidatura presentada (esto es, para las personas que en ella figuraban) se derivaron de aquel acto de proclamación por la Administración electoral.</w:t>
      </w:r>
    </w:p>
    <w:p w:rsidR="00DE14C9" w:rsidRDefault="00DE14C9" w:rsidP="00DE14C9">
      <w:pPr>
        <w:pStyle w:val="TextoNormal"/>
      </w:pPr>
      <w:r>
        <w:t>Como ya tuvo ocasión de señalar este Tribunal en su STC 85/1987, de 29 de mayo, el deber de los órganos judiciales, que surge del art. 24.1 CE, de emplazar personalmente en el proceso a quienes pudieran ostentar un legítimo interés en el mantenimiento del acto impugnado (siempre que tales personas, como es obvio, sean identificables a partir de los datos expuestos en la demanda o en el expediente administrativo), no deja de pesar, como es evidente, sobre los órganos judiciales llamados a resolver el especial proceso contencioso-electoral, pues, aunque tal proceso se singulariza por una tramitación concentrada y abreviada (apartados 2 y 3 del art. 49 LOREG), “ello no podría justificar nunca la omisión de trámite de tanta relevancia para su regularidad constitucional como es el del debido llamamiento al procedimiento de quienes, por la impugnación, ven directamente comprometido su derecho de sufragio pasivo” (FFJJ 1 y 2).</w:t>
      </w:r>
    </w:p>
    <w:p w:rsidR="00DE14C9" w:rsidRDefault="00DE14C9" w:rsidP="00DE14C9">
      <w:pPr>
        <w:pStyle w:val="TextoNormal"/>
      </w:pPr>
      <w:r>
        <w:lastRenderedPageBreak/>
        <w:t>En el presente caso, la identidad de los afectados a raíz del recurso contencioso-electoral interpuesto por el PP contra el Acuerdo de la Junta electoral de zona de Carballo de proclamación de la candidatura de la Agrupación vecinal de electores das Parroquias de Malpica (AVE-Malpica) para las elecciones locales en Malpica era manifiesta. Sin embargo, según se comprueba a la vista de las actuaciones judiciales, no se hizo emplazamiento personal alguno, ni consta que hubiera sido conocida la interposición y pendencia del recurso contencioso-electoral en tiempo hábil por la agrupación ahora solicitante de amparo para personarse en el procedimiento. Por tanto, el Juzgado, al omitir el emplazamiento personal del representante de la agrupación directamente afectada por la impugnación de la proclamación de su candidatura en la circunscripción electoral de Malpica, impidió la defensa de sus derechos en el referido proceso, vulnerando de este modo el derecho fundamental de la misma a la tutela judicial efectiva sin indefensión.</w:t>
      </w:r>
    </w:p>
    <w:p w:rsidR="00DE14C9" w:rsidRDefault="00DE14C9" w:rsidP="00DE14C9">
      <w:pPr>
        <w:pStyle w:val="TextoNormal"/>
      </w:pPr>
      <w:r>
        <w:t>La estimación de esta queja por vulneración del art. 24.1 CE no puede ni debe modificar las consecuencias del amparo otorgado ex art. 23.2 CE (FJ 4). No es procedente en este caso la retroacción de actuaciones al momento procesal oportuno para que sea citada al proceso la representación de la agrupación solicitante de amparo, y el Juzgado pueda dictar nueva sentencia sin ocasionar indefensión. En efecto, esta solución no la permite la perentoriedad de los plazos del proceso electoral (STC 71/1995, de 11 de mayo, FJ 2), a lo que cabe añadir que, además, este Tribunal ha tenido el suficiente conocimiento de los hechos para enjuiciar, aquí y ahora, las cuestiones planteadas y, en definitiva, su objeto fundamental: si la anulación judicial de la proclamación de la candidatura presentada en la circunscripción electoral de Malpica por la Agrupación Vecinal de Electores das Parroquias de Malpica (AVE-Malpica) vulnera el derecho de sufragio pasivo de esta formación política.</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la Agrupación vecinal de electores das Parroquias de Malpica (AVE-Malpica) y, en su virtud:</w:t>
      </w:r>
    </w:p>
    <w:p w:rsidR="00DE14C9" w:rsidRDefault="00DE14C9" w:rsidP="00DE14C9">
      <w:pPr>
        <w:pStyle w:val="TextoNormal"/>
      </w:pPr>
      <w:r>
        <w:t>1º Reconocer sus derechos a acceder en condiciones de igualdad a las funciones y cargos públicos (art. 23.2 CE) y a la tutela judicial efectiva sin indefensión (art. 24.1 CE).</w:t>
      </w:r>
    </w:p>
    <w:p w:rsidR="00DE14C9" w:rsidRDefault="00DE14C9" w:rsidP="00DE14C9">
      <w:pPr>
        <w:pStyle w:val="TextoNormal"/>
      </w:pPr>
      <w:r>
        <w:t>2º Declarar la nulidad de la Sentencia de 4 de mayo de 2007 del Juzgado de lo Contencioso-Administrativo núm. 4 de A Coruña, dictada en el recurso contencioso-electoral núm. 131-2007, en cuanto a la declaración de nulidad del Acuerdo de la Junta electoral de zona de Carballo de proclamación de la candidatura la Agrupación vecinal de electores das Parroquias de Malpica (AVE-Malpica).</w:t>
      </w:r>
    </w:p>
    <w:p w:rsidR="00DE14C9" w:rsidRDefault="00DE14C9" w:rsidP="00DE14C9">
      <w:pPr>
        <w:pStyle w:val="TextoNormal"/>
      </w:pPr>
      <w:r>
        <w:t>3º Retrotraer las actuaciones al momento anterior al Acuerdo de la Junta electoral de zona de Carballo de proclamación de la candidatura de la Agrupación vecinal de electores das Parroquias de Malpica (AVE-Malpica) en la circunscripción electoral de Malpica, para que por dicha Junta electoral se proceda a otorgar trámite de subsanación, en los términos expresados en el fundamento jurídico 4 de esta Sentencia.</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lastRenderedPageBreak/>
        <w:t>Dada en Madrid, a nueve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16" w:name="SENTENCIA_2007_103"/>
      <w:r>
        <w:lastRenderedPageBreak/>
        <w:t>SENTENCIA 103/2007, de 9 de mayo de 2007</w:t>
      </w:r>
    </w:p>
    <w:bookmarkEnd w:id="16"/>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137, de 8 de junio de 2007)</w:t>
      </w:r>
    </w:p>
    <w:p w:rsidR="00DE14C9" w:rsidRDefault="00DE14C9" w:rsidP="00DE14C9">
      <w:pPr>
        <w:pStyle w:val="TtuloBOE"/>
      </w:pPr>
    </w:p>
    <w:p w:rsidR="00DE14C9" w:rsidRDefault="00DE14C9" w:rsidP="00DE14C9">
      <w:pPr>
        <w:pStyle w:val="SntesisDescriptiva"/>
      </w:pPr>
      <w:r>
        <w:t>ECLI:ES:TC:2007:103</w:t>
      </w:r>
    </w:p>
    <w:p w:rsidR="00DE14C9" w:rsidRDefault="00DE14C9" w:rsidP="00DE14C9">
      <w:pPr>
        <w:pStyle w:val="SntesisDescriptiva"/>
      </w:pPr>
    </w:p>
    <w:p w:rsidR="00DE14C9" w:rsidRDefault="00DE14C9" w:rsidP="00DE14C9">
      <w:pPr>
        <w:pStyle w:val="SntesisDescriptiva"/>
      </w:pPr>
      <w:r>
        <w:t>Recurso de amparo electoral 4158-2007. Promovido por Agrupación Social Independiente de Miño frente a la Sentencia del Juzgado de lo Contencioso-Administrativo núm. 3 de A Coruña que anuló la proclamación de su candidatura en las elecciones locales por la circunscripción de Miño.</w:t>
      </w:r>
    </w:p>
    <w:p w:rsidR="00DE14C9" w:rsidRDefault="00DE14C9" w:rsidP="00DE14C9">
      <w:pPr>
        <w:pStyle w:val="SntesisDescriptiva"/>
      </w:pPr>
    </w:p>
    <w:p w:rsidR="00DE14C9" w:rsidRDefault="00DE14C9" w:rsidP="00DE14C9">
      <w:pPr>
        <w:pStyle w:val="SntesisAnaltica"/>
      </w:pPr>
      <w:r>
        <w:t>Vulneración del derecho a la tutela judicial sin indefensión y a acceder a los cargos representativos: STC 96/2007.</w:t>
      </w:r>
    </w:p>
    <w:p w:rsidR="00DE14C9" w:rsidRDefault="00DE14C9" w:rsidP="00DE14C9">
      <w:pPr>
        <w:pStyle w:val="SntesisAnaltica"/>
      </w:pPr>
    </w:p>
    <w:p w:rsidR="00DE14C9" w:rsidRDefault="00DE14C9" w:rsidP="00DE14C9">
      <w:pPr>
        <w:pStyle w:val="Extracto"/>
      </w:pPr>
      <w:r>
        <w:t>1.</w:t>
      </w:r>
      <w:r>
        <w:tab/>
        <w:t xml:space="preserve">Reitera la STC 96/2007. </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electoral núm. 4158-2007, promovido por Agrupación Social Independiente de Miño (ASI Miño), representado por el Procurador de los Tribunales don Argimiro Vázquez Guillén y asistido por la Letrada doña Carmen Sande Insua, contra la Sentencia de 4 de mayo de 2007 del Juzgado de lo Contencioso-Administrativo núm. 3 de A Coruña, que estima el recurso contencioso-electoral núm. 130-2007, interpuesto por el representante de las candidaturas formuladas por el Partido Popular (PP) en la provincia de A Coruña contra el Acuerdo de la Junta electoral de zona de Betanzos de proclamación de las candidaturas de Terra Galega y Agrupación Social Independiente de Miño (ASI Miño) en la circunscripción electoral de Miño. Ha intervenido el Ministerio Fiscal. Ha sido Ponente el Magistrado don Javier Delgado Barrio,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xml:space="preserve">. Mediante escrito presentado en el Registro General de este Tribunal el 8 de mayo de 2007, el Procurador de los Tribunales don Argimiro Vázquez Guillén, en nombre y representación de Agrupación Social Independiente de Miño (ASI Miño) interpuso recurso de </w:t>
      </w:r>
      <w:r>
        <w:lastRenderedPageBreak/>
        <w:t>amparo contra la resolución judicial referida en el encabezamiento, por vulneración del derecho a la tutela judicial efectiva (art. 24.1 CE) y del derecho al sufragio pasivo (art. 23.2 CE).</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en que se fundamenta la demanda de amparo electoral, relevantes para la resolución del caso, son los que se expresan a continuación:   a) La formación política Agrupación Social Independiente de Miño (ASI Miño) presentó ante la Junta electoral de zona de Betanzos una candidatura en la circunscripción electoral de Miño para las elecciones municipales convocadas por Real Decreto 444/2007, de 2 de abril, candidatura que fue proclamada por Acuerdo de la referida Junta electoral de zona publicado en el “Boletín Oficial de la Provincia de A Coruña” de 1 de mayo de 2007. </w:t>
      </w:r>
    </w:p>
    <w:p w:rsidR="00DE14C9" w:rsidRDefault="00DE14C9" w:rsidP="00DE14C9">
      <w:pPr>
        <w:pStyle w:val="TextoNormal"/>
      </w:pPr>
      <w:r>
        <w:t>b) El 3 de mayo de 2007 el representante de las candidaturas presentadas por el Partido Popular (PP) en la provincia de A Coruña impugnó el Acuerdo de la Junta electoral de zona de Betanzos por el que se proclamó la candidatura presentada por Agrupación Social Independiente de Miño (ASI Miño) en la circunscripción electoral de Miño, interesando que se anulase dicha candidatura por incumplir lo dispuesto en el art. 44 bis de la Ley Orgánica del régimen electoral general (LOREG), introducido por la Ley Orgánica 3/2007, de 22 de marzo, para la igualdad efectiva de mujeres y hombres, toda vez que el número de mujeres no alcanzaba el mínimo del cuarenta por ciento que el citado precepto establece, siendo esta exigencia legal aplicable al municipio de Miño, por contar con más de 5.000 habitantes, de conformidad con lo dispuesto en la disposición transitoria séptima LOREG, añadida también por la Ley Orgánica 3/2007.   c) El Juzgado de lo Contencioso-Administrativo núm. 3 de A Coruña estimó el recurso contencioso-electoral (núm. 130-2007) interpuesto por el representante del PP contra el referido Acuerdo de la Junta electoral de zona de Betanzos, procediendo a anular dicho Acuerdo y las candidaturas proclamadas, al apreciar que las mismas incumplen la exigencia de composición equilibrada entre hombres y mujeres contenida en el art. 44 bis LOREG, pues, valoradas en su conjunto las candidaduras presentadas por Terra Galega y Agrupación Social Independiente de Miño (ASI Miño) para las elecciones locales en el municipio de Miño, resulta que presentan cinco candidatos de un mismo sexo sobre un total de trece candidatos, por lo que no alcanza el cuarenta por ciento legalmente establecido, que exigiría un mínimo de seis candidatos de cada sexo en la lista.</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En la demanda de amparo electoral se alega, en primer lugar, la vulneración del derecho a la tutela judicial efectiva sin indefensión (art. 24.1 CE), en un primer momento, con ocasión del procedimiento ante la Administración electoral, por haberse visto privada de la posibilidad de subsanar irregularidades en la candidatura presentada. Posteriormente, a causa de haberse visto privada también del trámite de alegaciones y por tanto del ejercicio del derecho de defensa en el procedimiento judicial. </w:t>
      </w:r>
    </w:p>
    <w:p w:rsidR="00DE14C9" w:rsidRDefault="00DE14C9" w:rsidP="00DE14C9">
      <w:pPr>
        <w:pStyle w:val="TextoNormal"/>
      </w:pPr>
      <w:r>
        <w:t xml:space="preserve">El art. 47.4 LOREG exige un estudio del cumplimiento de las prescripciones legales previo a la proclamación de candidaturas. De haberse apreciado de oficio o a instancia de parte la irregularidad denunciada, habría bastado con la renuncia de la última de las candidatas titulares para que el primero de los suplentes, varón, pasase a ocupar su puesto. Al no haberse concedido plazo de subsanación se privó a la candidatura de ese derecho, generándole una clara indefensión. </w:t>
      </w:r>
    </w:p>
    <w:p w:rsidR="00DE14C9" w:rsidRDefault="00DE14C9" w:rsidP="00DE14C9">
      <w:pPr>
        <w:pStyle w:val="TextoNormal"/>
      </w:pPr>
      <w:r>
        <w:t xml:space="preserve">Junto a ello, se denuncia que también la Sentencia impugnada en amparo vulneró ese mismo derecho a la tutela judicial efectiva sin indefensión (art. 24.1 CE) de la formación </w:t>
      </w:r>
      <w:r>
        <w:lastRenderedPageBreak/>
        <w:t xml:space="preserve">política Agrupación Social Independiente de Miño (ASI Miño), toda vez que la interposición del recurso se le notificó con posterioridad a haberse dictado sentencia, junto a ésta misma, lo que resulta lesivo de su derecho de defensa. </w:t>
      </w:r>
    </w:p>
    <w:p w:rsidR="00DE14C9" w:rsidRDefault="00DE14C9" w:rsidP="00DE14C9">
      <w:pPr>
        <w:pStyle w:val="TextoNormal"/>
      </w:pPr>
      <w:r>
        <w:t xml:space="preserve">Alega asimismo la demanda de amparo la vulneración de su derecho de acceso en condiciones de igualdad a los cargos públicos, garantizado por el art. 23.2 CE, pues se ha realizado una interpretación de la legalidad vigente en el sentido más restrictivo a la eficacia del derecho fundamental. Considera que su candidatura se atenía al equilibrio requerido en la ley, considerando que las exigencias porcentuales establecidas en la misma se respetan con un total de cinco hombres y ocho mujeres. Considera que era posible una interpretación de la norma prevista en el art. 44 LOREG que partiera de la necesidad de potenciar la participación femenina con un mínimo de presencia, cuestión respetada en su candidatura. La interpretación rigorista efectuada lesiona el derecho del art. 23.2 CE. </w:t>
      </w:r>
    </w:p>
    <w:p w:rsidR="00DE14C9" w:rsidRDefault="00DE14C9" w:rsidP="00DE14C9">
      <w:pPr>
        <w:pStyle w:val="TextoNormal"/>
      </w:pPr>
      <w:r>
        <w:t>Por todo ello la recurrente concluye interesando que se le otorgue el amparo solicitado, anulando la Sentencia impugnada y manteniendo el acuerdo de la Junta electoral de zona de Betanzos o que, subsidiariamente, se adopten las medidas apropiadas para restablecer en otra forma el derecho infringido.</w:t>
      </w:r>
    </w:p>
    <w:p w:rsidR="00DE14C9" w:rsidRDefault="00DE14C9" w:rsidP="00DE14C9">
      <w:pPr>
        <w:pStyle w:val="TextoNormal"/>
      </w:pPr>
    </w:p>
    <w:p w:rsidR="00DE14C9" w:rsidRDefault="00DE14C9" w:rsidP="00DE14C9">
      <w:pPr>
        <w:pStyle w:val="TextoNormal"/>
      </w:pPr>
      <w:r w:rsidRPr="00DE14C9">
        <w:rPr>
          <w:rStyle w:val="NumeroAFNegritaCaracter"/>
        </w:rPr>
        <w:t>4</w:t>
      </w:r>
      <w:r>
        <w:t>. Mediante diligencia de ordenación de 8 de mayo de 2007, el Secretario de Justicia de la Sala Primera de este Tribunal acordó, en conformidad con lo dispuesto en el Acuerdo del Pleno de 20 de enero de 2000, recabar del Juzgado de lo Contencioso-Administrativo núm. 3 de A Coruña las actuaciones correspondientes, así como la acreditación de emplazamiento de las partes, que fueron remitidas a este Tribunal. Igualmente se acordó dar vista al Ministerio Fiscal para que en el plazo de un día natural formulase las alegaciones pertinentes.</w:t>
      </w:r>
    </w:p>
    <w:p w:rsidR="00DE14C9" w:rsidRDefault="00DE14C9" w:rsidP="00DE14C9">
      <w:pPr>
        <w:pStyle w:val="TextoNormal"/>
      </w:pPr>
    </w:p>
    <w:p w:rsidR="00DE14C9" w:rsidRDefault="00DE14C9" w:rsidP="00DE14C9">
      <w:pPr>
        <w:pStyle w:val="TextoNormal"/>
      </w:pPr>
      <w:r w:rsidRPr="00DE14C9">
        <w:rPr>
          <w:rStyle w:val="NumeroAFNegritaCaracter"/>
        </w:rPr>
        <w:t>5</w:t>
      </w:r>
      <w:r>
        <w:t>. El Ministerio Fiscal presentó sus alegaciones el 9 de mayo de 2007, en las que, tras recordar lo dispuesto en el art. 47.2 LOREG y la doctrina de este Tribunal en materia de subsanación de irregularidades en la presentación de candidaturas (cita las SSTC 59/1987, 24/1989, 95/1991, 113/1991 y 84/2003), concluye señalando que procedería otorgar el amparo solicitado por vulneración del art. 23.2 CE si se confirma, a la vista de las actuaciones, que la recurrente ha sido efectivamente privada del trámite de subsanación.</w:t>
      </w:r>
    </w:p>
    <w:p w:rsidR="00DE14C9" w:rsidRDefault="00DE14C9" w:rsidP="00DE14C9">
      <w:pPr>
        <w:pStyle w:val="TextoNormal"/>
      </w:pPr>
    </w:p>
    <w:p w:rsidR="00DE14C9" w:rsidRDefault="00DE14C9" w:rsidP="00DE14C9">
      <w:pPr>
        <w:pStyle w:val="TextoNormal"/>
      </w:pPr>
      <w:r w:rsidRPr="00DE14C9">
        <w:rPr>
          <w:rStyle w:val="NumeroAFNegritaCaracter"/>
        </w:rPr>
        <w:t>6</w:t>
      </w:r>
      <w:r>
        <w:t>. Mediante escrito presentado ante el Registro General de este Tribunal el día 9 de mayo de 2007 el partido político Terra Galega comparece en el presente proceso y formula sus alegaciones, en las que esencialmente se remite a las del escrito de interposición del presente recurso de amparo.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xml:space="preserve">. Se impugna en el presente recurso de amparo electoral la Sentencia de 4 de mayo de 2007 del Juzgado de lo Contencioso-Administrativo núm. 3 de A Coruña, que estima el recurso contencioso-electoral núm. 130-2007, interpuesto por el representante de las candidaturas formuladas por el Partido Popular (PP) en la provincia de A Coruña contra el Acuerdo de la Junta Electoral de Zona de Betanzos de proclamación de las candidaturas de Terra Galega y Agrupación Social Independiente de Miño (ASI Miño) en la circunscripción electoral de Miño, publicado en el “Boletín Oficial de la Provincia de A Coruña” el 1 de mayo de 2007, para las elecciones municipales convocadas por Real Decreto 444/2007, de </w:t>
      </w:r>
      <w:r>
        <w:lastRenderedPageBreak/>
        <w:t>2 de abril. La formación política solicitante de amparo se queja de que se han vulnerado sus derechos fundamentales a la tutela judicial efectiva sin indefensión (art. 24.1 CE) y acceder en condiciones de igualdad a los cargos públicos (art. 23.2 CE). El Ministerio Fiscal interesa asimismo el otorgamiento del amparo para el caso de confirmarse, a la vista de las actuaciones, que la recurrente ha sido efectivamente privada del trámite de subsanación de defectos en la candidatura.</w:t>
      </w:r>
    </w:p>
    <w:p w:rsidR="00DE14C9" w:rsidRDefault="00DE14C9" w:rsidP="00DE14C9">
      <w:pPr>
        <w:pStyle w:val="TextoNormal"/>
      </w:pPr>
    </w:p>
    <w:p w:rsidR="00DE14C9" w:rsidRDefault="00DE14C9" w:rsidP="00DE14C9">
      <w:pPr>
        <w:pStyle w:val="TextoNormal"/>
      </w:pPr>
      <w:r w:rsidRPr="00DE14C9">
        <w:rPr>
          <w:rStyle w:val="NumeroAFNegritaCaracter"/>
        </w:rPr>
        <w:t>2</w:t>
      </w:r>
      <w:r>
        <w:t>. Con el fin de precisar el objeto del presente recurso de amparo electoral y cómo debe ser abordado su examen, es pertinente poner de relieve que en el asunto que nos ocupa la solicitante de amparo denuncia en primer término la lesión del derecho a la tutela judicial efectiva sin indefensión (art. 24.1 CE), lesión que imputa, por distintas razones, tanto a la Junta electoral de zona de Betanzos, como al Juzgado de lo Contencioso-Administrativo núm. 3 de A Coruña.</w:t>
      </w:r>
    </w:p>
    <w:p w:rsidR="00DE14C9" w:rsidRDefault="00DE14C9" w:rsidP="00DE14C9">
      <w:pPr>
        <w:pStyle w:val="TextoNormal"/>
      </w:pPr>
      <w:r>
        <w:t>Según quedó expuesto, la vulneración del derecho a la tutela judicial efectiva sin indefensión que la recurrente en amparo imputa a la Junta electoral de zona de Betanzos se fundamenta en que ésta no cumplió con su obligación de poner en conocimiento de la Agrupación Social Independiente de Miño (ASI Miño) la posible irregularidad en que incurrió la candidatura presentada, en cuanto a lo dispuesto en el art. 44 bis LOREG, al objeto de permitir la subsanación del defecto, obviando que, conforme a reiterada doctrina constitucional, la legalidad aplicable al caso ha de ser interpretada en los términos más favorables a la plena efectividad del derecho fundamental garantizado en el art. 23.2 CE. Falta de diligencia de la Administración electoral que, a la postre, dio lugar a la anulación en vía judicial de la candidatura proclamada.</w:t>
      </w:r>
    </w:p>
    <w:p w:rsidR="00DE14C9" w:rsidRDefault="00DE14C9" w:rsidP="00DE14C9">
      <w:pPr>
        <w:pStyle w:val="TextoNormal"/>
      </w:pPr>
      <w:r>
        <w:t>Pues bien, así planteada la queja, esta pretendida lesión del derecho fundamental a la tutela judicial efectiva sin indefensión que ASI Miño imputa a la Administración electoral ha de ser reconducida a la queja relativa a la vulneración del derecho al sufragio pasivo, garantizado por el derecho fundamental a acceder a los cargos representativos (art. 23.2 CE), queja a la que luego nos referiremos, sin que pueda apreciarse en el presente caso una lesión autónoma del art. 24.1 CE, toda vez que no estamos ante un supuesto en el que el acuerdo adoptado por una determinada Junta electoral no pueda ser sometido a un control judicial independiente (por todas, SSTC 103/1996, de 11 de junio, FJ 4.c; 46/1997, de 11 de marzo, FJ 1; 48/1997, de 11 de marzo; 149/2000, de 1 de junio, FJ 3; y 36/2003, de 25 de febrero, FJ 5).</w:t>
      </w:r>
    </w:p>
    <w:p w:rsidR="00DE14C9" w:rsidRDefault="00DE14C9" w:rsidP="00DE14C9">
      <w:pPr>
        <w:pStyle w:val="TextoNormal"/>
      </w:pPr>
    </w:p>
    <w:p w:rsidR="00DE14C9" w:rsidRDefault="00DE14C9" w:rsidP="00DE14C9">
      <w:pPr>
        <w:pStyle w:val="TextoNormal"/>
      </w:pPr>
      <w:r w:rsidRPr="00DE14C9">
        <w:rPr>
          <w:rStyle w:val="NumeroAFNegritaCaracter"/>
        </w:rPr>
        <w:t>3</w:t>
      </w:r>
      <w:r>
        <w:t>. La demandante de amparo dirige asimismo una queja por vulneración del derecho a la tutela judicial efectiva sin indefensión (art. 24.1 CE) contra la Sentencia del Juzgado de lo Contencioso-administrativo núm. 3 de A Coruña que anula, por incumplimiento de lo dispuesto en el art. 44 bis LOREG, la proclamación de la candidatura presentada por Agrupación Social Independiente de Miño (ASI Miño) para las elecciones locales en el municipio coruñés de Miño. Se aduce que el órgano judicial no le notificó el recurso interpuesto por el PP conforme al art. 49.1 LOREG contra el Acuerdo de la Junta electoral de zona de Betanzos de proclamación de la candidatura de ASI Miño en la circunscripción electoral de Miño, publicado en el “Boletín Oficial de la Provincia de A Coruña” el 1 de mayo de 2007, ni se le dio, en consecuencia, trámite de alegaciones, en el que esta formación política tuviera ocasión de defender los derechos que para la candidatura presentada (esto es, para las personas que en ella figuraban) se derivaron de aquel acto de proclamación por la Administración electoral.</w:t>
      </w:r>
    </w:p>
    <w:p w:rsidR="00DE14C9" w:rsidRDefault="00DE14C9" w:rsidP="00DE14C9">
      <w:pPr>
        <w:pStyle w:val="TextoNormal"/>
      </w:pPr>
      <w:r>
        <w:lastRenderedPageBreak/>
        <w:t>Asiste la razón en su queja a la formación política demandante de amparo. Como ya tuvo ocasión de señalar este Tribunal en su STC 85/1987, de 29 de mayo, FFJJ 1 y 2, el deber de los órganos judiciales, que surge del art. 24.1 CE, de emplazar personalmente en el proceso a quienes pudieran ostentar un legítimo interés en el mantenimiento del acto impugnado (siempre que tales personas, como es obvio, sean identificables a partir de los datos expuestos en la demanda o en el expediente administrativo), no deja de pesar, como es evidente, sobre los órganos judiciales llamados a resolver el especial proceso contencioso-electoral, pues, aunque tal proceso se singulariza por una tramitación concentrada y abreviada (apartados 2 y 3 del art. 49 LOREG), “ello no podría justificar nunca la omisión de trámite de tanta relevancia para su regularidad constitucional como es el del debido llamamiento al procedimiento de quienes, por la impugnación, ven directamente comprometido su derecho de sufragio pasivo” (FJ 2).</w:t>
      </w:r>
    </w:p>
    <w:p w:rsidR="00DE14C9" w:rsidRDefault="00DE14C9" w:rsidP="00DE14C9">
      <w:pPr>
        <w:pStyle w:val="TextoNormal"/>
      </w:pPr>
      <w:r>
        <w:t>Pues bien, la identidad de los afectados a raíz del recurso contencioso-electoral interpuesto por el PP contra el Acuerdo de la Junta electoral de zona de Betanzos de proclamación de la candidatura de Agrupación Social Independiente de Miño (ASI Miño) para las elecciones locales en Miño era manifiesta. Sin embargo, según se comprueba a la vista de las actuaciones judiciales, no se hizo emplazamiento personal alguno, ni consta que hubiera sido conocida la interposición y pendencia del recurso contencioso-electoral en tiempo hábil por la formación política ahora solicitante de amparo para personarse en el procedimiento. Por tanto, el Juzgado, al omitir el emplazamiento personal del representante de la formación política directamente afectada por la impugnación de la proclamación de su candidatura en la circunscripción electoral de Miño, impidió la defensa de sus derechos en el referido proceso, vulnerando de este modo el derecho fundamental de la solicitante de amparo a la tutela judicial efectiva sin indefensión.</w:t>
      </w:r>
    </w:p>
    <w:p w:rsidR="00DE14C9" w:rsidRDefault="00DE14C9" w:rsidP="00DE14C9">
      <w:pPr>
        <w:pStyle w:val="TextoNormal"/>
      </w:pPr>
      <w:r>
        <w:t>Por otra parte, conviene advertir que no cabe hablar de falta de agotamiento de todos los recursos utilizables dentro de la vía judicial [art. 44.1 a) LOTC] por no haberse acudido al incidente excepcional de nulidad de actuaciones regulado en el art.  241 de la Ley Orgánica del Poder Judicial (LOPJ), puesto que en los supuestos de amparo electoral no resulta exigible la utilización de este incidente “atendida la regulación especial del recurso de amparo en materia electoral, la finalidad de proporcionar rápidamente certeza al resultado electoral y el tenor literal de los arts. 49 y 114 LOREG” (STC 155/2003, de 21 de julio, FJ 5, y ATC 13/2000, de 11 de enero, FJ 3).</w:t>
      </w:r>
    </w:p>
    <w:p w:rsidR="00DE14C9" w:rsidRDefault="00DE14C9" w:rsidP="00DE14C9">
      <w:pPr>
        <w:pStyle w:val="TextoNormal"/>
      </w:pPr>
      <w:r>
        <w:t>Ahora bien, la estimación de esta queja por vulneración del art. 24.1 CE no puede ni debe, sin embargo, conducirnos a acordar no sólo la nulidad de la Sentencia impugnada, sino también la retroacción de actuaciones al momento procesal oportuno para que sea citada al proceso la representación de la formación política solicitante de amparo, y el Juzgado pueda dictar nueva sentencia sin ocasionar indefensión. En efecto, esta solución no la permite la perentoriedad de los plazos del proceso electoral (STC 71/1995, de 11 de mayo, FJ 2), a lo que cabe añadir que, además, este Tribunal tiene el suficiente conocimiento de los hechos para enjuiciar, aquí y ahora, las cuestiones planteadas y, en definitiva, su objeto fundamental: si la anulación judicial de la proclamación de la candidatura presentada en la circunscripción electoral de Miño por ASI Miño vulnera el derecho de sufragio pasivo de esta formación política, cuestión que seguidamente pasamos a resolver.</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Como ha quedado expuesto, la recurrente denuncia como queja principal la vulneración de su derecho de sufragio pasivo, garantizado por el art. 23.2 CE, pues entiende que no resultan constitucionalmente admisibles interpretaciones desproporcionadas de la legislación electoral, como la que ha realizado la Sentencia impugnada en amparo, que conduzcan </w:t>
      </w:r>
      <w:r>
        <w:lastRenderedPageBreak/>
        <w:t>a la anulación de candidaturas electorales por defectos subsanables que no fueron puestos de manifiesto en ningún momento por la Administración electoral.</w:t>
      </w:r>
    </w:p>
    <w:p w:rsidR="00DE14C9" w:rsidRDefault="00DE14C9" w:rsidP="00DE14C9">
      <w:pPr>
        <w:pStyle w:val="TextoNormal"/>
      </w:pPr>
      <w:r>
        <w:t>Conforme a la doctrina constitucional sobre la subsanación de irregularidades, defectos y errores en las candidaturas presentadas y sobre el deber de las Juntas Electorales competentes de advertir y permitir dicha subsanación, sostiene la recurrente en amparo que la Junta electoral de zona de Betanzos debió advertirla del defecto en la composición, a efectos del art. 44 bis LOREG, de la candidatura presentada a las elecciones locales en el municipio de Miño, a fin de que pudiera subsanar el defecto que finalmente ha apreciado el Juzgado en el número de hombres de la lista, con el resultado de anular la candidatura. Al no hacerlo así, procediendo la Administración electoral a proclamar la candidatura presentada sin formular reparo alguno, no cabe que, con ocasión de la impugnación por otro partido ex art. 49 LOREG de la candidatura proclamada, el órgano judicial acuerde la nulidad de la candidatura por incumplimiento de lo dispuesto en el citado art. 44 bis LOREG, sin dar oportunidad a la formación política de corregir el defecto padecido, presentando una lista ajustada a la composición equilibrada de mujeres y hombres establecida por dicho precepto, añadido por la reciente Ley Orgánica 3/2007, de 22 de marzo, para la igualdad efectiva de mujeres y hombres.</w:t>
      </w:r>
    </w:p>
    <w:p w:rsidR="00DE14C9" w:rsidRDefault="00DE14C9" w:rsidP="00DE14C9">
      <w:pPr>
        <w:pStyle w:val="TextoNormal"/>
      </w:pPr>
      <w:r>
        <w:t>Resulta, además, que la propia Administración electoral ha reconocido expresamente, y de manera general, el carácter subsanable de los defectos que puedan presentar las candidaturas presentadas por las formaciones políticas en cuanto a la exigencia establecida por el citado art. 44 bis LOREG, conforme al cual (apartado 1, párrafo primero) las candidaturas “deberán tener una composición equilibrada de mujeres y hombres, de forma que en el conjunto de la lista los candidatos de cada uno de los sexos supongan como mínimo el cuarenta por ciento”, proporción que deberá mantenerse también en cada tramo de cinco puestos, de suerte que si el número de candidatos o el último tramo de la lista no alcanzase los cinco puestos, la proporción de mujeres y hombres será lo más cercano posible al equilibrio numérico, manteniendo la proporción respecto del conjunto de la lista (apartados 1 y 2 del art. 44 bis LOREG), reglas éstas igualmente aplicables a las listas de suplentes (apartado 3 del art.  44 bis LOREG).</w:t>
      </w:r>
    </w:p>
    <w:p w:rsidR="00DE14C9" w:rsidRDefault="00DE14C9" w:rsidP="00DE14C9">
      <w:pPr>
        <w:pStyle w:val="TextoNormal"/>
      </w:pPr>
      <w:r>
        <w:t>Y así, en efecto, el punto primero de la Instrucción 8/2007, de 19 de abril, de la Junta Electoral Central, sobre interpretación del trámite de subsanación de irregularidades previsto en el art. 48.1 LOREG por incumplimiento de los requisitos de los arts.  44 bis y 187.2 LOREG, en la redacción dada por la Ley Orgánica 3/2007, de 22 de marzo, para la igualdad efectiva de mujeres y hombres, establece que “Durante el plazo de subsanación de las irregularidades advertidas por las Juntas Electorales competentes en las candidaturas presentadas, cuando la causa sea el incumplimiento de lo dispuesto en el artículo 44 bis de la LOREG o en la legislación autonómica aplicable sobre candidaturas paritarias, podrá modificarse el orden de los candidatos, o incluir o excluir algún candidato, siempre que con ello se trate estrictamente de subsanar la irregularidad apreciada, de conformidad con lo dispuesto en el último inciso del artículo 48.1 de la LOREG”.</w:t>
      </w:r>
    </w:p>
    <w:p w:rsidR="00DE14C9" w:rsidRDefault="00DE14C9" w:rsidP="00DE14C9">
      <w:pPr>
        <w:pStyle w:val="TextoNormal"/>
      </w:pPr>
      <w:r>
        <w:t xml:space="preserve">Sin embargo, del examen de actuaciones resulta que la Junta electoral de zona de Betanzos procedió a proclamar la candidatura presentada por ASI Miño en la circunscripción electoral de Miño, para las elecciones municipales convocadas por Real Decreto 444/2007, de 2 de abril, sin advertir que dicha candidatura incumplía, como se razona en la Sentencia impugnada, la exigencia de composición equilibrada entre hombres y mujeres contenida en el art. 44 bis LOREG (exigencia aplicable al municipio de Miño, conforme a la disposición transitoria séptima LOREG, añadida también por la Ley Orgánica 3/2007, por contar con un número de residentes superior a los 5.000 habitantes), pues presenta cinco hombres sobre </w:t>
      </w:r>
      <w:r>
        <w:lastRenderedPageBreak/>
        <w:t>un total de trece candidatos, por lo que no alcanza el mínimo del 40 por 100 establecido por dicho precepto, que exigiría en el presente caso al menos seis candidatos varones en la lista.</w:t>
      </w:r>
    </w:p>
    <w:p w:rsidR="00DE14C9" w:rsidRDefault="00DE14C9" w:rsidP="00DE14C9">
      <w:pPr>
        <w:pStyle w:val="TextoNormal"/>
      </w:pPr>
      <w:r>
        <w:t>Y se constata igualmente, lo que resulta determinante para el otorgamiento del amparo por vulneración del derecho al sufragio pasivo garantizado por el art. 23.2 CE, que la Junta electoral de zona de Betanzos, al no advertir defecto alguno en la candidatura presentada por ASI Miño en la circunscripción electoral de Miño, no dio oportunidad a esta formación política de subsanar el defecto en la composición equilibrada entre hombres y mujeres de la candidatura que exige el art. 44 bis LOREG.</w:t>
      </w:r>
    </w:p>
    <w:p w:rsidR="00DE14C9" w:rsidRDefault="00DE14C9" w:rsidP="00DE14C9">
      <w:pPr>
        <w:pStyle w:val="TextoNormal"/>
      </w:pPr>
    </w:p>
    <w:p w:rsidR="00DE14C9" w:rsidRDefault="00DE14C9" w:rsidP="00DE14C9">
      <w:pPr>
        <w:pStyle w:val="TextoNormal"/>
      </w:pPr>
      <w:r w:rsidRPr="00DE14C9">
        <w:rPr>
          <w:rStyle w:val="NumeroAFNegritaCaracter"/>
        </w:rPr>
        <w:t>5</w:t>
      </w:r>
      <w:r>
        <w:t>. Nuestra doctrina en materia de subsanación de irregularidades sufridas en la presentación de candidaturas ante la Administración electoral puede resumirse en la afirmación de que, por principio, los errores e irregularidades cometidos en la presentación de éstas son subsanables y que, en consecuencia, las juntas electorales han de ofrecer la oportunidad de que las candidaturas en las que se han detectado lo hagan. Busca con ello la Ley Orgánica del régimen electoral general,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w:t>
      </w:r>
    </w:p>
    <w:p w:rsidR="00DE14C9" w:rsidRDefault="00DE14C9" w:rsidP="00DE14C9">
      <w:pPr>
        <w:pStyle w:val="TextoNormal"/>
      </w:pPr>
      <w:r>
        <w:t>Deriva de lo expuesto el que si por la Administración electoral se incumple este deber legal en orden al examen de los escritos de presentación de candidaturas, no dándose así ocasión a los interesados para la reparación de unos defectos que después llevan al rechazo de aquéllas, se habrá ignorado, con ello, una garantía dispuesta por la Ley Orgánica del régimen electoral general para la efectividad, como queda dicho, del derecho de sufragio pasivo, que resultará así afectado negativamente en la medida en que se desconozca por una Junta electoral, o se atienda sólo imperfectamente la exigencia legal de la que aquí se trata. En modo alguno empaña esta conclusión, ni la consideración general que se acaba de hacer sobre la afectación del derecho reconocido en el art. 23.2 CE, el hecho de que, en estos casos, el resultado finalmente gravoso para candidaturas y candidatos —la denegación de su proclamación como tales— se llegue a producir por no haberse reparado un defecto fruto de la ignorancia o de la negligencia de quienes presentaron la candidatura sin cumplir, en todos sus extremos, las prevenciones legales, sin perjuicio, como es obvio, del deber de diligencia y de colaboración con la Administración electoral que pesa sobre los candidatos y las formaciones políticas que les avalan (SSTC 67/1987, de 21 de mayo, FJ 3; 73/1995, de 12 de mayo, FJ 3; y 80/2002, de 8 de abril, FJ 7).</w:t>
      </w:r>
    </w:p>
    <w:p w:rsidR="00DE14C9" w:rsidRDefault="00DE14C9" w:rsidP="00DE14C9">
      <w:pPr>
        <w:pStyle w:val="TextoNormal"/>
      </w:pPr>
      <w:r>
        <w:t xml:space="preserve">En efecto, en este específico procedimiento no ha querido la Ley Orgánica del régimen electoral general dejar la suerte de las candidaturas a merced de la sola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Orgánica del régimen electoral general que tal irregularidad depare aquella sanción sin que antes se haga posible, mediante </w:t>
      </w:r>
      <w:r>
        <w:lastRenderedPageBreak/>
        <w:t>su identificación y advertencia de oficio, la oportuna subsanación, siempre, claro ésta, que ello sea materialmente posible (SSTC 73/1986, de 3 de junio, FJ 1; 59/1987, de 19 de mayo, FJ 3; 86/1987, de 1 de junio, FJ 4; 24/1989, de 2 de febrero, FJ 95/1991, de 7 de mayo, FJ 2; 113/1991, de 20 de mayo, FJ 3; 175/1991, de 16 de septiembre, FJ 2; y 84/2003, de 8 de mayo, FJ 3).</w:t>
      </w:r>
    </w:p>
    <w:p w:rsidR="00DE14C9" w:rsidRDefault="00DE14C9" w:rsidP="00DE14C9">
      <w:pPr>
        <w:pStyle w:val="TextoNormal"/>
      </w:pPr>
    </w:p>
    <w:p w:rsidR="00DE14C9" w:rsidRDefault="00DE14C9" w:rsidP="00DE14C9">
      <w:pPr>
        <w:pStyle w:val="TextoNormal"/>
      </w:pPr>
      <w:r w:rsidRPr="00DE14C9">
        <w:rPr>
          <w:rStyle w:val="NumeroAFNegritaCaracter"/>
        </w:rPr>
        <w:t>6</w:t>
      </w:r>
      <w:r>
        <w:t>. La Sentencia impugnada considera que la candidatura presentada por ASI Miño en la circunscripción electoral de Miño incluía menos candidatos de género masculino del número mínimo que resulta exigible para dar cumplimiento a la exigencia de composición equilibrada entre hombres y mujeres que exige el art. 44 bis LOREG. Pero la irregularidad cometida por la formación política solicitante de amparo en la presentación de dicha candidatura no puede tener la trascendencia fatal para el derecho fundamental a acceder en condiciones de igualdad a las funciones y cargos públicos (art. 23.2 CE) que ha apreciado el órgano judicial, pues se trata de una irregularidad subsanable, conforme a la doctrina constitucional expuesta, y no advertida por la Junta electoral de zona de Betanzos, lo que dio lugar a que no se diese ocasión a la representación de Agrupación Social Independiente de Miño para su subsanación, conforme a lo dispuesto en el art. 47.2 LOREG.</w:t>
      </w:r>
    </w:p>
    <w:p w:rsidR="00DE14C9" w:rsidRDefault="00DE14C9" w:rsidP="00DE14C9">
      <w:pPr>
        <w:pStyle w:val="TextoNormal"/>
      </w:pPr>
      <w:r>
        <w:t>En definitiva, la interpretación de la legalidad aplicable del modo más favorable al derecho fundamental garantizado por el art. 23.2 CE, exigía que el órgano judicial, una vez apreciado el incumplimiento de lo dispuesto en el art. 44 bis LOREG, no se hubiese limitado a anular el Acuerdo de la Junta electoral de zona de Betanzos de proclamación de la candidatura de Agrupación Social Independiente de Miño en la circunscripción electoral de Miño, sino que, en aras de preservar el derecho de sufragio pasivo, era preciso que modulase los efectos de dicha declaración de nulidad, requiriendo a la referida Junta Electoral para que otorgase a dicha candidatura el plazo de subsanación previsto en el art. 47.2 LOREG, a fin de adecuar la misma a la proporción de candidatos de ambos sexos exigida por el art. 44 bis LOREG.</w:t>
      </w:r>
    </w:p>
    <w:p w:rsidR="00DE14C9" w:rsidRDefault="00DE14C9" w:rsidP="00DE14C9">
      <w:pPr>
        <w:pStyle w:val="TextoNormal"/>
      </w:pPr>
      <w:r>
        <w:t>Al no haberlo hecho así, el órgano judicial ha ocasionado al partido recurrente en amparo la denunciada vulneración de su derecho al sufragio pasivo, lo que conduce al otorgamiento del amparo solicitado, precisamente para que la Junta electoral de zona de Betanzos otorgue el trámite de subsanación omitido, procediendo, en caso de que se subsanase el defecto en la composición equilibrada entre hombres y mujeres que exige el art. 44 bis LOREG, a proclamar la candidatura, o a la no proclamación de la misma, en caso contrario.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Agrupación Social Independiente de Miño (ASI Miño) y, en su virtud:</w:t>
      </w:r>
    </w:p>
    <w:p w:rsidR="00DE14C9" w:rsidRDefault="00DE14C9" w:rsidP="00DE14C9">
      <w:pPr>
        <w:pStyle w:val="TextoNormal"/>
      </w:pPr>
      <w:r>
        <w:t>1º Reconocer sus derechos a acceder en condiciones de igualdad a las funciones y cargos públicos (art. 23.2 CE) y a la tutela judicial efectiva sin indefensión (art. 24.1 CE).</w:t>
      </w:r>
    </w:p>
    <w:p w:rsidR="00DE14C9" w:rsidRDefault="00DE14C9" w:rsidP="00DE14C9">
      <w:pPr>
        <w:pStyle w:val="TextoNormal"/>
      </w:pPr>
      <w:r>
        <w:lastRenderedPageBreak/>
        <w:t>2º Declarar la nulidad de la Sentencia de 4 de mayo de 2007 del Juzgado de lo Contencioso-administrativo núm. 3 de A Coruña, dictada en el recurso contencioso-electoral núm. 130-2007.</w:t>
      </w:r>
    </w:p>
    <w:p w:rsidR="00DE14C9" w:rsidRDefault="00DE14C9" w:rsidP="00DE14C9">
      <w:pPr>
        <w:pStyle w:val="TextoNormal"/>
      </w:pPr>
      <w:r>
        <w:t>3º Retrotraer las actuaciones al momento anterior al Acuerdo de la Junta electoral de zona de Betanzos de proclamación de la candidatura de Agrupación Social Independiente de Miño en la circunscripción electoral de Miño, para que por dicha Junta electoral se proceda a otorgar trámite de subsanación, en los términos expresados en el fundamento jurídico 6 de esta Sentencia.</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nueve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17" w:name="SENTENCIA_2007_104"/>
      <w:r>
        <w:lastRenderedPageBreak/>
        <w:t>SENTENCIA 104/2007, de 9 de mayo de 2007</w:t>
      </w:r>
    </w:p>
    <w:bookmarkEnd w:id="17"/>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137, de 8 de junio de 2007)</w:t>
      </w:r>
    </w:p>
    <w:p w:rsidR="00DE14C9" w:rsidRDefault="00DE14C9" w:rsidP="00DE14C9">
      <w:pPr>
        <w:pStyle w:val="TtuloBOE"/>
      </w:pPr>
    </w:p>
    <w:p w:rsidR="00DE14C9" w:rsidRDefault="00DE14C9" w:rsidP="00DE14C9">
      <w:pPr>
        <w:pStyle w:val="SntesisDescriptiva"/>
      </w:pPr>
      <w:r>
        <w:t>ECLI:ES:TC:2007:104</w:t>
      </w:r>
    </w:p>
    <w:p w:rsidR="00DE14C9" w:rsidRDefault="00DE14C9" w:rsidP="00DE14C9">
      <w:pPr>
        <w:pStyle w:val="SntesisDescriptiva"/>
      </w:pPr>
    </w:p>
    <w:p w:rsidR="00DE14C9" w:rsidRDefault="00DE14C9" w:rsidP="00DE14C9">
      <w:pPr>
        <w:pStyle w:val="SntesisDescriptiva"/>
      </w:pPr>
      <w:r>
        <w:t>Recurso de amparo electoral 4170-2007. Promovido por el Partido Socialista Obrero Español (PSOE) frente a la Sentencia del Juzgado de lo Contencioso-Administrativo núm. 1 de A Coruña que anuló la proclamación de su candidatura en las elecciones locales por la circunscripción de Bergondo.</w:t>
      </w:r>
    </w:p>
    <w:p w:rsidR="00DE14C9" w:rsidRDefault="00DE14C9" w:rsidP="00DE14C9">
      <w:pPr>
        <w:pStyle w:val="SntesisDescriptiva"/>
      </w:pPr>
    </w:p>
    <w:p w:rsidR="00DE14C9" w:rsidRDefault="00DE14C9" w:rsidP="00DE14C9">
      <w:pPr>
        <w:pStyle w:val="SntesisAnaltica"/>
      </w:pPr>
      <w:r>
        <w:t>Vulneración del derecho a acceder a los cargos representativos: anulación de candidatura electoral por infringir la paridad entre mujeres y hombres sin permitir su subsanación (STC 96/2007).</w:t>
      </w:r>
    </w:p>
    <w:p w:rsidR="00DE14C9" w:rsidRDefault="00DE14C9" w:rsidP="00DE14C9">
      <w:pPr>
        <w:pStyle w:val="SntesisAnaltica"/>
      </w:pPr>
    </w:p>
    <w:p w:rsidR="00DE14C9" w:rsidRDefault="00DE14C9" w:rsidP="00DE14C9">
      <w:pPr>
        <w:pStyle w:val="Extracto"/>
      </w:pPr>
      <w:r>
        <w:t>1.</w:t>
      </w:r>
      <w:r>
        <w:tab/>
        <w:t>El hecho de que la Junta Electoral de Zona proclame la candidatura presentada por un partido sin advertir que dicha candidatura incumple la exigencia de composición equilibrada entre hombres y mujeres contenida en el art. 44 bis LOREG (siendo este un defecto subsanable), vulnera el derecho al sufragio pasivo, ya que la Ley Orgánica introduce un deber de examen de oficio para la Administración [FFJJ 3, 4].</w:t>
      </w:r>
    </w:p>
    <w:p w:rsidR="00DE14C9" w:rsidRDefault="00DE14C9" w:rsidP="00DE14C9">
      <w:pPr>
        <w:pStyle w:val="Extracto"/>
      </w:pPr>
    </w:p>
    <w:p w:rsidR="00DE14C9" w:rsidRDefault="00DE14C9" w:rsidP="00DE14C9">
      <w:pPr>
        <w:pStyle w:val="Extracto"/>
      </w:pPr>
      <w:r>
        <w:t>2.</w:t>
      </w:r>
      <w:r>
        <w:tab/>
        <w:t>La interpretación de la legalidad aplicable del modo más favorable al derecho fundamental garantizado en el art. 23.2 CE exigía que el órgano judicial, una vez apreciado el incumplimiento de lo dispuesto en el art. 44 LOREG, no se hubiese limitado a anular el Acuerdo de la Junta, sino que era preciso que modulase los efectos de dicha declaración de nulidad, requiriendo a la referida junta para que otorgase a dicha candidatura el plazo de subsanación previsto [FJ 5].</w:t>
      </w:r>
    </w:p>
    <w:p w:rsidR="00DE14C9" w:rsidRDefault="00DE14C9" w:rsidP="00DE14C9">
      <w:pPr>
        <w:pStyle w:val="Extracto"/>
      </w:pPr>
    </w:p>
    <w:p w:rsidR="00DE14C9" w:rsidRDefault="00DE14C9" w:rsidP="00DE14C9">
      <w:pPr>
        <w:pStyle w:val="Extracto"/>
      </w:pPr>
      <w:r>
        <w:t>3.</w:t>
      </w:r>
      <w:r>
        <w:tab/>
        <w:t>No se vulnera el derecho a la tutela judicial sin indefensión ya que el Tribunal de lo Contencioso-Administrativo dio traslado al partido político del recurso presentado contra el Acuerdo de Junta, aunque dicha Junta no hubiese notificado de los errores subsanables cometidos en la candidatura, por lo que la queja ha de ser reconducida a la vulneración del sufragio pasivo (SSTC 103/1996, 36/2003) [FJ 2].</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lastRenderedPageBreak/>
        <w:t>SENTENCIA</w:t>
      </w:r>
    </w:p>
    <w:p w:rsidR="00DE14C9" w:rsidRDefault="00DE14C9" w:rsidP="00DE14C9">
      <w:pPr>
        <w:pStyle w:val="TextoNormalCentrado"/>
        <w:keepNext/>
      </w:pPr>
    </w:p>
    <w:p w:rsidR="00DE14C9" w:rsidRDefault="00DE14C9" w:rsidP="00DE14C9">
      <w:pPr>
        <w:pStyle w:val="TextoNormal"/>
      </w:pPr>
      <w:r>
        <w:t>En el recurso de amparo electoral núm. 4170-2007, promovido por el Partido Socialista Obrero Español (PSOE), representado por la Procuradora de los Tribunales doña Virginia Aragón Segura y asistido por el Letrado don Álvaro Sánchez Manzanares, contra la Sentencia de 7 de mayo de 2007 del Juzgado de lo Contencioso-Administrativo núm. 1 de A Coruña, que estima el recurso contencioso-electoral núm. 125-2007, interpuesto por el representante de las candidaturas formuladas por el Partido Popular (PP) en la provincia de A Coruña contra el Acuerdo de la Junta Electoral de Zona de Betanzos de proclamación de la candidatura del PSdG-PSOE en la circunscripción electoral de Bergondo. Ha intervenido el Ministerio Fiscal. Ha sido Ponente el Magistrado don Javier Delgado Barrio,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el Registro General de este Tribunal el 8 de mayo de 2007, la Procuradora de los Tribunales doña Virginia Aragón Segura, en nombre y representación del Partido Socialista Obrero Español (PSOE), interpuso recurso de amparo contra la resolución judicial referida en el encabezamiento, por vulneración del derecho a la tutela judicial efectiva (art. 24.1 CE) y del derecho al sufragio pasivo (art. 23 CE).</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en que se fundamenta la demanda de amparo electoral, relevantes para la resolución del caso, son los que se expresan a continuación:   a) La formación política PSdG-PSOE presentó ante la Junta electoral de zona de Betanzos una candidatura en la circunscripción electoral de Bergondo para las elecciones municipales convocadas por Real Decreto 444/2007, de 2 de abril, candidatura que fue proclamada por Acuerdo de la referida Junta Electoral de Zona publicado en el “Boletín Oficial de la Provincia de A Coruña” de 1 de mayo de 2007. </w:t>
      </w:r>
    </w:p>
    <w:p w:rsidR="00DE14C9" w:rsidRDefault="00DE14C9" w:rsidP="00DE14C9">
      <w:pPr>
        <w:pStyle w:val="TextoNormal"/>
      </w:pPr>
      <w:r>
        <w:t>b) El 3 de mayo de 2007 el representante de las candidaturas presentadas por el Partido Popular (PP) en la provincia de A Coruña impugnó el Acuerdo de la Junta electoral de zona de Betanzos por el que se proclamó la candidatura presentada por el PSdG-PSOE en la circunscripción electoral de Bergondo, interesando que se anulase dicha candidatura por incumplir lo dispuesto en el art. 44 bis de la Ley Orgánica del régimen electoral general (LOREG), introducido por la Ley Orgánica 3/2007, de 22 de marzo, para la igualdad efectiva de mujeres y hombres, toda vez que el número de mujeres de dicha candidatura no alcanzaba el mínimo del 40 por 100 que dicho precepto establece, siendo esta exigencia legal aplicable al municipio de Bergondo, por contar con más de 5.000 habitantes, de conformidad con lo dispuesto en la disposición transitoria séptima LOREG, añadida también por la Ley Orgánica 3/2007.   c) El Juzgado de lo Contencioso-Administrativo núm. 1 de A Coruña admitió a trámite el recurso, dando traslado del mismo al partido ahora recurrente en amparo y al Ministerio Fiscal, que comparecieron debidamente. Mediante Sentencia de 7 de mayo de 2007 lo estimó, procediendo a anular dicho Acuerdo y la candidatura proclamada, al apreciar que la misma incumple la exigencia de composición equilibrada entre hombres y mujeres contenida en el art. 44 bis LOREG, pues, valorada en su conjunto la candidadura presentada por el PSdG-PSOE para las elecciones locales en el municipio de Bergondo, resulta que no alcanza el cuarenta por ciento legalmente establecido, que exigiría un mínimo de seis personas de cada sexo en la lista.</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En la demanda de amparo electoral se alega, en primer lugar, la vulneración del derecho a la tutela judicial efectiva sin indefensión (art. 24.1 CE), por cuanto en el presente supuesto la Administración electoral no cumplió con su obligación de poner en conocimiento del PSdG-PSOE las posibles irregularidades cometidas en la candidatura presentada, al objeto de permitir su subsanación, por lo que no tuvo en cuenta que la legalidad aplicable ha de ser entendida en los términos más favorables a la plena efectividad del derecho fundamental de sufragio pasivo, de conformidad con la reiterada doctrina sentada al respecto por el Tribunal Constitucional (SSTC 73/1986, 59/1987, y 86/1987). </w:t>
      </w:r>
    </w:p>
    <w:p w:rsidR="00DE14C9" w:rsidRDefault="00DE14C9" w:rsidP="00DE14C9">
      <w:pPr>
        <w:pStyle w:val="TextoNormal"/>
      </w:pPr>
      <w:r>
        <w:t xml:space="preserve">Imputa también un vicio de incongruencia a la resolución judicial pues por escrito de 6 de mayo de 2007 tres de los candidatos masculinos de la lista renunciaron a formar parte de la misma, por lo que la lista habría cambiado de manera irrevocable con lo que el órgano sentenciador debió entender que el recurso presentado había perdido su objeto. </w:t>
      </w:r>
    </w:p>
    <w:p w:rsidR="00DE14C9" w:rsidRDefault="00DE14C9" w:rsidP="00DE14C9">
      <w:pPr>
        <w:pStyle w:val="TextoNormal"/>
      </w:pPr>
      <w:r>
        <w:t xml:space="preserve">Alega asimismo la representación procesal del PSOE la vulneración de su derecho de sufragio pasivo, garantizado por el art. 23.2 CE, pues no caben interpretaciones desproporcionadas, como la que lleva a cabo la Sentencia impugnada, que conduzcan a la anulación de candidaturas electorales por defectos que debieron ser puestos de manifiesto por la Administración electoral para su oportuna subsanación. Con cita de las SSTC 113/1991, 24/1989, 84/2003, 85/2003, 26/2004 y 68/2005, sostiene la formación política recurrente en amparo que la Junta electoral de zona de Betanzos debió advertirle del defecto en la composición de la candidatura presentada a las elecciones locales en el municipio de Bergondo, a fin de que pudiera subsanar la irregularidad que finalmente ha declarado el Juzgado en el número de mujeres de la lista. El defecto cometido por la formación política solicitante de amparo en la presentación de la candidatura al municipio de Bergondo no puede tener, de conformidad con la referida jurisprudencia constitucional, la trascendencia fatal para el derecho fundamental a acceder en condiciones de igualdad a las funciones y cargos públicos que ha apreciado el órgano judicial, máxime si se tiene en cuenta —se afirma— que el PSdG-PSOE ha actuado con la máxima diligencia desde el momento en que tuvo conocimiento de esa potencial e hipotética irregularidad, pues, ante las noticias aparecidas en prensa sobre la impugnación de la candidatura, intentó subsanarla ante la Junta electoral, llegando incluso a ofrecer la renuncia de varios candidatos, si bien la Junta Electoral no admitió la subsanación al entender que no era posible por haberse notificado ya la Sentencia que se impugna en amparo. </w:t>
      </w:r>
    </w:p>
    <w:p w:rsidR="00DE14C9" w:rsidRDefault="00DE14C9" w:rsidP="00DE14C9">
      <w:pPr>
        <w:pStyle w:val="TextoNormal"/>
      </w:pPr>
      <w:r>
        <w:t>Por todo ello el recurrente concluye interesando que se le otorgue el amparo solicitado, dejando sin efecto la Sentencia impugnada y ordenando la retroacción de las actuaciones al momento que permita subsanar el defecto o, subsidiariamente, se admita la renuncia de los candidatos ya ofrecida, dando cumplimiento así al art. 44 bis LOREG.</w:t>
      </w:r>
    </w:p>
    <w:p w:rsidR="00DE14C9" w:rsidRDefault="00DE14C9" w:rsidP="00DE14C9">
      <w:pPr>
        <w:pStyle w:val="TextoNormal"/>
      </w:pPr>
    </w:p>
    <w:p w:rsidR="00DE14C9" w:rsidRDefault="00DE14C9" w:rsidP="00DE14C9">
      <w:pPr>
        <w:pStyle w:val="TextoNormal"/>
      </w:pPr>
      <w:r w:rsidRPr="00DE14C9">
        <w:rPr>
          <w:rStyle w:val="NumeroAFNegritaCaracter"/>
        </w:rPr>
        <w:t>4</w:t>
      </w:r>
      <w:r>
        <w:t>. Mediante diligencia de ordenación de 8 de mayo de 2007, el Secretario de Justicia de la Sala Primera de este Tribunal acordó, en conformidad con lo dispuesto en el Acuerdo del Pleno de 20 de enero de 2000, recabar del Juzgado de lo Contencioso-Administrativo núm. 1 de A Coruña las actuaciones correspondientes, así como la acreditación de emplazamiento de las partes, que fueron remitidas a este Tribunal. Igualmente se acordó dar vista al Ministerio Fiscal para que en el plazo de un día natural formulase las alegaciones pertinentes.</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El Ministerio Fiscal presentó sus alegaciones el 9 de mayo de 2007, en las que, tras recordar lo dispuesto en el art. 47.2 LOREG y la doctrina de este Tribunal en materia de </w:t>
      </w:r>
      <w:r>
        <w:lastRenderedPageBreak/>
        <w:t xml:space="preserve">subsanación de irregularidades en la presentación de candidaturas (cita las SSTC 59/1987, 24/1989, 95/1991, 113/1991 y 84/2003), concluye señalando que procedería otorgar el amparo solicitado por vulneración del art. 23.2 CE si se confirma, a la vista de las actuaciones, que el partido recurrente ha sido efectivamente privado del trámite de subsanación. </w:t>
      </w:r>
    </w:p>
    <w:p w:rsidR="00DE14C9" w:rsidRDefault="00DE14C9" w:rsidP="00DE14C9">
      <w:pPr>
        <w:pStyle w:val="TextoNormal"/>
      </w:pPr>
      <w:r>
        <w:t>No se personaron más partes dentro del plazo legalmente establecido, pese a la acreditación de emplazamientos a que se ha hecho referencia.</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Se impugna en el presente recurso de amparo electoral la Sentencia de 7 de mayo de 2007 del Juzgado de lo Contencioso-Administrativo núm. 1 de A Coruña, que estimó el recurso contencioso-electoral núm. 125-2007, interpuesto por el representante de las candidaturas formuladas por el PP en la provincia de A Coruña contra el Acuerdo de la Junta electoral de zona de Betanzos de proclamación de la candidatura del PSdG-PSOE en la circunscripción electoral de Bergondo, publicado en el “Boletín Oficial de la Provincia de A Coruña” el 1 de mayo de 2007, para las elecciones municipales convocadas por Real Decreto 444/2007, de 2 de abril.</w:t>
      </w:r>
    </w:p>
    <w:p w:rsidR="00DE14C9" w:rsidRDefault="00DE14C9" w:rsidP="00DE14C9">
      <w:pPr>
        <w:pStyle w:val="TextoNormal"/>
      </w:pPr>
      <w:r>
        <w:t>El partido solicitante de amparo se queja de que se han vulnerado sus derechos fundamentales a la tutela judicial efectiva sin indefensión (art. 24.1 CE) y acceder en condiciones de igualdad a los cargos públicos (art. 23.2 CE). El Ministerio Fiscal interesa asimismo el otorgamiento del amparo para el caso de confirmarse, a la vista de las actuaciones, que el partido recurrente ha sido efectivamente privado del trámite de subsanación de defectos en la candidatura.</w:t>
      </w:r>
    </w:p>
    <w:p w:rsidR="00DE14C9" w:rsidRDefault="00DE14C9" w:rsidP="00DE14C9">
      <w:pPr>
        <w:pStyle w:val="TextoNormal"/>
      </w:pPr>
    </w:p>
    <w:p w:rsidR="00DE14C9" w:rsidRDefault="00DE14C9" w:rsidP="00DE14C9">
      <w:pPr>
        <w:pStyle w:val="TextoNormal"/>
      </w:pPr>
      <w:r w:rsidRPr="00DE14C9">
        <w:rPr>
          <w:rStyle w:val="NumeroAFNegritaCaracter"/>
        </w:rPr>
        <w:t>2</w:t>
      </w:r>
      <w:r>
        <w:t>. Con el fin de precisar el objeto del presente recurso de amparo electoral y cómo debe ser abordado su examen, es pertinente poner de relieve que en el asunto que nos ocupa el partido político solicitante de amparo denuncia en primer término la lesión del derecho a la tutela judicial efectiva sin indefensión (art. 24.1 CE), lesión que imputa, por distintas razones, tanto a la Junta electoral de zona de Betanzos, como al Juzgado de lo Contencioso-Administrativo núm. 1 de A Coruña.</w:t>
      </w:r>
    </w:p>
    <w:p w:rsidR="00DE14C9" w:rsidRDefault="00DE14C9" w:rsidP="00DE14C9">
      <w:pPr>
        <w:pStyle w:val="TextoNormal"/>
      </w:pPr>
      <w:r>
        <w:t>Según quedó expuesto, la vulneración del derecho a la tutela judicial efectiva sin indefensión que el partido recurrente en amparo imputa a la Junta electoral de zona de Betanzos se fundamenta en que ésta no cumplió con su obligación de poner en conocimiento del PSdG-PSOE la posible irregularidad en que incurrió la candidatura presentada, en cuanto a lo dispuesto en el art. 44 bis de la Ley Orgánica del régimen electoral general (LOREG), al objeto de permitir la subsanación del defecto, obviando que, conforme a reiterada doctrina constitucional, la legalidad aplicable al caso ha de ser interpretada en los términos más favorables a la plena efectividad del derecho fundamental garantizado en el art. 23.2 CE. Falta de diligencia de la Administración electoral que, a la postre, dio lugar a la anulación en vía judicial de la candidatura proclamada.</w:t>
      </w:r>
    </w:p>
    <w:p w:rsidR="00DE14C9" w:rsidRDefault="00DE14C9" w:rsidP="00DE14C9">
      <w:pPr>
        <w:pStyle w:val="TextoNormal"/>
      </w:pPr>
      <w:r>
        <w:t>Pues bien, así planteada la queja, esta pretendida lesión del derecho fundamental a la tutela judicial efectiva sin indefensión que el PSOE imputa a la Administración electoral ha de ser reconducida a la queja relativa a la vulneración del derecho al sufragio pasivo, garantizado por el derecho fundamental a acceder a los cargos representativos (art. 23.2 CE), queja a la que luego nos referiremos, sin que pueda apreciarse en el presente caso una lesión autónoma del art. 24.1 CE, toda vez no estamos ante un supuesto en el que el acuerdo adop</w:t>
      </w:r>
      <w:r>
        <w:lastRenderedPageBreak/>
        <w:t>tado por una determinada Junta electoral no pueda ser sometido a un control judicial independiente (por todas, SSTC 103/1996, de 11 de junio, FJ 4.c; 46/1997, de 11 de marzo, FJ 1; 48/1997, de 11 de marzo; 149/2000, de 1 de junio, FJ 3; y 36/2003, de 25 de febrero, FJ 5).</w:t>
      </w:r>
    </w:p>
    <w:p w:rsidR="00DE14C9" w:rsidRDefault="00DE14C9" w:rsidP="00DE14C9">
      <w:pPr>
        <w:pStyle w:val="TextoNormal"/>
      </w:pPr>
    </w:p>
    <w:p w:rsidR="00DE14C9" w:rsidRDefault="00DE14C9" w:rsidP="00DE14C9">
      <w:pPr>
        <w:pStyle w:val="TextoNormal"/>
      </w:pPr>
      <w:r w:rsidRPr="00DE14C9">
        <w:rPr>
          <w:rStyle w:val="NumeroAFNegritaCaracter"/>
        </w:rPr>
        <w:t>3</w:t>
      </w:r>
      <w:r>
        <w:t>. Centrándonos pues en la queja principal relativa a la vulneración de su derecho de sufragio pasivo, garantizado por el art. 23.2 CE, el partido recurrente entiende que no resultan constitucionalmente admisibles interpretaciones desproporcionadas de la legislación electoral, como la que ha realizado la Sentencia impugnada en amparo, que conduzcan a la anulación de candidaturas electorales por defectos subsanables que no fueron puestos de manifiesto en ningún momento por la Administración electoral.</w:t>
      </w:r>
    </w:p>
    <w:p w:rsidR="00DE14C9" w:rsidRDefault="00DE14C9" w:rsidP="00DE14C9">
      <w:pPr>
        <w:pStyle w:val="TextoNormal"/>
      </w:pPr>
      <w:r>
        <w:t>Con cita de doctrina constitucional sobre la subsanación de irregularidades, defectos y errores en las candidaturas presentadas y sobre el deber de las Juntas Electorales competentes de advertir y permitir dicha subsanación, sostiene el partido recurrente en amparo que la Junta electoral de zona de Betanzos debió advertirle del defecto en la composición, a efectos del art. 44 bis LOREG, de la candidatura presentada a las elecciones locales en el municipio de Bergondo, a fin de que pudiera subsanar el defecto que finalmente ha apreciado el Juzgado en el número de mujeres de la lista, con el resultado de anular la candidatura. Al no hacerlo así, procediendo la Administración electoral a proclamar la candidatura presentada sin formular reparo alguno, no cabe que, con ocasión de la impugnación por otro partido ex art. 49 LOREG de la candidatura proclamada, el órgano judicial acuerde la nulidad de la candidatura por incumplimiento de lo dispuesto en el citado art. 44 bis LOREG, sin dar oportunidad a la formación política de corregir el defecto padecido, presentando una lista ajustada a la composición equilibrada de mujeres y hombres establecida por dicho precepto, añadido por la reciente Ley Orgánica 3/2007, de 22 de marzo, para la igualdad efectiva de mujeres y hombres.</w:t>
      </w:r>
    </w:p>
    <w:p w:rsidR="00DE14C9" w:rsidRDefault="00DE14C9" w:rsidP="00DE14C9">
      <w:pPr>
        <w:pStyle w:val="TextoNormal"/>
      </w:pPr>
      <w:r>
        <w:t>El partido solicitante de amparo recuerda, además, que la propia Administración electoral ha reconocido expresamente, y de manera general, el carácter subsanable de los defectos que puedan presentar las candidaturas presentadas por las formaciones políticas en cuanto a la exigencia establecida por el citado art. 44 bis LOREG, conforme al cual (apartado 1, párrafo primero) las candidaturas “deberán tener una composición equilibrada de mujeres y hombres, de forma que en el conjunto de la lista los candidatos de cada uno de los sexos supongan como mínimo el cuarenta por ciento”, proporción que deberá mantenerse también en cada tramo de cinco puestos, de suerte que si el número de candidatos o el último tramo de la lista no alcanzase los cinco puestos, la proporción de mujeres y hombres será lo más cercano posible al equilibrio numérico, manteniendo la proporción respecto del conjunto de la lista (apartados 1 y 2 del art. 44 bis LOREG), reglas éstas igualmente aplicables a las listas de suplentes (apartado 3 del art. 44 bis LOREG).</w:t>
      </w:r>
    </w:p>
    <w:p w:rsidR="00DE14C9" w:rsidRDefault="00DE14C9" w:rsidP="00DE14C9">
      <w:pPr>
        <w:pStyle w:val="TextoNormal"/>
      </w:pPr>
      <w:r>
        <w:t xml:space="preserve">Y así, en efecto, el punto primero de la Instrucción 8/2007, de 19 de abril, de la Junta Electoral Central, sobre interpretación del trámite de subsanación de irregularidades previsto en el art. 48.1 LOREG por incumplimiento de los requisitos de los arts.  44 bis y 187.2 LOREG, en la redacción dada por la Ley Orgánica 3/2007, de 22 de marzo, para la igualdad efectiva de mujeres y hombres, establece que “Durante el plazo de subsanación de las irregularidades advertidas por las Juntas Electorales competentes en las candidaturas presentadas, cuando la causa sea el incumplimiento de lo dispuesto en el artículo 44 bis de la LOREG o en la legislación autonómica aplicable sobre candidaturas paritarias, podrá modificarse el orden de los candidatos, o incluir o excluir algún candidato, siempre que con ello se trate </w:t>
      </w:r>
      <w:r>
        <w:lastRenderedPageBreak/>
        <w:t>estrictamente de subsanar la irregularidad apreciada, de conformidad con lo dispuesto en el último inciso del artículo 48.1 de la LOREG”.</w:t>
      </w:r>
    </w:p>
    <w:p w:rsidR="00DE14C9" w:rsidRDefault="00DE14C9" w:rsidP="00DE14C9">
      <w:pPr>
        <w:pStyle w:val="TextoNormal"/>
      </w:pPr>
      <w:r>
        <w:t>Sin embargo, del examen de actuaciones resulta que la Junta electoral de zona de Betanzos procedió a proclamar la candidatura presentada por el PSdG-PSOE en la circunscripción electoral de Bergondo, para las elecciones municipales convocadas por Real Decreto 444/2007, de 2 de abril, sin advertir que dicha candidatura incumplía, como se razona en la Sentencia impugnada, la exigencia de composición equilibrada entre hombres y mujeres contenida en el art. 44 bis LOREG (exigencia aplicable al municipio de Bergondo, conforme a la disposición transitoria séptima LOREG, añadida también por la Ley Orgánica 3/2007, por contar con un número de residentes superior a los 5.000 habitantes), pues presenta cinco mujeres sobre un total de trece candidatos, por lo que no alcanza el mínimo del cuarenta por ciento establecido por dicho precepto, que exigiría en el presente caso al menos seis candidatas en la lista.</w:t>
      </w:r>
    </w:p>
    <w:p w:rsidR="00DE14C9" w:rsidRDefault="00DE14C9" w:rsidP="00DE14C9">
      <w:pPr>
        <w:pStyle w:val="TextoNormal"/>
      </w:pPr>
      <w:r>
        <w:t>Y se constata igualmente, lo que resulta determinante para el otorgamiento del amparo por vulneración del derecho al sufragio pasivo garantizado por el art. 23.2 CE, que la Junta electoral de zona de Betanzos, al no advertir defecto alguno en la candidatura presentada por el PSdG-PSOE en la circunscripción electoral de Bergondo, no dio oportunidad a esta formación política de subsanar el defecto en la composición equilibrada entre hombres y mujeres de la candidatura que exige el art. 44 bis LOREG.</w:t>
      </w:r>
    </w:p>
    <w:p w:rsidR="00DE14C9" w:rsidRDefault="00DE14C9" w:rsidP="00DE14C9">
      <w:pPr>
        <w:pStyle w:val="TextoNormal"/>
      </w:pPr>
    </w:p>
    <w:p w:rsidR="00DE14C9" w:rsidRDefault="00DE14C9" w:rsidP="00DE14C9">
      <w:pPr>
        <w:pStyle w:val="TextoNormal"/>
      </w:pPr>
      <w:r w:rsidRPr="00DE14C9">
        <w:rPr>
          <w:rStyle w:val="NumeroAFNegritaCaracter"/>
        </w:rPr>
        <w:t>4</w:t>
      </w:r>
      <w:r>
        <w:t>. Nuestra doctrina en materia de subsanación de irregularidades sufridas en la presentación de candidaturas ante la Administración electoral puede resumirse en la afirmación de que, por principio, los errores e irregularidades cometidos en la presentación de éstas son subsanables y que, en consecuencia, las Juntas electorales han de ofrecer la oportunidad de que las candidaturas en las que se han detectado lo hagan. Busca con ello la Ley Orgánica del régimen electoral general,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w:t>
      </w:r>
    </w:p>
    <w:p w:rsidR="00DE14C9" w:rsidRDefault="00DE14C9" w:rsidP="00DE14C9">
      <w:pPr>
        <w:pStyle w:val="TextoNormal"/>
      </w:pPr>
      <w:r>
        <w:t xml:space="preserve">Deriva de lo expuesto el que si por la Administración electoral se incumple este deber legal en orden al examen de los escritos de presentación de candidaturas, no dándose así ocasión a los interesados para la reparación de unos defectos que después llevan al rechazo de aquéllas, se habrá ignorado, con ello, una garantía dispuesta por la Ley Orgánica del régimen electoral general para la efectividad, como queda dicho, del derecho de sufragio pasivo, que resultará así afectado negativamente en la medida en que se desconozca por una Junta Electoral, o se atienda sólo imperfectamente la exigencia legal de la que aquí se trata. En modo alguno empaña esta conclusión, ni la consideración general que se acaba de hacer sobre la afectación del derecho reconocido en el art. 23.2 CE, el hecho de que, en estos casos, el resultado finalmente gravoso para candidaturas y candidatos —la denegación de su proclamación como tales— se llegue a producir por no haberse reparado un defecto fruto de la ignorancia o de la negligencia de quienes presentaron la candidatura sin cumplir, en todos sus extremos, las prevenciones legales, sin perjuicio, como es obvio, del deber de </w:t>
      </w:r>
      <w:r>
        <w:lastRenderedPageBreak/>
        <w:t>diligencia y de colaboración con la Administración electoral que pesa sobre los candidatos y las formaciones políticas que les avalan (SSTC 67/1987, de 21 de mayo, FJ 3; 73/1995, de 12 de mayo, FJ 3; y 80/2002, de 8 de abril, FJ 7).</w:t>
      </w:r>
    </w:p>
    <w:p w:rsidR="00DE14C9" w:rsidRDefault="00DE14C9" w:rsidP="00DE14C9">
      <w:pPr>
        <w:pStyle w:val="TextoNormal"/>
      </w:pPr>
      <w:r>
        <w:t>En efecto, en este específico procedimiento no ha querido la Ley Orgánica del régimen electoral general dejar la suerte de las candidaturas a merced de la sola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Orgánica del régimen electoral general que tal irregularidad depare aquella sanción sin que antes se haga posible, mediante su identificación y advertencia de oficio, la oportuna subsanación, siempre, claro ésta, que ello sea materialmente posible (SSTC 73/1986, de 3 de junio, FJ 1; 59/1987, de 19 de mayo, FJ 3; 86/1987, de 1 de junio, FJ 4; 24/1989, de 2 de febrero, FJ 95/1991, de 7 de mayo, FJ 2; 113/1991, de 20 de mayo, FJ 3; 175/1991, de 16 de septiembre, FJ 2; y 84/2003, de 8 de mayo, FJ 3).</w:t>
      </w:r>
    </w:p>
    <w:p w:rsidR="00DE14C9" w:rsidRDefault="00DE14C9" w:rsidP="00DE14C9">
      <w:pPr>
        <w:pStyle w:val="TextoNormal"/>
      </w:pPr>
    </w:p>
    <w:p w:rsidR="00DE14C9" w:rsidRDefault="00DE14C9" w:rsidP="00DE14C9">
      <w:pPr>
        <w:pStyle w:val="TextoNormal"/>
      </w:pPr>
      <w:r w:rsidRPr="00DE14C9">
        <w:rPr>
          <w:rStyle w:val="NumeroAFNegritaCaracter"/>
        </w:rPr>
        <w:t>5</w:t>
      </w:r>
      <w:r>
        <w:t>. La Sentencia impugnada considera, que la candidatura presentada por el PSdG-PSOE en la circunscripción electoral de Bergondo incluye menos candidatas del número mínimo que resulta exigible para dar cumplimiento a la exigencia de composición equilibrada entre hombres y mujeres que exige el art. 44 bis LOREG. Pero la irregularidad cometida por el partido solicitante de amparo en la presentación de dicha candidatura no puede tener la trascendencia fatal para el derecho fundamental a acceder en condiciones de igualdad a las funciones y cargos públicos (art. 23.2 CE) que ha apreciado el órgano judicial, pues se trata de una irregularidad subsanable, conforme a la doctrina constitucional expuesta, y no advertida por la Junta electoral de zona de Betanzos, lo que dio lugar a que no se diese ocasión a la representación del PSdG-PSOE para su subsanación, conforme a lo dispuesto en el art. 47.2 LOREG.</w:t>
      </w:r>
    </w:p>
    <w:p w:rsidR="00DE14C9" w:rsidRDefault="00DE14C9" w:rsidP="00DE14C9">
      <w:pPr>
        <w:pStyle w:val="TextoNormal"/>
      </w:pPr>
      <w:r>
        <w:t>En definitiva, la interpretación de la legalidad aplicable del modo más favorable al derecho fundamental garantizado por el art. 23.2 CE, exigía que el órgano judicial, una vez apreciado el incumplimiento de lo dispuesto en el art. 44 bis LOREG, no se hubiese limitado a anular el Acuerdo de la Junta electoral de zona de Betanzos de proclamación de la candidatura del PSdG-PSOE en la circunscripción electoral de Bergondo, sino que, en aras de preservar el derecho de sufragio pasivo, era preciso que modulase los efectos de dicha declaración de nulidad, requiriendo a la referida Junta electoral para que otorgase a dicha candidatura el plazo de subsanación previsto en el art. 47.2 LOREG, a fin de adecuar la misma a la proporción de candidatos de ambos sexos exigida por el art. 44 bis LOREG.</w:t>
      </w:r>
    </w:p>
    <w:p w:rsidR="00DE14C9" w:rsidRDefault="00DE14C9" w:rsidP="00DE14C9">
      <w:pPr>
        <w:pStyle w:val="TextoNormal"/>
      </w:pPr>
      <w:r>
        <w:t>Al no haberlo hecho así, el órgano judicial ha ocasionado al partido recurrente en amparo la denunciada vulneración de su derecho al sufragio pasivo, lo que conduce al otorgamiento del amparo solicitado, precisamente para que la Junta electoral de zona de Betanzos otorgue el trámite de subsanación omitido, procediendo, en caso de que se subsanase el defecto en la composición equilibrada entre hombres y mujeres que exige el art. 44 bis LOREG, a proclamar la candidatura, o a la no proclamación de la misma, en caso contrario.</w:t>
      </w:r>
    </w:p>
    <w:p w:rsidR="00DE14C9" w:rsidRDefault="00DE14C9" w:rsidP="00DE14C9">
      <w:pPr>
        <w:pStyle w:val="TextoNormal"/>
      </w:pPr>
    </w:p>
    <w:p w:rsidR="00DE14C9" w:rsidRDefault="00DE14C9" w:rsidP="00DE14C9">
      <w:pPr>
        <w:pStyle w:val="TextoNormal"/>
      </w:pPr>
      <w:r w:rsidRPr="00DE14C9">
        <w:rPr>
          <w:rStyle w:val="NumeroAFNegritaCaracter"/>
        </w:rPr>
        <w:t>6</w:t>
      </w:r>
      <w:r>
        <w:t xml:space="preserve">. La estimación del amparo solicitado, que conlleva la retroacción de las actuaciones al momento anterior al Acuerdo de la Junta electoral de zona de Betanzos de proclamación de </w:t>
      </w:r>
      <w:r>
        <w:lastRenderedPageBreak/>
        <w:t>la candidatura del PSdG-PSOE en la circunscripción electoral de Bergondo, hace innecesario el examen de las restantes quejas contenidas en la presente demanda de amparo, referidas a un supuesto vicio de incongruencia en la Sentencia recurrida.</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el Partido Socialista Obrero Español (PSOE) y, su virtud:</w:t>
      </w:r>
    </w:p>
    <w:p w:rsidR="00DE14C9" w:rsidRDefault="00DE14C9" w:rsidP="00DE14C9">
      <w:pPr>
        <w:pStyle w:val="TextoNormal"/>
      </w:pPr>
      <w:r>
        <w:t>1º Reconocer su derecho a acceder en condiciones de igualdad a las funciones y cargos públicos (art. 23.2 CE).</w:t>
      </w:r>
    </w:p>
    <w:p w:rsidR="00DE14C9" w:rsidRDefault="00DE14C9" w:rsidP="00DE14C9">
      <w:pPr>
        <w:pStyle w:val="TextoNormal"/>
      </w:pPr>
      <w:r>
        <w:t>2º Declarar la nulidad de la Sentencia de 7 de mayo de 2007 del Juzgado de lo Contencioso-Administrativo núm. 1 de A Coruña, dictada en el recurso contencioso-electoral núm. 125-2007.</w:t>
      </w:r>
    </w:p>
    <w:p w:rsidR="00DE14C9" w:rsidRDefault="00DE14C9" w:rsidP="00DE14C9">
      <w:pPr>
        <w:pStyle w:val="TextoNormal"/>
      </w:pPr>
      <w:r>
        <w:t>3º Retrotraer las actuaciones al momento anterior al Acuerdo de la Junta electoral de zona de Betanzos de proclamación de la candidatura del PSdG-PSOE en la circunscripción electoral de Bergondo, para que por dicha Junta electoral se proceda a otorgar trámite de subsanación, en los términos expresados en el fundamento jurídico 6 de esta Sentencia.</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nueve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18" w:name="SENTENCIA_2007_105"/>
      <w:r>
        <w:lastRenderedPageBreak/>
        <w:t>SENTENCIA 105/2007, de 10 de mayo de 2007</w:t>
      </w:r>
    </w:p>
    <w:bookmarkEnd w:id="18"/>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137, de 8 de junio de 2007)</w:t>
      </w:r>
    </w:p>
    <w:p w:rsidR="00DE14C9" w:rsidRDefault="00DE14C9" w:rsidP="00DE14C9">
      <w:pPr>
        <w:pStyle w:val="TtuloBOE"/>
      </w:pPr>
    </w:p>
    <w:p w:rsidR="00DE14C9" w:rsidRDefault="00DE14C9" w:rsidP="00DE14C9">
      <w:pPr>
        <w:pStyle w:val="SntesisDescriptiva"/>
      </w:pPr>
      <w:r>
        <w:t>ECLI:ES:TC:2007:105</w:t>
      </w:r>
    </w:p>
    <w:p w:rsidR="00DE14C9" w:rsidRDefault="00DE14C9" w:rsidP="00DE14C9">
      <w:pPr>
        <w:pStyle w:val="SntesisDescriptiva"/>
      </w:pPr>
    </w:p>
    <w:p w:rsidR="00DE14C9" w:rsidRDefault="00DE14C9" w:rsidP="00DE14C9">
      <w:pPr>
        <w:pStyle w:val="SntesisDescriptiva"/>
      </w:pPr>
      <w:r>
        <w:t>Recurso de amparo electoral 3994-2007. Promovido por Eusko Alkartasuna frente a la Sentencia del Juzgado de lo Contencioso-Administrativo núm. 4 de Bilbao que anuló la proclamación de su candidatura en las elecciones locales por la circunscripción de Abadiño.</w:t>
      </w:r>
    </w:p>
    <w:p w:rsidR="00DE14C9" w:rsidRDefault="00DE14C9" w:rsidP="00DE14C9">
      <w:pPr>
        <w:pStyle w:val="SntesisDescriptiva"/>
      </w:pPr>
    </w:p>
    <w:p w:rsidR="00DE14C9" w:rsidRDefault="00DE14C9" w:rsidP="00DE14C9">
      <w:pPr>
        <w:pStyle w:val="SntesisAnaltica"/>
      </w:pPr>
      <w:r>
        <w:t>Vulneración del derecho a acceder a los cargos representativos: anulación de candidatura electoral por infringir la paridad entre mujeres y hombres sin permitir su subsanación (STC 96/2007).</w:t>
      </w:r>
    </w:p>
    <w:p w:rsidR="00DE14C9" w:rsidRDefault="00DE14C9" w:rsidP="00DE14C9">
      <w:pPr>
        <w:pStyle w:val="SntesisAnaltica"/>
      </w:pPr>
    </w:p>
    <w:p w:rsidR="00DE14C9" w:rsidRDefault="00DE14C9" w:rsidP="00DE14C9">
      <w:pPr>
        <w:pStyle w:val="Extracto"/>
      </w:pPr>
      <w:r>
        <w:t>1.</w:t>
      </w:r>
      <w:r>
        <w:tab/>
        <w:t>El derecho a acceder en condiciones de igualdad a las funciones y cargos públicos resulta violado al haberse limitado el órgano judicial a anular el Acuerdo de la Junta electoral de zona de proclamación de la candidatura sin haber modulado los efectos de dicha declaración de nulidad requiriendo a la Junta electoral para que otorgase al partido político plazo de subsanación a fin de adecuar la proporción de los candidatos exigida por al art. 44 bis LOREG [FFJJ 2 a 4].</w:t>
      </w:r>
    </w:p>
    <w:p w:rsidR="00DE14C9" w:rsidRDefault="00DE14C9" w:rsidP="00DE14C9">
      <w:pPr>
        <w:pStyle w:val="Extracto"/>
      </w:pPr>
    </w:p>
    <w:p w:rsidR="00DE14C9" w:rsidRDefault="00DE14C9" w:rsidP="00DE14C9">
      <w:pPr>
        <w:pStyle w:val="Extracto"/>
      </w:pPr>
      <w:r>
        <w:t>2.</w:t>
      </w:r>
      <w:r>
        <w:tab/>
        <w:t>No se puede apreciar una lesión autónoma del art. 24.1 CE por parte de una Junta Electoral de Zona que no ha cumplido con su obligación de poner en conocimiento del partido político una posible irregularidad en que incurre su candidatura, pues no se está ante un supuesto en el que el acuerdo adoptado por dicha Junta no pueda ser sometido a un control judicial independiente (SSTC 103/1996, 36/2003) [FJ 1].</w:t>
      </w:r>
    </w:p>
    <w:p w:rsidR="00DE14C9" w:rsidRDefault="00DE14C9" w:rsidP="00DE14C9">
      <w:pPr>
        <w:pStyle w:val="Extracto"/>
      </w:pPr>
    </w:p>
    <w:p w:rsidR="00DE14C9" w:rsidRDefault="00DE14C9" w:rsidP="00DE14C9">
      <w:pPr>
        <w:pStyle w:val="Extracto"/>
      </w:pPr>
      <w:r>
        <w:t>3.</w:t>
      </w:r>
      <w:r>
        <w:tab/>
        <w:t>Al estimar el amparo se hace innecesario el examen de las restantes quejas referidas al derecho de libertad ideológica y de asociación, debiéndose notar que, como indicó el Fiscal, suscitan problemas ajenos al suscitado con el recurso contencioso-electoral [FJ 5].</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lastRenderedPageBreak/>
        <w:t>SENTENCIA</w:t>
      </w:r>
    </w:p>
    <w:p w:rsidR="00DE14C9" w:rsidRDefault="00DE14C9" w:rsidP="00DE14C9">
      <w:pPr>
        <w:pStyle w:val="TextoNormalCentrado"/>
        <w:keepNext/>
      </w:pPr>
    </w:p>
    <w:p w:rsidR="00DE14C9" w:rsidRDefault="00DE14C9" w:rsidP="00DE14C9">
      <w:pPr>
        <w:pStyle w:val="TextoNormal"/>
      </w:pPr>
      <w:r>
        <w:t>En el recurso de amparo electoral núm. 3994-2007, promovido por el partido político Eusko Alkartasuna, representado por el Procurador de los Tribunales don Fernando Bermúdez de Castro y asistido por el Letrado don Joaquín Ruiz-Giménez Aguilar, contra la Sentencia de 4 de mayo de 2007 del Juzgado de lo Contencioso-Administrativo núm. 4 de Bilbao, que estima parcialmente el recurso contencioso-electoral núm. 245-2007, interpuesto por el representante de las candidaturas presentadas por el Partido Popular (PP) en la provincia de Bilbao contra Acuerdos de la Junta electoral de zona de Durango de proclamación de diversas candidaturas, entre las que se incluye la del partido Eusko Alkartasuna en el municipio de Abadiño. Ha intervenido el Ministerio Fiscal. Ha sido Ponente el Magistrado don Pablo Pérez Tremps,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el Registro General de este Tribunal el 7 de mayo de 2007, el Procurador de los Tribunales don Fernando Bermúdez de Castro, en nombre y representación del partido político Eusko Alkartasuna, interpuso recurso de amparo contra la resolución judicial referida en el encabezamiento, por vulneración de los derechos a participar en los asuntos públicos y a acceder en condiciones de igualdad a los cargos públicos (art. 23, apartados 1 y 2 CE) y a la tutela judicial efectiva (art. 24.1 CE) y a las libertades ideológica (art. 16.1 CE) y de asociación (art. 22 CE).</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en que se fundamenta la demanda de amparo electoral, relevantes para la resolución del caso, son los que se expresan a continuación: </w:t>
      </w:r>
    </w:p>
    <w:p w:rsidR="00DE14C9" w:rsidRDefault="00DE14C9" w:rsidP="00DE14C9">
      <w:pPr>
        <w:pStyle w:val="TextoNormal"/>
      </w:pPr>
      <w:r>
        <w:t xml:space="preserve">a) La formación política Eusko Alkartasuna presentó ante la Junta electoral de zona de Durango una candidatura en la circunscripción electoral de Abadiño para las elecciones municipales convocadas por Real Decreto 444/2007, de 2 de abril, candidatura que fue proclamada por Acuerdo de la referida Junta electoral de zona publicado en el “Boletín Oficial de la Provincia de Bizkaia” de 1 de mayo de 2007. </w:t>
      </w:r>
    </w:p>
    <w:p w:rsidR="00DE14C9" w:rsidRDefault="00DE14C9" w:rsidP="00DE14C9">
      <w:pPr>
        <w:pStyle w:val="TextoNormal"/>
      </w:pPr>
      <w:r>
        <w:t xml:space="preserve">b) El 3 de mayo de 2007 el representante de las candidaturas presentadas por el Partido Popular (PP) en la provincia de Bilbao impugnó el Acuerdo de la Junta electoral de zona de Durango por el que se proclamó la candidatura presentada por el partido político Eusko Alkartasuna en la circunscripción electoral de Abadiño, interesando que se anulase dicha candidatura por incumplir lo dispuesto en el art. 44 bis.2 de la Ley Orgánica del régimen electoral general (LOREG), introducido por la Ley Orgánica 3/2007, de 22 de marzo, para la igualdad efectiva de mujeres y hombres, toda vez que el primer tramo de cinco nombres no está representado cada sexo con, al menos, un 40 por 100 de representación, ya que de los cinco primeros candidatos incluidos cuatro son mujeres. </w:t>
      </w:r>
    </w:p>
    <w:p w:rsidR="00DE14C9" w:rsidRDefault="00DE14C9" w:rsidP="00DE14C9">
      <w:pPr>
        <w:pStyle w:val="TextoNormal"/>
      </w:pPr>
      <w:r>
        <w:t xml:space="preserve">c) El Juzgado de lo Contencioso-Administrativo núm. 4 de Bilbao estimó el recurso contencioso-electoral (núm. 245-2007) interpuesto por el representante del PP contra el referido Acuerdo de la Junta electoral de zona de Durango de proclamación de la candidatura presentada por el partido político Eusko Alkartasuna en la circunscripción electoral de Abadiño, procediendo a anular dicho Acuerdo y la candidatura proclamada, al apreciar que la misma incumple la exigencia de composición equilibrada entre hombres y mujeres contenida en el art. 44 bis LOREG, puesto que tal precepto impone, en su apartado segundo, que “También se mantendrá la proporción mínima del cuarenta por ciento [de cada uno de los </w:t>
      </w:r>
      <w:r>
        <w:lastRenderedPageBreak/>
        <w:t>sexos] en cada tramo de cinco puestos”, ya que en el primero se incluyen cuatro mujeres y un único hombre.</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En la demanda de amparo electoral se alega, en primer lugar, la vulneración del derecho a la tutela judicial efectiva sin indefensión (art. 24.1 CE), por cuanto en el presente supuesto la Administración electoral no cumplió con su obligación, prevista en el art. 47.2 LOREG, de poner en conocimiento del partido político Eusko Alkartasuna las posibles irregularidades cometidas en la candidatura presentada, al objeto de permitir su subsanación, previsión que actúa también como garantía para el ejercicio del derecho fundamental a participar en los asuntos públicos y a acceder en condiciones de igualdad a los cargos públicos (art. 23, apartados primero y segundo, CE), como acredita la STC 73/1986, de 3 de junio. El partido político recurrente en amparo afirma que el error de su candidatura constituye un error material y subsanable y recuerda que la composición global de la lista respeta escrupulosamente el art. 44 bis LOREG. </w:t>
      </w:r>
    </w:p>
    <w:p w:rsidR="00DE14C9" w:rsidRDefault="00DE14C9" w:rsidP="00DE14C9">
      <w:pPr>
        <w:pStyle w:val="TextoNormal"/>
      </w:pPr>
      <w:r>
        <w:t xml:space="preserve">Se invocan igualmente el derecho fundamental a la libertad ideológica (art. 16.1 CE), considerando esencial el pluralismo político para asegurar la efectividad de los valores superiores recogidos en el art. 1.1 CE, y el derecho de asociación (art. 22 CE), éste en su vertiente electoral. </w:t>
      </w:r>
    </w:p>
    <w:p w:rsidR="00DE14C9" w:rsidRDefault="00DE14C9" w:rsidP="00DE14C9">
      <w:pPr>
        <w:pStyle w:val="TextoNormal"/>
      </w:pPr>
      <w:r>
        <w:t>Por todo ello el partido político recurrente concluye interesando que se le otorgue el amparo solicitado, se revoque la anulación de la proclamación de la candidatura municipal de Eusko Alkartasuna en Abadiño y se ordene que se otorgue un plazo de cuarenta y ocho horas para la subsanación de la misma.</w:t>
      </w:r>
    </w:p>
    <w:p w:rsidR="00DE14C9" w:rsidRDefault="00DE14C9" w:rsidP="00DE14C9">
      <w:pPr>
        <w:pStyle w:val="TextoNormal"/>
      </w:pPr>
    </w:p>
    <w:p w:rsidR="00DE14C9" w:rsidRDefault="00DE14C9" w:rsidP="00DE14C9">
      <w:pPr>
        <w:pStyle w:val="TextoNormal"/>
      </w:pPr>
      <w:r w:rsidRPr="00DE14C9">
        <w:rPr>
          <w:rStyle w:val="NumeroAFNegritaCaracter"/>
        </w:rPr>
        <w:t>4</w:t>
      </w:r>
      <w:r>
        <w:t>. Mediante diligencia de ordenación de 7 de mayo de 2007, el Secretario de Justicia de la Sala Primera de este Tribunal acordó, en conformidad con lo dispuesto en el Acuerdo del Pleno de 20 de enero de 2000, recabar del Juzgado de lo Contencioso-Administrativo núm. 2 de A Coruña las actuaciones correspondientes, así como la acreditación de emplazamiento de las partes, que fueron remitidas a este Tribunal. Igualmente se acordó dar vista al Ministerio Fiscal para que en el plazo de un día natural formulase las alegaciones pertinentes.</w:t>
      </w:r>
    </w:p>
    <w:p w:rsidR="00DE14C9" w:rsidRDefault="00DE14C9" w:rsidP="00DE14C9">
      <w:pPr>
        <w:pStyle w:val="TextoNormal"/>
      </w:pPr>
    </w:p>
    <w:p w:rsidR="00DE14C9" w:rsidRDefault="00DE14C9" w:rsidP="00DE14C9">
      <w:pPr>
        <w:pStyle w:val="TextoNormal"/>
      </w:pPr>
      <w:r w:rsidRPr="00DE14C9">
        <w:rPr>
          <w:rStyle w:val="NumeroAFNegritaCaracter"/>
        </w:rPr>
        <w:t>5</w:t>
      </w:r>
      <w:r>
        <w:t>. El Ministerio Fiscal presentó sus alegaciones el 8 de mayo de 2007. Comienza afirmando que la mera mención del derecho a la libertad ideológica y al de asociación no presenta ni argumentación propia ni conexión con lo alegado por el recurso de amparo electoral. En relación con las quejas referidas al derecho a participar en asuntos públicos y acceder en condiciones de igualdad a los cargos públicos y, por conexión, al derecho a la tutela judicial efectiva y a no sufrir indefensión, tras recordar lo dispuesto en el art. 47.2 LOREG y la doctrina de este Tribunal en materia de subsanación de irregularidades en la presentación de candidaturas (cita las SSTC 24/1989, 95/1991, 113/1991 y 84/2003), el Ministerio Fiscal concluye señalando que procedería otorgar el amparo solicitado por vulneración del art. 23.2 CE si se confirma, a la vista de las actuaciones, que el partido recurrente ha sido efectivamente privado del trámite de subsanación.</w:t>
      </w:r>
    </w:p>
    <w:p w:rsidR="00DE14C9" w:rsidRDefault="00DE14C9" w:rsidP="00DE14C9">
      <w:pPr>
        <w:pStyle w:val="TextoNormal"/>
      </w:pPr>
    </w:p>
    <w:p w:rsidR="00DE14C9" w:rsidRDefault="00DE14C9" w:rsidP="00DE14C9">
      <w:pPr>
        <w:pStyle w:val="TextoNormal"/>
      </w:pPr>
      <w:r w:rsidRPr="00DE14C9">
        <w:rPr>
          <w:rStyle w:val="NumeroAFNegritaCaracter"/>
        </w:rPr>
        <w:t>6</w:t>
      </w:r>
      <w:r>
        <w:t xml:space="preserve">. El 9 de mayo compareció en el presente proceso constitucional el representante del Partido Popular ante la Junta electoral de zona de Durango, siendo representado por el Procurador de los Tribunales don José Luis Ferrer Recuero y asistido por el Letrado don Juan R. Montero Estévez, interesando que este Tribunal acordara la denegación del amparo solicitado. </w:t>
      </w:r>
    </w:p>
    <w:p w:rsidR="00DE14C9" w:rsidRDefault="00DE14C9" w:rsidP="00DE14C9">
      <w:pPr>
        <w:pStyle w:val="TextoNormal"/>
      </w:pPr>
      <w:r>
        <w:lastRenderedPageBreak/>
        <w:t>Considera incorrecto que el partido político recurrente en amparo se refiera al incumplimiento de una Ley como “error material”, recordando que aquélla debe ser cumplida por todos y que, en todo caso, dicho error es debido a la falta de diligencia mostrada por Eusko Alkartasuna (STC 73/1995). Señala igualmente que el único plazo de subsanación legalmente previsto es el recogido en los arts. 47 y 48 LOREG, que es previo a la proclamación de candidaturas, y que tras este trámite no es posible conferir de nuevos plazos de subsanación, porque ello contravendría el cumplimiento estricto de las leyes (también del art. 44 bis LOREG) y pondría en peligro el principio de seguridad jurídica. Lo cierto es que la candidatura impugnada no cumple la legislación y por ello debe ser lógicamente anulada su proclamación, sin que pueda ser criticada la pretensión mostrada por el Partido Popular en esta dirección, porque dicha formación política cuenta, para ello, con un manifiesto interés legítimo (STC 298/2006) y con la titularidad del derecho de participación política (STC 24/1990), siendo preciso, en definitiva, asegurar la vigencia de la Ley Orgánica 3/2007, de 22 de marzo, de igualdad efectiva de mujeres y hombres.</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Con el fin de precisar el objeto del presente recurso de amparo electoral y cómo debe ser abordado su examen, es pertinente poner de relieve que en el asunto que nos ocupa el partido político solicitante de amparo denuncia en primer término la lesión del derecho a la tutela judicial efectiva sin indefensión (art. 24.1 CE), lesión que imputa a la Junta electoral de zona de Durango, ya que ésta no cumplió con su obligación de poner en conocimiento del partido político Eusko Alkartasuna la posible irregularidad en que incurrió la candidatura presentada, en cuanto a lo dispuesto en el art. 44 bis de la Ley Orgánica del régimen electoral general (LOREG), al objeto de permitir la subsanación del defecto, obviando que, conforme a reiterada doctrina constitucional, la legalidad aplicable al caso ha de ser interpretada en los términos más favorables a la plena efectividad del derecho fundamental garantizado en el art. 23.2 CE. Esta falta de diligencia de la Administración electoral que, a la postre, dio lugar a la anulación en vía judicial de la candidatura proclamada.</w:t>
      </w:r>
    </w:p>
    <w:p w:rsidR="00DE14C9" w:rsidRDefault="00DE14C9" w:rsidP="00DE14C9">
      <w:pPr>
        <w:pStyle w:val="TextoNormal"/>
      </w:pPr>
      <w:r>
        <w:t>Pues bien, así planteada la queja, esta pretendida lesión del derecho fundamental a la tutela judicial efectiva sin indefensión que el partido político Eusko Alkartasuna imputa a la Administración electoral ha de ser reconducida a la queja relativa a la vulneración del derecho al sufragio pasivo, garantizado por el derecho fundamental a acceder a los cargos representativos (art. 23.2 CE), queja a la que nos referiremos a continuación, sin que pueda apreciarse en el presente caso una lesión autónoma del art. 24.1 CE, toda vez no estamos ante un supuesto en el que el acuerdo adoptado por una determinada Junta electoral no pueda ser sometido a un control judicial independiente (por todas, SSTC 103/1996, de 11 de junio, FJ 4.c; 46/1997, de 11 de marzo, FJ 1; 48/1997, de 11 de marzo; 149/2000, de 1 de junio, FJ 3; y 36/2003, de 25 de febrero, FJ 5).</w:t>
      </w:r>
    </w:p>
    <w:p w:rsidR="00DE14C9" w:rsidRDefault="00DE14C9" w:rsidP="00DE14C9">
      <w:pPr>
        <w:pStyle w:val="TextoNormal"/>
      </w:pPr>
    </w:p>
    <w:p w:rsidR="00DE14C9" w:rsidRDefault="00DE14C9" w:rsidP="00DE14C9">
      <w:pPr>
        <w:pStyle w:val="TextoNormal"/>
      </w:pPr>
      <w:r w:rsidRPr="00DE14C9">
        <w:rPr>
          <w:rStyle w:val="NumeroAFNegritaCaracter"/>
        </w:rPr>
        <w:t>2</w:t>
      </w:r>
      <w:r>
        <w:t>. Centrándonos, pues, en la aducida lesión del derecho de sufragio pasivo, garantizado por el art. 23.2 CE, debemos recordar que la misma se anuda a la idea de que no resultan constitucionalmente admisibles interpretaciones desproporcionadas de la legislación electoral, como la que ha realizado la Sentencia impugnada en amparo, que conduzcan a la anulación de candidaturas electorales por defectos subsanables que no fueron puestos de manifiesto en ningún momento por la Administración electoral.</w:t>
      </w:r>
    </w:p>
    <w:p w:rsidR="00DE14C9" w:rsidRDefault="00DE14C9" w:rsidP="00DE14C9">
      <w:pPr>
        <w:pStyle w:val="TextoNormal"/>
      </w:pPr>
      <w:r>
        <w:lastRenderedPageBreak/>
        <w:t>Con cita de doctrina constitucional sobre la subsanación de irregularidades, defectos y errores en las candidaturas presentadas y sobre el deber de las juntas electorales competentes de advertir y permitir dicha subsanación, sostiene el partido recurrente en amparo que la Junta electoral de zona de Durango debió advertirle del defecto en la composición, a efectos del art. 44 bis LOREG, de la candidatura presentada a las elecciones locales en el municipio de Abadiño, a fin de que pudiera subsanar el defecto que finalmente ha apreciado el Juzgado en el número de mujeres de los primeros cinco puestas de la lista, con el resultado de anular la candidatura. Al no hacerlo así, procediendo la Administración electoral a proclamar la candidatura presentada sin formular reparo alguno, no cabe que, con ocasión de la impugnación por otro partido ex art. 49 LOREG de la candidatura proclamada, el órgano judicial acuerde la nulidad de la candidatura por incumplimiento de lo dispuesto en el citado art. 44 bis.2 LOREG, sin dar oportunidad a la formación política de corregir el defecto padecido, presentando una lista ajustada a la composición equilibrada de mujeres y hombres por tramos establecida por dicho precepto, añadido por la reciente Ley Orgánica 3/2007, de 22 de marzo, para la igualdad efectiva de mujeres y hombres.</w:t>
      </w:r>
    </w:p>
    <w:p w:rsidR="00DE14C9" w:rsidRDefault="00DE14C9" w:rsidP="00DE14C9">
      <w:pPr>
        <w:pStyle w:val="TextoNormal"/>
      </w:pPr>
      <w:r>
        <w:t>Discrepa de esta interpretación el representante del Partido Popular ante la Junta electoral de zona de Durango, para quien solamente existe un plazo legalmente previsto para la subsanación de irregularidades detectadas en las candidaturas, que es previo a su proclamación, por lo que si dicha tacha es posteriormente evidenciada a través del oportuno recurso contencioso-electoral, el órgano judicial solamente puede declarar la nulidad de dicha proclamación, ya que no se han previsto plazos adicionales de subsanación de irregularidades.</w:t>
      </w:r>
    </w:p>
    <w:p w:rsidR="00DE14C9" w:rsidRDefault="00DE14C9" w:rsidP="00DE14C9">
      <w:pPr>
        <w:pStyle w:val="TextoNormal"/>
      </w:pPr>
      <w:r>
        <w:t>Esta interpretación no se compadece con la realizada por la Administración electoral, que ha reconocido expresamente, y de manera general, el carácter subsanable de los defectos que puedan presentar las candidaturas presentadas por las formaciones políticas en cuanto a la exigencia establecida por el citado art. 44 bis LOREG, conforme al cual (apartado 1, párrafo primero) las candidaturas “deberán tener una composición equilibrada de mujeres y hombres, de forma que en el conjunto de la lista los candidatos de cada uno de los sexos supongan como mínimo el cuarenta por ciento”, proporción que deberá mantenerse también en cada tramo de cinco puestos, de suerte que si el número de candidatos o el último tramo de la lista no alcanzase los cinco puestos, la proporción de mujeres y hombres será lo más cercano posible al equilibrio numérico, manteniendo la proporción respecto del conjunto de la lista (apartados 1 y 2 del art. 44 bis LOREG), reglas éstas igualmente aplicables a las listas de suplentes (apartado 3 del art. 44 bis LOREG). Así, en efecto, el punto primero de la Instrucción 8/2007, de 19 de abril, de la Junta Electoral Central, sobre interpretación del trámite de subsanación de irregularidades previsto en el art. 48.1 LOREG por incumplimiento de los requisitos de los arts. 44 bis y 187.2 LOREG, en la redacción dada por la Ley Orgánica 3/2007, de 22 de marzo, para la igualdad efectiva de mujeres y hombres, establece que “Durante el plazo de subsanación de las irregularidades advertidas por las Juntas Electorales competentes en las candidaturas presentadas, cuando la causa sea el incumplimiento de lo dispuesto en el artículo 44 bis de la LOREG o en la legislación autonómica aplicable sobre candidaturas paritarias, podrá modificarse el orden de los candidatos, o incluir o excluir algún candidato, siempre que con ello se trate estrictamente de subsanar la irregularidad apreciada, de conformidad con lo dispuesto en el último inciso del artículo 48.1 de la LOREG”.</w:t>
      </w:r>
    </w:p>
    <w:p w:rsidR="00DE14C9" w:rsidRDefault="00DE14C9" w:rsidP="00DE14C9">
      <w:pPr>
        <w:pStyle w:val="TextoNormal"/>
      </w:pPr>
      <w:r>
        <w:t>Sin embargo, del examen de actuaciones resulta que la Junta electoral de zona de Durango procedió a proclamar la candidatura presentada por el partido político Eusko Alkartasuna en la circunscripción electoral de Abadiño, para las elecciones municipales convo</w:t>
      </w:r>
      <w:r>
        <w:lastRenderedPageBreak/>
        <w:t>cadas por Real Decreto 444/2007, de 2 de abril, sin advertir que dicha candidatura incumplía, como se razona en la Sentencia impugnada, la exigencia de composición equilibrada entre hombres y mujeres en el tramo compuesto por los primeros cinco puestos, contenida en el art. 44 bis.2 LOREG (exigencia aplicable al municipio de Abadiño, conforme a la disposición transitoria séptima LOREG, añadida también por la Ley Orgánica 3/2007, por contar con un número de residentes superior a los 5.000 habitantes), pues presenta cuatro mujeres sobre un total de cinco, por lo que el sexo masculino no alcanza el mínimo del 40 por 100 establecido por dicho precepto, que exigiría en el presente caso al menos dos candidatos en ese primer tramo de la lista.</w:t>
      </w:r>
    </w:p>
    <w:p w:rsidR="00DE14C9" w:rsidRDefault="00DE14C9" w:rsidP="00DE14C9">
      <w:pPr>
        <w:pStyle w:val="TextoNormal"/>
      </w:pPr>
      <w:r>
        <w:t>Y se constata igualmente, lo que resulta determinante para el otorgamiento del amparo por vulneración del derecho al sufragio pasivo garantizado por el art. 23.2 CE, que la Junta electoral de zona de Durango, al no advertir defecto alguno en la candidatura presentada por el partido político Eusko Alkartasuna en la circunscripción electoral de Abadiño, no dio oportunidad a esta formación política de subsanar el defecto en la composición equilibrada entre hombres y mujeres de la candidatura que exige el art. 44 bis LOREG.</w:t>
      </w:r>
    </w:p>
    <w:p w:rsidR="00DE14C9" w:rsidRDefault="00DE14C9" w:rsidP="00DE14C9">
      <w:pPr>
        <w:pStyle w:val="TextoNormal"/>
      </w:pPr>
      <w:r>
        <w:t>Es oportuno añadir, a mayor abundamiento, que el Fiscal que informó el recurso contencioso-electoral núm. 245-2007 hacía expresa constancia a la necesidad de que la Junta Electoral confiriera un plazo de subsanación respecto de los defectos denunciados, por lo que interesaba que con carácter previo a resolver se procediera por el Juzgado de lo Contencioso-Administrativo 4 de Bilbao a verificar si la Junta electoral había concedido o no dicho plazo, pretensión que fue ignorada en la Sentencia que ahora se impugna en amparo.</w:t>
      </w:r>
    </w:p>
    <w:p w:rsidR="00DE14C9" w:rsidRDefault="00DE14C9" w:rsidP="00DE14C9">
      <w:pPr>
        <w:pStyle w:val="TextoNormal"/>
      </w:pPr>
    </w:p>
    <w:p w:rsidR="00DE14C9" w:rsidRDefault="00DE14C9" w:rsidP="00DE14C9">
      <w:pPr>
        <w:pStyle w:val="TextoNormal"/>
      </w:pPr>
      <w:r w:rsidRPr="00DE14C9">
        <w:rPr>
          <w:rStyle w:val="NumeroAFNegritaCaracter"/>
        </w:rPr>
        <w:t>3</w:t>
      </w:r>
      <w:r>
        <w:t>. Nuestra doctrina en materia de subsanación de irregularidades sufridas en la presentación de candidaturas ante la Administración electoral puede resumirse en la afirmación de que, por principio, los errores e irregularidades cometidos en la presentación de éstas son subsanables y que, en consecuencia, las Juntas electorales han de ofrecer la oportunidad de que las candidaturas en las que se han detectado lo hagan. Busca con ello la Ley Orgánica del régimen electoral general,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w:t>
      </w:r>
    </w:p>
    <w:p w:rsidR="00DE14C9" w:rsidRDefault="00DE14C9" w:rsidP="00DE14C9">
      <w:pPr>
        <w:pStyle w:val="TextoNormal"/>
      </w:pPr>
      <w:r>
        <w:t xml:space="preserve">Deriva de lo expuesto el que si por la Administración electoral se incumple este deber legal del examen de los escritos de presentación de candidaturas, no dándose así ocasión a los interesados para la reparación de unos defectos que después llevan al rechazo de aquéllas, se habrá ignorado, con ello, una garantía dispuesta por la Ley Orgánica del régimen electoral general para la efectividad, como queda dicho, del derecho de sufragio pasivo, que resultará así afectado negativamente en la medida en que se desconozca por una junta electoral, o se atienda sólo imperfectamente la exigencia legal de la que aquí se trata. En modo alguno empaña esta conclusión, ni la consideración general que se acaba de hacer sobre la afectación del derecho reconocido en el art. 23.2 CE, el hecho de que, en estos casos, el resultado finalmente gravoso para candidaturas y candidatos —la denegación de su proclamación como tales— se llegue a producir por no haberse reparado un defecto fruto de la </w:t>
      </w:r>
      <w:r>
        <w:lastRenderedPageBreak/>
        <w:t>ignorancia o de la negligencia de quienes presentaron la candidatura sin cumplir, en todos sus extremos, las prevenciones legales, sin perjuicio, como es obvio, del deber de diligencia y de colaboración con la Administración electoral que pesa sobre los candidatos y las formaciones políticas que les avalan (SSTC 67/1987, de 21 de mayo, FJ 3; 73/1995, de 12 de mayo, FJ 3; y 80/2002, de 8 de abril, FJ 7).</w:t>
      </w:r>
    </w:p>
    <w:p w:rsidR="00DE14C9" w:rsidRDefault="00DE14C9" w:rsidP="00DE14C9">
      <w:pPr>
        <w:pStyle w:val="TextoNormal"/>
      </w:pPr>
      <w:r>
        <w:t>En efecto, en este específico procedimiento no ha querido la Ley Orgánica del régimen electoral general dejar la suerte de las candidaturas a merced de la sola, aunque necesaria,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Orgánica del régimen electoral general que tal irregularidad depare aquella sanción sin que antes se haga posible, mediante su identificación y advertencia de oficio, la oportuna subsanación, siempre, claro ésta, que ello sea materialmente posible (SSTC 73/1986, de 3 de junio, FJ 1; 59/1987, de 19 de mayo, FJ 3; 86/1987, de 1 de junio, FJ 4; 24/1989, de 2 de febrero, FJ 95/1991, de 7 de mayo, FJ 2; 113/1991, de 20 de mayo, FJ 3; 175/1991, de 16 de septiembre, FJ 2; y 84/2003, de 8 de mayo, FJ 3).</w:t>
      </w:r>
    </w:p>
    <w:p w:rsidR="00DE14C9" w:rsidRDefault="00DE14C9" w:rsidP="00DE14C9">
      <w:pPr>
        <w:pStyle w:val="TextoNormal"/>
      </w:pPr>
    </w:p>
    <w:p w:rsidR="00DE14C9" w:rsidRDefault="00DE14C9" w:rsidP="00DE14C9">
      <w:pPr>
        <w:pStyle w:val="TextoNormal"/>
      </w:pPr>
      <w:r w:rsidRPr="00DE14C9">
        <w:rPr>
          <w:rStyle w:val="NumeroAFNegritaCaracter"/>
        </w:rPr>
        <w:t>4</w:t>
      </w:r>
      <w:r>
        <w:t>. Es cierto, como señala la Sentencia impugnada, que la candidatura presentada por el partido político Eusko Alkartasuna en la circunscripción electoral de Abadiño contenía una candidato menos, entre los primeros cinco, del número mínimo que resulta exigible para dar cumplimiento a la exigencia de composición equilibrada entre hombres y mujeres que exige el art. 44 bis.2 LOREG en los distintos tramos de la candidatura. Pero la irregularidad cometida por el partido solicitante de amparo en la presentación de dicha candidatura no puede tener la trascendencia fatal para el derecho fundamental a acceder en condiciones de igualdad a las funciones y cargos públicos (art. 23.2 CE) que ha apreciado el órgano judicial, pues se trata de una irregularidad subsanable, conforme a la doctrina constitucional expuesta, y no advertida por la Junta electoral de zona de Durango, lo que dio lugar a que no se diese ocasión a la representación del partido político Eusko Alkartasuna para su subsanación, conforme a lo dispuesto en el art. 47.2 LOREG.</w:t>
      </w:r>
    </w:p>
    <w:p w:rsidR="00DE14C9" w:rsidRDefault="00DE14C9" w:rsidP="00DE14C9">
      <w:pPr>
        <w:pStyle w:val="TextoNormal"/>
      </w:pPr>
      <w:r>
        <w:t>En definitiva, la interpretación de la legalidad aplicable del modo más favorable al derecho fundamental garantizado por el art. 23.2 CE exigía que el órgano judicial, una vez apreciado el incumplimiento de lo dispuesto en el art. 44 bis.2 LOREG, no se hubiese limitado a anular el Acuerdo de la Junta electoral de zona de Durango de proclamación de la candidatura del partido político Eusko Alkartasuna en la circunscripción electoral de Abadiño, sino que, en aras de preservar el derecho de sufragio pasivo, era preciso que modulase los efectos de dicha declaración de nulidad, requiriendo a la referida Junta electoral para que otorgase a dicha candidatura el plazo de subsanación previsto en el art. 47.2 LOREG, a fin de adecuar la misma a la proporción de candidatos de ambos sexos exigida por el art. 44 bis LOREG.</w:t>
      </w:r>
    </w:p>
    <w:p w:rsidR="00DE14C9" w:rsidRDefault="00DE14C9" w:rsidP="00DE14C9">
      <w:pPr>
        <w:pStyle w:val="TextoNormal"/>
      </w:pPr>
      <w:r>
        <w:t>Al no haberlo hecho así, el Juzgado de lo Contencioso-Administrativo núm. 4 de Bilbao ha ocasionado al partido recurrente en amparo la denunciada vulneración de su derecho al sufragio pasivo, lo que conduce al otorgamiento del amparo solicitado, precisamente para que la Junta electoral de zona de Durango otorgue el trámite de subsanación omitido, procediendo, en caso de que se subsanase el defecto en la composición equilibrada entre hombres y mujeres por tramos que exige el art. 44 bis.2 LOREG, a proclamar la candidatura, o a la no proclamación de la misma, en caso contrario.</w:t>
      </w:r>
    </w:p>
    <w:p w:rsidR="00DE14C9" w:rsidRDefault="00DE14C9" w:rsidP="00DE14C9">
      <w:pPr>
        <w:pStyle w:val="TextoNormal"/>
      </w:pPr>
    </w:p>
    <w:p w:rsidR="00DE14C9" w:rsidRDefault="00DE14C9" w:rsidP="00DE14C9">
      <w:pPr>
        <w:pStyle w:val="TextoNormal"/>
      </w:pPr>
      <w:r w:rsidRPr="00DE14C9">
        <w:rPr>
          <w:rStyle w:val="NumeroAFNegritaCaracter"/>
        </w:rPr>
        <w:t>5</w:t>
      </w:r>
      <w:r>
        <w:t>. La estimación del amparo solicitado hace innecesario el examen de las restantes quejas contenidas en la presente demanda de amparo, referidas al derecho de libertad ideológica y de asociación, debiéndose notar en todo caso que, como correctamente razona el Fiscal, las mismas suscitan problemas ajenos al suscitado con el recurso contencioso-electoral que ha originado el presente proceso constitucional.</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el partido político Eusko Alkartasuna y, en su virtud:</w:t>
      </w:r>
    </w:p>
    <w:p w:rsidR="00DE14C9" w:rsidRDefault="00DE14C9" w:rsidP="00DE14C9">
      <w:pPr>
        <w:pStyle w:val="TextoNormal"/>
      </w:pPr>
      <w:r>
        <w:t>1º Reconocer su derecho a acceder en condiciones de igualdad a las funciones y cargos públicos (art. 23.2 CE).</w:t>
      </w:r>
    </w:p>
    <w:p w:rsidR="00DE14C9" w:rsidRDefault="00DE14C9" w:rsidP="00DE14C9">
      <w:pPr>
        <w:pStyle w:val="TextoNormal"/>
      </w:pPr>
      <w:r>
        <w:t>2º Declarar la nulidad de la Sentencia de 4 de mayo de 2007 del Juzgado de lo Contencioso-Administrativo núm. 4 de Bilbao, dictada en el recurso contencioso-electoral núm. 245-2007.</w:t>
      </w:r>
    </w:p>
    <w:p w:rsidR="00DE14C9" w:rsidRDefault="00DE14C9" w:rsidP="00DE14C9">
      <w:pPr>
        <w:pStyle w:val="TextoNormal"/>
      </w:pPr>
      <w:r>
        <w:t>3º Retrotraer las actuaciones al momento anterior al Acuerdo de la Junta electoral de zona de Durango de proclamación de la candidatura del partido político Eusko Alkartasuna en la circunscripción electoral de Abadiño, para que por dicha Junta electoral se proceda a otorgar trámite de subsanación, en los términos expresados en el fundamento jurídico 4 de esta Sentencia.</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diez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19" w:name="SENTENCIA_2007_106"/>
      <w:r>
        <w:lastRenderedPageBreak/>
        <w:t>SENTENCIA 106/2007, de 10 de mayo de 2007</w:t>
      </w:r>
    </w:p>
    <w:bookmarkEnd w:id="19"/>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137, de 8 de junio de 2007)</w:t>
      </w:r>
    </w:p>
    <w:p w:rsidR="00DE14C9" w:rsidRDefault="00DE14C9" w:rsidP="00DE14C9">
      <w:pPr>
        <w:pStyle w:val="TtuloBOE"/>
      </w:pPr>
    </w:p>
    <w:p w:rsidR="00DE14C9" w:rsidRDefault="00DE14C9" w:rsidP="00DE14C9">
      <w:pPr>
        <w:pStyle w:val="SntesisDescriptiva"/>
      </w:pPr>
      <w:r>
        <w:t>ECLI:ES:TC:2007:106</w:t>
      </w:r>
    </w:p>
    <w:p w:rsidR="00DE14C9" w:rsidRDefault="00DE14C9" w:rsidP="00DE14C9">
      <w:pPr>
        <w:pStyle w:val="SntesisDescriptiva"/>
      </w:pPr>
    </w:p>
    <w:p w:rsidR="00DE14C9" w:rsidRDefault="00DE14C9" w:rsidP="00DE14C9">
      <w:pPr>
        <w:pStyle w:val="SntesisDescriptiva"/>
      </w:pPr>
      <w:r>
        <w:t>Recurso de amparo electoral 4000-2007. Promovido por el Círculo de Opinión Eumés (COE) frente a la Sentencia del Juzgado de lo Contencioso-Administrativo núm. 2 de A Coruña que anuló la proclamación de su candidatura en las elecciones locales por la circunscripción de Pontedeume.</w:t>
      </w:r>
    </w:p>
    <w:p w:rsidR="00DE14C9" w:rsidRDefault="00DE14C9" w:rsidP="00DE14C9">
      <w:pPr>
        <w:pStyle w:val="SntesisDescriptiva"/>
      </w:pPr>
    </w:p>
    <w:p w:rsidR="00DE14C9" w:rsidRDefault="00DE14C9" w:rsidP="00DE14C9">
      <w:pPr>
        <w:pStyle w:val="SntesisAnaltica"/>
      </w:pPr>
      <w:r>
        <w:t>Vulneración de los derechos a la tutela judicial sin indefensión y a acceder a los cargos representativos: STC 96/2007.</w:t>
      </w:r>
    </w:p>
    <w:p w:rsidR="00DE14C9" w:rsidRDefault="00DE14C9" w:rsidP="00DE14C9">
      <w:pPr>
        <w:pStyle w:val="SntesisAnaltica"/>
      </w:pPr>
    </w:p>
    <w:p w:rsidR="00DE14C9" w:rsidRDefault="00DE14C9" w:rsidP="00DE14C9">
      <w:pPr>
        <w:pStyle w:val="Extracto"/>
      </w:pPr>
      <w:r>
        <w:t>1.</w:t>
      </w:r>
      <w:r>
        <w:tab/>
        <w:t xml:space="preserve">Reitera la STC 96/2007. </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electoral núm. 4000-2007, promovido por el Círculo de Opinión Eumés (COE), representado por la Procuradora de los Tribunales doña Sonia Casqueiro Álvarez y asistido por el Letrado don Fernando Bustabad Ferreiro, contra la Sentencia de 4 de mayo de 2007 del Juzgado de lo Contencioso-Administrativo núm. 2 de A Coruña, que estima el recurso contencioso-electoral núm. 120-2007, interpuesto por el representante de las candidaturas presentadas por el Partido Popular (PP) en la provincia de A Coruña contra el Acuerdo de la Junta electoral de zona de Betanzos de proclamación de la candidatura presentada por el Círculo de Opinión Eumés (COE) en la circunscripción electoral de Pontedeume. Ha intervenido el Ministerio Fiscal. Ha sido Ponente el Magistrado don Pablo Pérez Tremps,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el Registro General de este Tribunal el 7 de mayo de 2007, la Procuradora de los Tribunales doña Sonia Casqueiro Álvarez, en nombre y repre</w:t>
      </w:r>
      <w:r>
        <w:lastRenderedPageBreak/>
        <w:t>sentación del Círculo de Opinión Eumés (COE), interpuso recurso de amparo contra la resolución judicial referida en el encabezamiento, por vulneración de los derechos a la tutela judicial efectiva y de acceso a los cargos públicos, de un lado, y del derecho a la tutela judicial efectiva sin indefensión, de otro.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en que se fundamenta la demanda de amparo electoral, relevantes para la resolución del caso, son los que se expresan a continuación:   a) El Círculo de Opinión Eumés (COE) presentó ante la Junta electoral de zona de Betanzos una candidatura en la circunscripción electoral de Pontedeume para las elecciones convocadas por Real Decreto 444/2007, de 2 de abril, candidatura que fue proclamada por Acuerdo de la referida Junta electoral de zona publicado en el “Boletín Oficial de la Provincia de A Coruña” de 1 de mayo de 2007. </w:t>
      </w:r>
    </w:p>
    <w:p w:rsidR="00DE14C9" w:rsidRDefault="00DE14C9" w:rsidP="00DE14C9">
      <w:pPr>
        <w:pStyle w:val="TextoNormal"/>
      </w:pPr>
      <w:r>
        <w:t xml:space="preserve">b) El 3 de mayo de 2007 el representante de las candidaturas presentadas por el Partido Popular (PP) en la provincia de A Coruña impugnó el Acuerdo de la Junta electoral de zona de Betanzos por el que se proclamó la candidatura presentada por el Círculo de Opinión Eumés (COE) en la circunscripción electoral de Pontedeume, interesando que se anulase dicha candidatura por incumplir lo dispuesto en el art. 44 bis de la Ley Orgánica del régimen electoral general (LOREG), introducido por la Ley Orgánica 3/2007, de 22 de marzo, para la igualdad efectiva de mujeres y hombres, toda vez que las personas de un sexo no alcanzan el cuarenta por ciento legalmente exigible. </w:t>
      </w:r>
    </w:p>
    <w:p w:rsidR="00DE14C9" w:rsidRDefault="00DE14C9" w:rsidP="00DE14C9">
      <w:pPr>
        <w:pStyle w:val="TextoNormal"/>
      </w:pPr>
      <w:r>
        <w:t>c) El Juzgado de lo Contencioso-Administrativo núm. 2 de A Coruña estimó el recurso contencioso-electoral (núm. 120-2007) interpuesto por el representante del PP contra el referido Acuerdo de la Junta electoral de zona de Betanzos de proclamación de la candidatura presentada por el Círculo de Opinión Eumés (COE) en la circunscripción electoral de Pontedeume, procediendo a anular dicho Acuerdo y la candidatura proclamada, al apreciar que la misma incumple la exigencia de composición equilibrada entre hombres y mujeres contenida en el art. 44 bis LOREG, puesto que tal precepto impone, en su apartado primero, que las candidaturas “deberán tener una composición equilibrada de mujeres y hombres, de forma que en el conjunto de la lista los candidatos de cada uno de los sexos supongan como mínimo el cuarenta por ciento”. Dado que la candidatura impugnada contiene trece personas, y que de ellas solamente cinco son mujeres, cifra que no alcanza el 40 por 100 del total, el Juzgado de lo Contencioso-Administrativo núm. 2 de A Coruña estima el recurso electoral interpuesto y anula el acuerdo de proclamación de la mentada candidatura.</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En la demanda de amparo electoral se alega, en primer lugar, que se ha producido una interpretación de la legalidad aplicable (específicamente de la relacionada con la subsanación de las irregularidades apreciadas en las candidaturas presentadas) que lesiona el derecho de acceso a los cargos públicos (art. 23.2 CE). Lo cierto es que, a juicio del Círculo recurrente, la subsanación debe darse sea la fase que sea, administrativa o judicial, si no se dio anteriormente, dada la claridad de los preceptos de la LOREG y de una interpretación acorde con la Constitución. Se recuerda que es la Junta electoral de zona la habilitada por Ley para advertir de tales irregularidades, y que la formación política que interpuso el recurso contencioso-electoral actuó con mala fé, porque pudo denunciar la irregularidad advertida ante la Junta electoral, lo que hubiera posibilitado su temprana corrección. </w:t>
      </w:r>
    </w:p>
    <w:p w:rsidR="00DE14C9" w:rsidRDefault="00DE14C9" w:rsidP="00DE14C9">
      <w:pPr>
        <w:pStyle w:val="TextoNormal"/>
      </w:pPr>
      <w:r>
        <w:t xml:space="preserve">Por otra parte, se presume vulnerado el derecho a la tutela judicial efectiva sin indefensión, dado que el proceso contencioso-electoral se desarrolló a sus espaldas, lo que le impidió realizar alegaciones en defensa de sus derechos. Tal carencia es especialmente grave en un proceso que guarda ciertas similitudes con el sancionador, en el que no se ha previsto </w:t>
      </w:r>
      <w:r>
        <w:lastRenderedPageBreak/>
        <w:t xml:space="preserve">trámite alguno ni de alegaciones ni de prueba, por lo que, a la vista de la evidente lesión del derecho de defensa procede anular la Sentencia impugnada. </w:t>
      </w:r>
    </w:p>
    <w:p w:rsidR="00DE14C9" w:rsidRDefault="00DE14C9" w:rsidP="00DE14C9">
      <w:pPr>
        <w:pStyle w:val="TextoNormal"/>
      </w:pPr>
      <w:r>
        <w:t>Por todo ello el Círculo de Opinión Eumés (COE) concluye interesando que se le otorgue el amparo solicitado, se revoque la anulación de la proclamación de la candidatura del Círculo de Opinión Eumés (COE) en la circunscripción electoral de Pontedeume y se ordene que se otorgue un plazo de cuarenta y ocho horas para la subsanación de la misma.</w:t>
      </w:r>
    </w:p>
    <w:p w:rsidR="00DE14C9" w:rsidRDefault="00DE14C9" w:rsidP="00DE14C9">
      <w:pPr>
        <w:pStyle w:val="TextoNormal"/>
      </w:pPr>
    </w:p>
    <w:p w:rsidR="00DE14C9" w:rsidRDefault="00DE14C9" w:rsidP="00DE14C9">
      <w:pPr>
        <w:pStyle w:val="TextoNormal"/>
      </w:pPr>
      <w:r w:rsidRPr="00DE14C9">
        <w:rPr>
          <w:rStyle w:val="NumeroAFNegritaCaracter"/>
        </w:rPr>
        <w:t>4</w:t>
      </w:r>
      <w:r>
        <w:t>. Mediante diligencia de ordenación de 7 de mayo de 2007, el Secretario de Justicia de la Sala Primera de este Tribunal acordó, en conformidad con lo dispuesto en el Acuerdo del Pleno de 20 de enero de 2000, recabar del Juzgado de lo Contencioso-Administrativo núm. 2 de A Coruña las actuaciones correspondientes, así como la acreditación de emplazamiento de las partes, que fueron remitidas a este Tribunal. Igualmente se acordó dar vista al Ministerio Fiscal para que en el plazo de un día natural formulase las alegaciones pertinentes.</w:t>
      </w:r>
    </w:p>
    <w:p w:rsidR="00DE14C9" w:rsidRDefault="00DE14C9" w:rsidP="00DE14C9">
      <w:pPr>
        <w:pStyle w:val="TextoNormal"/>
      </w:pPr>
    </w:p>
    <w:p w:rsidR="00DE14C9" w:rsidRDefault="00DE14C9" w:rsidP="00DE14C9">
      <w:pPr>
        <w:pStyle w:val="TextoNormal"/>
      </w:pPr>
      <w:r w:rsidRPr="00DE14C9">
        <w:rPr>
          <w:rStyle w:val="NumeroAFNegritaCaracter"/>
        </w:rPr>
        <w:t>5</w:t>
      </w:r>
      <w:r>
        <w:t>. El Ministerio Fiscal presentó sus alegaciones el 8 de mayo de 2007. En dicho escrito, se recuerda la transcendencia que este Tribunal ha conferido al trámite de subsanación previsto respecto de las irregularidades detectadas en las candidaturas electorales (art. 47.2 LOREG) en las SSTC 48/2003, 24/1989 y 95/1991. A la vista de tal doctrina, el Fiscal interesa que, si a la vista de la documentación que se aporte a la presente causa se confirma que la parte actora ha sido privada del necesario trámite de subsanación, este Tribunal pueda suplirlo y, en consecuencia, otorgar o no el amparo solicitado, dependiendo de que los datos presentados por los recurrentes colmen o no las exigencias legales para regularizar su candidatura.</w:t>
      </w:r>
    </w:p>
    <w:p w:rsidR="00DE14C9" w:rsidRDefault="00DE14C9" w:rsidP="00DE14C9">
      <w:pPr>
        <w:pStyle w:val="TextoNormal"/>
      </w:pPr>
    </w:p>
    <w:p w:rsidR="00DE14C9" w:rsidRDefault="00DE14C9" w:rsidP="00DE14C9">
      <w:pPr>
        <w:pStyle w:val="TextoNormal"/>
      </w:pPr>
      <w:r w:rsidRPr="00DE14C9">
        <w:rPr>
          <w:rStyle w:val="NumeroAFNegritaCaracter"/>
        </w:rPr>
        <w:t>6</w:t>
      </w:r>
      <w:r>
        <w:t>. No se personaron más partes dentro del plazo legalmente establecido.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Se impugna en el presente recurso de amparo electoral la Sentencia de 4 de mayo de 2007 del Juzgado de lo Contencioso-Administrativo núm. 2 de A Coruña, que estimó el recurso contencioso-electoral núm. 120-2007, interpuesto por el representante de las candidaturas presentadas por el PP en la provincia de A Coruña contra el Acuerdo de la Junta electoral de zona de Betanzos de proclamación de la candidatura presentada por el Círculo de Opinión Eumés (COE) en la circunscripción electoral de Pontedeume, publicado en el “Boletín Oficial de la Provincia de A Coruña” el 1 de mayo de 2007, para las elecciones convocadas por Real Decreto 444/2007, de 2 de abril.</w:t>
      </w:r>
    </w:p>
    <w:p w:rsidR="00DE14C9" w:rsidRDefault="00DE14C9" w:rsidP="00DE14C9">
      <w:pPr>
        <w:pStyle w:val="TextoNormal"/>
      </w:pPr>
      <w:r>
        <w:t>La formación solicitante de amparo se queja de que se han vulnerado sus derechos fundamentales a la tutela judicial efectiva y al derecho de acceso a los cargos públicos (arts. 24.1 y 23.2 CE), de un lado, y a la tutela judicial efectiva sin indefensión (art. 24.1 CE), de otro. El Ministerio Fiscal interesa asimismo el otorgamiento del amparo para el caso de confirmarse, a la vista de las actuaciones, que dicho Círculo ha sido efectivamente privado del trámite de subsanación de defectos en la candidatura.</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Con el fin de precisar el objeto del presente recurso de amparo electoral y cómo debe ser abordado su examen, es pertinente poner de relieve que en el asunto que nos ocupa el Círculo de Opinión Eumés (COE), solicitante de amparo, denuncia en primer término la </w:t>
      </w:r>
      <w:r>
        <w:lastRenderedPageBreak/>
        <w:t>lesión del derecho a la tutela judicial efectiva sin indefensión (art. 24.1 CE), lesión que imputa, por distintas razones, tanto a la Junta electoral de zona de Betanzos, como al Juzgado de lo Contencioso-Administrativo núm. 2 de A Coruña.</w:t>
      </w:r>
    </w:p>
    <w:p w:rsidR="00DE14C9" w:rsidRDefault="00DE14C9" w:rsidP="00DE14C9">
      <w:pPr>
        <w:pStyle w:val="TextoNormal"/>
      </w:pPr>
      <w:r>
        <w:t>Según quedó expuesto, la vulneración del derecho a la tutela judicial efectiva sin indefensión que el Círculo recurrente en amparo imputa a la Junta electoral de zona de Betanzos, ya que ésta no cumplió con su obligación de poner en conocimiento del Círculo de Opinión Eumés (COE) la posible irregularidad en que incurrió la candidatura presentada, en cuanto a lo dispuesto en el art. 44 bis de la Ley Orgánica del régimen electoral general (LOREG), al objeto de permitir la subsanación del defecto, obviando que, conforme a reiterada doctrina constitucional, la legalidad aplicable al caso ha de ser interpretada en los términos más favorables a la plena efectividad del derecho fundamental garantizado en el art. 23.2 CE. Falta de diligencia de la Administración electoral que, a la postre, dio lugar a la anulación en vía judicial de la candidatura proclamada.</w:t>
      </w:r>
    </w:p>
    <w:p w:rsidR="00DE14C9" w:rsidRDefault="00DE14C9" w:rsidP="00DE14C9">
      <w:pPr>
        <w:pStyle w:val="TextoNormal"/>
      </w:pPr>
      <w:r>
        <w:t>Pues bien, así planteada la queja, esta pretendida lesión del derecho fundamental a la tutela judicial efectiva sin indefensión que el Círculo de Opinión Eumés (COE) imputa a la Administración electoral ha de ser reconducida a la queja relativa a la vulneración del derecho al sufragio pasivo, garantizado por el derecho fundamental a acceder a los cargos representativos (art. 23.2 CE), queja a la que luego nos referiremos, sin que pueda apreciarse en el presente caso una lesión autónoma del art.  24.1 CE, toda vez que no estamos ante un supuesto en el que el acuerdo adoptado por una determinada Junta electoral no pueda ser sometido a un control judicial independiente (por todas, SSTC 103/1996, de 11 de junio, FJ 4.c; 46/1997, de 11 de marzo, FJ 1; 48/1997, de 11 de marzo; 149/2000, de 1 de junio, FJ 3; y 36/2003, de 25 de febrero, FJ 5).</w:t>
      </w:r>
    </w:p>
    <w:p w:rsidR="00DE14C9" w:rsidRDefault="00DE14C9" w:rsidP="00DE14C9">
      <w:pPr>
        <w:pStyle w:val="TextoNormal"/>
      </w:pPr>
    </w:p>
    <w:p w:rsidR="00DE14C9" w:rsidRDefault="00DE14C9" w:rsidP="00DE14C9">
      <w:pPr>
        <w:pStyle w:val="TextoNormal"/>
      </w:pPr>
      <w:r w:rsidRPr="00DE14C9">
        <w:rPr>
          <w:rStyle w:val="NumeroAFNegritaCaracter"/>
        </w:rPr>
        <w:t>3</w:t>
      </w:r>
      <w:r>
        <w:t>. El Círculo de Opinión Eumés (COE) dirige asimismo una queja por vulneración del derecho a la tutela judicial efectiva sin indefensión (art. 24.1 CE) contra la Sentencia del Juzgado de lo Contencioso-Administrativo núm. 2 de A Coruña que anula, por incumplimiento de lo dispuesto en el art. 44 bis LOREG, la proclamación de la candidatura presentada por aquél en la circunscripción electoral de Pontedeume. Se aduce que el órgano judicial no le notificó el recurso interpuesto por el PP conforme al art.  49.1 LOREG contra el Acuerdo de la Junta Electoral de Zona de Betanzos de proclamación de la candidatura presentada por el Círculo de Opinión Eumés (COE) en la circunscripción electoral de Pontedeume, publicado en el “Boletín Oficial de la Provincia de A Coruña” el 1 de mayo de 2007, ni se le dio, en consecuencia, trámite ni de alegaciones ni de prueba, en el que esta formación política tuviera ocasión de defender los derechos que para la candidatura presentada (esto es, para las personas que en ella figuraban) se derivaron de aquel acto de proclamación por la Administración electoral.</w:t>
      </w:r>
    </w:p>
    <w:p w:rsidR="00DE14C9" w:rsidRDefault="00DE14C9" w:rsidP="00DE14C9">
      <w:pPr>
        <w:pStyle w:val="TextoNormal"/>
      </w:pPr>
      <w:r>
        <w:t xml:space="preserve">Asiste la razón en su queja a la formación política demandante de amparo. Como ya tuvo ocasión de señalar este Tribunal en su STC 85/1987, de 29 de mayo, FFJJ 1 y 2, el deber de los órganos judiciales, que surge del art. 24.1 CE, de emplazar personalmente en el proceso a quienes pudieran ostentar un legítimo interés en el mantenimiento del acto impugnado (siempre que tales personas, como es obvio, sean identificables a partir de los datos expuestos en la demanda o en el expediente administrativo), no deja de pesar, como es evidente, sobre los órganos judiciales llamados a resolver el especial proceso contencioso-electoral, pues, aunque tal proceso se singulariza por una tramitación concentrada y abreviada (apartados 2 y 3 del art. 49 LOREG), “ello no podría justificar nunca la omisión de trámite de tanta relevancia para su regularidad constitucional como es el del debido llamamiento al </w:t>
      </w:r>
      <w:r>
        <w:lastRenderedPageBreak/>
        <w:t>procedimiento de quienes, por la impugnación, ven directamente comprometido su derecho de sufragio pasivo”.</w:t>
      </w:r>
    </w:p>
    <w:p w:rsidR="00DE14C9" w:rsidRDefault="00DE14C9" w:rsidP="00DE14C9">
      <w:pPr>
        <w:pStyle w:val="TextoNormal"/>
      </w:pPr>
      <w:r>
        <w:t>Pues bien, la identidad de los afectados a raíz del recurso contencioso-electoral interpuesto por el PP contra el Acuerdo de la Junta electoral de zona de Betanzos de proclamación de la candidatura presentada por el Círculo de Opinión Eumés (COE) en la circunscripción electoral de Pontedeume era manifiesta. Sin embargo, según se comprueba a la vista de las actuaciones judiciales, no se hizo emplazamiento personal alguno, ni consta que hubiera sido conocida la interposición y pendencia del recurso contencioso-electoral en tiempo hábil por que la formación política ahora solicitante de amparo para personarse en el procedimiento. Por tanto, el Juzgado, al omitir el emplazamiento personal del representante de la formación política directamente afectada por la impugnación de la proclamación de su candidatura en la circunscripción electoral de Pontedeume, impidió la defensa de sus derechos en el referido proceso, vulnerando de este modo el derecho fundamental del Círculo solicitante de amparo a la tutela judicial efectiva sin indefensión.</w:t>
      </w:r>
    </w:p>
    <w:p w:rsidR="00DE14C9" w:rsidRDefault="00DE14C9" w:rsidP="00DE14C9">
      <w:pPr>
        <w:pStyle w:val="TextoNormal"/>
      </w:pPr>
      <w:r>
        <w:t>Por otra parte, conviene advertir que no cabe hablar de falta de agotamiento de todos los recursos utilizables dentro de la vía judicial [art. 44.1 a) LOTC] por no haberse acudido al incidente excepcional de nulidad de actuaciones regulado en el art.  241 de la Ley Orgánica del Poder Judicial (LOPJ), puesto que en los supuestos de amparo electoral no resulta exigible la utilización de este incidente “atendida la regulación especial del recurso de amparo en materia electoral, la finalidad de proporcionar rápidamente certeza al resultado electoral y el tenor literal de los arts. 49 y 114 LOREG” (STC 155/2003, de 21 de julio, FJ 5, y ATC 13/2000, de 11 de enero, FJ 3).</w:t>
      </w:r>
    </w:p>
    <w:p w:rsidR="00DE14C9" w:rsidRDefault="00DE14C9" w:rsidP="00DE14C9">
      <w:pPr>
        <w:pStyle w:val="TextoNormal"/>
      </w:pPr>
      <w:r>
        <w:t>Ahora bien, la estimación de esta queja por vulneración del art. 24.1 CE no puede ni debe, sin embargo, conducirnos a acordar no sólo la nulidad de la Sentencia impugnada, sino también la retroacción de actuaciones al momento procesal oportuno para que sea citada al proceso la representación de la formación política solicitante de amparo, y el Juzgado pueda dictar nueva sentencia sin ocasionar indefensión. En efecto, esta solución no la permite la perentoriedad de los plazos del proceso electoral (STC 71/1995, de 11 de mayo, FJ 2), a lo que cabe añadir que, además, este Tribunal tiene el suficiente conocimiento de los hechos para enjuiciar, aquí y ahora, las cuestiones planteadas y, en definitiva, su objeto fundamental: si la anulación judicial de la proclamación de la candidatura presentada en la circunscripción electoral de Pontedeume por el Círculo de Opinión Eumés (COE) vulnera el derecho de sufragio pasivo de esta formación política, cuestión que seguidamente pasamos a resolver.</w:t>
      </w:r>
    </w:p>
    <w:p w:rsidR="00DE14C9" w:rsidRDefault="00DE14C9" w:rsidP="00DE14C9">
      <w:pPr>
        <w:pStyle w:val="TextoNormal"/>
      </w:pPr>
    </w:p>
    <w:p w:rsidR="00DE14C9" w:rsidRDefault="00DE14C9" w:rsidP="00DE14C9">
      <w:pPr>
        <w:pStyle w:val="TextoNormal"/>
      </w:pPr>
      <w:r w:rsidRPr="00DE14C9">
        <w:rPr>
          <w:rStyle w:val="NumeroAFNegritaCaracter"/>
        </w:rPr>
        <w:t>4</w:t>
      </w:r>
      <w:r>
        <w:t>. Como ha quedado expuesto, el Círculo de Opinión Eumés (COE) denuncia como queja principal la vulneración de su derecho de sufragio pasivo, garantizado por el art. 23.2 CE, pues entiende que no resultan constitucionalmente admisibles interpretaciones desproporcionadas de la legislación electoral, como la que ha realizado la Sentencia impugnada en amparo, que conduzcan a la anulación de candidaturas electorales por defectos subsanables que no fueron puestos de manifiesto en ningún momento por la Administración electoral.</w:t>
      </w:r>
    </w:p>
    <w:p w:rsidR="00DE14C9" w:rsidRDefault="00DE14C9" w:rsidP="00DE14C9">
      <w:pPr>
        <w:pStyle w:val="TextoNormal"/>
      </w:pPr>
      <w:r>
        <w:t xml:space="preserve">Con cita de doctrina constitucional sobre la subsanación de irregularidades, defectos y errores en las candidaturas presentadas y sobre el deber de las Juntas Electorales competentes de advertir y permitir dicha subsanación, sostiene el Círculo de Opinión Eumés (COE), recurrente en amparo, que la Junta electoral de zona de Betanzos debió advertirle del defecto en la composición, a efectos del art. 44 bis LOREG, de la candidatura presentada a las elecciones locales en el municipio de Pontedeume, a fin de que pudiera subsanar el defecto que </w:t>
      </w:r>
      <w:r>
        <w:lastRenderedPageBreak/>
        <w:t>finalmente ha apreciado el Juzgado y referida a que no se alcance el mínimo de representación por sexos que aquél precepto impone, con el resultado de anular la candidatura. Al no hacerlo así, procediendo la Administración electoral a proclamar la candidatura presentada sin formular reparo alguno, no cabe que, con ocasión de la impugnación por otro partido ex art. 49 LOREG de la candidatura proclamada, el órgano judicial acuerde la nulidad de la candidatura por incumplimiento de lo dispuesto en el citado art. 44 bis LOREG, sin dar oportunidad a la formación política de corregir el defecto padecido, presentando una lista ajustada a la composición equilibrada de mujeres y hombres, establecida por dicho precepto, añadido por la reciente Ley Orgánica 3/2007, de 22 de marzo, para la igualdad efectiva de mujeres y hombres.</w:t>
      </w:r>
    </w:p>
    <w:p w:rsidR="00DE14C9" w:rsidRDefault="00DE14C9" w:rsidP="00DE14C9">
      <w:pPr>
        <w:pStyle w:val="TextoNormal"/>
      </w:pPr>
      <w:r>
        <w:t>La propia Administración electoral ha reconocido expresamente, y de manera general, el carácter subsanable de los defectos que puedan presentar las candidaturas presentadas por las formaciones políticas en cuanto a la exigencia establecida por el citado art. 44 bis LOREG, conforme al cual (apartado 1, párrafo primero) las candidaturas “deberán tener una composición equilibrada de mujeres y hombres, de forma que en el conjunto de la lista los candidatos de cada uno de los sexos supongan como mínimo el cuarenta por ciento”, proporción que deberá mantenerse también en cada tramo de cinco puestos, de suerte que si el número de candidatos o el último tramo de la lista no alcanzase los cinco puestos, la proporción de mujeres y hombres será lo más cercano posible al equilibrio numérico, manteniendo la proporción respecto del conjunto de la lista (apartados 1 y 2 del art. 44 bis LOREG), reglas éstas igualmente aplicables a las listas de suplentes (apartado 3 del art. 44 bis LOREG).</w:t>
      </w:r>
    </w:p>
    <w:p w:rsidR="00DE14C9" w:rsidRDefault="00DE14C9" w:rsidP="00DE14C9">
      <w:pPr>
        <w:pStyle w:val="TextoNormal"/>
      </w:pPr>
      <w:r>
        <w:t>Y así, en efecto, el punto primero de la Instrucción 8/2007, de 19 de abril, de la Junta Electoral Central, sobre interpretación del trámite de subsanación de irregularidades previsto en el art. 48.1 LOREG por incumplimiento de los requisitos de los arts.  44 bis y 187.2 LOREG, en la redacción dada por la Ley Orgánica 3/2007, de 22 de marzo, para la igualdad efectiva de mujeres y hombres, establece que “Durante el plazo de subsanación de las irregularidades advertidas por las Juntas Electorales competentes en las candidaturas presentadas, cuando la causa sea el incumplimiento de lo dispuesto en el artículo 44 bis de la LOREG o en la legislación autonómica aplicable sobre candidaturas paritarias, podrá modificarse el orden de los candidatos, o incluir o excluir algún candidato, siempre que con ello se trate estrictamente de subsanar la irregularidad apreciada, de conformidad con lo dispuesto en el último inciso del artículo 48.1 de la LOREG”.</w:t>
      </w:r>
    </w:p>
    <w:p w:rsidR="00DE14C9" w:rsidRDefault="00DE14C9" w:rsidP="00DE14C9">
      <w:pPr>
        <w:pStyle w:val="TextoNormal"/>
      </w:pPr>
      <w:r>
        <w:t>Sin embargo, del examen de actuaciones resulta que la Junta electoral de zona de Betanzos procedió a proclamar la candidatura presentada por el Círculo de Opinión Eumés (COE) en la circunscripción electoral de Pontedeume, para las elecciones municipales convocadas por Real Decreto 444/2007, de 2 de abril, sin advertir que dicha candidatura incumplía, como se razona en la Sentencia impugnada, la exigencia de composición equilibrada entre hombres y mujeres, contenida en el art. 44 bis LOREG (exigencia aplicable al municipio de Pontedeume, conforme a la disposición transitoria séptima LOREG, añadida también por la Ley Orgánica 3/2007, por contar con un número de residentes superior a los 5.000 habitantes), pues presenta cinco mujeres sobre un total de trece candidatos, por lo que el sexo femenino no alcanza el mínimo del 40 por 100 establecido por dicho precepto, que exigiría en el presente caso la presencia de una mujer más en la candidatura presentada.</w:t>
      </w:r>
    </w:p>
    <w:p w:rsidR="00DE14C9" w:rsidRDefault="00DE14C9" w:rsidP="00DE14C9">
      <w:pPr>
        <w:pStyle w:val="TextoNormal"/>
      </w:pPr>
      <w:r>
        <w:t xml:space="preserve">Y se constata igualmente, lo que resulta determinante para el otorgamiento del amparo por vulneración del derecho al sufragio pasivo garantizado por el art. 23.2 CE, que la Junta electoral de zona de Betanzos, al no advertir defecto alguno en la candidatura presentada por el Círculo de Opinión Eumés (COE) en la circunscripción electoral de Pontedeume, no </w:t>
      </w:r>
      <w:r>
        <w:lastRenderedPageBreak/>
        <w:t>dio oportunidad a esta formación política de subsanar el defecto en la composición equilibrada entre hombres y mujeres de la candidatura que exige el art. 44 bis LOREG.</w:t>
      </w:r>
    </w:p>
    <w:p w:rsidR="00DE14C9" w:rsidRDefault="00DE14C9" w:rsidP="00DE14C9">
      <w:pPr>
        <w:pStyle w:val="TextoNormal"/>
      </w:pPr>
    </w:p>
    <w:p w:rsidR="00DE14C9" w:rsidRDefault="00DE14C9" w:rsidP="00DE14C9">
      <w:pPr>
        <w:pStyle w:val="TextoNormal"/>
      </w:pPr>
      <w:r w:rsidRPr="00DE14C9">
        <w:rPr>
          <w:rStyle w:val="NumeroAFNegritaCaracter"/>
        </w:rPr>
        <w:t>5</w:t>
      </w:r>
      <w:r>
        <w:t>. Nuestra doctrina en materia de subsanación de irregularidades sufridas en la presentación de candidaturas ante la Administración electoral puede resumirse en la afirmación de que, por principio, los errores e irregularidades cometidos en la presentación de éstas son subsanables y que, en consecuencia, las Juntas electorales han de ofrecer la oportunidad de que las candidaturas en las que se han detectado lo hagan. Busca con ello la Ley Orgánica del régimen electoral general,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w:t>
      </w:r>
    </w:p>
    <w:p w:rsidR="00DE14C9" w:rsidRDefault="00DE14C9" w:rsidP="00DE14C9">
      <w:pPr>
        <w:pStyle w:val="TextoNormal"/>
      </w:pPr>
      <w:r>
        <w:t>Deriva de lo expuesto el que si por la Administración electoral se incumple este deber legal en orden al examen de los escritos de presentación de candidaturas, no dándose así ocasión a los interesados para la reparación de unos defectos que después llevan al rechazo de aquéllas, se habrá ignorado, con ello, una garantía dispuesta por la Ley Orgánica del régimen electoral general para la efectividad, como queda dicho, del derecho de sufragio pasivo, que resultará así afectado negativamente en la medida en que se desconozca por una junta electoral, o se atienda sólo imperfectamente la exigencia legal de la que aquí se trata. En modo alguno empaña esta conclusión, ni la consideración general que se acaba de hacer sobre la afectación del derecho reconocido en el art. 23.2 CE, el hecho de que, en estos casos, el resultado finalmente gravoso para candidaturas y candidatos —la denegación de su proclamación como tales— se llegue a producir por no haberse reparado un defecto fruto de la ignorancia o de la negligencia de quienes presentaron la candidatura sin cumplir, en todos sus extremos, las prevenciones legales, sin perjuicio, como es obvio, del deber de diligencia y de colaboración con la Administración electoral que pesa sobre los candidatos y las formaciones políticas que les avalan (SSTC 67/1987, de 21 de mayo, FJ 3; 73/1995, de 12 de mayo, FJ 3; y 80/2002, de 8 de abril, FJ 7).</w:t>
      </w:r>
    </w:p>
    <w:p w:rsidR="00DE14C9" w:rsidRDefault="00DE14C9" w:rsidP="00DE14C9">
      <w:pPr>
        <w:pStyle w:val="TextoNormal"/>
      </w:pPr>
      <w:r>
        <w:t>En efecto, en este específico procedimiento no ha querido la Ley Orgánica del régimen electoral general dejar la suerte de las candidaturas a merced de la sola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Orgánica del régimen electoral general que tal irregularidad depare aquella sanción sin que antes se haga posible, mediante su identificación y advertencia de oficio, la oportuna subsanación, siempre, claro ésta, que ello sea materialmente posible (SSTC 73/1986, de 3 de junio, FJ 1; 59/1987, de 19 de mayo, FJ 3; 86/1987, de 1 de junio, FJ 4; 24/1989, de 2 de febrero, FJ 95/1991, de 7 de mayo, FJ 2; 113/1991, de 20 de mayo, FJ 3; 175/1991, de 16 de septiembre, FJ 2; y 84/2003, de 8 de mayo, FJ 3).</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6</w:t>
      </w:r>
      <w:r>
        <w:t>. Es cierto, como señala la Sentencia impugnada, que la candidatura presentada por el Círculo de Opinión Eumés (COE) en la circunscripción electoral de Pontedeume contenía un déficit de candidatas femeninas, puesto que solamente se incluían cinco mujeres en un listado compuesto por trece candidatos, número inferior al que resulta exigible para dar cumplimiento a la exigencia de composición equilibrada entre hombres y mujeres de las candidaturas que exige el art. 44 bis LOREG. Pero la irregularidad cometida por el Círculo de Opinión Eumés (COE) en la presentación de dicha candidatura no puede tener la trascendencia fatal para el derecho fundamental a acceder en condiciones de igualdad a las funciones y cargos públicos (art. 23.2 CE) que ha apreciado el órgano judicial, pues se trata de una irregularidad subsanable, conforme a la doctrina constitucional expuesta, y no advertida por la Junta electoral de zona de Betanzos, lo que dio lugar a que no se diese ocasión a la representación del Círculo de Opinión Eumés (COE) para su subsanación, conforme a lo dispuesto en el art. 47.2 LOREG.</w:t>
      </w:r>
    </w:p>
    <w:p w:rsidR="00DE14C9" w:rsidRDefault="00DE14C9" w:rsidP="00DE14C9">
      <w:pPr>
        <w:pStyle w:val="TextoNormal"/>
      </w:pPr>
      <w:r>
        <w:t>En definitiva, la interpretación de la legalidad aplicable del modo más favorable al derecho fundamental garantizado por el art. 23.2 CE, exigía que el órgano judicial, una vez apreciado el incumplimiento de lo dispuesto en el art. 44 bis LOREG, no se hubiese limitado a anular el Acuerdo de la Junta electoral de zona de Betanzos de proclamación de la candidatura del Círculo de Opinión Eumés (COE) en la circunscripción electoral de Pontedeume, sino que, en aras de preservar el derecho de sufragio pasivo, era preciso que modulase los efectos de dicha declaración de nulidad, requiriendo a la referida Junta electoral para que otorgase a dicha candidatura el plazo de subsanación previsto en el art. 47.2 LOREG, a fin de adecuar la misma a la proporción de candidatos de ambos sexos exigida por el art. 44 bis LOREG.</w:t>
      </w:r>
    </w:p>
    <w:p w:rsidR="00DE14C9" w:rsidRDefault="00DE14C9" w:rsidP="00DE14C9">
      <w:pPr>
        <w:pStyle w:val="TextoNormal"/>
      </w:pPr>
      <w:r>
        <w:t>Al no haberlo hecho así, el Juzgado de lo Contencioso-Administrativo núm. 2 de A Coruña ha ocasionado a la formación política recurrente en amparo la denunciada vulneración de su derecho al sufragio pasivo, lo que conduce al otorgamiento del amparo solicitado, precisamente para que la Junta electoral de zona de Betanzos otorgue el trámite de subsanación omitido, procediendo, en caso de que se subsanase el defecto en la composición equilibrada entre hombres y mujeres que exige el art. 44 bis LOREG, a proclamar la candidatura, o a la no proclamación de la misma, en caso contrario.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el Círculo de Opinión Eumés (COE) y, en su virtud:</w:t>
      </w:r>
    </w:p>
    <w:p w:rsidR="00DE14C9" w:rsidRDefault="00DE14C9" w:rsidP="00DE14C9">
      <w:pPr>
        <w:pStyle w:val="TextoNormal"/>
      </w:pPr>
      <w:r>
        <w:t>1º Reconocer sus derechos a acceder en condiciones de igualdad a las funciones y cargos públicos (art. 23.2 CE) y a la tutela judicial efectiva sin indefensión (art. 24.1 CE).</w:t>
      </w:r>
    </w:p>
    <w:p w:rsidR="00DE14C9" w:rsidRDefault="00DE14C9" w:rsidP="00DE14C9">
      <w:pPr>
        <w:pStyle w:val="TextoNormal"/>
      </w:pPr>
      <w:r>
        <w:t>2º Declarar la nulidad de la Sentencia de 4 de mayo de 2007 del Juzgado de lo Contencioso-Administrativo núm. 2 de A Coruña, dictada en el recurso contencioso-electoral núm. 120-2007.</w:t>
      </w:r>
    </w:p>
    <w:p w:rsidR="00DE14C9" w:rsidRDefault="00DE14C9" w:rsidP="00DE14C9">
      <w:pPr>
        <w:pStyle w:val="TextoNormal"/>
      </w:pPr>
      <w:r>
        <w:t xml:space="preserve">3º Retrotraer las actuaciones al momento anterior al Acuerdo de la Junta electoral de zona de Betanzos de proclamación de la candidatura del Círculo de Opinión Eumés (COE) en la circunscripción electoral de Pontedeume, para que por dicha Junta electoral se proceda </w:t>
      </w:r>
      <w:r>
        <w:lastRenderedPageBreak/>
        <w:t>a otorgar trámite de subsanación, en los términos expresados en el fundamento jurídico 6 de esta Sentencia.</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diez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20" w:name="SENTENCIA_2007_107"/>
      <w:r>
        <w:lastRenderedPageBreak/>
        <w:t>SENTENCIA 107/2007, de 10 de mayo de 2007</w:t>
      </w:r>
    </w:p>
    <w:bookmarkEnd w:id="20"/>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137, de 8 de junio de 2007)</w:t>
      </w:r>
    </w:p>
    <w:p w:rsidR="00DE14C9" w:rsidRDefault="00DE14C9" w:rsidP="00DE14C9">
      <w:pPr>
        <w:pStyle w:val="TtuloBOE"/>
      </w:pPr>
    </w:p>
    <w:p w:rsidR="00DE14C9" w:rsidRDefault="00DE14C9" w:rsidP="00DE14C9">
      <w:pPr>
        <w:pStyle w:val="SntesisDescriptiva"/>
      </w:pPr>
      <w:r>
        <w:t>ECLI:ES:TC:2007:107</w:t>
      </w:r>
    </w:p>
    <w:p w:rsidR="00DE14C9" w:rsidRDefault="00DE14C9" w:rsidP="00DE14C9">
      <w:pPr>
        <w:pStyle w:val="SntesisDescriptiva"/>
      </w:pPr>
    </w:p>
    <w:p w:rsidR="00DE14C9" w:rsidRDefault="00DE14C9" w:rsidP="00DE14C9">
      <w:pPr>
        <w:pStyle w:val="SntesisDescriptiva"/>
      </w:pPr>
      <w:r>
        <w:t>Recurso de amparo electoral 4010-2007. Promovido por el Partido Socialista Obrero Español (PSOE) frente a la Sentencia del Juzgado de lo Contencioso-Administrativo núm. 4 de A Coruña que anuló la proclamación de la candidatura del PSdG-PSOE en las elecciones locales por la circunscripción de Camariñas.</w:t>
      </w:r>
    </w:p>
    <w:p w:rsidR="00DE14C9" w:rsidRDefault="00DE14C9" w:rsidP="00DE14C9">
      <w:pPr>
        <w:pStyle w:val="SntesisDescriptiva"/>
      </w:pPr>
    </w:p>
    <w:p w:rsidR="00DE14C9" w:rsidRDefault="00DE14C9" w:rsidP="00DE14C9">
      <w:pPr>
        <w:pStyle w:val="SntesisAnaltica"/>
      </w:pPr>
      <w:r>
        <w:t>Vulneración de los derechos a la tutela judicial sin indefensión y a acceder a los cargos representativos: STC 96/2007.</w:t>
      </w:r>
    </w:p>
    <w:p w:rsidR="00DE14C9" w:rsidRDefault="00DE14C9" w:rsidP="00DE14C9">
      <w:pPr>
        <w:pStyle w:val="SntesisAnaltica"/>
      </w:pPr>
    </w:p>
    <w:p w:rsidR="00DE14C9" w:rsidRDefault="00DE14C9" w:rsidP="00DE14C9">
      <w:pPr>
        <w:pStyle w:val="Extracto"/>
      </w:pPr>
      <w:r>
        <w:t>1.</w:t>
      </w:r>
      <w:r>
        <w:tab/>
        <w:t xml:space="preserve">Reitera la STC 96/2007. </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electoral núm. 4010-2007, promovido por el Partido Socialista Obrero Español (PSOE), representado por la Procuradora de los Tribunales doña Virginia Aragón Segura y asistido por el Letrado don Álvaro Sánchez Manzanares, contra la Sentencia de 4 de mayo de 2007 del Juzgado de lo Contencioso-Administrativo núm. 4 de A Coruña, que estima el recurso contencioso-electoral núm. 132-2007, interpuesto por el representante de las candidaturas formuladas por el Partido Popular (PP) en la provincia de A Coruña contra el Acuerdo de la Junta electoral de zona de Corcubión de proclamación de la candidatura del PSdG-PSOE en la circunscripción electoral de Camariñas. Ha intervenido el Ministerio Fiscal. Ha sido Ponente el Magistrado don Javier Delgado Barrio,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el Registro General de este Tribunal el 7 de mayo de 2007, la Procuradora de los Tribunales doña Virginia Aragón Segura, en nombre y repre</w:t>
      </w:r>
      <w:r>
        <w:lastRenderedPageBreak/>
        <w:t>sentación del Partido Socialista Obrero Español (PSOE), interpuso recurso de amparo contra la resolución judicial referida en el encabezamiento, por vulneración del derecho a la tutela judicial efectiva (art. 24.1 CE) y del derecho al sufragio pasivo (art. 23.2 CE).</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en que se fundamenta la demanda de amparo electoral, relevantes para la resolución del caso, son los que se expresan a continuación:   a) La formación política PSdG-PSOE presentó ante la Junta electoral de zona de Corcubión una candidatura en la circunscripción electoral de Camariñas para las elecciones municipales convocadas por Real Decreto 444/2007, de 2 de abril, candidatura que fue proclamada por Acuerdo de la referida Junta Electoral de Zona publicado en el “Boletín Oficial de la Provincia de A Coruña” de 1 de mayo de 2007. </w:t>
      </w:r>
    </w:p>
    <w:p w:rsidR="00DE14C9" w:rsidRDefault="00DE14C9" w:rsidP="00DE14C9">
      <w:pPr>
        <w:pStyle w:val="TextoNormal"/>
      </w:pPr>
      <w:r>
        <w:t xml:space="preserve">b) El 3 de mayo de 2007 el representante de las candidaturas presentadas por el Partido Popular (PP) en la provincia de A Coruña impugnó el Acuerdo de la Junta electoral de zona de Corcubión por el que se proclamó la candidatura presentada por el PSdG-PSOE en la circunscripción electoral de Camariñas, interesando que se anulase dicha candidatura por incumplir lo dispuesto en el art. 44 bis de la Ley Orgánica del régimen electoral general (LOREG), introducido por la Ley Orgánica 3/2007, de 22 de marzo, para la igualdad efectiva de mujeres y hombres, toda vez que el número de mujeres de dicha candidatura no alcanzaba el mínimo del 40 por 100 que el citado precepto establece, siendo esta exigencia legal aplicable al municipio de Camariñas, por contar con más de 5.000 habitantes, de conformidad con lo dispuesto en la disposición transitoria séptima LOREG, añadida también por la Ley Orgánica 3/2007. </w:t>
      </w:r>
    </w:p>
    <w:p w:rsidR="00DE14C9" w:rsidRDefault="00DE14C9" w:rsidP="00DE14C9">
      <w:pPr>
        <w:pStyle w:val="TextoNormal"/>
      </w:pPr>
      <w:r>
        <w:t>c) El Juzgado de lo Contencioso-Administrativo núm. 4 de A Coruña estimó el recurso contencioso-electoral (núm. 132-2007) interpuesto por el representante del PP contra el referido Acuerdo de la Junta electoral de zona de Corcubión, procediendo a anular dicho Acuerdo y la candidatura proclamada, al apreciar que la misma incumple la exigencia de composición equilibrada entre hombres y mujeres contenida en el art. 44 bis LOREG, pues, valorada en su conjunto la candidadura presentada por el PSdG-PSOE para las elecciones locales en el municipio de Camariñas, resulta que presenta cinco mujeres sobre un total de trece candidatos, por lo que no alcanza el mínimo del 40 por 100 legalmente establecido, que exigiría un mínimo de seis mujeres en la lista.</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En la demanda de amparo electoral se alega, en primer lugar, la vulneración del derecho a la tutela judicial efectiva sin indefensión (art. 24.1 CE), por cuanto en el presente supuesto la Administración electoral no cumplió con su obligación de poner en conocimiento del PSdG-PSOE las posibles irregularidades cometidas en la candidatura presentada, al objeto de permitir su subsanación, por lo que no tuvo en cuenta que la legalidad aplicable ha de ser entendida en los términos más favorables a la plena efectividad del derecho fundamental de sufragio pasivo, de conformidad con la reiterada doctrina sentada al respecto por el Tribunal Constitucional (SSTC 73/1986, 59/1987, y 86/1987). </w:t>
      </w:r>
    </w:p>
    <w:p w:rsidR="00DE14C9" w:rsidRDefault="00DE14C9" w:rsidP="00DE14C9">
      <w:pPr>
        <w:pStyle w:val="TextoNormal"/>
      </w:pPr>
      <w:r>
        <w:t xml:space="preserve">Junto a ello, se denuncia que también la Sentencia impugnada en amparo vulneró ese mismo derecho a la tutela judicial efectiva sin indefensión (art. 24.1 CE) de la formación política PSdG-PSOE, toda vez que no se le notificó el recurso contencioso-electoral interpuesto por el PP ex art. 49.1 LOREG, ni se le dio, en consecuencia, trámite de alegaciones, en el que poder ejercitar su derecho de defensa (SSTC 85/2003 y 68/2005), ni existió intervención del Ministerio Fiscal o del Estado en defensa del interés general como preceptúa la Ley 29/1998. </w:t>
      </w:r>
    </w:p>
    <w:p w:rsidR="00DE14C9" w:rsidRDefault="00DE14C9" w:rsidP="00DE14C9">
      <w:pPr>
        <w:pStyle w:val="TextoNormal"/>
      </w:pPr>
      <w:r>
        <w:lastRenderedPageBreak/>
        <w:t xml:space="preserve">Alega asimismo la representación procesal del PSOE la vulneración de su derecho de sufragio pasivo, garantizado por el art. 23.2 CE, pues no caben interpretaciones desproporcionadas, como la que lleva a cabo la Sentencia impugnada, que conduzcan a la anulación de candidaturas electorales por defectos que debieron ser puestos de manifiesto por la Administración electoral para su oportuna subsanación. Con cita de las SSTC 113/1991, 24/1989, 84/2003, 85/2003, 26/2004 y 68/2005, sostiene la formación política recurrente en amparo que la Junta electoral de zona de Corcubión debió advertirle del defecto en la composición de la candidatura presentada a las elecciones locales en el municipio de Camariñas, a fin de que pudiera subsanar la irregularidad que finalmente ha declarado el Juzgado en el número de mujeres de la lista. El defecto cometido por la formación política solicitante de amparo en la presentación de la candidatura al municipio de Camariñas no puede tener, de conformidad con la referida jurisprudencia constitucional, la trascendencia fatal para el derecho fundamental a acceder en condiciones de igualdad a las funciones y cargos públicos que ha apreciado el órgano judicial, máxime si se tiene en cuenta —se afirma— que el PSdG-PSOE ha actuado con la máxima diligencia desde el momento en que tuvo conocimiento de esa potencial e hipotética irregularidad, pues, ante las noticias aparecidas en prensa sobre la impugnación de la candidatura, intentó subsanarla ante la Junta electoral, llegando incluso a ofrecer la renuncia de varios candidatos, si bien la Junta electoral no admitió la subsanación al entender que no era posible por haberse notificado ya la Sentencia que se impugna en amparo. </w:t>
      </w:r>
    </w:p>
    <w:p w:rsidR="00DE14C9" w:rsidRDefault="00DE14C9" w:rsidP="00DE14C9">
      <w:pPr>
        <w:pStyle w:val="TextoNormal"/>
      </w:pPr>
      <w:r>
        <w:t>Por todo ello el recurrente concluye interesando que se le otorgue el amparo solicitado, dejando sin efecto la Sentencia impugnada y ordenando la retroacción de las actuaciones al momento que permita subsanar las irregularidades advertidas o, subsidiariamente, se admita la renuncia de los candidatos ya ofrecida, dando cumplimiento así al art. 44 bis LOREG.</w:t>
      </w:r>
    </w:p>
    <w:p w:rsidR="00DE14C9" w:rsidRDefault="00DE14C9" w:rsidP="00DE14C9">
      <w:pPr>
        <w:pStyle w:val="TextoNormal"/>
      </w:pPr>
    </w:p>
    <w:p w:rsidR="00DE14C9" w:rsidRDefault="00DE14C9" w:rsidP="00DE14C9">
      <w:pPr>
        <w:pStyle w:val="TextoNormal"/>
      </w:pPr>
      <w:r w:rsidRPr="00DE14C9">
        <w:rPr>
          <w:rStyle w:val="NumeroAFNegritaCaracter"/>
        </w:rPr>
        <w:t>4</w:t>
      </w:r>
      <w:r>
        <w:t>. Mediante diligencia de ordenación de 7 de mayo de 2007, el Secretario de Justicia de la Sala Primera de este Tribunal acordó, en conformidad con lo dispuesto en el Acuerdo del Pleno de 20 de enero de 2000, recabar del Juzgado de lo Contencioso-Administrativo núm. 4 de A Coruña las actuaciones correspondientes, así como la acreditación de emplazamiento de las partes, con plazo de dos días para personarse y presentar alegaciones, que fueron remitidas a este Tribunal. Igualmente se acordó dar vista al Ministerio Fiscal para que en el plazo de un día natural formulase las alegaciones pertinentes.</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El Ministerio Fiscal presentó sus alegaciones el 8 de mayo de 2007, en las que, tras recordar lo dispuesto en el art. 47.2 LOREG y la doctrina de este Tribunal en materia de subsanación de irregularidades en la presentación de candidaturas (cita las SSTC 59/1987, 24/1989, 95/1991, 113/1991 y 84/2003), concluye señalando que procedería otorgar el amparo solicitado por vulneración del art. 23.2 CE si se confirma, a la vista de las actuaciones, que el partido recurrente ha sido efectivamente privado del trámite de subsanación. </w:t>
      </w:r>
    </w:p>
    <w:p w:rsidR="00DE14C9" w:rsidRDefault="00DE14C9" w:rsidP="00DE14C9">
      <w:pPr>
        <w:pStyle w:val="TextoNormal"/>
      </w:pPr>
      <w:r>
        <w:t>No se personaron más partes dentro del plazo legalmente establecido, pese a la acreditación de emplazamientos a que se ha hecho referencia.</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xml:space="preserve">. Se impugna en el presente recurso de amparo electoral la Sentencia de 4 de mayo de 2007 del Juzgado de lo Contencioso-Administrativo núm. 4 de A Coruña, que estimó el </w:t>
      </w:r>
      <w:r>
        <w:lastRenderedPageBreak/>
        <w:t>recurso contencioso-electoral núm. 132-2007, interpuesto por el representante de las candidaturas formuladas por el PP en la provincia de A Coruña contra el Acuerdo de la Junta electoral de zona de Corcubión de proclamación de la candidatura del PSdG-PSOE en la circunscripción electoral de Camariñas, publicado en el “Boletín Oficial de la Provincia de A Coruña” el 1 de mayo de 2007, para las elecciones municipales convocadas por Real Decreto 444/2007, de 2 de abril.</w:t>
      </w:r>
    </w:p>
    <w:p w:rsidR="00DE14C9" w:rsidRDefault="00DE14C9" w:rsidP="00DE14C9">
      <w:pPr>
        <w:pStyle w:val="TextoNormal"/>
      </w:pPr>
      <w:r>
        <w:t>El partido solicitante de amparo se queja de que se han vulnerado sus derechos fundamentales a la tutela judicial efectiva sin indefensión (art. 24.1 CE) y a acceder en condiciones de igualdad a los cargos públicos (art. 23.2 CE). El Ministerio Fiscal interesa asimismo el otorgamiento del amparo para el caso de confirmarse, a la vista de las actuaciones, que el partido recurrente ha sido efectivamente privado del trámite de subsanación de defectos en la candidatura.</w:t>
      </w:r>
    </w:p>
    <w:p w:rsidR="00DE14C9" w:rsidRDefault="00DE14C9" w:rsidP="00DE14C9">
      <w:pPr>
        <w:pStyle w:val="TextoNormal"/>
      </w:pPr>
    </w:p>
    <w:p w:rsidR="00DE14C9" w:rsidRDefault="00DE14C9" w:rsidP="00DE14C9">
      <w:pPr>
        <w:pStyle w:val="TextoNormal"/>
      </w:pPr>
      <w:r w:rsidRPr="00DE14C9">
        <w:rPr>
          <w:rStyle w:val="NumeroAFNegritaCaracter"/>
        </w:rPr>
        <w:t>2</w:t>
      </w:r>
      <w:r>
        <w:t>. Con el fin de precisar el objeto del presente recurso de amparo electoral y cómo debe ser abordado su examen, es pertinente poner de relieve que en el asunto que nos ocupa el partido político solicitante de amparo denuncia en primer término la lesión del derecho a la tutela judicial efectiva sin indefensión (art. 24.1 CE), lesión que imputa, por distintas razones, tanto a la Junta electoral de zona de Corcubión, como al Juzgado de lo Contencioso-Administrativo núm. 4 de A Coruña.</w:t>
      </w:r>
    </w:p>
    <w:p w:rsidR="00DE14C9" w:rsidRDefault="00DE14C9" w:rsidP="00DE14C9">
      <w:pPr>
        <w:pStyle w:val="TextoNormal"/>
      </w:pPr>
      <w:r>
        <w:t>Según quedó expuesto, la vulneración del derecho a la tutela judicial efectiva sin indefensión que el partido recurrente en amparo imputa a la Junta Electoral de Zona de Corcubión se fundamenta en que ésta no cumplió con su obligación de poner en conocimiento del PSdG-PSOE la posible irregularidad en que incurrió la candidatura presentada, en cuanto a lo dispuesto en el art. 44 bis de la Ley Orgánica del régimen electoral general (LOREG), al objeto de permitir la subsanación del defecto, obviando que, conforme a reiterada doctrina constitucional, la legalidad aplicable al caso ha de ser interpretada en los términos más favorables a la plena efectividad del derecho fundamental garantizado en el art. 23.2 CE. Falta de diligencia de la Administración electoral que, a la postre, dio lugar a la anulación en vía judicial de la candidatura proclamada.</w:t>
      </w:r>
    </w:p>
    <w:p w:rsidR="00DE14C9" w:rsidRDefault="00DE14C9" w:rsidP="00DE14C9">
      <w:pPr>
        <w:pStyle w:val="TextoNormal"/>
      </w:pPr>
      <w:r>
        <w:t>Pues bien, así planteada la queja, esta pretendida lesión del derecho fundamental a la tutela judicial efectiva sin indefensión que el PSOE imputa a la Administración electoral ha de ser reconducida a la queja relativa a la vulneración del derecho al sufragio pasivo, garantizado por el derecho fundamental a acceder a los cargos representativos (art. 23.2 CE), queja a la que luego nos referiremos, sin que pueda apreciarse en el presente caso una lesión autónoma del art. 24.1 CE, toda vez no estamos ante un supuesto en el que el acuerdo adoptado por una determinada Junta Electoral no pueda ser sometido a un control judicial independiente (por todas, SSTC 103/1996, de 11 de junio, FJ 4.c; 46/1997, de 11 de marzo, FJ 1; 48/1997, de 11 de marzo; 149/2000, de 1 de junio, FJ 3; y 36/2003, de 25 de febrero, FJ 5).</w:t>
      </w:r>
    </w:p>
    <w:p w:rsidR="00DE14C9" w:rsidRDefault="00DE14C9" w:rsidP="00DE14C9">
      <w:pPr>
        <w:pStyle w:val="TextoNormal"/>
      </w:pPr>
    </w:p>
    <w:p w:rsidR="00DE14C9" w:rsidRDefault="00DE14C9" w:rsidP="00DE14C9">
      <w:pPr>
        <w:pStyle w:val="TextoNormal"/>
      </w:pPr>
      <w:r w:rsidRPr="00DE14C9">
        <w:rPr>
          <w:rStyle w:val="NumeroAFNegritaCaracter"/>
        </w:rPr>
        <w:t>3</w:t>
      </w:r>
      <w:r>
        <w:t>. El partido solicitante de amparo dirige asimismo una queja por vulneración del derecho a la tutela judicial efectiva sin indefensión (art. 24.1 CE) contra la Sentencia del Juzgado de lo Contencioso-administrativo núm. 4 de A Coruña que anula, por incumplimiento de lo dispuesto en el art. 44 bis LOREG, la proclamación de la candidatura presentada por PSdG-PSOE para las elecciones locales en el municipio coruñés de Camariñas. Se aduce que el órgano judicial no le notificó el recurso interpuesto por el PP conforme al art. 49.1 LOREG contra el Acuerdo de la Junta electoral de zona de Corcubión de proclamación de la candi</w:t>
      </w:r>
      <w:r>
        <w:lastRenderedPageBreak/>
        <w:t>datura del PSdG-PSOE en la circunscripción electoral de Camariñas, publicado en el “Boletín Oficial de la Provincia de A Coruña” el 1 de mayo de 2007, ni se le dio, en consecuencia, trámite de alegaciones, en el que esta formación política tuviera ocasión de defender los derechos que para la candidatura presentada (esto es, para las personas que en ella figuraban) se derivaron de aquel acto de proclamación por la Administración electoral.</w:t>
      </w:r>
    </w:p>
    <w:p w:rsidR="00DE14C9" w:rsidRDefault="00DE14C9" w:rsidP="00DE14C9">
      <w:pPr>
        <w:pStyle w:val="TextoNormal"/>
      </w:pPr>
      <w:r>
        <w:t>Asiste la razón en su queja a la formación política demandante de amparo. Como ya tuvo ocasión de señalar este Tribunal en su STC 85/1987, de 29 de mayo, FFJJ 1 y 2, el deber de los órganos judiciales, que surge del art. 24.1 CE, de emplazar personalmente en el proceso a quienes pudieran ostentar un legítimo interés en el mantenimiento del acto impugnado (siempre que tales personas, como es obvio, sean identificables a partir de los datos expuestos en la demanda o en el expediente administrativo), no deja de pesar, como es evidente, sobre los órganos judiciales llamados a resolver el especial proceso contencioso-electoral, pues, aunque tal proceso se singulariza por una tramitación concentrada y abreviada (apartados 2 y 3 del art. 49 LOREG), “ello no podría justificar nunca la omisión de trámite de tanta relevancia para su regularidad constitucional como es el del debido llamamiento al procedimiento de quienes, por la impugnación, ven directamente comprometido su derecho de sufragio pasivo” (FJ 2).</w:t>
      </w:r>
    </w:p>
    <w:p w:rsidR="00DE14C9" w:rsidRDefault="00DE14C9" w:rsidP="00DE14C9">
      <w:pPr>
        <w:pStyle w:val="TextoNormal"/>
      </w:pPr>
      <w:r>
        <w:t>Pues bien, la identidad de los afectados a raíz del recurso contencioso-electoral interpuesto por el PP contra el Acuerdo de la Junta electoral de zona de Corcubión de proclamación de la candidatura del PSdG-PSOE para las elecciones locales en Camariñas era manifiesta. Sin embargo, según se comprueba a la vista de las actuaciones judiciales, no se hizo emplazamiento personal alguno, ni consta que hubiera sido conocida la interposición y pendencia del recurso contencioso-electoral en tiempo hábil por el partido político ahora solicitante de amparo para personarse en el procedimiento. Por tanto, el Juzgado, al omitir el emplazamiento personal del representante del partido político directamente afectado por la impugnación de la proclamación de su candidatura en la circunscripción electoral de Camariñas, impidió la defensa de sus derechos en el referido proceso, vulnerando de este modo el derecho fundamental del partido solicitante de amparo a la tutela judicial efectiva sin indefensión.</w:t>
      </w:r>
    </w:p>
    <w:p w:rsidR="00DE14C9" w:rsidRDefault="00DE14C9" w:rsidP="00DE14C9">
      <w:pPr>
        <w:pStyle w:val="TextoNormal"/>
      </w:pPr>
      <w:r>
        <w:t>Por otra parte, conviene advertir que no cabe hablar de falta de agotamiento de todos los recursos utilizables dentro de la vía judicial [art. 44.1 a) LOTC] por no haberse acudido al incidente excepcional de nulidad de actuaciones regulado en el art.  241 de la Ley Orgánica del Poder Judicial (LOPJ), puesto que en los supuestos de amparo electoral no resulta exigible la utilización de este incidente “atendida la regulación especial del recurso de amparo en materia electoral, la finalidad de proporcionar rápidamente certeza al resultado electoral y el tenor literal de los arts. 49 y 114 LOREG” (STC 155/2003, de 21 de julio, FJ 5, y ATC 13/2000, de 11 de enero, FJ 3).</w:t>
      </w:r>
    </w:p>
    <w:p w:rsidR="00DE14C9" w:rsidRDefault="00DE14C9" w:rsidP="00DE14C9">
      <w:pPr>
        <w:pStyle w:val="TextoNormal"/>
      </w:pPr>
      <w:r>
        <w:t>Ahora bien, la estimación de esta queja por vulneración del art. 24.1 CE no puede ni debe, sin embargo, conducirnos a acordar no sólo la nulidad de la Sentencia impugnada, sino también la retroacción de actuaciones al momento procesal oportuno para que sea citada al proceso la representación del partido político solicitante de amparo, y el Juzgado pueda dictar nueva sentencia sin ocasionar indefensión. En efecto, esta solución no la permite la perentoriedad de los plazos del proceso electoral (STC 71/1995, de 11 de mayo, FJ 2), a lo que cabe añadir que, además, este Tribunal tiene el suficiente conocimiento de los hechos para enjuiciar, aquí y ahora, las cuestiones planteadas y, en definitiva, su objeto fundamental: si la anulación judicial de la proclamación de la candidatura presentada en la circunscripción electoral de Camariñas por el PSdG-PSOE vulnera el derecho de sufragio pasivo de esta formación política, cuestión que seguidamente pasamos a resolver.</w:t>
      </w:r>
    </w:p>
    <w:p w:rsidR="00DE14C9" w:rsidRDefault="00DE14C9" w:rsidP="00DE14C9">
      <w:pPr>
        <w:pStyle w:val="TextoNormal"/>
      </w:pPr>
    </w:p>
    <w:p w:rsidR="00DE14C9" w:rsidRDefault="00DE14C9" w:rsidP="00DE14C9">
      <w:pPr>
        <w:pStyle w:val="TextoNormal"/>
      </w:pPr>
      <w:r w:rsidRPr="00DE14C9">
        <w:rPr>
          <w:rStyle w:val="NumeroAFNegritaCaracter"/>
        </w:rPr>
        <w:t>4</w:t>
      </w:r>
      <w:r>
        <w:t>. Como ha quedado expuesto, el partido político solicitante de amparo denuncia como queja principal la vulneración de su derecho de sufragio pasivo, garantizado por el art. 23.2 CE, pues entiende que no resultan constitucionalmente admisibles interpretaciones desproporcionadas de la legislación electoral, como la que ha realizado la Sentencia impugnada en amparo, que conduzcan a la anulación de candidaturas electorales por defectos subsanables que no fueron puestos de manifiesto en ningún momento por la Administración electoral.</w:t>
      </w:r>
    </w:p>
    <w:p w:rsidR="00DE14C9" w:rsidRDefault="00DE14C9" w:rsidP="00DE14C9">
      <w:pPr>
        <w:pStyle w:val="TextoNormal"/>
      </w:pPr>
      <w:r>
        <w:t>Con cita de doctrina constitucional sobre la subsanación de irregularidades, defectos y errores en las candidaturas presentadas y sobre el deber de las Juntas electorales competentes de advertir y permitir dicha subsanación, sostiene el partido recurrente en amparo que la Junta electoral de zona de Corcubión debió advertirle del defecto en la composición, a efectos del art. 44 bis LOREG, de la candidatura presentada a las elecciones locales en el municipio de Camariñas, a fin de que pudiera subsanar el defecto que finalmente ha apreciado el Juzgado en el número de mujeres de la lista, con el resultado de anular la candidatura. Al no hacerlo así, procediendo la Administración electoral a proclamar la candidatura presentada sin formular reparo alguno, no cabe que, con ocasión de la impugnación por otro partido ex art. 49 LOREG de la candidatura proclamada, el órgano judicial acuerde la nulidad de la candidatura por incumplimiento de lo dispuesto en el citado art. 44 bis LOREG, sin dar oportunidad a la formación política de corregir el defecto padecido, presentando una lista ajustada a la composición equilibrada de mujeres y hombres establecida por dicho precepto, añadido por la reciente Ley Orgánica 3/2007, de 22 de marzo, para la igualdad efectiva de mujeres y hombres.</w:t>
      </w:r>
    </w:p>
    <w:p w:rsidR="00DE14C9" w:rsidRDefault="00DE14C9" w:rsidP="00DE14C9">
      <w:pPr>
        <w:pStyle w:val="TextoNormal"/>
      </w:pPr>
      <w:r>
        <w:t>El partido solicitante de amparo recuerda, además, que la propia Administración electoral ha reconocido expresamente, y de manera general, el carácter subsanable de los defectos que puedan presentar las candidaturas presentadas por las formaciones políticas en cuanto a la exigencia establecida por el citado art. 44 bis LOREG, conforme al cual (apartado 1, párrafo primero) las candidaturas “deberán tener una composición equilibrada de mujeres y hombres, de forma que en el conjunto de la lista los candidatos de cada uno de los sexos supongan como mínimo el cuarenta por ciento”, proporción que deberá mantenerse también en cada tramo de cinco puestos, de suerte que si el número de candidatos o el último tramo de la lista no alcanzase los cinco puestos, la proporción de mujeres y hombres será lo más cercano posible al equilibrio numérico, manteniendo la proporción respecto del conjunto de la lista (apartados 1 y 2 del art. 44 bis LOREG), reglas éstas igualmente aplicables a las listas de suplentes (apartado 3 del art. 44 bis LOREG).</w:t>
      </w:r>
    </w:p>
    <w:p w:rsidR="00DE14C9" w:rsidRDefault="00DE14C9" w:rsidP="00DE14C9">
      <w:pPr>
        <w:pStyle w:val="TextoNormal"/>
      </w:pPr>
      <w:r>
        <w:t>Y así, en efecto, el punto primero de la Instrucción 8/2007, de 19 de abril, de la Junta Electoral Central, sobre interpretación del trámite de subsanación de irregularidades previsto en el art. 48.1 LOREG por incumplimiento de los requisitos de los arts.  44 bis y 187.2 LOREG, en la redacción dada por la Ley Orgánica 3/2007, de 22 de marzo, para la igualdad efectiva de mujeres y hombres, establece que “Durante el plazo de subsanación de las irregularidades advertidas por las Juntas Electorales competentes en las candidaturas presentadas, cuando la causa sea el incumplimiento de lo dispuesto en el artículo 44 bis de la LOREG o en la legislación autonómica aplicable sobre candidaturas paritarias, podrá modificarse el orden de los candidatos, o incluir o excluir algún candidato, siempre que con ello se trate estrictamente de subsanar la irregularidad apreciada, de conformidad con lo dispuesto en el último inciso del artículo 48.1 de la LOREG”.</w:t>
      </w:r>
    </w:p>
    <w:p w:rsidR="00DE14C9" w:rsidRDefault="00DE14C9" w:rsidP="00DE14C9">
      <w:pPr>
        <w:pStyle w:val="TextoNormal"/>
      </w:pPr>
      <w:r>
        <w:t xml:space="preserve">Sin embargo, del examen de actuaciones resulta que la Junta electoral de zona de Corcubión procedió a proclamar la candidatura presentada por el PSdG-PSOE en la circunscripción electoral de Camariñas, para las elecciones municipales convocadas por Real Decreto </w:t>
      </w:r>
      <w:r>
        <w:lastRenderedPageBreak/>
        <w:t>444/2007, de 2 de abril, sin advertir que dicha candidatura incumplía, como se razona en la Sentencia impugnada, la exigencia de composición equilibrada entre hombres y mujeres contenida en el art. 44 bis LOREG (exigencia aplicable al municipio de Camariñas, conforme a la disposición transitoria séptima LOREG, añadida también por la Ley Orgánica 3/2007, por contar con un número de residentes superior a los 5.000 habitantes), pues presenta cinco mujeres sobre un total de trece candidatos, por lo que no alcanza el mínimo del 40 por 100 establecido por dicho precepto, que exigiría en el presente caso al menos seis candidatas en la lista.</w:t>
      </w:r>
    </w:p>
    <w:p w:rsidR="00DE14C9" w:rsidRDefault="00DE14C9" w:rsidP="00DE14C9">
      <w:pPr>
        <w:pStyle w:val="TextoNormal"/>
      </w:pPr>
      <w:r>
        <w:t>Y se constata igualmente, lo que resulta determinante para el otorgamiento del amparo por vulneración del derecho al sufragio pasivo garantizado por el art. 23.2 CE, que la Junta electoral de zona de Corcubión, al no advertir defecto alguno en la candidatura presentada por el PSdG-PSOE en la circunscripción electoral de Camariñas, no dio oportunidad a esta formación política de subsanar el defecto en la composición equilibrada entre hombres y mujeres de la candidatura que exige el art. 44 bis LOREG.</w:t>
      </w:r>
    </w:p>
    <w:p w:rsidR="00DE14C9" w:rsidRDefault="00DE14C9" w:rsidP="00DE14C9">
      <w:pPr>
        <w:pStyle w:val="TextoNormal"/>
      </w:pPr>
    </w:p>
    <w:p w:rsidR="00DE14C9" w:rsidRDefault="00DE14C9" w:rsidP="00DE14C9">
      <w:pPr>
        <w:pStyle w:val="TextoNormal"/>
      </w:pPr>
      <w:r w:rsidRPr="00DE14C9">
        <w:rPr>
          <w:rStyle w:val="NumeroAFNegritaCaracter"/>
        </w:rPr>
        <w:t>5</w:t>
      </w:r>
      <w:r>
        <w:t>. Nuestra doctrina en materia de subsanación de irregularidades sufridas en la presentación de candidaturas ante la Administración electoral puede resumirse en la afirmación de que, por principio, los errores e irregularidades cometidos en la presentación de éstas son subsanables y que, en consecuencia, las Juntas electorales han de ofrecer la oportunidad de que las candidaturas en las que se hayan detectado lo hagan. Busca con ello la Ley Orgánica del régimen electoral general,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w:t>
      </w:r>
    </w:p>
    <w:p w:rsidR="00DE14C9" w:rsidRDefault="00DE14C9" w:rsidP="00DE14C9">
      <w:pPr>
        <w:pStyle w:val="TextoNormal"/>
      </w:pPr>
      <w:r>
        <w:t>Deriva de lo expuesto el que si por la Administración electoral se incumple este deber legal en orden al examen de los escritos de presentación de candidaturas, no dándose así ocasión a los interesados para la reparación de unos defectos que después llevan al rechazo de aquéllas, se habrá ignorado, con ello, una garantía dispuesta por la Ley Orgánica del régimen electoral general para la efectividad, como queda dicho, del derecho de sufragio pasivo, que resultará así afectado negativamente en la medida en que se desconozca por una junta electoral, o se atienda sólo imperfectamente la exigencia legal de la que aquí se trata. En modo alguno empaña esta conclusión, ni la consideración general que se acaba de hacer sobre la afectación del derecho reconocido en el art. 23.2 CE, el hecho de que, en estos casos, el resultado finalmente gravoso para candidaturas y candidatos —la denegación de su proclamación como tales— se llegue a producir por no haberse reparado un defecto fruto de la ignorancia o de la negligencia de quienes presentaron la candidatura sin cumplir, en todos sus extremos, las prevenciones legales, sin perjuicio, como es obvio, del deber de diligencia y de colaboración con la Administración electoral que pesa sobre los candidatos y las formaciones políticas que les avalan (SSTC 67/1987, de 21 de mayo, FJ 3; 73/1995, de 12 de mayo, FJ 3; y 80/2002, de 8 de abril, FJ 7).</w:t>
      </w:r>
    </w:p>
    <w:p w:rsidR="00DE14C9" w:rsidRDefault="00DE14C9" w:rsidP="00DE14C9">
      <w:pPr>
        <w:pStyle w:val="TextoNormal"/>
      </w:pPr>
      <w:r>
        <w:t xml:space="preserve">En efecto, en este específico procedimiento no ha querido la Ley Orgánica del régimen electoral general dejar la suerte de las candidaturas a merced de la sola diligencia o de la </w:t>
      </w:r>
      <w:r>
        <w:lastRenderedPageBreak/>
        <w:t>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Orgánica del régimen electoral general que tal irregularidad depare aquella sanción sin que antes se haga posible, mediante su identificación y advertencia de oficio, la oportuna subsanación, siempre, claro ésta, que ello sea materialmente posible (SSTC 73/1986, de 3 de junio, FJ 1; 59/1987, de 19 de mayo, FJ 3; 86/1987, de 1 de junio, FJ 4; 24/1989, de 2 de febrero, FJ 95/1991, de 7 de mayo, FJ 2; 113/1991, de 20 de mayo, FJ 3; 175/1991, de 16 de septiembre, FJ 2; y 84/2003, de 8 de mayo, FJ 3).</w:t>
      </w:r>
    </w:p>
    <w:p w:rsidR="00DE14C9" w:rsidRDefault="00DE14C9" w:rsidP="00DE14C9">
      <w:pPr>
        <w:pStyle w:val="TextoNormal"/>
      </w:pPr>
    </w:p>
    <w:p w:rsidR="00DE14C9" w:rsidRDefault="00DE14C9" w:rsidP="00DE14C9">
      <w:pPr>
        <w:pStyle w:val="TextoNormal"/>
      </w:pPr>
      <w:r w:rsidRPr="00DE14C9">
        <w:rPr>
          <w:rStyle w:val="NumeroAFNegritaCaracter"/>
        </w:rPr>
        <w:t>6</w:t>
      </w:r>
      <w:r>
        <w:t>. Es cierto, como señala la Sentencia impugnada, que la candidatura presentada por el PSdG-PSOE en la circunscripción electoral de Camariñas contenía menos candidatas del número mínimo que resulta exigible para dar cumplimiento a la exigencia de composición equilibrada entre hombres y mujeres que exige el art. 44 bis LOREG. Pero la irregularidad cometida por el partido solicitante de amparo en la presentación de dicha candidatura no puede tener la trascendencia fatal para el derecho fundamental a acceder en condiciones de igualdad a las funciones y cargos públicos (art. 23.2 CE) que ha apreciado el órgano judicial, pues se trata de una irregularidad subsanable, conforme a la doctrina constitucional expuesta, y no advertida por la Junta electoral de zona de Corcubión, lo que dio lugar a que no se diese ocasión a la representación del PSdG-PSOE para su subsanación, conforme a lo dispuesto en el art. 47.2 LOREG.</w:t>
      </w:r>
    </w:p>
    <w:p w:rsidR="00DE14C9" w:rsidRDefault="00DE14C9" w:rsidP="00DE14C9">
      <w:pPr>
        <w:pStyle w:val="TextoNormal"/>
      </w:pPr>
      <w:r>
        <w:t>En definitiva, la interpretación de la legalidad aplicable del modo más favorable al derecho fundamental garantizado por el art. 23.2 CE, exigía que el órgano judicial, una vez apreciado el incumplimiento de lo dispuesto en el art. 44 bis LOREG, no se hubiese limitado a anular el Acuerdo de la Junta electoral de zona de Corcubión de proclamación de la candidatura del PSdG-PSOE en la circunscripción electoral de Camariñas, sino que, en aras de preservar el derecho de sufragio pasivo, era preciso que modulase los efectos de dicha declaración de nulidad, requiriendo a la referida Junta electoral para que otorgase a dicha candidatura el plazo de subsanación previsto en el art. 47.2 LOREG, a fin de adecuar la misma a la proporción de candidatos de ambos sexos exigida por el art. 44 bis LOREG.</w:t>
      </w:r>
    </w:p>
    <w:p w:rsidR="00DE14C9" w:rsidRDefault="00DE14C9" w:rsidP="00DE14C9">
      <w:pPr>
        <w:pStyle w:val="TextoNormal"/>
      </w:pPr>
      <w:r>
        <w:t>Al no haberlo hecho así, el órgano judicial ha ocasionado al partido recurrente en amparo la denunciada vulneración de su derecho al sufragio pasivo, lo que conduce al otorgamiento del amparo solicitado, precisamente para que la Junta electoral de zona de Corcubión otorgue el trámite de subsanación omitido, procediendo, en caso de que se subsanase el defecto en la composición equilibrada entre hombres y mujeres que exige el art. 44 bis LOREG, a proclamar la candidatura, o a la no proclamación de la misma, en caso contrario.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lastRenderedPageBreak/>
        <w:t>Ha decidido</w:t>
      </w:r>
    </w:p>
    <w:p w:rsidR="00DE14C9" w:rsidRDefault="00DE14C9" w:rsidP="00DE14C9">
      <w:pPr>
        <w:pStyle w:val="TextoNormalCentrado"/>
        <w:keepNext/>
      </w:pPr>
    </w:p>
    <w:p w:rsidR="00DE14C9" w:rsidRDefault="00DE14C9" w:rsidP="00DE14C9">
      <w:pPr>
        <w:pStyle w:val="TextoNormal"/>
      </w:pPr>
      <w:r>
        <w:t>Otorgar el amparo solicitado por el Partido Socialista Obrero Español (PSOE) y, su virtud:</w:t>
      </w:r>
    </w:p>
    <w:p w:rsidR="00DE14C9" w:rsidRDefault="00DE14C9" w:rsidP="00DE14C9">
      <w:pPr>
        <w:pStyle w:val="TextoNormal"/>
      </w:pPr>
      <w:r>
        <w:t>1º Reconocer sus derechos a acceder en condiciones de igualdad a las funciones y cargos públicos (art. 23.2 CE) y a la tutela judicial efectiva sin indefensión (art. 24.1 CE).</w:t>
      </w:r>
    </w:p>
    <w:p w:rsidR="00DE14C9" w:rsidRDefault="00DE14C9" w:rsidP="00DE14C9">
      <w:pPr>
        <w:pStyle w:val="TextoNormal"/>
      </w:pPr>
      <w:r>
        <w:t>2º Declarar la nulidad de la Sentencia de 4 de mayo de 2007 del Juzgado de lo Contencioso-Administrativo núm. 4 de A Coruña, dictada en el recurso contencioso-electoral núm. 132-2007.</w:t>
      </w:r>
    </w:p>
    <w:p w:rsidR="00DE14C9" w:rsidRDefault="00DE14C9" w:rsidP="00DE14C9">
      <w:pPr>
        <w:pStyle w:val="TextoNormal"/>
      </w:pPr>
      <w:r>
        <w:t>3º Retrotraer las actuaciones al momento anterior al Acuerdo de la Junta electoral de zona de Corcubión de proclamación de la candidatura del PSdG-PSOE en la circunscripción electoral de Camariñas, para que por dicha Junta electoral se proceda a otorgar trámite de subsanación, en los términos expresados en el fundamento jurídico 6 de esta Sentencia.</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diez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21" w:name="SENTENCIA_2007_108"/>
      <w:r>
        <w:lastRenderedPageBreak/>
        <w:t>SENTENCIA 108/2007, de 10 de mayo de 2007</w:t>
      </w:r>
    </w:p>
    <w:bookmarkEnd w:id="21"/>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137, de 8 de junio de 2007)</w:t>
      </w:r>
    </w:p>
    <w:p w:rsidR="00DE14C9" w:rsidRDefault="00DE14C9" w:rsidP="00DE14C9">
      <w:pPr>
        <w:pStyle w:val="TtuloBOE"/>
      </w:pPr>
    </w:p>
    <w:p w:rsidR="00DE14C9" w:rsidRDefault="00DE14C9" w:rsidP="00DE14C9">
      <w:pPr>
        <w:pStyle w:val="SntesisDescriptiva"/>
      </w:pPr>
      <w:r>
        <w:t>ECLI:ES:TC:2007:108</w:t>
      </w:r>
    </w:p>
    <w:p w:rsidR="00DE14C9" w:rsidRDefault="00DE14C9" w:rsidP="00DE14C9">
      <w:pPr>
        <w:pStyle w:val="SntesisDescriptiva"/>
      </w:pPr>
    </w:p>
    <w:p w:rsidR="00DE14C9" w:rsidRDefault="00DE14C9" w:rsidP="00DE14C9">
      <w:pPr>
        <w:pStyle w:val="SntesisDescriptiva"/>
      </w:pPr>
      <w:r>
        <w:t>Recurso de amparo electoral 4039-2007. Promovido por don Norberto Pedro Pico Sanabria frente a la Sentencia del Juzgado Contencioso-Administrativo núm. 6 de Madrid que desestimó su demanda sobre proclamación de la candidatura de Falange Española de las JONS en las elecciones locales por la circunscripción de Brunete.</w:t>
      </w:r>
    </w:p>
    <w:p w:rsidR="00DE14C9" w:rsidRDefault="00DE14C9" w:rsidP="00DE14C9">
      <w:pPr>
        <w:pStyle w:val="SntesisDescriptiva"/>
      </w:pPr>
    </w:p>
    <w:p w:rsidR="00DE14C9" w:rsidRDefault="00DE14C9" w:rsidP="00DE14C9">
      <w:pPr>
        <w:pStyle w:val="SntesisAnaltica"/>
      </w:pPr>
      <w:r>
        <w:t>Vulneración del derecho a acceder a los cargos representativos: denegación de candidatura electoral por infringir la paridad entre mujeres y hombres sin permitir su subsanación (STC 96/2007). Voto particular.</w:t>
      </w:r>
    </w:p>
    <w:p w:rsidR="00DE14C9" w:rsidRDefault="00DE14C9" w:rsidP="00DE14C9">
      <w:pPr>
        <w:pStyle w:val="SntesisAnaltica"/>
      </w:pPr>
    </w:p>
    <w:p w:rsidR="00DE14C9" w:rsidRDefault="00DE14C9" w:rsidP="00DE14C9">
      <w:pPr>
        <w:pStyle w:val="Extracto"/>
      </w:pPr>
      <w:r>
        <w:t>1.</w:t>
      </w:r>
      <w:r>
        <w:tab/>
        <w:t>Se vulnera el derecho de sufragio pasivo de los integrantes de una candidatura no proclamada por la Junta Electoral de zona si la misma no dio oportunidad y plazo para reparar el defecto subsanable de composición paritaria de las listas electorales [FJ 4].</w:t>
      </w:r>
    </w:p>
    <w:p w:rsidR="00DE14C9" w:rsidRDefault="00DE14C9" w:rsidP="00DE14C9">
      <w:pPr>
        <w:pStyle w:val="Extracto"/>
      </w:pPr>
    </w:p>
    <w:p w:rsidR="00DE14C9" w:rsidRDefault="00DE14C9" w:rsidP="00DE14C9">
      <w:pPr>
        <w:pStyle w:val="Extracto"/>
      </w:pPr>
      <w:r>
        <w:t>2.</w:t>
      </w:r>
      <w:r>
        <w:tab/>
        <w:t>No es trascendente para considerar vulnerado el derecho que el representante de la Junta Electoral y del partido político tuvieran una conversación telefónica en la que se pusiera de manifiesto el defecto de la candidatura, indicando el representante del partido la imposibilidad de subsanación [FJ 5].</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electoral núm. 4039-2007, promovido por don Norberto Pedro Pico Sanabria, representado por el Procurador de los Tribunales don Pablo Domínguez Maestro y asistido por el Abogado don Javier Juárez del Amo, contra Sentencia núm. 170-2007 dictada el 6 de abril de 2007 por el Juzgado Contencioso-Administrativo núm. 6 de los de Madrid en los autos de procedimiento electoral 1-2007 sobre proclamación de la candidatura de Falange Española de las JONS a las elecciones municipales de 27 de mayo de 2007 en la localidad de Brunete. Ha intervenido el Ministerio Fiscal. Ha sido Ponente el Magistrado don Roberto García-Calvo y Montiel,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El 7 de mayo de 2007 tuvo entrada en el Registro General de este Tribunal escrito de demanda de amparo constitucional promovido por don Norberto Pedro Pico Sanabria, representado por el Procurador de los Tribunales don Pablo Domínguez Maestro y asistido por el Abogado don Javier Juárez del Amo, contra Sentencia núm. 170/2007 dictada el 6 de abril de 2007 por el Juzgado Contencioso-Administrativo núm. 6 de los de Madrid en los autos de procedimiento electoral 1-2007 sobre proclamación de la candidatura de Falange Española de las JONS a las elecciones municipales de 27 de mayo de 2007 en la localidad de Brunete.</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relevantes para la resolución de dicho recurso son, en síntesis, los siguientes: </w:t>
      </w:r>
    </w:p>
    <w:p w:rsidR="00DE14C9" w:rsidRDefault="00DE14C9" w:rsidP="00DE14C9">
      <w:pPr>
        <w:pStyle w:val="TextoNormal"/>
      </w:pPr>
      <w:r>
        <w:t xml:space="preserve">a) Don Norberto Pedro Pico Sanabria, hoy demandante de amparo, presentó su candidatura por el partido Falange Española de las JONS en el municipio de Brunete (Madrid) para las elecciones municipales y autonómicas cuya celebración está fijada para el día 27 de mayo de 2007. En la misma figuran diez mujeres y tres varones, hecho éste que se puso de relieve telefónicamente por responsables de la Junta electoral de zona de Navalcanero a don Julián Martín Ricote, representante general ante la Junta Electoral Central de Falange Española de las JONS, por si pudiera incumplir el art. 44 bis LOREG, producto de la modificación prevista en la Ley Orgánica 3/2007, de 22 de marzo, para la igualdad efectiva de mujeres y hombres, en lo que se refiere a la exigida composición equilibrada de las listas electorales en municipios de más de 5.000 habitantes. Por el citado representante se dirigió, el 28 de abril de 2007, notificación a la Junta electoral de zona de Navalcarnero en el sentido de que no se podría cumplir la citada Ley, tanto por imposibilidad física, al no haber encontrado candidatos masculinos suficientes que quisieran figurar en la candidatura, como porque democráticamente se configuró la candidatura tal y como aparece en la lista electoral. </w:t>
      </w:r>
    </w:p>
    <w:p w:rsidR="00DE14C9" w:rsidRDefault="00DE14C9" w:rsidP="00DE14C9">
      <w:pPr>
        <w:pStyle w:val="TextoNormal"/>
      </w:pPr>
      <w:r>
        <w:t xml:space="preserve">b) En fecha 30 de abril de 2007, la Junta electoral de zona de Navalcarnero hizo pública la proclamación de los candidatos, excluyendo la candidatura electoral de Falange Española de las JONS en la localidad de Brunete, alegando como motivo de exclusión el no mantener la misma la composición equilibrada de cada uno de los sexos de forma que suponga el mínimo del 40 por 100. </w:t>
      </w:r>
    </w:p>
    <w:p w:rsidR="00DE14C9" w:rsidRDefault="00DE14C9" w:rsidP="00DE14C9">
      <w:pPr>
        <w:pStyle w:val="TextoNormal"/>
      </w:pPr>
      <w:r>
        <w:t xml:space="preserve">c) El 3 de mayo de 2007 interpuso el demandante de amparo recurso contencioso-administrativo electoral contra el mencionado acuerdo de la Junta electoral de zona de Navalcarnero, solicitando al Juzgado de lo Contencioso-Administrativo que procediese a dictar Sentencia por la que anulase dicho acuerdo en cuanto a su exclusión, y le reconociese el derecho a ser proclamado candidato por Falange Española de las JONS en las próximas elecciones municipales por el término municipal de Brunete, y en consecuencia admitiera en su totalidad la candidatura que éste encabezaba. </w:t>
      </w:r>
    </w:p>
    <w:p w:rsidR="00DE14C9" w:rsidRDefault="00DE14C9" w:rsidP="00DE14C9">
      <w:pPr>
        <w:pStyle w:val="TextoNormal"/>
      </w:pPr>
      <w:r>
        <w:t xml:space="preserve">d) El mismo día la Junta electoral de zona de Navalcarnero elevó informe sobre dicho recurso en el que se manifestaba que si bien es cierto que no advirtió por error al representante de la candidatura de la existencia del defecto a los efectos de una posible subsanación, en fecha de 29 de abril se recibió comunicación procedente del citado partido en que se mostraba su voluntad de no proceder a cumplir las exigencias del art. 44 bis LOREG. En caso contrario se hubiera proporcionado a la citada candidatura un período adicional de subsanación. </w:t>
      </w:r>
    </w:p>
    <w:p w:rsidR="00DE14C9" w:rsidRDefault="00DE14C9" w:rsidP="00DE14C9">
      <w:pPr>
        <w:pStyle w:val="TextoNormal"/>
      </w:pPr>
      <w:r>
        <w:lastRenderedPageBreak/>
        <w:t>e) El 5 de mayo de 2007 dictó Sentencia el Juzgado Contencioso-Administrativo núm. 6 de Madrid por la que se desestimaba el recurso presentado, ratificando la decisión tomada por la Junta electoral de zona de Navalcarnero, en el sentido de no proclamar la candidatura presentada en el término municipal de Brunete por el hoy demandante de amparo, representante electoral de Falange Española de las JONS, por no mantener la composición equilibrada de cada uno de los sexos de forma que suponga el mínimo del 40 por 100, incumpliendo lo establecido en el art. 44 bis LOREG. Contra esta resolución se interpone el presente recurso de amparo.</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En la demanda de amparo electoral se alega, en primer lugar, la vulneración, en la Sentencia recurrida, del derecho del demandante de amparo al acceso a los cargos públicos en condiciones de igualdad, lesionando su derecho fundamental de sufragio pasivo, tutelado por el art. 23.2 CE. Argumenta que ese derecho de sufragio pasivo sufre una grave restricción cuando una lista electoral puede ser perfectamente completada por personas en plenitud de sus derechos políticos y, sin embargo, por la no aceptación de un determinado porcentaje de mujeres o de varones, deviene inválida. </w:t>
      </w:r>
    </w:p>
    <w:p w:rsidR="00DE14C9" w:rsidRDefault="00DE14C9" w:rsidP="00DE14C9">
      <w:pPr>
        <w:pStyle w:val="TextoNormal"/>
      </w:pPr>
      <w:r>
        <w:t xml:space="preserve">Aduce, asimismo, que se ha lesionado el art. 6 CE que exige que el funcionamiento interno de los partidos sea democrático. Falange Española de las JONS, siguiendo dicho mandato constitucional, optó por un sistema de celebración de primarias con listas abiertas para elegir a sus candidatos en Brunete. El rechazo de la candidatura así elegida supone una restricción del funcionamiento democrático de dicha organización política, enfrentando al valor de la democracia, el valor de la paridad. </w:t>
      </w:r>
    </w:p>
    <w:p w:rsidR="00DE14C9" w:rsidRDefault="00DE14C9" w:rsidP="00DE14C9">
      <w:pPr>
        <w:pStyle w:val="TextoNormal"/>
      </w:pPr>
      <w:r>
        <w:t xml:space="preserve">Considera, igualmente, vulnerado el art. 9.2 CE, pues la exclusión, por el mero hecho de no introducir elementos diferenciadores según el sexo de sus componentes, de una lista de candidatos completada con personas en plenitud de sus derechos políticos, impide por causa ajena a todos y cada uno de los candidatos su presentación a las elecciones. Falange Española de las JONS solo dispone de tres hombres afiliados en la localidad de Brunete, siéndole imposible presentar una lista de candidatos en condiciones paritarias por razón de sexo. Por otra parte, el legislador debe poner cuidado para que la protección de la mujer no se vuelva en contra perpetuando su situación discriminatoria; de ser así, la medida sería doblemente vulneradora de la igualdad, pues discriminaría al varón en el presente prolongando la desigualdad de la mujer en el futuro. </w:t>
      </w:r>
    </w:p>
    <w:p w:rsidR="00DE14C9" w:rsidRDefault="00DE14C9" w:rsidP="00DE14C9">
      <w:pPr>
        <w:pStyle w:val="TextoNormal"/>
      </w:pPr>
      <w:r>
        <w:t xml:space="preserve">También entiende infringido el art. 13, en relación con el art. 23.2, ambos de la CE, que atribuye los derechos de sufragio activo y pasivo reconocidos en este último artículo a los españoles sin distinción alguna por razón de sexo. Al ser excluida la candidatura citada en base exclusivamente a criterios de diferenciación por razón de sexo, se recorta drásticamente el derecho de sufragio pasivo del demandante de amparo, así como el de los demás candidatos que gozan de la plenitud de sus derechos políticos. </w:t>
      </w:r>
    </w:p>
    <w:p w:rsidR="00DE14C9" w:rsidRDefault="00DE14C9" w:rsidP="00DE14C9">
      <w:pPr>
        <w:pStyle w:val="TextoNormal"/>
      </w:pPr>
      <w:r>
        <w:t>Por último, alega el demandante de amparo que se ha vulnerado el art. 14, en relación con los arts. 23.2 y 68, todos ellos de la CE, puesto que la resolución recurrida al exigir, por aplicación estricta de la Ley Orgánica 3/2007, de 22 de marzo, que la lista excluida presente una composición equilibrada de hombres y mujeres, introduce un elemento discriminatorio por razón de sexo, violando el derecho mismo de acceso a los cargos públicos en condiciones de igualdad.</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Mediante diligencia de ordenación de 8 de mayo de 2007 se tuvo por interpuesto el presente recurso de amparo, y el Secretario de Justicia de la Sala Primera acordó, de conformidad con lo dispuesto en el art. 49 LOREG y Acuerdo del Pleno de 20 de enero de 2000, </w:t>
      </w:r>
      <w:r>
        <w:lastRenderedPageBreak/>
        <w:t>recabar del Juzgado de lo Contencioso-Administrativo las actuaciones correspondientes y certificación acreditativa de la fecha de notificación de la Sentencia, previo emplazamiento de las partes, excepto el recurrente en amparo, para que pudieran personarse ante este Tribunal formulando las alegaciones que estimen pertinentes. Igualmente se acordó dar vista al Ministerio Fiscal para que en el plazo de un día natural formulase las alegaciones pertinentes.</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El Ministerio Fiscal presentó sus alegaciones el 9 de mayo de 2007. En ellas propone, en primer lugar, que si se acepta la necesidad de proceder a la subsanación de los defectos legales detectados en la candidatura del partido Falange Española de las JONS, procedería otorgar el amparo, reconociendo sus derechos a acceder en condiciones de igualdad a las funciones y cargos públicos (art. 23.2 CE) y a la tutela judicial efectiva sin indefensión (art. 24.1 CE), así como declarar la nulidad de la Sentencia de 5 de mayo de 2007 dictada por el Juzgado de lo Contencioso-Administrativo núm. 6 de Madrid en autos 1-2007, retrotrayendo las actuaciones al momento anterior a la proclamación de la candidatura en la circunscripción electoral de Brunete de dicho partido por la Junta electoral de zona de Navalcarnero, para que por ésta se proceda a otorgar trámite de subsanación. </w:t>
      </w:r>
    </w:p>
    <w:p w:rsidR="00DE14C9" w:rsidRDefault="00DE14C9" w:rsidP="00DE14C9">
      <w:pPr>
        <w:pStyle w:val="TextoNormal"/>
      </w:pPr>
      <w:r>
        <w:t>Si no se atendiera dicha petición, el Ministerio público interesa la desestimación del amparo por entender que la resolución judicial recurrida no vulnera ninguno de los derechos fundamentales aducidos. Excluidas las alegaciones referentes a normas constitucionales que no contienen derechos susceptibles de amparo, se centra el Fiscal en los posibles problemas que plantea la supuesta vulneración del derecho de sufragio pasivo y el de acceso a cargos públicos en condiciones de igualdad (art. 23.2 CE) a los que se puede reconducir las referencias al derecho a la igualdad del art. 14 CE. Sostiene que el derecho reconocido en el art. 23.2 CE es de configuración legal, desarrollado por la LOREG y ésta implica una exigencia de requisitos que han de cumplir quienes deseen participar en las elecciones. Se recuerda que el nuevo art. 44 bis LOREG surge como consecuencia de la Ley Orgánica 3/2007, cuya ratio es promover una mejora de las condiciones de igualdad de hombres y mujeres y que la redacción del precepto no supone en principio una exigencia tal que implique que hombres o mujeres queden privados de sus derechos de sufragio pasivo sino que en términos de porcentaje de exigencia mínima, un 40 por 100, se expresa la presencia de unos y otros en las candidaturas electorales, en aras, ello es claro, de una promoción de la mujer en la vida pública. En esa perspectiva no le parece al Fiscal que la interpretación que hace la Sentencia recurrida del incumplimiento de la candidatura de esa exigencia posea ribetes arbitrarios, irracionales o claramente restrictivos de los derechos del art. 23.2 CE, ni conduce inevitablemente a una consideración de desigualdad, en tal contexto de acceso a derechos electorales.</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xml:space="preserve">. Se impugna en el presente recurso de amparo electoral la Sentencia núm. 170/2007, dictada el 6 de abril de 2007 por el Juzgado Contencioso-Administrativo núm. 6 de los de Madrid, en los autos de procedimiento electoral 1-2007, sobre proclamación de la candidatura de Falange Española de las JONS a las elecciones municipales de 27 de mayo de 2007 en la localidad de Brunete, Sentencia que acordó desestimar el recurso contra el Acuerdo de no proclamación de dicha candidatura tomado por la Junta electoral de zona de Navalcarnero, por no mantener la composición equilibrada de cada uno de los sexos de forma que </w:t>
      </w:r>
      <w:r>
        <w:lastRenderedPageBreak/>
        <w:t>suponga el mínimo del 40 por 100, incumpliendo los requisitos establecidos por la Ley Orgánica del régimen electoral general (LOREG).</w:t>
      </w:r>
    </w:p>
    <w:p w:rsidR="00DE14C9" w:rsidRDefault="00DE14C9" w:rsidP="00DE14C9">
      <w:pPr>
        <w:pStyle w:val="TextoNormal"/>
      </w:pPr>
      <w:r>
        <w:t>El demandante de amparo se queja de que se han vulnerado el derecho al acceso a los cargos públicos en condiciones de igualdad (art. 23.2 CE), el deber de funcionamiento democrático de los partidos políticos (art. 6 CE), el deber de los poderes públicos de promover las condiciones para que la libertad e igualdad del individuo y de los grupos en los que se integra sean reales y efectivas facilitando la participación de todos los ciudadanos en la vida política, económica, cultural y social de la nación (art. 9.2 CE), el derecho de sufragio activo y pasivo (arts. 13 y 23.2 CE), y el derecho a la igualdad y a la no discriminación del art. 14 CE, en relación con los arts. 23.2 y 68 CE.</w:t>
      </w:r>
    </w:p>
    <w:p w:rsidR="00DE14C9" w:rsidRDefault="00DE14C9" w:rsidP="00DE14C9">
      <w:pPr>
        <w:pStyle w:val="TextoNormal"/>
      </w:pPr>
      <w:r>
        <w:t>El Ministerio Fiscal interesa de la Sala el otorgamiento del amparo por vulneración de los derechos a la tutela judicial efectiva (art. 24.1 CE) y a acceder en condiciones de igualdad a las funciones y cargos públicos (art. 24.2 CE) dado que se no se concedió al recurrente la posibilidad de proceder a la subsanación de los defectos legales observados en su candidatura. Si no se atiende lo anterior, propone la desestimación del amparo por entender que la resolución judicial recurrida no vulnera ninguno de los derechos fundamentales aducidos.</w:t>
      </w:r>
    </w:p>
    <w:p w:rsidR="00DE14C9" w:rsidRDefault="00DE14C9" w:rsidP="00DE14C9">
      <w:pPr>
        <w:pStyle w:val="TextoNormal"/>
      </w:pPr>
    </w:p>
    <w:p w:rsidR="00DE14C9" w:rsidRDefault="00DE14C9" w:rsidP="00DE14C9">
      <w:pPr>
        <w:pStyle w:val="TextoNormal"/>
      </w:pPr>
      <w:r w:rsidRPr="00DE14C9">
        <w:rPr>
          <w:rStyle w:val="NumeroAFNegritaCaracter"/>
        </w:rPr>
        <w:t>2</w:t>
      </w:r>
      <w:r>
        <w:t>. De acuerdo con reiterada doctrina de este Tribunal (por todas SSTC 47/2007, de 12 de marzo, FJ 1; 21/2006, de 30 de enero, FJ 2; 268/2005, de 24 de octubre, FJ 4; y 191/2005, de 18 de julio, FJ 2) debemos también aquí examinar, en primer lugar, las alegaciones de las partes que pudieran dar lugar a la retroacción de actuaciones. Ninguna de las del demandante de amparo tiene ese carácter, pero el Ministerio Fiscal, por el contrario, aduce que se han producido irregularidades en el procedimiento de no proclamación de la candidatura que podrían llevar a apreciar vulneración de los derechos a la tutela judicial efectiva y a acceder en condiciones de igualdad a las funciones y cargos públicos. Para llegar a una conclusión cierta en esta materia es preciso que repasemos detalladamente dicho proceso tal y como resulta de las actuaciones aportadas.</w:t>
      </w:r>
    </w:p>
    <w:p w:rsidR="00DE14C9" w:rsidRDefault="00DE14C9" w:rsidP="00DE14C9">
      <w:pPr>
        <w:pStyle w:val="TextoNormal"/>
      </w:pPr>
    </w:p>
    <w:p w:rsidR="00DE14C9" w:rsidRDefault="00DE14C9" w:rsidP="00DE14C9">
      <w:pPr>
        <w:pStyle w:val="TextoNormal"/>
      </w:pPr>
      <w:r w:rsidRPr="00DE14C9">
        <w:rPr>
          <w:rStyle w:val="NumeroAFNegritaCaracter"/>
        </w:rPr>
        <w:t>3</w:t>
      </w:r>
      <w:r>
        <w:t>. El 23 de abril de 2007 la representación legal del partido Falange Española de las JONS presentó ante la Junta electoral de zona de Navalcarnero su candidatura por la circunscripción electoral de Brunete, en la que se incluían tres hombres y diez mujeres. Según el acta, de 24 de abril de 2007, de la reunión de dicha Junta electoral con el fin de llevar a cabo el examen de las candidaturas presentadas en la misma, y por lo que respecta a la circunscripción de Brunete, solamente se recogen objeciones subsanables en el caso de las candidaturas de Izquierda Unida, Grupo para el Progreso de Brunete, Partido Popular, y Partido Socialista Obrero Español, sin que exista ninguna referencia a la candidatura de Falange Española de las JONS.</w:t>
      </w:r>
    </w:p>
    <w:p w:rsidR="00DE14C9" w:rsidRDefault="00DE14C9" w:rsidP="00DE14C9">
      <w:pPr>
        <w:pStyle w:val="TextoNormal"/>
      </w:pPr>
      <w:r>
        <w:t>Según el acta de la reunión del mismo órgano, de 30 de abril de 2007, se acordó por unanimidad, en virtud de lo dispuesto en el art. 44 bis LOREG, que no manteniendo la candidatura núm. 76, de Falange Española de las JONS de Brunete, la composición equilibrada de cada uno de los sexos de forma que suponga el mínimo del 40 por 100 procede, al no cumplir los requisitos establecidos por la ley, y de conformidad con el art. 47.4 LOREG, no proclamar la misma.</w:t>
      </w:r>
    </w:p>
    <w:p w:rsidR="00DE14C9" w:rsidRDefault="00DE14C9" w:rsidP="00DE14C9">
      <w:pPr>
        <w:pStyle w:val="TextoNormal"/>
      </w:pPr>
      <w:r>
        <w:t xml:space="preserve">No acaban aquí los avatares ante la Junta de la candidatura no proclamada, puesto que en el informe con motivo de la interposición del correspondiente recurso contencioso-electoral, de fecha 3 de mayo de 2007, dicho órgano manifiesta que si bien es cierto que no advirtió por error al representante de la candidatura de la existencia del defecto a los efectos de una posible subsanación, en fecha de 29 de abril se recibió comunicación procedente del </w:t>
      </w:r>
      <w:r>
        <w:lastRenderedPageBreak/>
        <w:t>citado partido en que se mostraba su voluntad de no proceder a cumplir las exigencias del art. 44 bis LOREG. En caso contrario se hubiera proporcionado a la citada candidatura un periodo adicional de subsanación de acuerdo con la jurisprudencia constitucional. Es de resaltar que en las actuaciones consta también un ejemplar de dicha comunicación en la que don Julián Martín Ricote, representante general ante la Junta Electoral Central de Falange Española de las JONS, manifiesta que en conversación telefónica con responsables de la Junta electoral de zona de Navalcarnero se puso de relieve que su candidatura en el municipio de Brunete incumplía la Ley de igualdad y que, en consecuencia, comunica a dicho órgano que no podrán cumplir con la citada Ley, tanto por imposibilidad física, al no haber encontrado candidatos masculinos suficientes que quisieran figurar en la candidatura, como porque democráticamente se configuró la candidatura tal y como aparece en la lista electoral.</w:t>
      </w:r>
    </w:p>
    <w:p w:rsidR="00DE14C9" w:rsidRDefault="00DE14C9" w:rsidP="00DE14C9">
      <w:pPr>
        <w:pStyle w:val="TextoNormal"/>
      </w:pPr>
    </w:p>
    <w:p w:rsidR="00DE14C9" w:rsidRDefault="00DE14C9" w:rsidP="00DE14C9">
      <w:pPr>
        <w:pStyle w:val="TextoNormal"/>
      </w:pPr>
      <w:r w:rsidRPr="00DE14C9">
        <w:rPr>
          <w:rStyle w:val="NumeroAFNegritaCaracter"/>
        </w:rPr>
        <w:t>4</w:t>
      </w:r>
      <w:r>
        <w:t>. Del relato de los hechos que antecede se deduce indubitadamente que la Junta electoral de zona de Navalcarnero no concedió, en tiempo y forma, a la candidatura de Falange Española de las JONS en el municipio de Brunete la posibilidad de corregir la composición de la misma para adaptarla a las exigencias del art. 44 bis LOREG.</w:t>
      </w:r>
    </w:p>
    <w:p w:rsidR="00DE14C9" w:rsidRDefault="00DE14C9" w:rsidP="00DE14C9">
      <w:pPr>
        <w:pStyle w:val="TextoNormal"/>
      </w:pPr>
      <w:r>
        <w:t>Es doctrina reiterada de este Tribunal (por todas, SSTC 59/1987, de 19 de mayo, FJ 1; 86/1987, de 1 de junio, FJ 4; 24/1989, de 2 de febrero, FJ 6; 95/1991, de 7 de mayo, FJ 2; y 175/1991, de 16 de septiembre, FJ 2) que las Juntas electorales deben advertir y permitir la subsanación de irregularidades, errores y defectos. En dicha jurisprudencia se dispone con claridad que, entre el eventual incumplimiento de las condiciones legalmente impuestas al formular el escrito de presentación de candidaturas, y el acto mismo de proclamación por la Juntas de quienes merezcan legalmente la condición de candidatos, ha de mediar el examen de oficio, por parte de las Juntas electorales, de los escritos en los que la candidaturas se incorporan, examen exigido por el legislador a fin de que, de advertirse “irregularidades” en estos escritos, sean las mismas puestas de manifiesto a los representantes de las candidaturas para su posible subsanación en el plazo de cuarenta y ocho horas (art. 47.2 LOREG).  Si por la Administración electoral se incumple este deber legal en orden al examen de los escritos de presentación de candidaturas, no dándose así ocasión a los interesados para la reparación de unos defectos que después llevan al rechazo de aquéllas, se habrá ignorado, con ello, una garantía dispuesta por la Ley para la efectividad del derecho de sufragio pasivo, reconocido en el art. 23.2 CE, que resultará así afectado negativamente en la medida en que se desconozca por una Junta electoral, o se atienda solo imperfectamente, la exigencia legal de la que aquí se trata. En este específico procedimiento, no ha querido la Ley dejar la suerte de las candidaturas a merced de la sola diligencia o de la información bastante de quines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que tal irregularidad depare aquella sanción sin que antes se haga posible, mediante su identificación y advertencia de oficio, la oportuna reparación.</w:t>
      </w:r>
    </w:p>
    <w:p w:rsidR="00DE14C9" w:rsidRDefault="00DE14C9" w:rsidP="00DE14C9">
      <w:pPr>
        <w:pStyle w:val="TextoNormal"/>
      </w:pPr>
      <w:r>
        <w:t>Por tanto, la Junta electoral de zona debió, en su reunión de 24 de abril de 2007, tomar el acuerdo de requerir a la candidatura de Falange Española de las JONS para que corrigiera los defectos observados, y no es correcto que procediera el 30 de abril de 2007 a no proclamar la misma, sin haber dado oportunidad y plazo para reparar dichos defectos de acuerdo con lo previsto en el art. 47.2 LOREG. De este modo se vulneró el derecho de sufragio pasivo de los integrantes de dicha candidatura.</w:t>
      </w:r>
    </w:p>
    <w:p w:rsidR="00DE14C9" w:rsidRDefault="00DE14C9" w:rsidP="00DE14C9">
      <w:pPr>
        <w:pStyle w:val="TextoNormal"/>
      </w:pPr>
    </w:p>
    <w:p w:rsidR="00DE14C9" w:rsidRDefault="00DE14C9" w:rsidP="00DE14C9">
      <w:pPr>
        <w:pStyle w:val="TextoNormal"/>
      </w:pPr>
      <w:r w:rsidRPr="00DE14C9">
        <w:rPr>
          <w:rStyle w:val="NumeroAFNegritaCaracter"/>
        </w:rPr>
        <w:t>5</w:t>
      </w:r>
      <w:r>
        <w:t>. Esta conclusión puede alcanzarse aún cuando, al parecer, el representante ante la Junta Electoral Central de Falange Española de las JONS tuviera una conversación telefónica con responsables de la Junta electoral de zona, en la que se le puso de manifiesto que su candidatura en Brunete presentaba defectos, y que entonces decidiera enviar un escrito comunicando a dicho órgano que no podrían subsanar los mismos.</w:t>
      </w:r>
    </w:p>
    <w:p w:rsidR="00DE14C9" w:rsidRDefault="00DE14C9" w:rsidP="00DE14C9">
      <w:pPr>
        <w:pStyle w:val="TextoNormal"/>
      </w:pPr>
      <w:r>
        <w:t>Dicho modo informal de proceder, quizás justificado por lo perentorio de los plazos en los procesos electorales, no resulta de recibo cuando está en juego un derecho fundamental de los ciudadanos, cuya realización práctica ha sido blindada por el legislador con unas cautelas que no pueden ignorarse so pena de vulnerar el mismo. Es claro que no se ha ofrecido la posibilidad de subsanar en términos reales y efectivos el defecto legal en la constitución de la candidatura. De modo que la Junta electoral de zona debió, advertido su error, adoptar el acuerdo formal de conceder a la candidatura el plazo de cuarenta y ocho horas para subsanar previsto por la legislación vigente (art. 47.2 LOREG) y, solamente cuando la reacción de la misma hubiese sido la de negarse a corregir los defectos, podría admitirse que asumía las consecuencias de los mismos, en cuanto a su eventual proclamación por dicho órgano.</w:t>
      </w:r>
    </w:p>
    <w:p w:rsidR="00DE14C9" w:rsidRDefault="00DE14C9" w:rsidP="00DE14C9">
      <w:pPr>
        <w:pStyle w:val="TextoNormal"/>
      </w:pPr>
    </w:p>
    <w:p w:rsidR="00DE14C9" w:rsidRDefault="00DE14C9" w:rsidP="00DE14C9">
      <w:pPr>
        <w:pStyle w:val="TextoNormal"/>
      </w:pPr>
      <w:r w:rsidRPr="00DE14C9">
        <w:rPr>
          <w:rStyle w:val="NumeroAFNegritaCaracter"/>
        </w:rPr>
        <w:t>6</w:t>
      </w:r>
      <w:r>
        <w:t>. De todo ello se deduce que la Junta electoral de zona de Navalcarnero vulneró el derecho de sufragio pasivo de los integrantes de la candidatura de Falange Española de las JONS del municipio de Brunete, y el Juzgado Contencioso-Administrativo núm. 6 de Madrid, en la medida en que no corrigió dicha lesión de derechos fundamentales retrotrayendo, tal y como le pidió el Ministerio Fiscal al informar sobre el correspondiente recurso contencioso-electoral, lo actuado para que la Junta electoral otorgara a los representantes de la candidatura no proclamada el plazo legal para subsanar la irregularidad detectada por la misma, convalidó dicha vulneración al desestimar dicho recurso. La apreciación de esta vulneración nos exime de examinar las quejas del demandante de amparo puesto que habrá que esperar a que se desarrolle de nuevo el proceso de proclamación de su candidatura.</w:t>
      </w:r>
    </w:p>
    <w:p w:rsidR="00DE14C9" w:rsidRDefault="00DE14C9" w:rsidP="00DE14C9">
      <w:pPr>
        <w:pStyle w:val="TextoNormal"/>
      </w:pPr>
      <w:r>
        <w:t>Por todo ello, nos corresponde ahora otorgar el amparo, declarando la nulidad de la Sentencia de 5 de mayo de 2007 dictada por el Juzgado de lo Contencioso-Administrativo núm. 6 de Madrid en autos 1-2007, y retrotrayendo las actuaciones al momento anterior a la no proclamación por la Junta electoral de zona de Navalcarnero de la candidatura del partido Falange Española de las JONS en la circunscripción electoral de Brunete, para que por dicha Junta Electoral se proceda a otorgar trámite de subsanación en los términos expresados en los fundamentos jurídicos 4 y 5 de esta Sentencia.</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don Norberto Pedro Pico y, en su virtud:</w:t>
      </w:r>
    </w:p>
    <w:p w:rsidR="00DE14C9" w:rsidRDefault="00DE14C9" w:rsidP="00DE14C9">
      <w:pPr>
        <w:pStyle w:val="TextoNormal"/>
      </w:pPr>
      <w:r>
        <w:t>1º Reconocer su derecho a acceder en condiciones de igualdad a las funciones y cargos públicos (art. 23.2 CE).</w:t>
      </w:r>
    </w:p>
    <w:p w:rsidR="00DE14C9" w:rsidRDefault="00DE14C9" w:rsidP="00DE14C9">
      <w:pPr>
        <w:pStyle w:val="TextoNormal"/>
      </w:pPr>
      <w:r>
        <w:lastRenderedPageBreak/>
        <w:t>2º Declarar la nulidad de la Sentencia de 5 de mayo de 2007 dictada por el Juzgado de lo Contencioso-Administrativo núm. 6 de Madrid en autos 1-2007.</w:t>
      </w:r>
    </w:p>
    <w:p w:rsidR="00DE14C9" w:rsidRDefault="00DE14C9" w:rsidP="00DE14C9">
      <w:pPr>
        <w:pStyle w:val="TextoNormal"/>
      </w:pPr>
      <w:r>
        <w:t>3º Retrotraer las actuaciones al momento anterior al acuerdo de no proclamación por la Junta electoral de zona de Navalcarnero de la candidatura del partido Falange Española de las JONS en la circunscripción electoral de Brunete, para que por dicha Junta electoral se proceda a otorgar trámite de subsanación, en los términos expresados en los fundamentos jurídicos 4 y 5 de esta Sentencia.</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diez de mayo de dos mil siete.</w:t>
      </w:r>
    </w:p>
    <w:p w:rsidR="00DE14C9" w:rsidRDefault="00DE14C9" w:rsidP="00DE14C9">
      <w:pPr>
        <w:pStyle w:val="ParrafoNormal"/>
      </w:pPr>
    </w:p>
    <w:p w:rsidR="00DE14C9" w:rsidRDefault="00DE14C9" w:rsidP="00DE14C9">
      <w:pPr>
        <w:pStyle w:val="TextoNormalNegritaCentrado"/>
        <w:keepNext/>
      </w:pPr>
      <w:r>
        <w:t>Voto particular que formula el Magistrado don Jorge Rodríguez-Zapata Pérez en el recurso de amparo electoral núm. 4039-2007, respecto de la Sentencia dictada por la Sala Primera de este Tribunal el 10 de mayo de 2007, por la que se otorga amparo a la candidatura de Falange Española de las JONS para que se le conceda trámite de subsanación.</w:t>
      </w:r>
    </w:p>
    <w:p w:rsidR="00DE14C9" w:rsidRDefault="00DE14C9" w:rsidP="00DE14C9">
      <w:pPr>
        <w:pStyle w:val="TextoNormalNegritaCentrado"/>
        <w:keepNext/>
      </w:pPr>
    </w:p>
    <w:p w:rsidR="00DE14C9" w:rsidRDefault="00DE14C9" w:rsidP="00DE14C9">
      <w:pPr>
        <w:pStyle w:val="TextoNormal"/>
      </w:pPr>
      <w:r>
        <w:t>1. Temo que el otorgamiento del amparo que la mayoría ha acordado en este caso no va a satisfacer la pretensión de amparo que formula la candidatura de Falange Española de las JONS de la localidad madrileña de Brunete. En su aplicación a este caso concreto parece claro que el artículo 44 bis LOREG, añadido a la misma en virtud de la Ley Orgánica 3/2007, de 22 de marzo, para la igualdad efectiva de mujeres y hombres, produce el efecto inverso y perverso de impedir en la realidad el ejercicio del derecho fundamental en cuestión por las diez mujeres que integran la candidatura recurrente en amparo. En efecto, de la bien razonada Sentencia de la Jueza de lo Contencioso-Administrativo núm. 6 de Madrid, y de los hechos que acepta como probados, se desprende que la subsanación que otorga la Sentencia de la mayoría no será eficaz: No se va a encontrar ningún candidato varón que quiera completar la candidatura recurrente, por lo que la participación de la misma en el futuro proceso electoral será imposible. Eso demuestra, en mi opinión, dos cosas:</w:t>
      </w:r>
    </w:p>
    <w:p w:rsidR="00DE14C9" w:rsidRDefault="00DE14C9" w:rsidP="00DE14C9">
      <w:pPr>
        <w:pStyle w:val="TextoNormal"/>
      </w:pPr>
      <w:r>
        <w:t>a) Que el nuevo art. 44 bis LOREG puede producir efectos de retrodiscriminación contrarios a las mujeres, por lo que es inconstitucional. Así se ha demostrado, al menos en las circunstancias concretas y precisas de este caso.</w:t>
      </w:r>
    </w:p>
    <w:p w:rsidR="00DE14C9" w:rsidRDefault="00DE14C9" w:rsidP="00DE14C9">
      <w:pPr>
        <w:pStyle w:val="TextoNormal"/>
      </w:pPr>
      <w:r>
        <w:t>b) Que se debió dar el amparo en tales circunstancia permitiendo, pura y simplemente, que la candidatura se presente sin el varón que falta para completarla, por la imposibilidad física probada judicialmente de cumplir la LOREG en el caso concreto, planteando autocuestión de inconstitucionalidad de este precepto ante el Pleno (art. 55.2 LOTC).</w:t>
      </w:r>
    </w:p>
    <w:p w:rsidR="00DE14C9" w:rsidRDefault="00DE14C9" w:rsidP="00DE14C9">
      <w:pPr>
        <w:pStyle w:val="TextoNormal"/>
      </w:pPr>
      <w:r>
        <w:t>2. Para terminar de exponer mi posición me remito a lo que dije en el Voto particular que formulé al ATC (del Pleno) 359/2006, de 10 de octubre.</w:t>
      </w:r>
    </w:p>
    <w:p w:rsidR="00DE14C9" w:rsidRDefault="00DE14C9" w:rsidP="00DE14C9">
      <w:pPr>
        <w:pStyle w:val="TextoNormal"/>
      </w:pPr>
      <w:r>
        <w:t xml:space="preserve">El Pleno de este Tribunal admitió, en aquella fecha, un desistimiento del Presidente del Gobierno frente a la Ley del Parlamento de las Illes Balears 8/1986, de 26 de noviembre, que planteaba problemas de índole muy análoga a los que ha suscitado éste —y otros muchos— amparos electorales. Dije en aquel Voto particular que la propia Comunidad Autónoma se había opuesto al desistimiento y que existía un interés constitucional evidente en el caso para rechazar la solicitud de desistimiento del Abogado del Estado y haber dictado Sentencia sobre el asunto con el siguiente razonamiento: “La fórmulas de discriminación positiva —a favor de la mujer— a que se refiere el proceso son plausibles, pero también es evidente su incidencia en los derechos fundamentales del art. 23 CE. Los pronunciamientos </w:t>
      </w:r>
      <w:r>
        <w:lastRenderedPageBreak/>
        <w:t>de este Tribunal producen seguridad jurídica por lo que era aconsejable evitar el replanteamiento de las mismas cuestiones que se debieron aclarar aquí (en el recurso de inconstitucionalidad de que se desistía) en vía de amparo o en otros procesos posteriores. Procedía, por ello, rechazar la pretensión de desistir formulada por el Abogado del Estado y acordar que la tramitación del recurso prosiguiese hasta su resolución por Sentencia”.</w:t>
      </w:r>
    </w:p>
    <w:p w:rsidR="00DE14C9" w:rsidRDefault="00DE14C9" w:rsidP="00DE14C9">
      <w:pPr>
        <w:pStyle w:val="TextoNormal"/>
      </w:pPr>
      <w:r>
        <w:t>Y para expresar mi discrepancia emito este Voto en Madrid, a diez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22" w:name="SENTENCIA_2007_109"/>
      <w:r>
        <w:lastRenderedPageBreak/>
        <w:t>SENTENCIA 109/2007, de 10 de mayo de 2007</w:t>
      </w:r>
    </w:p>
    <w:bookmarkEnd w:id="22"/>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137, de 8 de junio de 2007)</w:t>
      </w:r>
    </w:p>
    <w:p w:rsidR="00DE14C9" w:rsidRDefault="00DE14C9" w:rsidP="00DE14C9">
      <w:pPr>
        <w:pStyle w:val="TtuloBOE"/>
      </w:pPr>
    </w:p>
    <w:p w:rsidR="00DE14C9" w:rsidRDefault="00DE14C9" w:rsidP="00DE14C9">
      <w:pPr>
        <w:pStyle w:val="SntesisDescriptiva"/>
      </w:pPr>
      <w:r>
        <w:t>ECLI:ES:TC:2007:109</w:t>
      </w:r>
    </w:p>
    <w:p w:rsidR="00DE14C9" w:rsidRDefault="00DE14C9" w:rsidP="00DE14C9">
      <w:pPr>
        <w:pStyle w:val="SntesisDescriptiva"/>
      </w:pPr>
    </w:p>
    <w:p w:rsidR="00DE14C9" w:rsidRDefault="00DE14C9" w:rsidP="00DE14C9">
      <w:pPr>
        <w:pStyle w:val="SntesisDescriptiva"/>
      </w:pPr>
      <w:r>
        <w:t>Recurso de amparo electoral 4105-2007. Promovido por Coalició Valenciana frente a la Sentencia del Juzgado de lo Contencioso-Administrativo núm. 1 de Valencia que anuló la proclamación de su candidatura en las elecciones locales por la circunscripción de Sueca.</w:t>
      </w:r>
    </w:p>
    <w:p w:rsidR="00DE14C9" w:rsidRDefault="00DE14C9" w:rsidP="00DE14C9">
      <w:pPr>
        <w:pStyle w:val="SntesisDescriptiva"/>
      </w:pPr>
    </w:p>
    <w:p w:rsidR="00DE14C9" w:rsidRDefault="00DE14C9" w:rsidP="00DE14C9">
      <w:pPr>
        <w:pStyle w:val="SntesisAnaltica"/>
      </w:pPr>
      <w:r>
        <w:t>Vulneración del derecho a la tutela judicial sin indefensión y a acceder a los cargos representativos: rechazo de las alegaciones presentadas en el Juzgado de guardia; anulación de candidatura electoral por haber presentado dos y no permitir la subsanación.</w:t>
      </w:r>
    </w:p>
    <w:p w:rsidR="00DE14C9" w:rsidRDefault="00DE14C9" w:rsidP="00DE14C9">
      <w:pPr>
        <w:pStyle w:val="SntesisAnaltica"/>
      </w:pPr>
    </w:p>
    <w:p w:rsidR="00DE14C9" w:rsidRDefault="00DE14C9" w:rsidP="00DE14C9">
      <w:pPr>
        <w:pStyle w:val="Extracto"/>
      </w:pPr>
      <w:r>
        <w:t>1.</w:t>
      </w:r>
      <w:r>
        <w:tab/>
        <w:t>Se produce indefensión material, resultando violado el derecho a la tutela judicial efectiva sin indefensión, cuando el recurrente intentó presentar sus alegaciones en el Juzgado que prestaba servicio de guardia y este lo inadmitió, desatendiendo así lo acordado en reunión sobre el servicio de guardia para procedimientos electorales [FJ 2].</w:t>
      </w:r>
    </w:p>
    <w:p w:rsidR="00DE14C9" w:rsidRDefault="00DE14C9" w:rsidP="00DE14C9">
      <w:pPr>
        <w:pStyle w:val="Extracto"/>
      </w:pPr>
    </w:p>
    <w:p w:rsidR="00DE14C9" w:rsidRDefault="00DE14C9" w:rsidP="00DE14C9">
      <w:pPr>
        <w:pStyle w:val="Extracto"/>
      </w:pPr>
      <w:r>
        <w:t>2.</w:t>
      </w:r>
      <w:r>
        <w:tab/>
        <w:t>La presentación dentro del plazo, el mismo día, de dos candidaturas de la misma formación política para el mismo municipio, permite entender que se ha producido un error subsanable, y si el órgano judicial no lo estima así, no efectúa la interpretación más favorable a la eficiencia del derecho de sufragio pasivo y lesiona el art. 23.1 CE [FJ 3].</w:t>
      </w:r>
    </w:p>
    <w:p w:rsidR="00DE14C9" w:rsidRDefault="00DE14C9" w:rsidP="00DE14C9">
      <w:pPr>
        <w:pStyle w:val="Extracto"/>
      </w:pPr>
    </w:p>
    <w:p w:rsidR="00DE14C9" w:rsidRDefault="00DE14C9" w:rsidP="00DE14C9">
      <w:pPr>
        <w:pStyle w:val="Extracto"/>
      </w:pPr>
      <w:r>
        <w:t>3.</w:t>
      </w:r>
      <w:r>
        <w:tab/>
        <w:t>El derecho a la tutela judicial efectiva exige que en ningún momento pueda producirse indefensión, debiendo preservarse los derechos de defensa en un proceso con todas las garantías en que las partes contendientes tengan la oportunidad de alegar y probar en apoyo de sus derechos e intereses legítimos (STC 115/2005) [FJ 2].</w:t>
      </w:r>
    </w:p>
    <w:p w:rsidR="00DE14C9" w:rsidRDefault="00DE14C9" w:rsidP="00DE14C9">
      <w:pPr>
        <w:pStyle w:val="Extracto"/>
      </w:pPr>
    </w:p>
    <w:p w:rsidR="00DE14C9" w:rsidRDefault="00DE14C9" w:rsidP="00DE14C9">
      <w:pPr>
        <w:pStyle w:val="Extracto"/>
      </w:pPr>
      <w:r>
        <w:t>4.</w:t>
      </w:r>
      <w:r>
        <w:tab/>
        <w:t>Por principio, los errores e irregularidades cometidos en la presentación de las candidaturas son subsanables y las Juntas Electorales han de ofrecer la oportunidad de que las candidaturas en las que se han detectado lo hagan (STC 84/2003) [FJ 3].</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electoral núm. 4105-2007, promovido por Coalició Valenciana, representada por la Procuradora de los Tribunales doña Coral del Castillo-Olivares Barjacoba y asistida por el Abogado don José Manuel Vidagany Peláez, contra la Sentencia de 5 de mayo de 2007 del Juzgado de lo Contencioso-Administrativo núm. 1 de Valencia, recaída en el procedimiento ordinario 375-2007, que estima el recurso contencioso electoral interpuesto por el representante legal del Partido Popular y anula la candidatura presentada por aquella formación política publicada en el “Boletín Oficial de la Provincia de Valencia” de 1 de mayo de 2007. Han intervenido el Ministerio Fiscal y el Partido Popular. Ha sido Ponente el Magistrado don Javier Delgado Barrio,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Por escrito registrado en este Tribunal el 8 de mayo de 2007, doña Coral del Castillo-Olivares Barjacoba, Procuradora de los Tribunales, en nombre y representación de la formación política Coalició Valenciana, interpuso recurso de amparo contra la resolución judicial citada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más relevantes de los que trae causa la demanda de amparo son, concisamente expuestos, los siguientes </w:t>
      </w:r>
    </w:p>
    <w:p w:rsidR="00DE14C9" w:rsidRDefault="00DE14C9" w:rsidP="00DE14C9">
      <w:pPr>
        <w:pStyle w:val="TextoNormal"/>
      </w:pPr>
      <w:r>
        <w:t xml:space="preserve">a) El día 23 de abril de 2007 Coalició Valenciana presentó ante la Junta electoral de zona de Sueca dos candidaturas electorales para el citado municipio. </w:t>
      </w:r>
    </w:p>
    <w:p w:rsidR="00DE14C9" w:rsidRDefault="00DE14C9" w:rsidP="00DE14C9">
      <w:pPr>
        <w:pStyle w:val="TextoNormal"/>
      </w:pPr>
      <w:r>
        <w:t xml:space="preserve">b) Por Acuerdo 2/2007, de 24 de abril de 2007, la Junta electoral de zona de Sueca manifestó que, con arreglo a los arts. 46 y 48 LOREG “no procede la admisión de la lista presentada en cuanto consta presentada en el mismo día y con el número de orden de entrada nº 33 lista del mismo partido y la misma circunscripción electoral, no siendo posible dos listas de la misma candidatura y no pudiendo ser objeto de modificación una vez presentadas procédase a la publicación de la primera lista nº 33 y preséntese si así interesa solicitud de subsanación en el plazo legal previsto en el art. 47 LOREG”. </w:t>
      </w:r>
    </w:p>
    <w:p w:rsidR="00DE14C9" w:rsidRDefault="00DE14C9" w:rsidP="00DE14C9">
      <w:pPr>
        <w:pStyle w:val="TextoNormal"/>
      </w:pPr>
      <w:r>
        <w:t xml:space="preserve">c) El 25 de abril de 2007 apareció en el “Boletín Oficial de la Provincia de Valencia” la candidatura de Coalició Valenciana, considerando la recurrente que existía error, pues la que estimaba correcta, encabezada por don José Salvador Campillo Moncho, no había sido publicada. </w:t>
      </w:r>
    </w:p>
    <w:p w:rsidR="00DE14C9" w:rsidRDefault="00DE14C9" w:rsidP="00DE14C9">
      <w:pPr>
        <w:pStyle w:val="TextoNormal"/>
      </w:pPr>
      <w:r>
        <w:t xml:space="preserve">d) Ante ello, y dentro del plazo concedido al efecto, el representante de dicha formación política presentó escrito solicitando que fuera sustituida en su integridad la primera lista por la segunda, encabezada por don José Salvador Campillo Moncho, con base en que había presentado por error las dos candidaturas en el municipio de Sueca. </w:t>
      </w:r>
    </w:p>
    <w:p w:rsidR="00DE14C9" w:rsidRDefault="00DE14C9" w:rsidP="00DE14C9">
      <w:pPr>
        <w:pStyle w:val="TextoNormal"/>
      </w:pPr>
      <w:r>
        <w:t xml:space="preserve">e) Por Acuerdo de 30 de abril de 2007 de la Junta Electoral de Zona del citado municipio, se decidió “sustituir en su integridad la lista de candidatos nº 33 por Sueca encabezada por D. Luis Abellán Vallet, por la lista presentada a las 23:40 horas del 23.4.2007 encabezada por D. José Salvador Campillo Moncho”, procediéndose a su proclamación y publicación en el Boletín Oficial de la Provincia el día 1 de mayo de 2007. </w:t>
      </w:r>
    </w:p>
    <w:p w:rsidR="00DE14C9" w:rsidRDefault="00DE14C9" w:rsidP="00DE14C9">
      <w:pPr>
        <w:pStyle w:val="TextoNormal"/>
      </w:pPr>
      <w:r>
        <w:t xml:space="preserve">f) Con fecha de 3 de mayo de 2007 don Antonio Clemente Olivert, en calidad de representante del Partido Popular en la Junta Electoral Provincial de Valencia, interpuso recurso </w:t>
      </w:r>
      <w:r>
        <w:lastRenderedPageBreak/>
        <w:t xml:space="preserve">contencioso-administrativo contra la proclamación de la Junta electoral de zona de Sueca de la candidatura presentada por Coalició Valenciana y publicada en el Boletín Oficial de la Provincia en fecha 1 de mayo de 2007, basado en la infracción de la normativa electoral, considerando que lo pretendido por la formación política demandada, y después aceptado por la Junta electoral de la zona de Sueca, no era la subsanación de un error material, sino el cambio de una candidatura por otra. </w:t>
      </w:r>
    </w:p>
    <w:p w:rsidR="00DE14C9" w:rsidRDefault="00DE14C9" w:rsidP="00DE14C9">
      <w:pPr>
        <w:pStyle w:val="TextoNormal"/>
      </w:pPr>
      <w:r>
        <w:t xml:space="preserve">g) Por dos providencias de 4 de mayo de 2007 el Juzgado de lo Contencioso-Administrativo núm. 1 de Valencia admitió a trámite dicho recurso y, recibido el expediente administrativo, se ordenó emplazar por medio de fax a Coalició Valenciana con objeto de que en el plazo de una audiencia pudiera comparecer y formular alegaciones. </w:t>
      </w:r>
    </w:p>
    <w:p w:rsidR="00DE14C9" w:rsidRDefault="00DE14C9" w:rsidP="00DE14C9">
      <w:pPr>
        <w:pStyle w:val="TextoNormal"/>
      </w:pPr>
      <w:r>
        <w:t xml:space="preserve">h) Es de reseñar asimismo que consta en las actuaciones recibidas diligencia y certificación del Juzgado de lo Contencioso-Administrativo núm. 1 de Valencia en la que se señala que en reunión, celebrada el día 4 de mayo de 2007, de todos los Magistrados y Secretarios de los Juzgados de lo Contencioso-Administrativo de Valencia, con requerimiento de la presencia de los dos Secretarios Judiciales de los Juzgados de Instrucción que estarían de guardia los días 5 y 6 de mayo, se acordó que, si durante el fin de semana se presentaba algún escrito referido a procedimientos electorales en el Juzgado de guardia, los Secretarios de dichos Juzgados lo comunicaran inmediatamente al Secretario o Magistrado del Juzgado de lo Contencioso correspondiente, que estarían localizables, con objeto de poder comparecer a resolver lo que procediera respecto de dichos recursos. </w:t>
      </w:r>
    </w:p>
    <w:p w:rsidR="00DE14C9" w:rsidRDefault="00DE14C9" w:rsidP="00DE14C9">
      <w:pPr>
        <w:pStyle w:val="TextoNormal"/>
      </w:pPr>
      <w:r>
        <w:t xml:space="preserve">i) La formación política demandante de amparo dirigió escrito de oposición al recurso contencioso-administrativo electoral anteriormente mencionado, que presentó en el Juzgado de Instrucción núm. 6 de Valencia en funciones de guardia de incidencias, que sin embargo lo inadmitió, extendiendo, conforme al art. 43 del Reglamento 1/2005 del CGPJ, certificación del intento de presentación. </w:t>
      </w:r>
    </w:p>
    <w:p w:rsidR="00DE14C9" w:rsidRDefault="00DE14C9" w:rsidP="00DE14C9">
      <w:pPr>
        <w:pStyle w:val="TextoNormal"/>
      </w:pPr>
      <w:r>
        <w:t>j) Finalmente, el Juzgado de lo Contencioso-Administrativo núm. 1 de Valencia dictó Sentencia el 5 de mayo de 2007, haciendo constar en su fundamento jurídico primero que Coalició Valenciana “nada manifestó”, resolviendo la estimación del recurso y, en consecuencia, anulando la proclamación efectuada por la Junta electoral de zona de Sueca publicada en el Boletín Oficial de la Provincia de 1 de mayo de 2007, por ser contraria a Derecho.</w:t>
      </w:r>
    </w:p>
    <w:p w:rsidR="00DE14C9" w:rsidRDefault="00DE14C9" w:rsidP="00DE14C9">
      <w:pPr>
        <w:pStyle w:val="TextoNormal"/>
      </w:pPr>
    </w:p>
    <w:p w:rsidR="00DE14C9" w:rsidRDefault="00DE14C9" w:rsidP="00DE14C9">
      <w:pPr>
        <w:pStyle w:val="TextoNormal"/>
      </w:pPr>
      <w:r w:rsidRPr="00DE14C9">
        <w:rPr>
          <w:rStyle w:val="NumeroAFNegritaCaracter"/>
        </w:rPr>
        <w:t>3</w:t>
      </w:r>
      <w:r>
        <w:t>. La demanda de amparo, rechaza la interpretación de la LOREG efectuada por el Juzgado a quo que llevó a la decisión de fondo del asunto y alega que, al haberse inadmitido el escrito de oposición presentado en el Juzgado en funciones de guardia, se han vulnerado los principios constitucionales que amparan a la parte por haberse impedido su comparecencia, rompiendo el principio de seguridad jurídica e igualdad ante la ley, y dejando a la recurrente en una situación absoluta de indefensión. En el suplico se solicita “la revocación de la Sentencia impugnada, teniendo como candidatura oficial de Coalició Valenciana para el municipio de Sueca la que encabeza el Sr. don Salvador Campillo Moncho”.</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El Partido Popular presentó su escrito de alegaciones el día 9 de mayo de 2007, oponiéndose al otorgamiento del amparo solicitado. </w:t>
      </w:r>
    </w:p>
    <w:p w:rsidR="00DE14C9" w:rsidRDefault="00DE14C9" w:rsidP="00DE14C9">
      <w:pPr>
        <w:pStyle w:val="TextoNormal"/>
      </w:pPr>
      <w:r>
        <w:t xml:space="preserve">Respecto de la alegación referida a la vulneración del procedimiento legalmente establecido se aduce, en primer lugar, que la recurrente en amparo no respetó el plazo dado por el órgano judicial al emplazarla, así como que la posible indefensión sería imputable únicamente a aquélla, ya que podía haber utilizado la misma vía con que se le emplazó, esto es, el fax, para presentar su oposición, decidiendo libremente, en cambio, utilizar vías distintas. En segundo término, resalta que dicha alegación no podrá ser atendida por este Tribunal, </w:t>
      </w:r>
      <w:r>
        <w:lastRenderedPageBreak/>
        <w:t xml:space="preserve">pues en el suplico de la demanda de amparo se solicita únicamente la revocación de la Sentencia impugnada sin hacer petición de declaración de nulidad del proceso. </w:t>
      </w:r>
    </w:p>
    <w:p w:rsidR="00DE14C9" w:rsidRDefault="00DE14C9" w:rsidP="00DE14C9">
      <w:pPr>
        <w:pStyle w:val="TextoNormal"/>
      </w:pPr>
      <w:r>
        <w:t>Respecto de la interpretación de la LOREG realizada por el órgano judicial, argumenta la demandada en este proceso de amparo que resulta ajustada a Derecho, puesto que atendiendo a los arts. 44.3 y 47.4 LOREG, las dos candidaturas presentadas son nulas por no haberse respetado las más elementales normas rectoras del procedimiento electoral y, además, ni antes ni después de la presentación de la segunda lista los candidatos incluidos en la primera presentaron su renuncia, infringiéndose así igualmente lo establecido en el art. 48.1 LOREG. Por otro lado, se remite a las alegaciones expuestas en el recurso contencioso que en su día interpuso, en el que resaltaba que lo pretendido por Coalició Valenciana no era subsanar un error puntual material, sino cambiar una candidatura por otra, lo que supone un fraude de ley y un acto contrario al espíritu y letra de la normativa electoral. Finalmente, arguye que el error alegado por la demandante de amparo no es tal, sino que se trata de una maniobra política por la que aquélla, actuando de mala fe, pretendió cambiar los candidatos incluidos en las listas.</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El Fiscal ante el Tribunal Constitucional presentó sus alegaciones el día 9 de mayo de 2007, interesando el otorgamiento del amparo solicitado. </w:t>
      </w:r>
    </w:p>
    <w:p w:rsidR="00DE14C9" w:rsidRDefault="00DE14C9" w:rsidP="00DE14C9">
      <w:pPr>
        <w:pStyle w:val="TextoNormal"/>
      </w:pPr>
      <w:r>
        <w:t xml:space="preserve">Sostiene el Fical que el art. 48.1 LOREG contempla la “subsanación de irregularidades”, en la que cabría integrar la corrección de posibles errores en el plazo de dos días establecido al efecto, siendo así que en este supuesto se trata de un defecto de carácter subsanable, pues unas horas después de la presentación de la primera lista, se presentó la que se entiende correcta, accediendo a tal subsanación la Junta electoral. El órgano judicial, en cambio, adoptó un criterio diverso apoyándose en la STC 104/1991. Sin embargo, a juicio del Ministerio Fiscal, tal resolución no se corresponde con el supuesto objeto de este recurso de amparo, ya que en el presente caso el error invocado por la actora se sitúa en un momento inmediatamente anterior a la propia presentación de la candidatura, en tanto el mismo consiste en la previa confusión de dos listas electorales correspondientes a municipios diversos, integrándose la primera de ellas por candidatos que no guardan relación con la localidad de Sueca. De otro lado, apunta el Ministerio Fiscal, con cita de la STC 113/1991, de 20 de mayo, que este Tribunal ha reiterado que los errores e irregularidades cometidos en la presentación de candidaturas son subsanables, por lo que las Juntas Electorales han de dar tal oportunidad de subsanación. </w:t>
      </w:r>
    </w:p>
    <w:p w:rsidR="00DE14C9" w:rsidRDefault="00DE14C9" w:rsidP="00DE14C9">
      <w:pPr>
        <w:pStyle w:val="TextoNormal"/>
      </w:pPr>
      <w:r>
        <w:t xml:space="preserve">Así pues, estima el Ministerio Fiscal que debe hacerse una interpretación favorable a la protección del derecho fundamental, considerando en consecuencia como mero error material el acto de la equívoca presentación de la lista inicial, otorgándose el amparo pretendido por tal motivo. </w:t>
      </w:r>
    </w:p>
    <w:p w:rsidR="00DE14C9" w:rsidRDefault="00DE14C9" w:rsidP="00DE14C9">
      <w:pPr>
        <w:pStyle w:val="TextoNormal"/>
      </w:pPr>
      <w:r>
        <w:t>Por el contrario, y en relación con la alegación de la lesión a la tutela judicial efectiva, señala el Ministerio Fiscal que si bien hubo una imposibilidad de contradicción, imputable al Juzgado en servicio de guardia y no al Juzgado del que emana la resolución judicial impugnada, las especiales características del proceso de amparo en materia electoral, con una reducción sustancial de plazos, lleva a estimar que la falta de alegaciones en la instancia en orden a la defensa del art. 23.1 CE ha quedado ampliamente subsanada mediante su reproducción en el planteamiento de la demanda de amparo.</w:t>
      </w:r>
    </w:p>
    <w:p w:rsidR="00DE14C9" w:rsidRDefault="00DE14C9" w:rsidP="00DE14C9">
      <w:pPr>
        <w:pStyle w:val="TextoNormal"/>
      </w:pPr>
    </w:p>
    <w:p w:rsidR="00DE14C9" w:rsidRDefault="00DE14C9" w:rsidP="00DE14C9">
      <w:pPr>
        <w:pStyle w:val="TextoNormalNegritaCentrado"/>
        <w:keepNext/>
      </w:pPr>
      <w:r>
        <w:lastRenderedPageBreak/>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Como se ha indicado en los antecedentes, la formación política demandante de amparo solicita la anulación de la Sentencia del Juzgado de lo Contencioso-Administrativo núm. 1 de Valencia, recaída en el procedimiento ordinario 375-2007, por la que estimando el recurso contencioso interpuesto por el Partido Popular se anula la candidatura presentada por aquella formación en el municipio de Sueca, y proclamada por el Acuerdo de la Junta electoral zona de Sueca publicado en el Boletín Oficial de la Provincia de 1 de mayo de 2007.</w:t>
      </w:r>
    </w:p>
    <w:p w:rsidR="00DE14C9" w:rsidRDefault="00DE14C9" w:rsidP="00DE14C9">
      <w:pPr>
        <w:pStyle w:val="TextoNormal"/>
      </w:pPr>
      <w:r>
        <w:t>En la demanda de amparo se invocan genéricamente los principios constitucionales de seguridad jurídica e igualdad ante la ley y se denuncia, además, la indefensión sufrida por la formación política ahora recurrente al haber inadmitido el Juzgado de guardia su escrito de oposición al recurso contencioso presentado contra la proclamación de la candidatura de esta formación política.</w:t>
      </w:r>
    </w:p>
    <w:p w:rsidR="00DE14C9" w:rsidRDefault="00DE14C9" w:rsidP="00DE14C9">
      <w:pPr>
        <w:pStyle w:val="TextoNormal"/>
      </w:pPr>
      <w:r>
        <w:t>El Ministerio Fiscal se muestra conforme con tales consideraciones, indicando, no obstante, que la falta de contradicción ha quedado subsanada con la formulación de la demanda de amparo, interesando el otorgamiento de éste en el sentido de considerar que la presentación de dos listas fue un error material susceptible de subsanación.</w:t>
      </w:r>
    </w:p>
    <w:p w:rsidR="00DE14C9" w:rsidRDefault="00DE14C9" w:rsidP="00DE14C9">
      <w:pPr>
        <w:pStyle w:val="TextoNormal"/>
      </w:pPr>
      <w:r>
        <w:t>La parte personada en este proceso, por el contrario, interesa la denegación del amparo pretendido argumentando esencialmente que la resolución impugnada es ajustada a Derecho, puesto que con su actuación la recurrente pretendió no la subsanación de un error material, sino el cambio de una candidatura por otra, con infracción de las normas elementales que rigen el procedimiento electoral.</w:t>
      </w:r>
    </w:p>
    <w:p w:rsidR="00DE14C9" w:rsidRDefault="00DE14C9" w:rsidP="00DE14C9">
      <w:pPr>
        <w:pStyle w:val="TextoNormal"/>
      </w:pPr>
    </w:p>
    <w:p w:rsidR="00DE14C9" w:rsidRDefault="00DE14C9" w:rsidP="00DE14C9">
      <w:pPr>
        <w:pStyle w:val="TextoNormal"/>
      </w:pPr>
      <w:r w:rsidRPr="00DE14C9">
        <w:rPr>
          <w:rStyle w:val="NumeroAFNegritaCaracter"/>
        </w:rPr>
        <w:t>2</w:t>
      </w:r>
      <w:r>
        <w:t>. Como se ha expuesto en los antecedentes, aduce la recurrente que no ha podido defenderse en el recurso contencioso-electoral en el que recayó la Sentencia impugnada al no haberle sido admitido su escrito de oposición al recurso contencioso-administrativo en el Juzgado de guardia.</w:t>
      </w:r>
    </w:p>
    <w:p w:rsidR="00DE14C9" w:rsidRDefault="00DE14C9" w:rsidP="00DE14C9">
      <w:pPr>
        <w:pStyle w:val="TextoNormal"/>
      </w:pPr>
      <w:r>
        <w:t>Este Tribunal ha reiterado (por todas, STC 115/2005, de 9 de mayo, FJ 3) que el derecho a la tutela judicial efectiva, reconocido en el art. 24.1 CE, exige que en ningún momento pueda producirse indefensión, lo que implica que han de preservarse los derechos de defensa en un proceso con todas las garantías en que las partes contendientes tengan la oportunidad de alegar y probar en apoyo de sus derechos e intereses legítimos. En este sentido, venimos declarando que por indefensión constitucionalmente relevante ha de entenderse únicamente la situación en que se impide a una parte el ejercicio del derecho de defensa, privando o limitando bien su posibilidad de alegar y argumentar para que sus derechos e intereses le sean reconocidos, bien su posibilidad de refutar las posiciones contrarias en el ejercicio del ineludible principio de contradicción, con el consiguiente quebranto real y efectivo para los intereses del afectado, pues sólo tiene relevancia constitucional la indefensión material.</w:t>
      </w:r>
    </w:p>
    <w:p w:rsidR="00DE14C9" w:rsidRDefault="00DE14C9" w:rsidP="00DE14C9">
      <w:pPr>
        <w:pStyle w:val="TextoNormal"/>
      </w:pPr>
      <w:r>
        <w:t>En el supuesto que aquí se examina, la recurrente, mostrando la diligencia debida, intentó presentar sus alegaciones en el Juzgado que prestaba el servicio de guardia, que, sin embargo, inadmitió las mismas desatendiendo así lo acordado en la reunión sobre el servicio de guardia para procedimientos electorales a que se ha hecho referencia en los antecedentes. Como consecuencia de ello, el órgano judicial dictó Sentencia sin poder valorar las argumentaciones contenidas en el escrito de oposición al recurso contencioso interpuesto de contrario, habiendo quedado así la demandante de amparo en situación de indefensión material, con real y efectivo perjuicio para sus intereses.</w:t>
      </w:r>
    </w:p>
    <w:p w:rsidR="00DE14C9" w:rsidRDefault="00DE14C9" w:rsidP="00DE14C9">
      <w:pPr>
        <w:pStyle w:val="TextoNormal"/>
      </w:pPr>
      <w:r>
        <w:lastRenderedPageBreak/>
        <w:t>Esta conclusión “no puede ni debe, sin embargo, conducirnos a la que sería la solución normal y ortodoxa en un amparo ordinario, la nulidad de la sentencia con retroacción de las actuaciones para que el Tribunal ordinario dicte otra nueva ...  por no permitirlo la perentoriedad de los plazos del proceso electoral (STC 71/1995, de 11 de mayo, FJ 3)” (STC 155/2003, de 21 de julio, FJ 6). Por tanto habremos de entrar a analizar si la Sentencia impugnada, al anular la candidatura de la formación política recurrente, ha vulnerado lo dispuesto en el art. 23.2 CE.</w:t>
      </w:r>
    </w:p>
    <w:p w:rsidR="00DE14C9" w:rsidRDefault="00DE14C9" w:rsidP="00DE14C9">
      <w:pPr>
        <w:pStyle w:val="TextoNormal"/>
      </w:pPr>
    </w:p>
    <w:p w:rsidR="00DE14C9" w:rsidRDefault="00DE14C9" w:rsidP="00DE14C9">
      <w:pPr>
        <w:pStyle w:val="TextoNormal"/>
      </w:pPr>
      <w:r w:rsidRPr="00DE14C9">
        <w:rPr>
          <w:rStyle w:val="NumeroAFNegritaCaracter"/>
        </w:rPr>
        <w:t>3</w:t>
      </w:r>
      <w:r>
        <w:t>. La Sentencia recurrida en amparo estimó el recurso contencioso-administrativo y anuló el Acuerdo de la Junta electoral de zona por el que se proclamó la candidatura presentada por la formación política Coalició Valenciana. Como se ha señalado en los antecedentes, Coalició Valenciana presentó por error dos candidaturas. La candidatura proclamada no fue la que esta formación política consideraba la correcta y por este motivo, en el trámite de subsanación, solicitó que fuera sustituida íntegramente por la otra candidatura presentada, a lo que la Junta Electoral accedió. La Sentencia recurrida considera que la sustitución de una candidatura por otra excede del trámite de subsanación y constituye una modificación de la candidatura, lo que es contrario a lo dispuesto en el art. 48.1 de la Ley Orgánica del régimen electoral general (LOREG).</w:t>
      </w:r>
    </w:p>
    <w:p w:rsidR="00DE14C9" w:rsidRDefault="00DE14C9" w:rsidP="00DE14C9">
      <w:pPr>
        <w:pStyle w:val="TextoNormal"/>
      </w:pPr>
      <w:r>
        <w:t>De ahí que la cuestión que ahora debemos a analizar es si el Juzgado de lo Contencioso-Administrativo, al considerar que la presentación de dos candidaturas por la misma formación política no tenía la consideración de error material y por ello apreciar que no cabía sustitución en el trámite de subsanación de errores ha respetado las exigencias que se derivan del art. 23.2 CE.</w:t>
      </w:r>
    </w:p>
    <w:p w:rsidR="00DE14C9" w:rsidRDefault="00DE14C9" w:rsidP="00DE14C9">
      <w:pPr>
        <w:pStyle w:val="TextoNormal"/>
      </w:pPr>
      <w:r>
        <w:t>Como sostuvimos en la STC 48/2000, de 24 de febrero, FJ 2, es doctrina reiterada y constante de este Tribunal que el derecho reconocido en el art. 23.2 CE “en cuanto se proyecta sobre el ejercicio de los derechos de sufragio ... adquiere una especial densidad constitucional que se manifiesta en la obligación ... de que tanto la Administración electoral como los Jueces y Tribunales al revisar los actos y resoluciones dictados por aquélla, opten por la interpretación de la legalidad más favorable a la eficacia de tales derechos” (STC 87/1999, de 25 de mayo, FJ 3). Por esta razón en la Sentencia citada afirmamos también que en “aplicación de este principio hermenéutico, ‘de especial relevancia en el proceso electoral’ (STC 76/1987, de 25 de mayo), este Tribunal ha favorecido tanto la subsanación en plazo de cuantas irregularidades detecte la Administración electoral (SSTC 95/1991, de 7 de mayo, 73/1986, de 3 de junio, por otras), como la irresponsabilidad de sus titulares respecto de hechos impeditivos del ejercicio del derecho de sufragio pasivo que no sean la consecuencia de su falta de cumplimentación de la legislación electoral (STC 81/1987, de 27 de mayo), en virtud de un criterio antiformalista particularmente atento a la indagación de la verdad material (STC 157/1991, de 15 de julio), al extremo de ‘revisar si la interpretación de la legalidad configuradora de los derechos de sufragio se ha realizado secundum Constitutionem (STC 24/1990, FJ 2) e incluso, si la valoración jurídica de los hechos llevada a cabo por los órganos judiciales ‘ha ponderado adecuadamente los derechos fundamentales en juego’ (STC 25/1990, FJ 6)’ (STC 87/1999, FJ 3)”.</w:t>
      </w:r>
    </w:p>
    <w:p w:rsidR="00DE14C9" w:rsidRDefault="00DE14C9" w:rsidP="00DE14C9">
      <w:pPr>
        <w:pStyle w:val="TextoNormal"/>
      </w:pPr>
      <w:r>
        <w:t>En consecuencia “nuestra doctrina en materia de subsanación de irregularidades sufridas en la presentación de candidaturas ante la Administración electoral puede resumirse en la afirmación de que, por principio, los errores e irregularidades cometidos en la presentación de éstas son subsanables y que, en consecuencia, las Juntas Electorales han de ofrecer la oportunidad de que las candidaturas en las que se han detectado lo hagan” (STC 84/2003, de 8 de mayo, FJ 5).</w:t>
      </w:r>
    </w:p>
    <w:p w:rsidR="00DE14C9" w:rsidRDefault="00DE14C9" w:rsidP="00DE14C9">
      <w:pPr>
        <w:pStyle w:val="TextoNormal"/>
      </w:pPr>
      <w:r>
        <w:lastRenderedPageBreak/>
        <w:t>Así las cosas, la presentación, dentro de plazo, el mismo día, de dos candidaturas de la misma formación política, para el mismo municipio, permite entender que se ha producido un error, que ha de reputarse subsanable, en busca de la verdad material, esto es, la verdadera voluntad de la formación que presenta la candidatura, tal como hizo la Junta electoral de zona.</w:t>
      </w:r>
    </w:p>
    <w:p w:rsidR="00DE14C9" w:rsidRDefault="00DE14C9" w:rsidP="00DE14C9">
      <w:pPr>
        <w:pStyle w:val="TextoNormal"/>
      </w:pPr>
      <w:r>
        <w:t>No habiéndolo entendido así la Sentencia impugnada, hemos de concluir que no ha efectuado la interpretación de la legalidad más favorable a la eficacia del derecho de sufragio pasivo, lesionando por ello el derecho que consagra el art. 23.2 CE, lo que determina, de conformidad con el dictamen del Ministerio Fiscal, la procedencia del pronunciamiento previsto en el art. 53 a) LOTC.</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Coalició Valenciana y, en su virtud:</w:t>
      </w:r>
    </w:p>
    <w:p w:rsidR="00DE14C9" w:rsidRDefault="00DE14C9" w:rsidP="00DE14C9">
      <w:pPr>
        <w:pStyle w:val="TextoNormal"/>
      </w:pPr>
      <w:r>
        <w:t>1º Reconocer su derecho a acceder en condiciones de igualdad a los cargos públicos (art. 23.2 CE) y su derecho a la tutela judicial efectiva sin indefensión (art. 24.1 CE).</w:t>
      </w:r>
    </w:p>
    <w:p w:rsidR="00DE14C9" w:rsidRDefault="00DE14C9" w:rsidP="00DE14C9">
      <w:pPr>
        <w:pStyle w:val="TextoNormal"/>
      </w:pPr>
      <w:r>
        <w:t>2º Anular la Sentencia de 5 de mayo de 2007 del Juzgado de lo Contencioso-Administrativo núm. 1 de Valencia recaída en el procedimiento ordinario núm. 375-2007.</w:t>
      </w:r>
    </w:p>
    <w:p w:rsidR="00DE14C9" w:rsidRDefault="00DE14C9" w:rsidP="00DE14C9">
      <w:pPr>
        <w:pStyle w:val="TextoNormal"/>
      </w:pPr>
      <w:r>
        <w:t>3º Declarar la validez del Acuerdo de la Junta electoral de zona de Sueca que proclama la candidatura presentada por Coalició Valenciana en el municipio de Sueca publicada en el “Boletín Oficial de la Provincia de Valencia” de 1 de mayo de 2007.</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diez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23" w:name="SENTENCIA_2007_110"/>
      <w:r>
        <w:lastRenderedPageBreak/>
        <w:t>SENTENCIA 110/2007, de 10 de mayo de 2007</w:t>
      </w:r>
    </w:p>
    <w:bookmarkEnd w:id="23"/>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137, de 8 de junio de 2007)</w:t>
      </w:r>
    </w:p>
    <w:p w:rsidR="00DE14C9" w:rsidRDefault="00DE14C9" w:rsidP="00DE14C9">
      <w:pPr>
        <w:pStyle w:val="TtuloBOE"/>
      </w:pPr>
    </w:p>
    <w:p w:rsidR="00DE14C9" w:rsidRDefault="00DE14C9" w:rsidP="00DE14C9">
      <w:pPr>
        <w:pStyle w:val="SntesisDescriptiva"/>
      </w:pPr>
      <w:r>
        <w:t>ECLI:ES:TC:2007:110</w:t>
      </w:r>
    </w:p>
    <w:p w:rsidR="00DE14C9" w:rsidRDefault="00DE14C9" w:rsidP="00DE14C9">
      <w:pPr>
        <w:pStyle w:val="SntesisDescriptiva"/>
      </w:pPr>
    </w:p>
    <w:p w:rsidR="00DE14C9" w:rsidRDefault="00DE14C9" w:rsidP="00DE14C9">
      <w:pPr>
        <w:pStyle w:val="SntesisDescriptiva"/>
      </w:pPr>
      <w:r>
        <w:t>Recursos de amparo electoral 4107-2007 y otros 22 acumulados. Promovidos por Barrikako Abertzale Sozialistak y otras agrupaciones electorales frente a la Sentencia de la Sala Especial del art. 61 LOPJ del Tribunal Supremo sobre anulación de candidaturas para las elecciones locales y forales de 2007.</w:t>
      </w:r>
    </w:p>
    <w:p w:rsidR="00DE14C9" w:rsidRDefault="00DE14C9" w:rsidP="00DE14C9">
      <w:pPr>
        <w:pStyle w:val="SntesisDescriptiva"/>
      </w:pPr>
    </w:p>
    <w:p w:rsidR="00DE14C9" w:rsidRDefault="00DE14C9" w:rsidP="00DE14C9">
      <w:pPr>
        <w:pStyle w:val="SntesisAnaltica"/>
      </w:pPr>
      <w:r>
        <w:t>Supuesta vulneración de los derechos a la defensa, a un proceso con garantías, a un juez imparcial, a la prueba, a la intimidad personal y a acceder a los cargos representativos: perentoriedad de los recursos electorales; datos personales; agrupaciones electorales que de hecho continúan o suceden la actividad de un partido político ilegal (STC 85/2003).</w:t>
      </w:r>
    </w:p>
    <w:p w:rsidR="00DE14C9" w:rsidRDefault="00DE14C9" w:rsidP="00DE14C9">
      <w:pPr>
        <w:pStyle w:val="SntesisAnaltica"/>
      </w:pPr>
    </w:p>
    <w:p w:rsidR="00DE14C9" w:rsidRDefault="00DE14C9" w:rsidP="00DE14C9">
      <w:pPr>
        <w:pStyle w:val="Extracto"/>
      </w:pPr>
      <w:r>
        <w:t>1.</w:t>
      </w:r>
      <w:r>
        <w:tab/>
        <w:t>Es perfectamente aceptable en una sociedad democrática que, tan pronto se cierna sobre una agrupación electoral la sospecha fundada de connivencia con el terror o con formaciones que han sido proscritas en razón de esa connivencia, pueda esperarse de ella una declaración inequívoca de distanciamiento, rechazo y condena de cuanto representan una organización criminal y sus instrumentos políticos (STC 99/2004, 68/2005) [FJ 15].</w:t>
      </w:r>
    </w:p>
    <w:p w:rsidR="00DE14C9" w:rsidRDefault="00DE14C9" w:rsidP="00DE14C9">
      <w:pPr>
        <w:pStyle w:val="Extracto"/>
      </w:pPr>
    </w:p>
    <w:p w:rsidR="00DE14C9" w:rsidRDefault="00DE14C9" w:rsidP="00DE14C9">
      <w:pPr>
        <w:pStyle w:val="Extracto"/>
      </w:pPr>
      <w:r>
        <w:t>2.</w:t>
      </w:r>
      <w:r>
        <w:tab/>
        <w:t>La existencia de una trama defraudatoria se entiende acreditada a partir de la concurrencia de elementos objetivos, tales como declaraciones y manifestaciones efectuadas por significados dirigentes de los partidos disueltos en actos públicos y notorios, cartelería en la que figura el símbolo del partido político proyectado por Batasuna y denominación común  de las agrupaciones [FFJJ 16, 17].</w:t>
      </w:r>
    </w:p>
    <w:p w:rsidR="00DE14C9" w:rsidRDefault="00DE14C9" w:rsidP="00DE14C9">
      <w:pPr>
        <w:pStyle w:val="Extracto"/>
      </w:pPr>
    </w:p>
    <w:p w:rsidR="00DE14C9" w:rsidRDefault="00DE14C9" w:rsidP="00DE14C9">
      <w:pPr>
        <w:pStyle w:val="Extracto"/>
      </w:pPr>
      <w:r>
        <w:t>3.</w:t>
      </w:r>
      <w:r>
        <w:tab/>
        <w:t>Doctrina sobre las similitudes sustanciales que deben valorarse para concluir que las agrupaciones electorales vienen a continuar o suceder la actividad de un partido político declarado judicialmente ilegal y disuelto, o suspendido (SSTC 85/2003, 68/2005) [FFJJ 12 a 14].</w:t>
      </w:r>
    </w:p>
    <w:p w:rsidR="00DE14C9" w:rsidRDefault="00DE14C9" w:rsidP="00DE14C9">
      <w:pPr>
        <w:pStyle w:val="Extracto"/>
      </w:pPr>
    </w:p>
    <w:p w:rsidR="00DE14C9" w:rsidRDefault="00DE14C9" w:rsidP="00DE14C9">
      <w:pPr>
        <w:pStyle w:val="Extracto"/>
      </w:pPr>
      <w:r>
        <w:t>4.</w:t>
      </w:r>
      <w:r>
        <w:tab/>
        <w:t>Doctrina sobre no vulneración de los derechos de participación en los asuntos públicos y de sufragio pasivo por anulación de candidaturas de agrupaciones electorales que se consideren vinculadas a partidos políticos ilegalizados (STC 85/2003) [FJ 11].</w:t>
      </w:r>
    </w:p>
    <w:p w:rsidR="00DE14C9" w:rsidRDefault="00DE14C9" w:rsidP="00DE14C9">
      <w:pPr>
        <w:pStyle w:val="Extracto"/>
      </w:pPr>
    </w:p>
    <w:p w:rsidR="00DE14C9" w:rsidRDefault="00DE14C9" w:rsidP="00DE14C9">
      <w:pPr>
        <w:pStyle w:val="Extracto"/>
      </w:pPr>
      <w:r>
        <w:t>5.</w:t>
      </w:r>
      <w:r>
        <w:tab/>
        <w:t>No puede considerarse vulnerado el derecho fundamental a la protección de datos (art. 18.4 CE), ya que el poder de disposición sobre sus datos personales no puede pretenderse con único dato relevante en este caso, a saber, la vinculación política de aquellos concurren como candidatos  a un proceso electoral (STC 85/2003) [FJ 9].</w:t>
      </w:r>
    </w:p>
    <w:p w:rsidR="00DE14C9" w:rsidRDefault="00DE14C9" w:rsidP="00DE14C9">
      <w:pPr>
        <w:pStyle w:val="Extracto"/>
      </w:pPr>
    </w:p>
    <w:p w:rsidR="00DE14C9" w:rsidRDefault="00DE14C9" w:rsidP="00DE14C9">
      <w:pPr>
        <w:pStyle w:val="Extracto"/>
      </w:pPr>
      <w:r>
        <w:t>6.</w:t>
      </w:r>
      <w:r>
        <w:tab/>
        <w:t xml:space="preserve">No se vulnera el derecho a la intimidad ni a la autodeterminación informativa, ya que entre los aspectos básicos del derecho no se encuentran los datos referentes a </w:t>
      </w:r>
      <w:r>
        <w:lastRenderedPageBreak/>
        <w:t>la participación de los ciudadanos en la vida política, actividad que por su propia naturaleza se desarrolla en la esfera pública de una sociedad democrática STC 85/2003) [FJ 9].</w:t>
      </w:r>
    </w:p>
    <w:p w:rsidR="00DE14C9" w:rsidRDefault="00DE14C9" w:rsidP="00DE14C9">
      <w:pPr>
        <w:pStyle w:val="Extracto"/>
      </w:pPr>
    </w:p>
    <w:p w:rsidR="00DE14C9" w:rsidRDefault="00DE14C9" w:rsidP="00DE14C9">
      <w:pPr>
        <w:pStyle w:val="Extracto"/>
      </w:pPr>
      <w:r>
        <w:t>7.</w:t>
      </w:r>
      <w:r>
        <w:tab/>
        <w:t>El derecho a la igualdad, dado su carácter relacional, sólo puede entenderse como igualdad en la legalidad, por lo que si no se concreta en la demanda un término de comparación ni se enuncian derechos susceptibles de amparo, ha de desestimarse la pretensión [FJ 2].</w:t>
      </w:r>
    </w:p>
    <w:p w:rsidR="00DE14C9" w:rsidRDefault="00DE14C9" w:rsidP="00DE14C9">
      <w:pPr>
        <w:pStyle w:val="Extracto"/>
      </w:pPr>
    </w:p>
    <w:p w:rsidR="00DE14C9" w:rsidRDefault="00DE14C9" w:rsidP="00DE14C9">
      <w:pPr>
        <w:pStyle w:val="Extracto"/>
      </w:pPr>
      <w:r>
        <w:t>8.</w:t>
      </w:r>
      <w:r>
        <w:tab/>
        <w:t>En modo alguno cabe apreciar en las Sentencias impugnadas una aplicación retroactiva del art. 44.4 LOREG, y tampoco puede predicarse la naturaleza penal o sancionadora del proceso contencioso-electoral de revisión de la proclamación de candidaturas (SSTC 85/2003, 99/2004) [FJ 2].</w:t>
      </w:r>
    </w:p>
    <w:p w:rsidR="00DE14C9" w:rsidRDefault="00DE14C9" w:rsidP="00DE14C9">
      <w:pPr>
        <w:pStyle w:val="Extracto"/>
      </w:pPr>
    </w:p>
    <w:p w:rsidR="00DE14C9" w:rsidRDefault="00DE14C9" w:rsidP="00DE14C9">
      <w:pPr>
        <w:pStyle w:val="Extracto"/>
      </w:pPr>
      <w:r>
        <w:t>9.</w:t>
      </w:r>
      <w:r>
        <w:tab/>
        <w:t>Las normas que prescriben la publicidad de candidatos proclamados y electos son básicas para la transparencia política que en un Estado democrático debe regir las relaciones entre electores y elegibles (STC 85/2003) [FJ 9].</w:t>
      </w:r>
    </w:p>
    <w:p w:rsidR="00DE14C9" w:rsidRDefault="00DE14C9" w:rsidP="00DE14C9">
      <w:pPr>
        <w:pStyle w:val="Extracto"/>
      </w:pPr>
    </w:p>
    <w:p w:rsidR="00DE14C9" w:rsidRDefault="00DE14C9" w:rsidP="00DE14C9">
      <w:pPr>
        <w:pStyle w:val="Extracto"/>
      </w:pPr>
      <w:r>
        <w:t>10.</w:t>
      </w:r>
      <w:r>
        <w:tab/>
        <w:t>La brevedad de los plazos no implica per se la vulneración del derecho a la tutela judicial efectiva si con ello se tiende a hacer efectivo el principio de celeridad en el proceso (SSTC 14/1992, 85/2003) [FJ 6].</w:t>
      </w:r>
    </w:p>
    <w:p w:rsidR="00DE14C9" w:rsidRDefault="00DE14C9" w:rsidP="00DE14C9">
      <w:pPr>
        <w:pStyle w:val="Extracto"/>
      </w:pPr>
    </w:p>
    <w:p w:rsidR="00DE14C9" w:rsidRDefault="00DE14C9" w:rsidP="00DE14C9">
      <w:pPr>
        <w:pStyle w:val="Extracto"/>
      </w:pPr>
      <w:r>
        <w:t>11.</w:t>
      </w:r>
      <w:r>
        <w:tab/>
        <w:t>No le corresponde al Tribunal, al conocer en recurso de amparo, examinar la observancia o inobservancia per se de textos internacionales que obliguen a España, sino interpretar los preceptos constitucionales de conformidad a los mismos (SSTC 120/1990, 7/2004) [FJ 2].</w:t>
      </w:r>
    </w:p>
    <w:p w:rsidR="00DE14C9" w:rsidRDefault="00DE14C9" w:rsidP="00DE14C9">
      <w:pPr>
        <w:pStyle w:val="Extracto"/>
      </w:pPr>
    </w:p>
    <w:p w:rsidR="00DE14C9" w:rsidRDefault="00DE14C9" w:rsidP="00DE14C9">
      <w:pPr>
        <w:pStyle w:val="Extracto"/>
      </w:pPr>
      <w:r>
        <w:t>12.</w:t>
      </w:r>
      <w:r>
        <w:tab/>
        <w:t>No se vulnera el art. 24.2 CE en relación con el 14.5 del Pacto internacional de derechos civiles y políticos, ya que la garantía de la doble instancia penal sólo adquiere rango constitucional con los procedimientos penales, y el actual es contencioso-electoral (SSTC 89/1995, 176/2003) [FJ 4].</w:t>
      </w:r>
    </w:p>
    <w:p w:rsidR="00DE14C9" w:rsidRDefault="00DE14C9" w:rsidP="00DE14C9">
      <w:pPr>
        <w:pStyle w:val="Extracto"/>
      </w:pPr>
    </w:p>
    <w:p w:rsidR="00DE14C9" w:rsidRDefault="00DE14C9" w:rsidP="00DE14C9">
      <w:pPr>
        <w:pStyle w:val="Extracto"/>
      </w:pPr>
      <w:r>
        <w:t>13.</w:t>
      </w:r>
      <w:r>
        <w:tab/>
        <w:t>No es labor del Tribunal, ni contenido garantizado por el art. 24 CE, dar determinado valor probatorio a unos u otros medios de prueba, una vez constatado que los mismos no han sido obtenidos con vulneración de derechos fundamentales [FJ 8].</w:t>
      </w:r>
    </w:p>
    <w:p w:rsidR="00DE14C9" w:rsidRDefault="00DE14C9" w:rsidP="00DE14C9">
      <w:pPr>
        <w:pStyle w:val="Extracto"/>
      </w:pPr>
    </w:p>
    <w:p w:rsidR="00DE14C9" w:rsidRDefault="00DE14C9" w:rsidP="00DE14C9">
      <w:pPr>
        <w:pStyle w:val="Extracto"/>
      </w:pPr>
      <w:r>
        <w:t>14.</w:t>
      </w:r>
      <w:r>
        <w:tab/>
        <w:t>Sólo cabe revisar la apreciación de la Sala Especial del Tribunal Supremo cuando la convicción alcanzada pugne con un derecho constitucionalmente relevante, en este caso el derecho de sufragio pasivo, con arreglo a un canon decisorio que permita inferir que la agrupación electoral excluida del proceso electoral ha actuado, de hecho, como continuadora de la actividad de los partidos políticos (STC 68/2005) [FJ 12].</w:t>
      </w:r>
    </w:p>
    <w:p w:rsidR="00DE14C9" w:rsidRDefault="00DE14C9" w:rsidP="00DE14C9">
      <w:pPr>
        <w:pStyle w:val="Extracto"/>
      </w:pPr>
    </w:p>
    <w:p w:rsidR="00DE14C9" w:rsidRDefault="00DE14C9" w:rsidP="00DE14C9">
      <w:pPr>
        <w:pStyle w:val="Extracto"/>
      </w:pPr>
      <w:r>
        <w:t>15.</w:t>
      </w:r>
      <w:r>
        <w:tab/>
        <w:t>No se vulnera el derecho a la prueba si hubo respuesta judicial a la proposición de la prueba, dedicando además un fundamento jurídico a rechazar la admisibilidad, no cumpliendo, además, la demanda, con el deber de argumentar (SSTC 157/2000, 85/2003) [FJ 7].</w:t>
      </w:r>
    </w:p>
    <w:p w:rsidR="00DE14C9" w:rsidRDefault="00DE14C9" w:rsidP="00DE14C9">
      <w:pPr>
        <w:pStyle w:val="Extracto"/>
      </w:pPr>
    </w:p>
    <w:p w:rsidR="00DE14C9" w:rsidRDefault="00DE14C9" w:rsidP="00DE14C9">
      <w:pPr>
        <w:pStyle w:val="Extracto"/>
      </w:pPr>
      <w:r>
        <w:t>16.</w:t>
      </w:r>
      <w:r>
        <w:tab/>
        <w:t>Existen elementos subjetivos que no podemos aceptar, como la equiparación entre personas que han pertenecido a los partidos políticos disueltos o que han concurrido en sus listas a comicios precedentes, sin que por ello padezcan en su consistencia los juicios de valor deducidos de las pruebas de naturaleza objetiva (SSTC 85/2003, 68/2005) [FJ 17].</w:t>
      </w:r>
    </w:p>
    <w:p w:rsidR="00DE14C9" w:rsidRDefault="00DE14C9" w:rsidP="00DE14C9">
      <w:pPr>
        <w:pStyle w:val="Extracto"/>
      </w:pPr>
    </w:p>
    <w:p w:rsidR="00DE14C9" w:rsidRDefault="00DE14C9" w:rsidP="00DE14C9">
      <w:pPr>
        <w:pStyle w:val="Extracto"/>
      </w:pPr>
      <w:r>
        <w:t>17.</w:t>
      </w:r>
      <w:r>
        <w:tab/>
        <w:t>Doctrina sobre la práctica de la prueba en el proceso de amparo [FJ 2].</w:t>
      </w:r>
    </w:p>
    <w:p w:rsidR="00DE14C9" w:rsidRDefault="00DE14C9" w:rsidP="00DE14C9">
      <w:pPr>
        <w:pStyle w:val="Extracto"/>
      </w:pPr>
    </w:p>
    <w:p w:rsidR="00DE14C9" w:rsidRDefault="00DE14C9" w:rsidP="00DE14C9">
      <w:pPr>
        <w:pStyle w:val="Extracto"/>
      </w:pPr>
      <w:r>
        <w:t>18.</w:t>
      </w:r>
      <w:r>
        <w:tab/>
        <w:t>Naturaleza y procedimiento del proceso electoral y contencioso-electoral (SSTC 85/2003, 68/2005) [FJ 3].</w:t>
      </w:r>
    </w:p>
    <w:p w:rsidR="00DE14C9" w:rsidRDefault="00DE14C9" w:rsidP="00DE14C9">
      <w:pPr>
        <w:pStyle w:val="Extracto"/>
      </w:pPr>
    </w:p>
    <w:p w:rsidR="00DE14C9" w:rsidRDefault="00DE14C9" w:rsidP="00DE14C9">
      <w:pPr>
        <w:pStyle w:val="Extracto"/>
      </w:pPr>
      <w:r>
        <w:t>19.</w:t>
      </w:r>
      <w:r>
        <w:tab/>
        <w:t>Los recurrentes no han acreditado que la situación por ellos descrita, caso de que ésta se hubiera producido, se haya revelado como capaz de menoscabar con la suficiente intensidad la imparcialidad de la Sala sentenciadora, ni consta tampoco que los Magistrados de la misma hayan actuado de modo que permita pensar que se han inclinado por alguna de las partes, por lo que la queja de parcialidad debe ser rechazada (SSTC 136/1999, 85/2003) [FJ 5].</w:t>
      </w:r>
    </w:p>
    <w:p w:rsidR="00DE14C9" w:rsidRDefault="00DE14C9" w:rsidP="00DE14C9">
      <w:pPr>
        <w:pStyle w:val="Extracto"/>
      </w:pPr>
    </w:p>
    <w:p w:rsidR="00DE14C9" w:rsidRDefault="00DE14C9" w:rsidP="00DE14C9">
      <w:pPr>
        <w:pStyle w:val="Extracto"/>
      </w:pPr>
      <w:r>
        <w:t>20.</w:t>
      </w:r>
      <w:r>
        <w:tab/>
        <w:t>No es labor del Tribunal reconstruir las demandas de amparo de oficio cuando los demandantes han desatendido la carga de la argumentación que pesa sobre ellos (SSTC 7/1998, 5/2002) [FJ 2, 7].</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Centrado"/>
        <w:keepNext/>
      </w:pPr>
      <w:r>
        <w:t xml:space="preserve">En los recursos de amparo núms. 4107-2007, interpuesto por Barrikako Abertzale Sozialistak, Berangoko Abertzale Sozialistak, Erandioko Abertzale Sozialistak, Gorlizko Abertzale Sozialistak, Leioako Abertzale Sozialistak, Lemoizko Abertzale Sozialistak, Plentziako Abertzle Sozialistak, Sopelako Abertzale Sozialistak y Urdulizko Abertzale Sozialistak; 4108-2007, interpuesto por Getxoko Abertzale Sozialistak; 4109-2007, interpuesto por Areatzako Abertzale Sozialistak, Derioko Abertzale Sozialistak, Dimako Abertzale Sozialistak, Igorreko Abertzale Sozialistak, Kolaziñoko Abertzale Sozialistak, Larrabetzuko Abertzale Sozialistak, Lemoako Abertzale Sozialistak, Lezamako Abertzale Sozialistak, Loiuko Abertzale Sozialistak, Sondikako Abertzale Sozialistak, Ubideko Abertzale Sozialistak, Zamudioko Abertzale Sozialistak y Zeaniko Abertzale Sozialistak; 4110-2007, interpuesto por Abantoko Abertzale Sozialistak, Alonsotegiko Abertzale </w:t>
      </w:r>
      <w:r>
        <w:lastRenderedPageBreak/>
        <w:t xml:space="preserve">Sozialistak, Artzentalesko Abertzale Sozialistak, Balmasedako Abertzale Sozialistak, Galdamesko Abertzale Sozialistak, Gordexolako Abertzale Sozialistak, Güeñesko Abertzale Sozialistak, Karrantzako Abertzale Sozialistak, Muskizko Abertzale Sozialistak, Ortuellako Abertzale Sozialistak, Trapagarango Abertzale Sozialistak y Zierbenako Abertzale Sozialistak; 4111-2007, interpuesto por Ajangizko Abertzale Sozialistak, Arratzuko Abertzale Sozialistak, Bermeoko Abertzale Sozialistak, Busturiko Abertzale Sozialistak, Foruko Abertzale Sozialistak, Gernika-Lumoko Abertzale Sozialistak, Kortezubiko Abertzale Sozialistak, Morgako Abertzale Sozialistak, Mundakako Abertzale Sozialistak, Muxikako Abertzale Sozialistak, Nabarnizko Abertzale Sozialistak, Natxitua, Ea eta Bedaronako Abertzale Socialistak y Sukarrietako Abertzale Sozialistak; 4112-2007, interpuesto por Portugaleteko Abertzale Sozialistak; 4113-2007, interpuesto por Barakaldoko Abertzale Sozialistak; 4114-2007, interpuesto por Santurtziko Abertzale Sozialistak; 4115-2007, interpuesto por Abadiñoko Abertzale Sozialistak, Atxondoko Abertzale Sozialistak, Berrizko Abertzale Sozialistak, Durangoko Abertzale Sozialistak, Elorrioko Abertzale Sozialistak, Ermuko Abertzale Sozialistak, Iurretako Abertzale Sozialistak, Izurtzako Abertzale Sozialistak, Mallabiako Abertzale Sozialistak, Mañariako Abertzale Sozialistak, Zaldibarko Abertzale Sozialistak y Zornotzako Abertzale Sozialistak; 4116-2007, interpuesto por Aiako Abertzale Sozialistak, Alegiako Abertzale Sozialistak, Amasa Villabonako Abertzale Sozialistak, Amezketako Abertzale Sozialistak, Anoetako Abertzale Sozialistak, Asteasuko Abertzale Sozialistak, Azkoitiko Abertzale Sozialistak, Azpeitiko Abertzale Sozialistak, Belauntzako Abertzale Sozialistak, Berastegiko Abertzale Sozialistak, Debako Abertzale Sozialistak, Elduaingo Abertzale Sozialistak, Errezilgo Abertzale Sozialistak, Getariako Abertzale Sozialistak, Ibarrako Abertzale Sozialistak, Ikaztegietako Abertzale Sozialistak, Leaburu-Txarama Abertzale Sozialistak, Lizartzako Abertzale Sozialistak, Orendaingo Abertzale Sozialistak, Orexako Abertzale Sozialistak, Orioko Abertzale Sozialistak, Ormaiztegiko Abertzale Sozialistak, Segurako Abertzale Sozialistak, Tolosako Abertzale Sozialistak, Zarauzko Abertzale Sozialistak, Zegamako Abertzale Sozialistak, Zestoako Abertzale Sozialistak, Zizurkilgo Abertzale Sozialistak y Zumaiako Abertzale Sozialistak; 4117-2007, interpuesto por Arabako Abertzale Sozialistak, Arabako Abertzale Sozialistak - Gasteiz Aas, Arabako Abertzale Sozialistak - Lur Jareak, Aguraingo Abertzale Sozialistak, Aiarako Abertzale Sozialistak, Amurrioko Abertzale Sozialistak, Añanako Abertzale Sozialistak, Aramaioko Abertzale Sozialistak, Arrazuako Abertzale Sozialistak, Artziniegako Abertzale Sozialistak, Asparrengo Abertzale Sozialistak, Barrundiako Abertzale Sozialistak, Bastidako Abertzale Sozialistak, Bernedoko Abertzale Sozialistak, Biasteriko Abertzale Sozialistak, Donemiliagako Abertzale Sozialistak, Dulantziko Abertzale Sozialistak, Errigoitiako Abertzale Sozialistak, Eskuernagako Abertzale Sozilistak, Gasteizko Abertzale Sozialistak, Haranako Abertzale Sozialistak, Iongo Abertzale Sozialistak, Iruña-Okako Abertzale Sozialistak, Iruraiz- Gaunako Abertzale Sozialistak, Kanpezuko Abertzale Sozialistak, Kuartangoko Abertzale Sozialistak, Lantarongo Abertzale Sozialistak, Laudioko Abertzale Sozialistak, Legutioko Abertzale Sozialistak, Maeztuko Abertzale Sozialistak, Okondoko Abertzale Sozialistak, Samaniegoko Abertzale Sozialistak, Urkabustaizko Abertzale Sozialistak, Zigoitiako Abertzale Sozialistak y Zuiako Abertzale Sozialistak; 4118- 2007, interpuesto por Bilbo Mugabarruko Abertzale Sozialistak, Busturia-Uribe Mugabarruko Abertzale Sozialistak, Durango-Arratia Mugabarruko Abertzale Sozialistak y Enkarterriak Mugabarruko Abertzale Sozialistak; 4119-2007, interpuesto por Astigarragako Abertzale Sozialistak, Donostiako Abertzale Sozialistak, Hernaniko Abertzale Sozialistak, Lasarte-Oriako Abertzale Sozialistak, Urnietako Abertzale Sozialistak y Usurbilgo Abertzale Sozialistak; 4120-2007, interpuesto por </w:t>
      </w:r>
      <w:r>
        <w:lastRenderedPageBreak/>
        <w:t xml:space="preserve">Bidasoa-Oiartzungo Abertzale Sozialistak y Donostialdeako Abertzale Sozialistak; 4121-2007, interpuesto por Sestaoko Abertzale Sozialistak; 4122-2007, interpuesto por Arrankudiaga eta Zolloko Abertzale Sozialistak, Arrigorriagako Abertzale Sozialistak, Basauriko Abertzale Sozialistak, Etxebarriko Abertzale Sozialistak, Galdakaoko Abertzale Sozialistak, Orozkoko Abertzale Sozialistak, Ugaoko Abertzale Sozialistak, Urduñako Abertzale Sozialistak, Zaratamoko Abertzale Sozialistak y Zeberioko Abertzale Sozialistak; 4123-2007, interpuesto por Hondarribiako Abertzale Sozialistak; 4124-2007, interpuesto por Irungo Abertzale Sozialistak, Lezoko Abertzale Sozialistak y Oreretako Abertzale Sozialistak; 4125-2007, interpuesto por Oiartzungo Abertzale Sozialistak y Pasaiako Abertzale Sozialistak; 4126-2007, interpuesto por Arrietako Abertzale Sozialistak, Bakioko Abertzale Sozialistak, Bilboko Abertzale Sozialistak, Fruizko Abertzale Sozialistak, Gamiz-Fikako Abertzale Sozialistak, Laukizko Abertzale Sozialistak, Maruri- Jatabeko Abertzale Sozialistak, Meñako Abertzale Sozialistak y Mungiako Abertzale Sozialistak; 4127-2007, interpuesto por Oriako Abertzale Sozialistak, Andoaingo Abertzale Sozialistak, Ataungo Abertzale Sozialistak, Beasain Abertzale Sozialistak, Idiazabalgo Abertzale Sozialistak, Itsasondo Abertzale Sozialistak, Lazkaoko Abertzale Sozialistak, Legorretako Abertzale Sozialistak, Olaberriko Abertzale Sozialistak, Ordiziako Abertzale Sozialistak y Zaldibiako Abertzale Sozialistak; 4128-2007, interpuesto por Deba-Urolako Abertzale Sozialistak, Antzuolako Abertzale Sozialistak, Aretxabaletako Abertzale Sozialistak, Arrasateko Abertzale Sozialistak, Bergarako Abertzale Sozialistak, Elgetako Abertzale Sozialistak, Eskoriatzako Abertzale Sozialistak, Legazpiko Abertzale Sozialistak, Oñatiko Abertzale Sozialistak, Urretxuko Abertzale Sozialistak y Zumarragako Abertzale Sozialistak; 4129-2007, interpuesto por Nafarroako Abertzale Sozialistak, Abertzale Socialista de Falces, Agoizko Abertzale Sozialistak, Altsasuko Abertzale Sozialistak, Antsoaingo Abertzale Sozialistak, Araizko Abertzale Sozialistak, Arbizuko Abertzale Sozialistak, Atarrabiako Abertzale Sozialistak, Bakaikuko Abertzale Sozialistak, Barañaingo Abertzale Sozialistak, Basaburuko Abertzale Sozialistak, Baztango Abertzale Sozialistak, Berako Abertzale Sozialistak, Berriozarko Abertzale Sozialistak, Burlatako Abertzale Sozialistak, Eguesibarreko Abertzale Sozialitak, Esteribarko Abertzale Sozialistak, Etxarri-Aranazko Abertzale Sozialistak, Galarko Abertzale Sozialistak, Gareseko Abertzale Sozialistak, Goizuetako Abertzale Sozialistak, Imozko Abertzale Sozialistak, Irunberriko Abertzale Sozialistak, Iruñeko Abertzale Sozialistak, Irurtzungo Abertzale Sozialistak, Iturmendiko Abertzale Sozialistak, Lakuntzako Abertzale Sozialistak, Larraungo Abertzale Sozialistak, Leitzako Abertzale Sozialistak, Lesakako Abertzale Sozialistak, Lizarrako Abertzale Sozialistak, Olaztiko Abertzale Sozialistak, Orkoiengo Abertzale Sozialistak, Sartagudako Abertzale Sozialistak, Tafallako Abertzale Sozialistak, Uharteko Abertzale Sozialistak, Ultzamako Abertzale Sozialistak, Urdiaingo Abertzale Sozialistak, Ziordiko Abertzale Sozialistak y Zizurko Abertzale Sozialistak; 4216-2007, interpuesto por Aulestiko Abertzale Sozialistak, Barriatuako Abertzale Sozialistak, Bolibarko Abertzale Sozialistak, Etxebarriako Abertzale Sozialistak, Lekeitoko Abertzale Sozialistak, Markina Xemeingo Abertzale Sozialistak, Mendexako Abertzale Sozialistak y Ondarroako Abertzale Sozialistak; contra la Sentencia de la Sala Especial del art. 61 LOPJ del Tribunal Supremo de 5 de mayo de 2007, dictada en los recursos contencioso-electorales acumulados núms. 1-2007 y 2-2007. </w:t>
      </w:r>
    </w:p>
    <w:p w:rsidR="00DE14C9" w:rsidRDefault="00DE14C9" w:rsidP="00DE14C9">
      <w:pPr>
        <w:pStyle w:val="TextoNormal"/>
      </w:pPr>
      <w:r>
        <w:t>Ha comparecido el Abogado del Estado. Ha intervenido el Ministerio Fiscal. Ha sido Ponente el Magistrado don Pablo Pérez Tremps, quien expresa el parecer de la Sala.</w:t>
      </w:r>
    </w:p>
    <w:p w:rsidR="00DE14C9" w:rsidRDefault="00DE14C9" w:rsidP="00DE14C9">
      <w:pPr>
        <w:pStyle w:val="TextoNormal"/>
      </w:pPr>
    </w:p>
    <w:p w:rsidR="00DE14C9" w:rsidRDefault="00DE14C9" w:rsidP="00DE14C9">
      <w:pPr>
        <w:pStyle w:val="TextoNormalNegritaCentrado"/>
        <w:keepNext/>
      </w:pPr>
      <w:r>
        <w:lastRenderedPageBreak/>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xml:space="preserve">. Mediante escrito presentado el 7 de mayo de 2007, doña Ana Lobera Argüelles, Procuradora de los Tribunales, en representación de las agrupaciones de electores Barrikako Abertzale Sozialistak, Berangoko Abertzale Sozialistak, Erandioko Abertzale Sozialistak, Gorlizko Abertzale Sozialistak, Leioako Abertzale Sozialistak, Lemoizko Abertzale Sozialistak, Plentziako Abertzle Sozialistak, Sopelako Abertzale SozialistakUrdulizko Abertzale Sozialistak, interpuso recurso de amparo electoral contra la resolución judicial mencionada en el encabezamiento, siendo registrado con el núm. 4107- 2007. </w:t>
      </w:r>
    </w:p>
    <w:p w:rsidR="00DE14C9" w:rsidRDefault="00DE14C9" w:rsidP="00DE14C9">
      <w:pPr>
        <w:pStyle w:val="TextoNormal"/>
      </w:pPr>
      <w:r>
        <w:t>Los hechos de los que trae causa la presente demanda de amparo son que las agrupaciones de electores citadas presentaron candidaturas a las elecciones a los Ayuntamientos de Barrika, Berango, Erandio, Gorliz, Leioa, Lemoiz, Plentzia, Sopelana y Urduliz (Vizcaya), respectivamente, convocadas por Real Decreto 444/2007, de 31 de marzo, acordándose su proclamación el día 30 de abril de 2007 por la correspondiente Junta Electoral. Los actos de proclamación fueron impugnados mediante recurso contencioso-electoral, interpuesto al amparo del art. 49.1 y 5 LOREG, siendo declarados no conforme a derecho y anulados por la Sentencia de la Sala Especial del art. 61 LOPJ del Tribunal Supremo de 5 de mayo de 2007, no pudiendo concurrir estas agrupaciones, en consecuencia, a las elecciones a celebrar el próximo día 27 de mayo de 2007.</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Mediante escrito presentado el 7 de mayo de 2007, doña Ana Lobera Argüelles, Procuradora de los Tribunales, en representación de la agrupación de electores Getxoko Abertzale Sozialistak, interpuso recurso de amparo electoral contra la resolución judicial mencionada en el encabezamiento, siendo registrado con el núm. 4108-2007. </w:t>
      </w:r>
    </w:p>
    <w:p w:rsidR="00DE14C9" w:rsidRDefault="00DE14C9" w:rsidP="00DE14C9">
      <w:pPr>
        <w:pStyle w:val="TextoNormal"/>
      </w:pPr>
      <w:r>
        <w:t>Los hechos de los que trae causa la presente demanda de amparo son que la agrupación de electores citada presentó una candidatura a las elecciones al Ayuntamiento de Getxo (Vizcaya), convocadas por Real Decreto 444/2007, de 31 de marzo, acordándose su proclamación el día 30 de abril de 2007 por la correspondiente Junta Electoral. El acto de proclamación fue impugnado mediante recurso contencioso-electoral, interpuesto al amparo del art. 49.1 y 5 LOREG, siendo declarado no conforme a derecho y anulado por la Sentencia de la Sala Especial del art. 61 LOPJ del Tribunal Supremo de 5 de mayo de 2007, no pudiendo concurrir esta agrupación, en consecuencia, a las elecciones a celebrar el próximo día 27 de mayo de 2007.</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Mediante escrito presentado el 7 de mayo de 2007, doña Ana Lobera Argüelles, Procuradora de los Tribunales, en representación de las agrupaciones de electores Areatzako Abertzale Sozialistak, Derioko Abertzale Sozialistak, Dimako Abertzale Sozialistak, Igorreko Abertzale Sozialistak, Kolaziñoko Abertzale Sozialistak, Larrabetzuko Abertzale Sozialistak, Lemoako Abertzale Sozialistak, Lezamako Abertzale Sozialistak, Loiuko Abertzale Sozialistak, Sondikako Abertzale Sozialistak, Ubideko Abertzale Sozialistak, Zamudioko Abertzale Sozialistak y Zeaniko Abertzale Sozialistak, interpuso recurso de amparo electoral contra la resolución judicial mencionada en el encabezamiento, siendo registrado con el núm. 4109-2007. </w:t>
      </w:r>
    </w:p>
    <w:p w:rsidR="00DE14C9" w:rsidRDefault="00DE14C9" w:rsidP="00DE14C9">
      <w:pPr>
        <w:pStyle w:val="TextoNormal"/>
      </w:pPr>
      <w:r>
        <w:t xml:space="preserve">Los hechos de los que trae causa la presente demanda de amparo son que las agrupaciones de electores citadas presentaron candidaturas a las elecciones a los Ayuntamientos de Areatza, Derio, Dima, Igorre, Bedia, Larrabetzu, Lemoa, Lezama, Loiu, Sondita, Ubide, Zamudio y Zeanuri (Vizcaya), respectivamente, convocadas por Real Decreto 444/2007, de </w:t>
      </w:r>
      <w:r>
        <w:lastRenderedPageBreak/>
        <w:t>31 de marzo, acordándose su proclamación el día 30 de abril de 2007 por la correspondiente Junta electoral. Los actos de proclamación fueron impugnados mediante recurso contencioso-electoral, interpuesto al amparo del art. 49.1 y 5 LOREG, siendo declarados no conforme a derecho y anulados por la Sentencia de la Sala Especial del art. 61 LOPJ del Tribunal Supremo de 5 de mayo de 2007, no pudiendo concurrir estas agrupaciones, en consecuencia, a las elecciones a celebrar el próximo día 27 de mayo de 2007.</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Mediante escrito presentado el 7 de mayo de 2007, doña Ana Lobera Argüelles, Procuradora de los Tribunales, en representación de las agrupaciones de electores Abantoko Abertzale Sozialistak, Alonsotegiko Abertzale Sozialistak, Artzentalesko Abertzale Sozialistak, Balmasedako Abertzale Sozialistak, Galdamesko Abertzale Sozialistak, Gordexolako Abertzale Sozialistak, Güeñesko Abertzale Sozialistak, Karrantzako Abertzale Sozialistak, Muskizko Abertzale Sozialistak, Ortuellako Abertzale Sozialistak, Trapagarango Abertzale Sozialistak y Zierbenako Abertzale Sozialistak, interpuso recurso de amparo electoral contra la resolución judicial mencionada en el encabezamiento, siendo registrado con el núm. 4110-2007. </w:t>
      </w:r>
    </w:p>
    <w:p w:rsidR="00DE14C9" w:rsidRDefault="00DE14C9" w:rsidP="00DE14C9">
      <w:pPr>
        <w:pStyle w:val="TextoNormal"/>
      </w:pPr>
      <w:r>
        <w:t>Los hechos de los que trae causa la presente demanda de amparo son que las agrupaciones de electores citadas presentaron candidaturas a las elecciones a los Ayuntamientos de Abanto y Ciervaza, Alonsotegi, Artzentales, Balmaceda, Galdames, Gordexola, Güeñes, Karrantza Harana/Valle de Carranza, Muskiz, Ortuella, Valle de Trapaga-Trapagaran y Zierbena (Vizcaya), respectivamente, convocadas por Real Decreto 444/2007, de 31 de marzo, acordándose su proclamación el día 30 de abril de 2007 por la correspondiente Junta electoral. Los actos de proclamación fueron impugnados mediante recurso contencioso-electoral, interpuestos al amparo del art. 49.1 y 5 LOREG, siendo declarados no conforme a derecho y anulados por la Sentencia de la Sala Especial del art. 61 LOPJ del Tribunal Supremo de 5 de mayo de 2007, no pudiendo concurrir estas agrupaciones, en consecuencia, a las elecciones a celebrar el próximo día 27 de mayo de 2007.</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Mediante escrito presentado el 7 de mayo de 2007, doña Ana Lobera Argüelles y don Javier Cuevas Rivas, Procuradores de los Tribunales, en representación de las agrupaciones de electores Ajangizko Abertzale Sozialistak, Arratzuko Abertzale Sozialistak, Bermeoko Abertzale Sozialistak, Busturiko Abertzale Sozialistak, Foruko Abertzale Sozialistak, Gernika-Lumoko Abertzale Sozialistak, Kortezubiko Abertzale Sozialistak, Morgako Abertzale Sozialistak, Mundakako Abertzale Sozialistak, Muxikako Abertzale Sozialistak, Nabarnizko Abertzale Sozialistak, Natxitua, Ea eta Bedaronako Abertzale Socialistak y Sukarrietako Abertzale Sozialistak, interpusieron recurso de amparo electoral contra la resolución judicial mencionada en el encabezamiento, siendo registrado con el núm. 4111-2007. </w:t>
      </w:r>
    </w:p>
    <w:p w:rsidR="00DE14C9" w:rsidRDefault="00DE14C9" w:rsidP="00DE14C9">
      <w:pPr>
        <w:pStyle w:val="TextoNormal"/>
      </w:pPr>
      <w:r>
        <w:t>Los hechos de los que trae causa la presente demanda de amparo son que las agrupaciones de electores citadas presentaron candidaturas a las elecciones a los Ayuntamientos de Ajangiz, Arratzu, Bermeo, Busturia, Forua, Gernika-Lumo, Kortezubi, Morga, Mundana, Muxika, Nabarniz, Ea y Sukarrieta (Vizcaya), respectivamente, convocadas por Real Decreto 444/2007, de 31 de marzo, acordándose su proclamación el día 30 de abril de 2007 por la correspondiente Junta Electoral. Los actos de proclamación fueron impugnados mediante recurso contencioso-electoral, interpuesto al amparo del art. 49.1 y 5 LOREG, siendo declarados no conforme a derecho y anulados por la Sentencia de la Sala Especial del art. 61 LOPJ del Tribunal Supremo de 5 de mayo de 2007, no pudiendo concurrir estas agrupaciones, en consecuencia, a las elecciones a celebrar el próximo día 27 de mayo de 2007.</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6</w:t>
      </w:r>
      <w:r>
        <w:t xml:space="preserve">. Mediante escrito presentado el 7 de mayo de 2007, doña Ana Lobera Argüelles, Procuradora de los Tribunales, en representación de la agrupación de electores Portugaleteko Abertzale Sozialistak, interpuso recurso de amparo electoral contra la resolución judicial mencionada en el encabezamiento, siendo registrado con el núm. 4112-2007. </w:t>
      </w:r>
    </w:p>
    <w:p w:rsidR="00DE14C9" w:rsidRDefault="00DE14C9" w:rsidP="00DE14C9">
      <w:pPr>
        <w:pStyle w:val="TextoNormal"/>
      </w:pPr>
      <w:r>
        <w:t>Los hechos de los que trae causa la presente demanda de amparo son que la agrupación de electores citada presentó una candidatura a las elecciones al Ayuntamiento de Portugalete (Vizcaya), convocadas por Real Decreto 444/2007, de 31 de marzo, acordándose su proclamación el día 30 de abril de 2007 por la correspondiente Junta electoral. El acto de proclamación fue impugnado mediante recurso contencioso-electoral, interpuesto al amparo del art. 49.1 y 5 LOREG, siendo declarado no conforme a derecho y anulado por la Sentencia de la Sala Especial del art. 61 LOPJ del Tribunal Supremo de 5 de mayo de 2007, no pudiendo concurrir esta agrupación, en consecuencia, a las elecciones a celebrar el próximo día 27 de mayo de 2007.</w:t>
      </w:r>
    </w:p>
    <w:p w:rsidR="00DE14C9" w:rsidRDefault="00DE14C9" w:rsidP="00DE14C9">
      <w:pPr>
        <w:pStyle w:val="TextoNormal"/>
      </w:pPr>
    </w:p>
    <w:p w:rsidR="00DE14C9" w:rsidRDefault="00DE14C9" w:rsidP="00DE14C9">
      <w:pPr>
        <w:pStyle w:val="TextoNormal"/>
      </w:pPr>
      <w:r w:rsidRPr="00DE14C9">
        <w:rPr>
          <w:rStyle w:val="NumeroAFNegritaCaracter"/>
        </w:rPr>
        <w:t>7</w:t>
      </w:r>
      <w:r>
        <w:t xml:space="preserve">. Mediante escrito presentado el 7 de mayo de 2007, doña Ana Lobera Argüelles, Procuradora de los Tribunales, en representación de la agrupación de electores Barakaldoko Abertzale Sozialistak, interpuso recurso de amparo electoral contra la resolución judicial mencionada en el encabezamiento, siendo registrado con el núm. 4113-2007. </w:t>
      </w:r>
    </w:p>
    <w:p w:rsidR="00DE14C9" w:rsidRDefault="00DE14C9" w:rsidP="00DE14C9">
      <w:pPr>
        <w:pStyle w:val="TextoNormal"/>
      </w:pPr>
      <w:r>
        <w:t>Los hechos de los que trae causa la presente demanda de amparo son que la agrupación de electores citada presentó una candidatura a las elecciones al Ayuntamiento de Barakaldo (Vizcaya), convocadas por Real Decreto 444/2007, de 31 de marzo, acordándose su proclamación el día 30 de abril de 2007 por la correspondiente Junta electoral. El acto de proclamación fue impugnado mediante recurso contencioso-electoral, interpuesto al amparo del art. 49.1 y 5 LOREG, siendo declarado no conforme a derecho y anulado por la Sentencia de la Sala Especial del art. 61 LOPJ del Tribunal Supremo de 5 de mayo de 2007, no pudiendo concurrir esta agrupación, en consecuencia, a las elecciones a celebrar el próximo día 27 de mayo de 2007.</w:t>
      </w:r>
    </w:p>
    <w:p w:rsidR="00DE14C9" w:rsidRDefault="00DE14C9" w:rsidP="00DE14C9">
      <w:pPr>
        <w:pStyle w:val="TextoNormal"/>
      </w:pPr>
    </w:p>
    <w:p w:rsidR="00DE14C9" w:rsidRDefault="00DE14C9" w:rsidP="00DE14C9">
      <w:pPr>
        <w:pStyle w:val="TextoNormal"/>
      </w:pPr>
      <w:r w:rsidRPr="00DE14C9">
        <w:rPr>
          <w:rStyle w:val="NumeroAFNegritaCaracter"/>
        </w:rPr>
        <w:t>8</w:t>
      </w:r>
      <w:r>
        <w:t xml:space="preserve">. Mediante escrito presentado el 7 de mayo de 2007, doña Ana Lobera Argüelles, Procuradora de los Tribunales, en representación de la agrupación de electores Santurtziko Abertzale Sozialistak, interpuso recurso de amparo electoral contra la resolución judicial mencionada en el encabezamiento, siendo registrado con el núm. 4114-2007. </w:t>
      </w:r>
    </w:p>
    <w:p w:rsidR="00DE14C9" w:rsidRDefault="00DE14C9" w:rsidP="00DE14C9">
      <w:pPr>
        <w:pStyle w:val="TextoNormal"/>
      </w:pPr>
      <w:r>
        <w:t>Los hechos de los que trae causa la presente demanda de amparo son que la agrupación de electores citada presentó una candidatura a las elecciones al Ayuntamiento de Santurtzi (Vizcaya), convocadas por Real Decreto 444/2007, de 31 de marzo, acordándose su proclamación el día 30 de abril de 2007 por la correspondiente Junta electoral. El acto de proclamación fue impugnado mediante recurso contencioso-electoral, interpuesto al amparo del art. 49.1 y 5 LOREG, siendo declarado no conforme a derecho y anulado por la Sentencia de la Sala Especial del art. 61 LOPJ del Tribunal Supremo de 5 de mayo de 2007, no pudiendo concurrir esta agrupación, en consecuencia, a las elecciones a celebrar el próximo día 27 de mayo de 2007.</w:t>
      </w:r>
    </w:p>
    <w:p w:rsidR="00DE14C9" w:rsidRDefault="00DE14C9" w:rsidP="00DE14C9">
      <w:pPr>
        <w:pStyle w:val="TextoNormal"/>
      </w:pPr>
    </w:p>
    <w:p w:rsidR="00DE14C9" w:rsidRDefault="00DE14C9" w:rsidP="00DE14C9">
      <w:pPr>
        <w:pStyle w:val="TextoNormal"/>
      </w:pPr>
      <w:r w:rsidRPr="00DE14C9">
        <w:rPr>
          <w:rStyle w:val="NumeroAFNegritaCaracter"/>
        </w:rPr>
        <w:t>9</w:t>
      </w:r>
      <w:r>
        <w:t xml:space="preserve">. Mediante escrito presentado el 7 de mayo de 2007, doña Ana Lobera Argüelles, Procuradora de los Tribunales, en representación de las agrupaciones de electores Abadiñoko Abertzale Sozialistak, Atxondoko Abertzale Sozialistak, Berrizko Abertzale Sozialistak, Durangoko Abertzale Sozialistak, Elorrioko Abertzale Sozialistak, Ermuko Abertzale Sozialistak, Iurretako Abertzale Sozialistak, Izurtzako Abertzale Sozialistak, Mallabiako </w:t>
      </w:r>
      <w:r>
        <w:lastRenderedPageBreak/>
        <w:t xml:space="preserve">Abertzale Sozialistak, Mañariako Abertzale Sozialistak, Zaldibarko Abertzale Sozialistak y Zornotzako Abertzale Sozialistak, interpuso recurso de amparo electoral contra la resolución judicial mencionada en el encabezamiento, siendo registrado con el núm. 4115-2007. </w:t>
      </w:r>
    </w:p>
    <w:p w:rsidR="00DE14C9" w:rsidRDefault="00DE14C9" w:rsidP="00DE14C9">
      <w:pPr>
        <w:pStyle w:val="TextoNormal"/>
      </w:pPr>
      <w:r>
        <w:t>Los hechos de los que trae causa la presente demanda de amparo son que las agrupaciones de electores citadas presentaron candidaturas a las elecciones a los Ayuntamientos de Abadiño, Atxondo, Berriz, Durango, Elorrio, Ermua, Iurreta, Izurtza, Mallabia, Mañaria, Zaldibar y Amorebieta-Etxano (Vizcaya), respectivamente, convocadas por Real Decreto 444/2007, de 31 de marzo, acordándose su proclamación el día 30 de abril de 2007 por la correspondiente Junta electoral. Los actos de proclamación fueron impugnados mediante recurso contencioso-electoral, interpuesto al amparo del art. 49.1 y 5 LOREG, siendo declarados no conforme a derecho y anulados por la Sentencia de la Sala Especial del art. 61 LOPJ del Tribunal Supremo de 5 de mayo de 2007, no pudiendo concurrir estas agrupaciones, en consecuencia, a las elecciones a celebrar el próximo día 27 de mayo de 2007.</w:t>
      </w:r>
    </w:p>
    <w:p w:rsidR="00DE14C9" w:rsidRDefault="00DE14C9" w:rsidP="00DE14C9">
      <w:pPr>
        <w:pStyle w:val="TextoNormal"/>
      </w:pPr>
    </w:p>
    <w:p w:rsidR="00DE14C9" w:rsidRDefault="00DE14C9" w:rsidP="00DE14C9">
      <w:pPr>
        <w:pStyle w:val="TextoNormal"/>
      </w:pPr>
      <w:r w:rsidRPr="00DE14C9">
        <w:rPr>
          <w:rStyle w:val="NumeroAFNegritaCaracter"/>
        </w:rPr>
        <w:t>10</w:t>
      </w:r>
      <w:r>
        <w:t xml:space="preserve">. Mediante escrito presentado el 7 de mayo de 2007, doña Ana Lobera Argüelles y don Javier Cuevas Rivas, Procuradores de los Tribunales, en representación de las agrupaciones de electores Aiako Abertzale Sozialistak, Alegiako Abertzale Sozialistak, Amasa Villabonako Abertzale Sozialistak, Amezketako Abertzale Sozialistak, Anoetako Abertzale Sozialistak, Asteasuko Abertzale Sozialistak, Azkoitiko Abertzale Sozialistak, Azpeitiko Abertzale Sozialistak, Belauntzako Abertzale Sozialistak, Berastegiko Abertzale Sozialistak, Debako Abertzale Sozialistak, Elduaingo Abertzale Sozialistak, Errezilgo Abertzale Sozialistak, Getariako Abertzale Sozialistak, Ibarrako Abertzale Sozialistak, Ikaztegietako Abertzale Sozialistak, Leaburu-Txarama Abertzale Sozialistak, Lizartzako Abertzale Sozialistak, Orendaingo Abertzale Sozialistak, Orexako Abertzale Sozialistak, Orioko Abertzale Sozialistak, Ormaiztegiko Abertzale Sozialistak, Segurako Abertzale Sozialistak, Tolosako Abertzale Sozialistak, Zarauzko Abertzale Sozialistak, Zegamako Abertzale Sozialistak, Zestoako Abertzale Sozialistak, Zizurkilgo Abertzale Sozialistak y Zumaiako Abertzale Sozialistak, interpusieron recurso de amparo electoral contra la resolución judicial mencionada en el encabezamiento, siendo registrado con el núm. 4116-2007. </w:t>
      </w:r>
    </w:p>
    <w:p w:rsidR="00DE14C9" w:rsidRDefault="00DE14C9" w:rsidP="00DE14C9">
      <w:pPr>
        <w:pStyle w:val="TextoNormal"/>
      </w:pPr>
      <w:r>
        <w:t>Los hechos de los que trae causa la presente demanda de amparo son que las agrupaciones de electores citadas presentaron candidaturas a las elecciones a los Ayuntamientos de Aia, Alegia, Villabona, Amezketa, Anoeta, Asteasu, Azkoitia, Azpeitia, Belauntza, Berastegi, Deba, Elduain, Errezil, Getaria, Ibarra, Ikaztegieta, Leaburu, Lizartza, Orendain, Orexa, Orio, Ormaiztegi, Segura, Tolosa, Zarautz, Zegama, Zestoa, Zizurkil y Zumaia (Guipúzcoa), respectivamente, convocadas por Real Decreto 444/2007, de 31 de marzo, acordándose su proclamación el día 30 de abril de 2007 por la correspondiente Junta electoral. Los actos de proclamación fueron impugnados mediante recurso contencioso- electoral, interpuesto al amparo del art. 49.1 y 5 LOREG, siendo declarados no conforme a derecho y anulados por la Sentencia de la Sala Especial del art. 61 LOPJ del Tribunal Supremo de 5 de mayo de 2007, no pudiendo concurrir estas agrupaciones, en consecuencia, a las elecciones a celebrar el próximo día 27 de mayo de 2007.</w:t>
      </w:r>
    </w:p>
    <w:p w:rsidR="00DE14C9" w:rsidRDefault="00DE14C9" w:rsidP="00DE14C9">
      <w:pPr>
        <w:pStyle w:val="TextoNormal"/>
      </w:pPr>
    </w:p>
    <w:p w:rsidR="00DE14C9" w:rsidRDefault="00DE14C9" w:rsidP="00DE14C9">
      <w:pPr>
        <w:pStyle w:val="TextoNormal"/>
      </w:pPr>
      <w:r w:rsidRPr="00DE14C9">
        <w:rPr>
          <w:rStyle w:val="NumeroAFNegritaCaracter"/>
        </w:rPr>
        <w:t>11</w:t>
      </w:r>
      <w:r>
        <w:t xml:space="preserve">. Mediante escrito presentado el 7 de mayo de 2007, doña Ana Lobera Argüelles, Procuradora de los Tribunales, en representación de las agrupaciones de electores Arabako Abertzale Sozialistak, Arabako Abertzale Sozialistak - Gasteiz Aas, Arabako Abertzale Sozialistak - Lur Jareak, Aguraingo Abertzale Sozialistak, Aiarako Abertzale Sozialistak, Amurrioko Abertzale Sozialistak, Añanako Abertzale Sozialistak, Aramaioko Abertzale </w:t>
      </w:r>
      <w:r>
        <w:lastRenderedPageBreak/>
        <w:t xml:space="preserve">Sozialistak, Arrazuako Abertzale Sozialistak, Artziniegako Abertzale Sozialistak, Asparrengo Abertzale Sozialistak, Barrundiako Abertzale Sozialistak, Bastidako Abertzale Sozialistak, Bernedoko Abertzale Sozialistak, Biasteriko Abertzale Sozialistak, Donemiliagako Abertzale Sozialistak, Dulantziko Abertzale Sozialistak, Errigoitiako Abertzale Sozialistak, Eskuernagako Abertzale Sozilistak, Gasteizko Abertzale Sozialistak, Haranako Abertzale Sozialistak, Iongo Abertzale Sozialistak, Iruña-Okako Abertzale Sozialistak, Iruraiz-Gaunako Abertzale Sozialistak, Kanpezuko Abertzale Sozialistak, Kuartangoko Abertzale Sozialistak, Lantarongo Abertzale Sozialistak, Laudioko Abertzale Sozialistak, Legutioko Abertzale Sozialistak, Maeztuko Abertzale Sozialistak, Okondoko Abertzale Sozialistak, Samaniegoko Abertzale Sozialistak, Urkabustaizko Abertzale Sozialistak, Zigoitiako Abertzale Sozialistak y Zuiako Abertzale Sozialistak, interpuso recurso de amparo electoral contra la resolución judicial mencionada en el encabezamiento, siendo registrado con el núm. 4117-2007. </w:t>
      </w:r>
    </w:p>
    <w:p w:rsidR="00DE14C9" w:rsidRDefault="00DE14C9" w:rsidP="00DE14C9">
      <w:pPr>
        <w:pStyle w:val="TextoNormal"/>
      </w:pPr>
      <w:r>
        <w:t>Los hechos de los que trae causa la presente demanda de amparo son que las agrupaciones de electores Arabako Abertzale Sozialistak, Arabako Abertzale Sozialistak - Gasteiz Aas, Arabako Abertzale Sozialistak - Lur Jareak presentaron candidaturas a las elecciones a las Juntas Generales de Álava, convocadas por Decreto Foral del Diputado General 79/2007, de 2 de abril y las restantes agrupaciones citadas a los Ayuntamientos de Salvatierra/Agurain, Ayala/Aiara, Amurrio, Añana, Aramaio, Arrazua/Ubarrundia, Artziniega, Aspárrena, Barrundia, Labastida/Bastida, Bernedo, Laguardia, San Millán/Donemiliaga, Alegría-Dulantzi, Ribera Alta, Villabuena/Eskueraga, Vitoria-Gasteiz, Harana/Valle de Arana, Oyón/Oion, Iruña, Oka/Iruña de Oca, Iruraiz, Gauna, Campezo/Kanpezu, Kuartango, Lantarón, Laudio/Llodio, Legutiano, Arraia-Maeztu, Orondo, Samaniego, Urkabustaiz, Zigoitia, Zuia (Álava), respectivamente, convocadas por Real Decreto 444/2007, de 31 de marzo, acordándose su proclamación el día 30 de abril de 2007 por la correspondiente Junta Electoral de Zona. Los actos de proclamación fueron impugnados mediante recurso contencioso-electoral, interpuesto al amparo del art. 49.1 y 5 LOREG, siendo declarados no conformes a derecho y anulados por Sentencias de la Sala Especial del art. 61 LOPJ del Tribunal Supremo de 5 de mayo de 2007, no pudiendo concurrir, en consecuencia, a las elecciones a celebrar el próximo día 27 de mayo de 2007.</w:t>
      </w:r>
    </w:p>
    <w:p w:rsidR="00DE14C9" w:rsidRDefault="00DE14C9" w:rsidP="00DE14C9">
      <w:pPr>
        <w:pStyle w:val="TextoNormal"/>
      </w:pPr>
    </w:p>
    <w:p w:rsidR="00DE14C9" w:rsidRDefault="00DE14C9" w:rsidP="00DE14C9">
      <w:pPr>
        <w:pStyle w:val="TextoNormal"/>
      </w:pPr>
      <w:r w:rsidRPr="00DE14C9">
        <w:rPr>
          <w:rStyle w:val="NumeroAFNegritaCaracter"/>
        </w:rPr>
        <w:t>12</w:t>
      </w:r>
      <w:r>
        <w:t xml:space="preserve">. Mediante escrito presentado el 7 de mayo de 2007, doña Ana Lobera Argüelles y don Javier Cuevas Rivas, Procuradores de los Tribunales, en representación de las agrupaciones de electores Bilbo Mugabarruko Abertzale Sozialistak, Busturia-Uribe Mugabarruko Abertzale Sozialistak, Durango-Arratia Mugabarruko Abertzale Sozialistak y Enkarterriak Mugabarruko Abertzale Sozialistak, interpusieron recurso de amparo electoral contra la resolución judicial mencionada en el encabezamiento, siendo registrado con el núm. 4118-2007. </w:t>
      </w:r>
    </w:p>
    <w:p w:rsidR="00DE14C9" w:rsidRDefault="00DE14C9" w:rsidP="00DE14C9">
      <w:pPr>
        <w:pStyle w:val="TextoNormal"/>
      </w:pPr>
      <w:r>
        <w:t>Los hechos de los que trae causa la presente demanda de amparo son que las agrupaciones de electores citadas presentaron candidatura a las elecciones a las Juntas Generales del Territorio Histórico de Vizcaya, convocadas por Decreto Foral del Diputado General 179/2007, de 2 de abril, acordándose su proclamación el día 30 de abril de 2007 por la correspondiente Junta electoral. Los actos de proclamación fueron impugnados mediante recurso contencioso-electoral, interpuesto al amparo del art. 49.1 y 5 LOREG, siendo declarados no conforme a derecho y anulados por la Sentencia de la Sala Especial del art. 61 LOPJ del Tribunal Supremo de 5 de mayo de 2007, no pudiendo concurrir estas agrupaciones, en consecuencia, a las elecciones a celebrar el próximo día 27 de mayo de 2007.</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13</w:t>
      </w:r>
      <w:r>
        <w:t xml:space="preserve">. Mediante escrito presentado el 7 de mayo de 2007, doña Ana Lobera Argüelles, Procuradora de los Tribunales, en representación de las agrupaciones de electores Astigarragako Abertzale Sozialistak, Donostiako Abertzale Sozialistak, Hernaniko Abertzale Sozialistak, Lasarte-Oriako Abertzale Sozialistak, Urnietako Abertzale Sozialistak y Usurbilgo Abertzale Sozialistak, interpuso recurso de amparo electoral contra la resolución judicial mencionada en el encabezamiento, siendo registrado con el núm. 4119-2007. </w:t>
      </w:r>
    </w:p>
    <w:p w:rsidR="00DE14C9" w:rsidRDefault="00DE14C9" w:rsidP="00DE14C9">
      <w:pPr>
        <w:pStyle w:val="TextoNormal"/>
      </w:pPr>
      <w:r>
        <w:t>Los hechos de los que trae causa la presente demanda de amparo son que las agrupaciones de electores citadas presentaron candidaturas a las elecciones a los Ayuntamientos de Astigarraga, Donostia-San Sebastián, Hernani, Lasarte-Oria, Urnieta y Usurbil (Guipúzcoa), respectivamente, convocadas por Real Decreto 444/2007, de 31 de marzo, acordándose su proclamación el día 30 de abril de 2007 por la correspondiente Junta Electoral. Los actos de proclamación fueron impugnados mediante recurso contencioso-electoral, interpuesto al amparo del art. 49.1 y 5 LOREG, siendo declarados no conforme a derecho y anulados por la Sentencia de la Sala Especial del art. 61 LOPJ del Tribunal Supremo de 5 de mayo de 2007, no pudiendo concurrir estas agrupaciones, en consecuencia, a las elecciones a celebrar el próximo día 27 de mayo de 2007.</w:t>
      </w:r>
    </w:p>
    <w:p w:rsidR="00DE14C9" w:rsidRDefault="00DE14C9" w:rsidP="00DE14C9">
      <w:pPr>
        <w:pStyle w:val="TextoNormal"/>
      </w:pPr>
    </w:p>
    <w:p w:rsidR="00DE14C9" w:rsidRDefault="00DE14C9" w:rsidP="00DE14C9">
      <w:pPr>
        <w:pStyle w:val="TextoNormal"/>
      </w:pPr>
      <w:r w:rsidRPr="00DE14C9">
        <w:rPr>
          <w:rStyle w:val="NumeroAFNegritaCaracter"/>
        </w:rPr>
        <w:t>14</w:t>
      </w:r>
      <w:r>
        <w:t xml:space="preserve">. Mediante escrito presentado el 7 de mayo de 2007, doña Ana Lobera Argüelles, Procuradora de los Tribunales, en representación de las agrupaciones de electores Bidasoa- Oiartzungo Abertzale Sozialistak y Donostialdeako Abertzale Sozialistak, interpuso recurso de amparo electoral contra la resolución judicial mencionada en el encabezamiento, siendo registrado con el núm. 4120-2007. </w:t>
      </w:r>
    </w:p>
    <w:p w:rsidR="00DE14C9" w:rsidRDefault="00DE14C9" w:rsidP="00DE14C9">
      <w:pPr>
        <w:pStyle w:val="TextoNormal"/>
      </w:pPr>
      <w:r>
        <w:t>Los hechos de los que trae causa la presente demanda de amparo son que las agrupaciones de electores citadas presentaron candidatura a las elecciones a las Juntas Generales de Guipúzcoa, convocadas por Decreto Foral 19/2007, de 2 de abril, acordándose su proclamación el día 30 de abril de 2007 por la correspondiente Junta Electoral. Los actos de proclamación fueron impugnados mediante recurso contencioso-electoral, interpuesto al amparo del art. 49.1 y 5 LOREG, siendo declarados no conforme a derecho y anulados por la Sentencia de del art. 61 LOPJ del Tribunal Supremo de 5 de mayo de 2007, no pudiendo concurrir estas agrupaciones, en consecuencia, a las elecciones a celebrar el próximo día 27 de mayo de 2007.</w:t>
      </w:r>
    </w:p>
    <w:p w:rsidR="00DE14C9" w:rsidRDefault="00DE14C9" w:rsidP="00DE14C9">
      <w:pPr>
        <w:pStyle w:val="TextoNormal"/>
      </w:pPr>
    </w:p>
    <w:p w:rsidR="00DE14C9" w:rsidRDefault="00DE14C9" w:rsidP="00DE14C9">
      <w:pPr>
        <w:pStyle w:val="TextoNormal"/>
      </w:pPr>
      <w:r w:rsidRPr="00DE14C9">
        <w:rPr>
          <w:rStyle w:val="NumeroAFNegritaCaracter"/>
        </w:rPr>
        <w:t>15</w:t>
      </w:r>
      <w:r>
        <w:t xml:space="preserve">. Mediante escrito presentado el 7 de mayo de 2007, doña Ana Lobera Argüelles, Procuradora de los Tribunales, en representación de la agrupación de electores Sestaoko Abertzale Sozialistak, interpuso recurso de amparo electoral contra la resolución judicial mencionada en el encabezamiento, siendo registrado con el núm. 4121-2007. </w:t>
      </w:r>
    </w:p>
    <w:p w:rsidR="00DE14C9" w:rsidRDefault="00DE14C9" w:rsidP="00DE14C9">
      <w:pPr>
        <w:pStyle w:val="TextoNormal"/>
      </w:pPr>
      <w:r>
        <w:t>Los hechos de los que trae causa la presente demanda de amparo son que la agrupación de electores citada presentó una candidatura a las elecciones al Ayuntamiento de Sestao (Vizcaya), convocadas por Real Decreto 444/2007, de 31 de marzo, acordándose su proclamación el día 30 de abril de 2007 por la correspondiente Junta electoral. El acto de proclamación fue impugnado mediante recurso contencioso-electoral, interpuesto al amparo del art. 49.1 y 5 LOREG, siendo declarado no conforme a derecho y anulado por la Sentencia de la Sala Especial del art. 61 LOPJ del Tribunal Supremo de 5 de mayo de 2007, no pudiendo concurrir esta agrupación, en consecuencia, a las elecciones a celebrar el próximo día 27 de mayo de 2007.</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16</w:t>
      </w:r>
      <w:r>
        <w:t xml:space="preserve">. Mediante escrito presentado el 7 de mayo de 2007, doña Ana Lobera Argüelles, Procuradora de los Tribunales, en representación de las agrupaciones de electores Arrankudiaga eta Zolloko Abertzale Sozialistak, Arrigorriagako Abertzale Sozialistak, Basauriko Abertzale Sozialistak, Etxebarriko Abertzale Sozialistak, Galdakaoko Abertzale Sozialistak, Orozkoko Abertzale Sozialistak, Ugaoko Abertzale Sozialistak, Urduñako Abertzale Sozialistak, Zaratamoko Abertzale Sozialistak y Zeberioko Abertzale Sozialistak, interpuso recurso de amparo electoral contra la resolución judicial mencionada en el encabezamiento, siendo registrado con el núm. 4122-2007. </w:t>
      </w:r>
    </w:p>
    <w:p w:rsidR="00DE14C9" w:rsidRDefault="00DE14C9" w:rsidP="00DE14C9">
      <w:pPr>
        <w:pStyle w:val="TextoNormal"/>
      </w:pPr>
      <w:r>
        <w:t>Los hechos de los que trae causa la presente demanda de amparo son que las agrupaciones de electores citadas presentaron candidaturas a las elecciones a los Ayuntamientos de Arrankudiaga, Arrigorriaga, Basauri, Etxebarri, Galdakao, Orozco, Ugao-Miraballes, Urduña-Orduña, Zaratamo y Zeberio (Vizcaya), respectivamente, convocadas por Real Decreto 444/2007, de 31 de marzo, acordándose su proclamación el día 30 de abril de 2007 por la correspondiente Junta electoral. Los actos de proclamación fueron impugnados mediante recurso contencioso-electoral, interpuesto al amparo del art. 49.1 y 5 LOREG, siendo declarados no conforme a derecho y anulados por la Sentencia de la Sala Especial del art. 61 LOPJ del Tribunal Supremo de 5 de mayo de 2007, no pudiendo concurrir estas agrupaciones, en consecuencia, a las elecciones a celebrar el próximo día 27 de mayo de 2007.</w:t>
      </w:r>
    </w:p>
    <w:p w:rsidR="00DE14C9" w:rsidRDefault="00DE14C9" w:rsidP="00DE14C9">
      <w:pPr>
        <w:pStyle w:val="TextoNormal"/>
      </w:pPr>
    </w:p>
    <w:p w:rsidR="00DE14C9" w:rsidRDefault="00DE14C9" w:rsidP="00DE14C9">
      <w:pPr>
        <w:pStyle w:val="TextoNormal"/>
      </w:pPr>
      <w:r w:rsidRPr="00DE14C9">
        <w:rPr>
          <w:rStyle w:val="NumeroAFNegritaCaracter"/>
        </w:rPr>
        <w:t>17</w:t>
      </w:r>
      <w:r>
        <w:t xml:space="preserve">. Mediante escrito presentado el 7 de mayo de 2007, doña Ana Lobera Argüelles y don Javier Cuevas Rivas, Procuradores de los Tribunales, en representación de la agrupación de electores Hondarribiako Abertzale Sozialistak, interpusieron recurso de amparo electoral contra la resolución judicial mencionada en el encabezamiento, siendo registrado con el núm. 4123-2007. </w:t>
      </w:r>
    </w:p>
    <w:p w:rsidR="00DE14C9" w:rsidRDefault="00DE14C9" w:rsidP="00DE14C9">
      <w:pPr>
        <w:pStyle w:val="TextoNormal"/>
      </w:pPr>
      <w:r>
        <w:t>Los hechos de los que trae causa la presente demanda de amparo son que la agrupación de electores citada presentó una candidatura a las elecciones al Ayuntamiento de Hondarribia (Guipúzcoa), convocadas por Real Decreto 444/2007, de 31 de marzo, acordándose su proclamación el día 30 de abril de 2007 por la correspondiente Junta Electoral. El acto de proclamación fue impugnado mediante recurso contencioso-electoral, interpuesto al amparo del art. 49.1 y 5 LOREG, siendo declarado no conforme a derecho y anulado por la Sentencia de la Sala Especial del art. 61 LOPJ del Tribunal Supremo de 5 de mayo de 2007, no pudiendo concurrir esta agrupación, en consecuencia, a las elecciones a celebrar el próximo día 27 de mayo de 2007.</w:t>
      </w:r>
    </w:p>
    <w:p w:rsidR="00DE14C9" w:rsidRDefault="00DE14C9" w:rsidP="00DE14C9">
      <w:pPr>
        <w:pStyle w:val="TextoNormal"/>
      </w:pPr>
    </w:p>
    <w:p w:rsidR="00DE14C9" w:rsidRDefault="00DE14C9" w:rsidP="00DE14C9">
      <w:pPr>
        <w:pStyle w:val="TextoNormal"/>
      </w:pPr>
      <w:r w:rsidRPr="00DE14C9">
        <w:rPr>
          <w:rStyle w:val="NumeroAFNegritaCaracter"/>
        </w:rPr>
        <w:t>18</w:t>
      </w:r>
      <w:r>
        <w:t xml:space="preserve">. Mediante escrito presentado el 7 de mayo de 2007, doña Ana Lobera Argüelles y don Javier Cuevas Rivas, Procuradores de los Tribunales, en representación de las agrupaciones de electores Irungo Abertzale Sozialistak, Lezoko Abertzale Sozialistak y Oreretako Abertzale Sozialistak, interpusieron recurso de amparo electoral contra la resolución judicial mencionada en el encabezamiento, siendo registrado con el núm. 4124- 2007. </w:t>
      </w:r>
    </w:p>
    <w:p w:rsidR="00DE14C9" w:rsidRDefault="00DE14C9" w:rsidP="00DE14C9">
      <w:pPr>
        <w:pStyle w:val="TextoNormal"/>
      </w:pPr>
      <w:r>
        <w:t xml:space="preserve">Los hechos de los que trae causa la presente demanda de amparo son que las agrupaciones de electores citadas presentaron candidaturas a las elecciones a los Ayuntamientos de Irun, Lezo y Errenteria (Guipúzcoa), respectivamente, convocadas por Real Decreto 444/2007, de 31 de marzo, acordándose su proclamación el día 30 de abril de 2007 por la correspondiente Junta electoral. Los actos de proclamación fueron impugnados mediante recurso contencioso-electoral, interpuesto al amparo del art. 49.1 y 5 LOREG, siendo declarados no conforme a derecho y anulados por la Sentencia de la Sala Especial del art. 61 </w:t>
      </w:r>
      <w:r>
        <w:lastRenderedPageBreak/>
        <w:t>LOPJ del Tribunal Supremo de 5 de mayo de 2007, no pudiendo concurrir estas agrupaciones, en consecuencia, a las elecciones a celebrar el próximo día 27 de mayo de 2007.</w:t>
      </w:r>
    </w:p>
    <w:p w:rsidR="00DE14C9" w:rsidRDefault="00DE14C9" w:rsidP="00DE14C9">
      <w:pPr>
        <w:pStyle w:val="TextoNormal"/>
      </w:pPr>
    </w:p>
    <w:p w:rsidR="00DE14C9" w:rsidRDefault="00DE14C9" w:rsidP="00DE14C9">
      <w:pPr>
        <w:pStyle w:val="TextoNormal"/>
      </w:pPr>
      <w:r w:rsidRPr="00DE14C9">
        <w:rPr>
          <w:rStyle w:val="NumeroAFNegritaCaracter"/>
        </w:rPr>
        <w:t>19</w:t>
      </w:r>
      <w:r>
        <w:t xml:space="preserve">. Mediante escrito presentado el 7 de mayo de 2007, doña Ana Lobera Argüelles y don Javier Cuevas Rivas, Procuradores de los Tribunales, en representación de las agrupaciones de electores Oiartzungo Abertzale Sozialistak y Pasaiako Abertzale Sozialistak, interpusieron recurso de amparo electoral contra la resolución judicial mencionada en el encabezamiento, siendo registrado con el núm. 4125-2007. </w:t>
      </w:r>
    </w:p>
    <w:p w:rsidR="00DE14C9" w:rsidRDefault="00DE14C9" w:rsidP="00DE14C9">
      <w:pPr>
        <w:pStyle w:val="TextoNormal"/>
      </w:pPr>
      <w:r>
        <w:t>Los hechos de los que trae causa la presente demanda de amparo son que las agrupaciones de electores citadas presentaron candidaturas a las elecciones a los Ayuntamientos de Oiartzun y Pasaia (Guipúzcoa), respectivamente, convocadas por Real Decreto 444/2007, de 31 de marzo, acordándose su proclamación el día 30 de abril de 2007 por la correspondiente Junta Electoral. Los actos de proclamación fueron impugnados mediante recurso contencioso-electoral, interpuesto al amparo del art. 49.1 y 5 LOREG, siendo declarados no conforme a derecho y anulados por la Sentencia de la Sala Especial del art. 61 LOPJ del Tribunal Supremo de 5 de mayo de 2007, no pudiendo concurrir estas agrupaciones, en consecuencia, a las elecciones a celebrar el próximo día 27 de mayo de 2007.</w:t>
      </w:r>
    </w:p>
    <w:p w:rsidR="00DE14C9" w:rsidRDefault="00DE14C9" w:rsidP="00DE14C9">
      <w:pPr>
        <w:pStyle w:val="TextoNormal"/>
      </w:pPr>
    </w:p>
    <w:p w:rsidR="00DE14C9" w:rsidRDefault="00DE14C9" w:rsidP="00DE14C9">
      <w:pPr>
        <w:pStyle w:val="TextoNormal"/>
      </w:pPr>
      <w:r w:rsidRPr="00DE14C9">
        <w:rPr>
          <w:rStyle w:val="NumeroAFNegritaCaracter"/>
        </w:rPr>
        <w:t>20</w:t>
      </w:r>
      <w:r>
        <w:t xml:space="preserve">. Mediante escrito presentado el 7 de mayo de 2007, doña Ana Lobera Argüelles y don Javier Cuevas Rivas, Procuradores de los Tribunales, en representación de las agrupaciones de electores Arrietako Abertzale Sozialistak, Bakioko Abertzale Sozialistak, Bilboko Abertzale Sozialistak, Fruizko Abertzale Sozialistak, Gamiz-Fikako Abertzale Sozialistak, Laukizko Abertzale Sozialistak, Maruri-Jatabeko Abertzale Sozialistak, Meñako Abertzale Sozialistak y Mungiako Abertzale Sozialistak, interpusieron recurso de amparo electoral contra la resolución judicial mencionada en el encabezamiento, siendo registrado con el núm. 4126-2007. </w:t>
      </w:r>
    </w:p>
    <w:p w:rsidR="00DE14C9" w:rsidRDefault="00DE14C9" w:rsidP="00DE14C9">
      <w:pPr>
        <w:pStyle w:val="TextoNormal"/>
      </w:pPr>
      <w:r>
        <w:t>Los hechos de los que trae causa la presente demanda de amparo son que las agrupaciones de electores citadas presentaron candidaturas a las elecciones a los Ayuntamientos de Arrieta, Bakio, Bilbao, Fruiz, Gamiz-Fika, Laukiz, Maruri-Jatabe, Meñaka y Mungia (Vizcaya), respectivamente, convocadas por Real Decreto 444/2007, de 31 de marzo, acordándose su proclamación el día 30 de abril de 2007 por la correspondiente Junta Electoral. Los actos de proclamación fueron impugnados mediante recurso contencioso-electoral, interpuesto al amparo del art. 49.1 y 5 LOREG, siendo declarados no conforme a derecho y anulados por la Sentencia de la Sala Especial del art. 61 LOPJ del Tribunal Supremo de 5 de mayo de 2007, no pudiendo concurrir estas agrupaciones, en consecuencia, a las elecciones a celebrar el próximo día 27 de mayo de 2007.</w:t>
      </w:r>
    </w:p>
    <w:p w:rsidR="00DE14C9" w:rsidRDefault="00DE14C9" w:rsidP="00DE14C9">
      <w:pPr>
        <w:pStyle w:val="TextoNormal"/>
      </w:pPr>
    </w:p>
    <w:p w:rsidR="00DE14C9" w:rsidRDefault="00DE14C9" w:rsidP="00DE14C9">
      <w:pPr>
        <w:pStyle w:val="TextoNormal"/>
      </w:pPr>
      <w:r w:rsidRPr="00DE14C9">
        <w:rPr>
          <w:rStyle w:val="NumeroAFNegritaCaracter"/>
        </w:rPr>
        <w:t>21</w:t>
      </w:r>
      <w:r>
        <w:t xml:space="preserve">. Mediante escrito presentado el 7 de mayo de 2007, doña Ana Lobera Argüelles, son Javier Cuevas Rivas y don Antonio Álvarez-Buylla Ballesteros, Procuradores de los Tribunales, en representación de las agrupaciones de electores Oriako Abertzale Sozialistak, Andoaingo Abertzale Sozialistak, Ataungo Abertzale Sozialistak, Beasain Abertzale Sozialistak, Idiazabalgo Abertzale Sozialistak, Itsasondo Abertzale Sozialistak, Lazkaoko Abertzale Sozialistak, Legorretako Abertzale Sozialistak, Olaberriko Abertzale Sozialistak, Ordiziako Abertzale Sozialistak y Zaldibiako Abertzale Sozialistak, interpusieron recurso de amparo electoral contra la resolución judicial mencionada en el encabezamiento, siendo registrado con el núm. 4127-2007. </w:t>
      </w:r>
    </w:p>
    <w:p w:rsidR="00DE14C9" w:rsidRDefault="00DE14C9" w:rsidP="00DE14C9">
      <w:pPr>
        <w:pStyle w:val="TextoNormal"/>
      </w:pPr>
      <w:r>
        <w:lastRenderedPageBreak/>
        <w:t>Los hechos de los que trae causa la presente demanda de amparo son que la agrupación de electores Oriako Abertzale Sozialistak presentó candidatura a las elecciones a las Juntas Generales de Guipúzcoa, convocadas por Decreto Foral 19/2007, de 2 de abril y las restantes agrupaciones citadas a los Ayuntamientos de Andoain, Ataun, Beasain, Idiazabal, Itsasondo, Lazkao, Legorreta, Olaberria, Ordizia y Zaldibia (Guipúzcoa), respectivamente, convocadas por Real Decreto 444/2007, de 31 de marzo, acordándose su proclamación el día 30 de abril de 2007 por la correspondiente Junta Electoral de Zona. Los actos de proclamación fueron impugnados mediante recurso contencioso-electoral, interpuesto al amparo del art. 49.1 y 5 LOREG, siendo declarados no conforme a derecho y anulados por Sentencias de la Sala Especial del art. 61 LOPJ del Tribunal Supremo de 5 de mayo de 2007, no pudiendo concurrir estas agrupaciones, en consecuencia, a las elecciones a celebrar el próximo día 27 de mayo de 2007.</w:t>
      </w:r>
    </w:p>
    <w:p w:rsidR="00DE14C9" w:rsidRDefault="00DE14C9" w:rsidP="00DE14C9">
      <w:pPr>
        <w:pStyle w:val="TextoNormal"/>
      </w:pPr>
    </w:p>
    <w:p w:rsidR="00DE14C9" w:rsidRDefault="00DE14C9" w:rsidP="00DE14C9">
      <w:pPr>
        <w:pStyle w:val="TextoNormal"/>
      </w:pPr>
      <w:r w:rsidRPr="00DE14C9">
        <w:rPr>
          <w:rStyle w:val="NumeroAFNegritaCaracter"/>
        </w:rPr>
        <w:t>22</w:t>
      </w:r>
      <w:r>
        <w:t xml:space="preserve">. Mediante escrito presentado el 7 de mayo de 2007, doña Ana Lobera Argüelles y don Javier Cuevas Rivas, Procuradores de los Tribunales, en representación de las agrupaciones de electores Deba-Urolako Abertzale Sozialistak, Antzuolako Abertzale Sozialistak, Aretxabaletako Abertzale Sozialistak, Arrasateko Abertzale Sozialistak, Bergarako Abertzale Sozialistak, Elgetako Abertzale Sozialistak, Eskoriatzako Abertzale Sozialistak, Legazpiko Abertzale Sozialistak, Oñatiko Abertzale Sozialistak, Urretxuko Abertzale Sozialistak y Zumarragako Abertzale Sozialistak, interpusieron recurso de amparo electoral contra la resolución judicial mencionada en el encabezamiento, siendo registrado con el núm. 4128-2007. </w:t>
      </w:r>
    </w:p>
    <w:p w:rsidR="00DE14C9" w:rsidRDefault="00DE14C9" w:rsidP="00DE14C9">
      <w:pPr>
        <w:pStyle w:val="TextoNormal"/>
      </w:pPr>
      <w:r>
        <w:t>Los hechos de los que trae causa la presente demanda de amparo son que la agrupación de electores Deba-Urolako Abertzale Sozialistak presentó candidatura a las elecciones a las Juntas Generales de Guipúzcoa, convocadas por Decreto Foral 19/2007, de 2 de abril y las restantes agrupaciones citadas a los Ayuntamientos de Antzuola, Aretxabaleta, Arrasate/Mondragón, Bergara, Elgeta, Eskoriatza, Legazpi, Oñate, Urretxu y Zumarraga (Guipúzcoa), respectivamente, convocadas por Real Decreto 444/2007, de 31 de marzo, acordándose su proclamación el día 30 de abril de 2007 por la correspondiente Junta electoral de zona. Los actos de proclamación fueron impugnados mediante recurso contencioso-electoral, interpuesto al amparo del art. 49.1 y 5 LOREG, siendo declarados no conforme a derecho y anulados por Sentencias de la Sala Especial del art. 61 LOPJ del Tribunal Supremo de 5 de mayo de 2007, no pudiendo concurrir estas agrupaciones, en consecuencia, a las elecciones a celebrar el próximo día 27 de mayo de 2007.</w:t>
      </w:r>
    </w:p>
    <w:p w:rsidR="00DE14C9" w:rsidRDefault="00DE14C9" w:rsidP="00DE14C9">
      <w:pPr>
        <w:pStyle w:val="TextoNormal"/>
      </w:pPr>
    </w:p>
    <w:p w:rsidR="00DE14C9" w:rsidRDefault="00DE14C9" w:rsidP="00DE14C9">
      <w:pPr>
        <w:pStyle w:val="TextoNormal"/>
      </w:pPr>
      <w:r w:rsidRPr="00DE14C9">
        <w:rPr>
          <w:rStyle w:val="NumeroAFNegritaCaracter"/>
        </w:rPr>
        <w:t>23</w:t>
      </w:r>
      <w:r>
        <w:t>. Mediante escrito presentado el 7 de mayo de 2007, doña Ana Lobera Argüelles y don Javier Cuevas Rivas, Procuradores de los Tribunales, en representación de las agrupaciones de electores Nafarroako Abertzale Sozialistak, Abertzale Socialista de Falces, Agoizko Abertzale Sozialistak, Altsasuko Abertzale Sozialistak, Antsoaingo Abertzale Sozialistak, Araizko Abertzale Sozialistak, Arbizuko Abertzale Sozialistak, Atarrabiako Abertzale Sozialistak, Bakaikuko Abertzale Sozialistak, Barañaingo Abertzale Sozialistak, Basaburuko Abertzale Sozialistak, Baztango Abertzale Sozialistak, Berako Abertzale Sozialistak, Berriozarko Abertzale Sozialistak, Burlatako Abertzale Sozialistak, Eguesibarreko Abertzale Sozialitak, Esteribarko Abertzale Sozialistak, Etxarri-Aranazko Abertzale Sozialistak, Galarko Abertzale Sozialistak, Gareseko Abertzale Sozialistak, Goizuetako Abertzale Sozialistak, Imozko Abertzale Sozialistak, Irunberriko Abertzale Sozialistak, Iruñeko Abertzale Sozialistak, Irurtzungo Abertzale Sozialistak, Iturmendiko Abertzale Sozia</w:t>
      </w:r>
      <w:r>
        <w:lastRenderedPageBreak/>
        <w:t xml:space="preserve">listak, Lakuntzako Abertzale Sozialistak, Larraungo Abertzale Sozialistak, Leitzako Abertzale Sozialistak, Lesakako Abertzale Sozialistak, Lizarrako Abertzale Sozialistak, Olaztiko Abertzale Sozialistak, Orkoiengo Abertzale Sozialistak, Sartagudako Abertzale Sozialistak, Tafallako Abertzale Sozialistak, Uharteko Abertzale Sozialistak, Ultzamako Abertzale Sozialistak, Urdiaingo Abertzale Sozialistak, Ziordiko Abertzale Sozialistak y Zizurko Abertzale Sozialistak, interpusieron recurso de amparo electoral contra la resolución judicial mencionada en el encabezamiento, siendo registrado con el núm. 4129-2007. </w:t>
      </w:r>
    </w:p>
    <w:p w:rsidR="00DE14C9" w:rsidRDefault="00DE14C9" w:rsidP="00DE14C9">
      <w:pPr>
        <w:pStyle w:val="TextoNormal"/>
      </w:pPr>
      <w:r>
        <w:t>Los hechos de los que trae causa la presente demanda de amparo son que la agrupación de electores Nafarroako Abertzale Sozialistak presentó candidatura a las elecciones al Parlamento de Navarra, convocadas por Decreto Foral 4/2007, de 2 de abril y las restantes agrupaciones citadas a los Ayuntamientos de Falces, Aoiz/Agoitz, Altsasu/Alsasua, Ansoain, Araitz, Arbizu, Villava/Atarrabia, Bera/Vera de Bidasoa, Barañain, Basaburua, Baztan, Berriozar, Burlada/Burlata, Egües, Esteribar, Etxarri-Aranatz, Galar, Puente la Reina/Gares, Goizueta, Imotz, Lumbier, Pamplona/Iruña, Irurtzun, Iturmendi, Lakuntza, Larraun, Leitza, Lesaka, Estella/Lizarra, Olazti/Olazagutia, Orkoien, Sartaguda, Tafalla, Huarte/Uharte, Ultzama, Urdiain, Ziordia y Zizur Mayor/Zizur Nagusia (Navarra), respectivamente, convocadas por Real Decreto 444/2007, de 31 de marzo, acordándose su proclamación el día 30 de abril de 2007 por la correspondiente Junta electoral de zona. Los actos de proclamación fueron impugnados mediante recurso contencioso-electoral, interpuesto al amparo del art. 49.1 y 5 LOREG, siendo declarados no conforme a derecho y anulados por la Sentencia de la Sala Especial del art. 61 LOPJ del Tribunal Supremo de 5 de mayo de 2007, no pudiendo concurrir estas agrupaciones, en consecuencia, a las elecciones a celebrar el próximo día 27 de mayo de 2007.</w:t>
      </w:r>
    </w:p>
    <w:p w:rsidR="00DE14C9" w:rsidRDefault="00DE14C9" w:rsidP="00DE14C9">
      <w:pPr>
        <w:pStyle w:val="TextoNormal"/>
      </w:pPr>
    </w:p>
    <w:p w:rsidR="00DE14C9" w:rsidRDefault="00DE14C9" w:rsidP="00DE14C9">
      <w:pPr>
        <w:pStyle w:val="TextoNormal"/>
      </w:pPr>
      <w:r w:rsidRPr="00DE14C9">
        <w:rPr>
          <w:rStyle w:val="NumeroAFNegritaCaracter"/>
        </w:rPr>
        <w:t>24</w:t>
      </w:r>
      <w:r>
        <w:t xml:space="preserve">. Mediante escrito presentado el 7 de mayo de 2007, doña Ana Lobera Argüelles, Procuradora de los Tribunales, en representación de las agrupaciones de electores Aulestiko Abertzale Sozialistak, Barriatuako Abertzale Sozialistak, Bolibarko Abertzale Sozialistak, Etxebarriako Abertzale Sozialistak, Lekeitoko Abertzale Sozialistak, Markina Xemeingo Abertzale Sozialistak, Mendexako Abertzale Sozialistak y Ondarroako Abertzale Sozialistak, interpusieron recurso de amparo electoral contra la resolución judicial mencionada en el encabezamiento, siendo registrado con el núm. 4216-2007. </w:t>
      </w:r>
    </w:p>
    <w:p w:rsidR="00DE14C9" w:rsidRDefault="00DE14C9" w:rsidP="00DE14C9">
      <w:pPr>
        <w:pStyle w:val="TextoNormal"/>
      </w:pPr>
      <w:r>
        <w:t>Los hechos de los que trae causa la presente demanda de amparo son que las agrupaciones de electores citadas presentaron candidaturas a las elecciones a los Ayuntamientos de Aulesti, Berriatua, Ziortza-Bolibar, Etxebarria, Lekeitio, Markina-Xemein, Mendexa y Ondarroa (Vizcaya), respectivamente, convocadas por Real Decreto 444/2007, de 31 de marzo, acordándose su proclamación el día 30 de abril de 2007 por la correspondiente Junta electoral. Los actos de proclamación fueron impugnados mediante recurso contencioso-electoral, interpuesto al amparo del art. 49.1 y 5 LOREG, siendo declarados no conforme a derecho y anulados por la Sentencia de la Sala Especial del art. 61 LOPJ del Tribunal Supremo de 5 de mayo de 2007, no pudiendo concurrir estas agrupaciones, en consecuencia, a las elecciones a celebrar el próximo día 27 de mayo de 2007.</w:t>
      </w:r>
    </w:p>
    <w:p w:rsidR="00DE14C9" w:rsidRDefault="00DE14C9" w:rsidP="00DE14C9">
      <w:pPr>
        <w:pStyle w:val="TextoNormal"/>
      </w:pPr>
    </w:p>
    <w:p w:rsidR="00DE14C9" w:rsidRDefault="00DE14C9" w:rsidP="00DE14C9">
      <w:pPr>
        <w:pStyle w:val="TextoNormal"/>
      </w:pPr>
      <w:r w:rsidRPr="00DE14C9">
        <w:rPr>
          <w:rStyle w:val="NumeroAFNegritaCaracter"/>
        </w:rPr>
        <w:t>25</w:t>
      </w:r>
      <w:r>
        <w:t xml:space="preserve">. La Sentencia de la Sala Especial del art. 61 LOPJ del Tribunal Supremo de 5 de mayo de 2007, impugnada en este amparo, aborda, en primer lugar, las alegaciones de las agrupaciones electorales, cuya proclamación ha sido impugnada, relativas a la regularidad y constitucionalidad del procedimiento establecido en el art. 49 LOREG para sustanciar la pretensión de prohibición de presentación de candidaturas por agrupaciones electorales que vengan a continuar o suceder la actividad de un partido político declarado judicialmente </w:t>
      </w:r>
      <w:r>
        <w:lastRenderedPageBreak/>
        <w:t xml:space="preserve">ilegal y disuelto, o suspendido, establecida en el art. 44.4 LOREG. A esos efectos se argumenta, en relación con la aducida inconstitucionalidad del art. 49 LOREG por la sumariedad de dicho proceso, que es una cuestión ya resuelta por la STC 83/2005, de 8 de mayo, FJ 7, afirmándose que la brevedad de los plazos tiene una justificación racional en el necesario equilibrio de los diferentes intereses en juego en los procesos judiciales en materia electoral. Igualmente, se rechaza la invocación del derecho a la tutela judicial efectiva y a un proceso con todas las garantías, que se fundamentaba en la fugacidad de los plazos y en la imposibilidad de que, a consecuencia de ello y de la especial complejidad de las cuestiones fácticas que se sustancian, se pueda ofrecer una prueba de refutación suficiente, reiterando que se ha habilitado un trámite de traslado a las agrupaciones impugnadas, no establecido de modo expreso en la regulación legal, en un plazo que pretendía conciliar la plenitud del goce de derechos procesales con la celeridad e improrrogabilidad de los plazos. Del mismo modo, la queja relativa a la imposibilidad de conocer y examinar los recursos interpuestos en la Secretaría del Tribunal por la escasez de tiempo, se resuelve poniendo de manifiesto que se ha articulado un procedimiento lo más eficaz posible, dadas las características del caso, poniéndose a disposición de los representantes de las agrupaciones para su examen la documentación aportada con los recursos a través de las Juntas electorales que dictaron los actos de proclamación impugnados. </w:t>
      </w:r>
    </w:p>
    <w:p w:rsidR="00DE14C9" w:rsidRDefault="00DE14C9" w:rsidP="00DE14C9">
      <w:pPr>
        <w:pStyle w:val="TextoNormal"/>
      </w:pPr>
      <w:r>
        <w:t xml:space="preserve">Siguiendo en el ámbito procesal, la alegación de limitación de la práctica de la prueba se rechaza, destacando la incompatibilidad de determinadas pruebas propuestas, como las testificales o la expedición de mandamientos, oficios o exhortos, con la nota de sumariedad del procedimiento. A esta conclusión a la que también se llega en relación con la solicitud de habilitación de un plazo suplementario de alegaciones por la completa inalterabilidad del curso del proceso electoral. Además, se desestima que concurra una infracción del derecho a la contradicción procesal, reiterándose que se ha habilitado un específico trámite de alegaciones y prueba que ha sido efectivamente utilizado por las diversas agrupaciones, quienes han desarrollado un amplio despliegue argumental oponiéndose a las demandas presentadas. Por su parte, en cuanto a la falta de imparcialidad de la Sala Especial del Tribunal Supremo del art. 61 LOPJ para conocer de este procedimiento, se remite a lo ya resuelto en la STC 85/2003, FJ 7, en que se destacó que no existe una pérdida de imparcialidad por haber tenido que decidir sobre la ilegalización del partido político sobre cuya continuidad se debate, al ser notoria la diferencia de objetos procesales. Finalmente se señala que, si bien las resoluciones dictadas por órganos judiciales penales en fase de instrucción pueden ser aptas para acreditar una determinada realidad, no resulta posible otorgarles una vinculación de orden prejudicial positivo, habida cuenta de la diferente perspectiva del ejercicio de sus funciones jurisdiccionales y el carácter provisional de las cuestiones sometidas a investigación penal. </w:t>
      </w:r>
    </w:p>
    <w:p w:rsidR="00DE14C9" w:rsidRDefault="00DE14C9" w:rsidP="00DE14C9">
      <w:pPr>
        <w:pStyle w:val="TextoNormal"/>
      </w:pPr>
      <w:r>
        <w:t xml:space="preserve">Desde la perspectiva material, y dando todavía respuesta a las alegaciones opuestas por las agrupaciones electorales, la invocación del derecho a participar en asuntos públicos y de acceder en condiciones de igualdad a las funciones y cargos públicos (art. 23.2 CE), se desestima reiterando que la regulación establecida en el art. 44.4 LOREG, aunque puede afectar a derechos de sufragio pasivo de personas que no han visto restringidos sus derechos de participación política, queda justificada por la limitación legítimamente establecida por el legislador para salvaguardar principios esenciales del sistema democrático. Además, las vulneraciones aducidas de los derechos a la libertad ideológica (art. 16 CE), fundamentada en que se impide unirse a personas en pleno goce de sus derechos para defender unas ideas, y del derecho a la libertad de expresión (art. 20 CE), basada en la exigencia de que exista una declaración inequívoca de condena a la violencia, también son desestimadas. En cuanto </w:t>
      </w:r>
      <w:r>
        <w:lastRenderedPageBreak/>
        <w:t xml:space="preserve">a la primera, se argumenta que el fundamento de la prohibición establecido en el art. 44.4 LOREG, al articularse en prevención de un fraude de ley, no interfiere en el derecho a la libertad ideológica de los integrantes de la candidatura, al margen de que, como se destaca en la STC 85/2003, dicha libertad no es ilimitada y no puede amparar el empleo o aprobación de medios no democráticos y violentos para la consecución de los fines que pretenden determinadas formaciones políticas. En cuanto a la segunda, se incide en que dicha manifestación no es un deber, sino una carga que sirve al propósito de desvanecer una presunción de signo contrario surgida de la constatación de ciertos hechos o circunstancias reveladoras de integración en estructuras de partidos ilegalizados o de connivencia con el terror. </w:t>
      </w:r>
    </w:p>
    <w:p w:rsidR="00DE14C9" w:rsidRDefault="00DE14C9" w:rsidP="00DE14C9">
      <w:pPr>
        <w:pStyle w:val="TextoNormal"/>
      </w:pPr>
      <w:r>
        <w:t xml:space="preserve">Concluido el análisis de las cuestiones planteadas por las agrupaciones electorales, la Sentencia impugnada afronta el examen y valoración de la prueba practicada en relación con la concurrencia en dichas agrupaciones de los presupuestos legales necesarios para acordar que están incursas en el supuesto del art. 44.4 LOREG, esto es, si las candidaturas presentadas por las agrupaciones de electores recurrentes en amparo vienen de hecho a continuar o suceder la actividad de los partidos declarados ilegales y disueltos por la Sentencia de la Sala Especial del Tribunal Supremo del art. 61 LOPJ de 27 de marzo de 2003. Con carácter previo, y dando respuesta al cuestionamiento de algunas agrupaciones respecto de la naturaleza y eficacia de determinados elementos probatorios a tomar en consideración, se hace especial incidencia en que los informes elaborados por las Fuerzas y Cuerpos de Seguridad del Estado, tal como ya se destacó en la STC 99/2004, de 27 de mayo, FJ 12, más allá de su calificación como prueba pericial y de las posibles opiniones subjetivas que puedan contener, incorporan datos objetivos. Igualmente se destaca, en relación con la queja sobre la parcialidad de sus autores, que no cabe dudar de ella en la medida en que, como funcionarios públicos, actúan en el cumplimiento de sus funciones con absoluta neutralidad política, por lo que, salvo prueba en contrario, no es posible predicar de los mismos interés personal y directo o distinto de la fiel aplicación del Derecho, tal como se ha ratificado en las SSTC 5/2004, de 14 de enero, FJ 14, y 99/2004, FJ 12. Del mismo modo, respecto de las informaciones periodísticas, se señala que en determinados supuestos, de forma individualizada y caso por caso, pueden darse por acreditados datos recogidos por los medios de comunicación cuando reflejan hechos incontestados de conocimiento general o declaraciones de personalidades u organizaciones políticas que no hayan sido desmentidas o cuestionadas en el proceso, lo que ha sido avalado por la STC 5/2004, FFJJ 11 y 12. </w:t>
      </w:r>
    </w:p>
    <w:p w:rsidR="00DE14C9" w:rsidRDefault="00DE14C9" w:rsidP="00DE14C9">
      <w:pPr>
        <w:pStyle w:val="TextoNormal"/>
      </w:pPr>
      <w:r>
        <w:t>En la Sentencia se constata la existencia de datos objetivos que revelan de forma inequívoca y manifiesta que el proceso de constitución de las agrupaciones electorales ha sido gestado y dirigido en todo momento por miembros relevantes de la extinta Batasuna, que se han presentado públicamente apoyando el proceso de recogida de firmas y la fórmula de estas agrupaciones, lo que permite afirmar que éstas no son sino un mecanismo para suceder de hecho la actividad de los partidos políticos Herri Batasuna, Euskal Herritarrok y Batasuna, cuya ilegalidad fue declarada por la ya citada Sentencia de 27 de marzo de 2003. A esos efectos, constatándose la común denominación de todas las agrupaciones de electores, consistente en la utilización de los términos Abertzale Sozialistak precedido del nombre del pueblo o localidad donde se ha constituido, se destaca la existencia de muy diversas noticias periodísticas recogiendo declaraciones y ruedas de prensa de integrantes de la mesa nacional de Batasuna sobre su vuelta a las elecciones a través de, entre otras estrategias, la presentación de agrupaciones de electores que tengan como denominador común los conceptos “abertzale” y “sozialista”, apoyando activamente la recogida de firmas para avalar estas agrupaciones, y sobre la elaboración de sus programas electorales mediante asambleas ciu</w:t>
      </w:r>
      <w:r>
        <w:lastRenderedPageBreak/>
        <w:t xml:space="preserve">dadanas dinamizadas por Batasuna. Igualmente se destaca la activa participación en la presentación de algunas de las agrupaciones de miembros de la mesa nacional de Batasuna y de ex representantes electos de los partidos ilegalizados, así como el control que desde Batasuna se ha ejercido sobre la acreditación de avalistas de las agrupaciones de electores. Por otro lado, se pone de manifiesto la existencia de evidencias documentales, consistentes en carteles, formularios o fotografías, que vinculan a Batasuna y sus integrantes con el proceso y la campaña de recogidas de firmas para promover estas agrupaciones, revelando que en la cartelería para dinamizar esa recogida de firmas aparece de forma destacada el símbolo del partido político proyectado por Batasuna, ASB, cuya inscripción se encuentra pendiente de resolución. Asimismo, se pone de relieve la existencia de documentos incautados a una persona imputada por integración en la organización terrorista ETA en las diligencias previas núm. 117-2007 del Juzgado Central de Instrucción núm. 2, en los que se hace expresa, a propósito de la estrategia a seguir en los comicios locales de 2007, la intención de presentar plataformas electorales. </w:t>
      </w:r>
    </w:p>
    <w:p w:rsidR="00DE14C9" w:rsidRDefault="00DE14C9" w:rsidP="00DE14C9">
      <w:pPr>
        <w:pStyle w:val="TextoNormal"/>
      </w:pPr>
      <w:r>
        <w:t xml:space="preserve">A partir de lo anterior, en la Sentencia se razona que estos hechos ponen de relieve la existencia de un proceso de configuración de las agrupaciones como mero instrumento que permita su utilización por los partidos ilegalizados, que evidencia de manera inmediata, por un lado, su falta de autonomía por la sujeción a las directrices de dichos partidos y, por otro, una ruptura de la nota de espontaneidad característica de las agrupaciones electorales. Esta última circunstancia es de especial interés, tal como ya se ha confirmado en las SSTC 85/2003 y 99/2004, para concluir que una agrupación electoral ha sido creada de manera calculada y concertada para obviar las consecuencias jurídicas de la disolución de un partido político. En ese particular, y aplicado al caso concreto, se incide no sólo en el revelador contenido de las informaciones periodísticas y los hechos expuestos en los informes policiales respecto de que el proceso de presentación de las candidaturas de las agrupaciones electorales ha sido dirigido, preparado, organizado, dinamizado, controlado y animado por Batasuna, a fin de poder participar en el proceso electoral y, en su caso, obtener representación en los órganos electos, sino en que, reflejando tales informaciones periodísticas hechos incontestados de conocimiento general y declaraciones de personalidades u organizaciones, ni fueron contradichas o desmentidas ni ha existido voluntad alguna de ocultar el papel jugado desde el entramado de Batasuna en la instrumentalización de estas agrupaciones electorales. También se destaca como elemento para desvirtuar la nota característica de espontaneidad, la denominación común de las agrupaciones cuya proclamación se pretende anular. </w:t>
      </w:r>
    </w:p>
    <w:p w:rsidR="00DE14C9" w:rsidRDefault="00DE14C9" w:rsidP="00DE14C9">
      <w:pPr>
        <w:pStyle w:val="TextoNormal"/>
      </w:pPr>
      <w:r>
        <w:t xml:space="preserve">Al margen de los elementos objetivos anteriormente expuestos, la Sala procede, finalmente, a exponer los datos y razones que permiten afirmar, a su juicio, la conexión entre cada una de las candidaturas presentadas por las agrupaciones de electores recurrentes ahora en amparo y la estrategia anteriormente descrita a través de un análisis particularizado de dichas candidaturas. A este respecto, toma en consideración la presencia de candidatos que han mantenido con los partidos ilegalizados y disueltos vínculos de entidad suficiente como para inferir razonablemente que su presencia en las candidaturas proclamadas responde al propósito de desarrollar, bien desde las Juntas generales, bien desde los Ayuntamientos, bien desde el Parlamento de Navarra, caso de resultar elegidos, el proyecto político impulsado por los partidos disueltos, destacando como dato cualitativamente significativo y cuantitativamente relevante el hecho de que en aquellas candidaturas se presente un gran número de personas que pertenecieron a aquellos partidos políticos y que en su representación concurrieron a anteriores procesos electorales u ocuparon en las instituciones en las que estaban </w:t>
      </w:r>
      <w:r>
        <w:lastRenderedPageBreak/>
        <w:t>representados cargos de especial responsabilidad. En cuanto a aquellas concretas agrupaciones en que se advierte falta de vínculos subjetivos entre los candidatos incluidos en las candidaturas y los partidos ilegalizados, se argumenta que esa concreta circunstancia no enerva la convicción sobre la sucesión fraudulenta dada la intensidad de elementos objetivos descritos, ya que la asunción de la marca Abertzale Sozialistak es extremadamente relevante a este respecto. Tras este conjunto de datos y razones, la Sala llega a la conclusión de que la proclamación de las candidaturas presentadas por las agrupaciones de electores demandantes de amparo se ha producido con vulneración de la prohibición del art. 44.4 LOREG y acuerda la anulación de sus respectivos actos de proclamación.</w:t>
      </w:r>
    </w:p>
    <w:p w:rsidR="00DE14C9" w:rsidRDefault="00DE14C9" w:rsidP="00DE14C9">
      <w:pPr>
        <w:pStyle w:val="TextoNormal"/>
      </w:pPr>
    </w:p>
    <w:p w:rsidR="00DE14C9" w:rsidRDefault="00DE14C9" w:rsidP="00DE14C9">
      <w:pPr>
        <w:pStyle w:val="TextoNormal"/>
      </w:pPr>
      <w:r w:rsidRPr="00DE14C9">
        <w:rPr>
          <w:rStyle w:val="NumeroAFNegritaCaracter"/>
        </w:rPr>
        <w:t>26</w:t>
      </w:r>
      <w:r>
        <w:t xml:space="preserve">. Los demandantes en los recursos de amparo núms. 4107-2007 y 4108-2007 fundan sus demandas de amparo, de manera coincidente, en los siguientes motivos: </w:t>
      </w:r>
    </w:p>
    <w:p w:rsidR="00DE14C9" w:rsidRDefault="00DE14C9" w:rsidP="00DE14C9">
      <w:pPr>
        <w:pStyle w:val="TextoNormal"/>
      </w:pPr>
      <w:r>
        <w:t xml:space="preserve">a) Indefensión, argumentando que la concesión de un plazo de cuatro horas para presentar alegaciones ante escritos de cientos de folios quiebra la posibilidad de ejercer el derecho de defensa. </w:t>
      </w:r>
    </w:p>
    <w:p w:rsidR="00DE14C9" w:rsidRDefault="00DE14C9" w:rsidP="00DE14C9">
      <w:pPr>
        <w:pStyle w:val="TextoNormal"/>
      </w:pPr>
      <w:r>
        <w:t xml:space="preserve">b) Consideran que la Sentencia impugnada se dictó pasada la medianoche del día 5 de mayo de 2007 y, por tanto, fuera del plazo establecido en el art. 49.3 LOREG, lo que debiera haber determinado la desestimación de las demandas. </w:t>
      </w:r>
    </w:p>
    <w:p w:rsidR="00DE14C9" w:rsidRDefault="00DE14C9" w:rsidP="00DE14C9">
      <w:pPr>
        <w:pStyle w:val="TextoNormal"/>
      </w:pPr>
      <w:r>
        <w:t xml:space="preserve">c) Vulneración del derecho a la participación política (art. 23 CE, art. 3 Protocolo adicional del Convenio de derechos humanos y art. 25 PIDCP), ya que, utilizándose como uno de los elementos probatorios la vinculación subjetiva de algunos de los miembros de las agrupaciones recurrentes con partidos ilegalizados, lo cierto es que, por un lado, dicha vinculación es testimonial e insignificante, al no ocuparse puestos relevantes y, por otro, no pueden incluirse dentro de dicha categoría aquéllos que formaron parte o tuvieron relación con las agrupaciones electorales anuladas por la Sentencia de la Sala Especial del art. 61 LOPJ de 3 de mayo de 2003, al no poder generar efectos, positivos ni negativos. Igualmente, se destaca que la Sentencia impugnada considera elemento probatorio suficiente la utilización de una denominación común en las agrupaciones con el uso de las palabras “Abertzale” y “Sozialistak”, cuando resulta desorbitado adjudicar la patrimonialización de dichos términos con carácter exclusivo a Batasuna. A parte de ello se concluye que, sin mediar sentencia condenatoria, se está inhabilitando a personas, cercenando su derecho al sufragio pasivo y limitando la posibilidad de sufragio activo a quienes pudieran pretender extender su voto a dichas candidaturas. </w:t>
      </w:r>
    </w:p>
    <w:p w:rsidR="00DE14C9" w:rsidRDefault="00DE14C9" w:rsidP="00DE14C9">
      <w:pPr>
        <w:pStyle w:val="TextoNormal"/>
      </w:pPr>
      <w:r>
        <w:t xml:space="preserve">d) Vulneración del derecho a un proceso con todas las garantías (art. 24.2 CE en relación con art. 6 CEDH), al incurrir la Sala en exceso de jurisdicción, ya que las candidaturas de las agrupaciones recurrentes fue proclamada por la Junta Electoral de Bilbao, por lo que el Juzgado competente, conforme al art. 49.1 LOREG, es el contencioso- administrativo de dicha ciudad. Además, dicha circunstancia implica que se genere indefensión, al presentarse el presente procedimiento como consecuencia del que dio lugar a la Sentencia de 27 de marzo de 2003 y del que no pudo tenerse conocimiento. </w:t>
      </w:r>
    </w:p>
    <w:p w:rsidR="00DE14C9" w:rsidRDefault="00DE14C9" w:rsidP="00DE14C9">
      <w:pPr>
        <w:pStyle w:val="TextoNormal"/>
      </w:pPr>
      <w:r>
        <w:t xml:space="preserve">e) Vulneración del derecho a la doble instancia en procedimientos que aparejan consecuencias sancionadoras (art. 24.1 CE, en relación con art. 25.1 CE, con los arts. 6, 7 y 13 CEDH y con el art. 2 del Protocolo 7 de dicho Convenio), al arrogarse la Sala Especial del Tribunal Supremo del art. 61 LOPJ funciones sancionadoras que no le corresponden, sin que quepa la inhabilitación especial extensiva para todos los integrantes de la candidatura por el mero hecho de que alguna persona de la misma se haya presentado en anteriores comicios con algún partido político en aquel momento legal, pues de facto se aplicaría una sanción penal contraria al art. 25.1 CE a quien no fue parte en un procedimiento penal. </w:t>
      </w:r>
    </w:p>
    <w:p w:rsidR="00DE14C9" w:rsidRDefault="00DE14C9" w:rsidP="00DE14C9">
      <w:pPr>
        <w:pStyle w:val="TextoNormal"/>
      </w:pPr>
      <w:r>
        <w:lastRenderedPageBreak/>
        <w:t xml:space="preserve">f) Vulneración del derecho a la presunción de inocencia (art. 24.2 CE y art. 6.2 CEDH), ya que la Sentencia impugnada presupone que toda persona que se haya presentado con anterioridad con alguna candidatura de algún partido posteriormente ilegalizado, habría llevado a cabo una actividad ilícita en su actuación institucional. Asimismo se establece como único presupuesto para determinar la continuación de la actividad de una partido ilegalizado la identidad de alguna de las personas que se presentaron a unos comicios en su día y cuando era una formación legal. </w:t>
      </w:r>
    </w:p>
    <w:p w:rsidR="00DE14C9" w:rsidRDefault="00DE14C9" w:rsidP="00DE14C9">
      <w:pPr>
        <w:pStyle w:val="TextoNormal"/>
      </w:pPr>
      <w:r>
        <w:t xml:space="preserve">g) Vulneración del derecho a la legalidad penal (art. 25.1 CE y art. 7 CEDH), por cuanto la Sentencia recurrida supone de hecho una sanción penal, al comportar una inhabilitación especial para el ejercicio de cargos públicos, sin que exista una tipificación que lo pueda amparar y, en la hipótesis de que se cumpliera el principio de tipicidad, la condena no podría implicar la inhabilitación especial de los demás miembros de la lista, quienes desconocían en aquel momento que el mero hecho de presentarse en aquella lista le iba a generar en el futuro una limitación de su derecho de sufragio pasivo, lo que era imprevisible. </w:t>
      </w:r>
    </w:p>
    <w:p w:rsidR="00DE14C9" w:rsidRDefault="00DE14C9" w:rsidP="00DE14C9">
      <w:pPr>
        <w:pStyle w:val="TextoNormal"/>
      </w:pPr>
      <w:r>
        <w:t xml:space="preserve">h) Vulneración del principio de interdicción de indefensión (art. 24.1 CE y art. 6 CEDH), por cuanto no se ha podido tener conocimiento de las alegaciones y de los medios de prueba de cargo, imposibilitándosele realizar alegaciones y proponer pruebas de descargo. Al venir determinada esta circunstancia directamente por el contenido del art. 49 LOREG y de la disposición adicional segunda LOPP, los recurrentes consideran que este Tribunal debiera plantearse cuestión de inconstitucionalidad respecto de dichos preceptos. </w:t>
      </w:r>
    </w:p>
    <w:p w:rsidR="00DE14C9" w:rsidRDefault="00DE14C9" w:rsidP="00DE14C9">
      <w:pPr>
        <w:pStyle w:val="TextoNormal"/>
      </w:pPr>
      <w:r>
        <w:t xml:space="preserve">i) Vulneración del derecho a la libertad ideológica y a la asociación política (art. 16 CE y arts. 9 y 11 CEDH), toda vez que como las agrupaciones recurrentes no han desplegado actividad alguna, la razón de la impugnación tiene su base en un criterio ideológico; dándose la circunstancia de que el derecho a la libertad ideológica posibilita y garantiza su manifestación externa. </w:t>
      </w:r>
    </w:p>
    <w:p w:rsidR="00DE14C9" w:rsidRDefault="00DE14C9" w:rsidP="00DE14C9">
      <w:pPr>
        <w:pStyle w:val="TextoNormal"/>
      </w:pPr>
      <w:r>
        <w:t>j) Vulneración del derecho a la igualdad ante la ley (art. 14 CE y art. 14 CEDH), pues se imposibilita el ejercicio del derecho de sufragio pasivo de las personas que pretenden concurrir con las agrupaciones recurrentes, mientras que se respeta el mismo derecho de las personas que concurran con cualquier otra formación, lo que es más evidente respecto de las personas que no concurrieron previamente con alguno de los partidos ilegalizados a cualquier tipo de comicios.</w:t>
      </w:r>
    </w:p>
    <w:p w:rsidR="00DE14C9" w:rsidRDefault="00DE14C9" w:rsidP="00DE14C9">
      <w:pPr>
        <w:pStyle w:val="TextoNormal"/>
      </w:pPr>
    </w:p>
    <w:p w:rsidR="00DE14C9" w:rsidRDefault="00DE14C9" w:rsidP="00DE14C9">
      <w:pPr>
        <w:pStyle w:val="TextoNormal"/>
      </w:pPr>
      <w:r w:rsidRPr="00DE14C9">
        <w:rPr>
          <w:rStyle w:val="NumeroAFNegritaCaracter"/>
        </w:rPr>
        <w:t>27</w:t>
      </w:r>
      <w:r>
        <w:t xml:space="preserve">. Los demandantes en los recursos de amparo núms. 4112-2007, 4113-2007, 4114-2007 y 4121-2007, fundan sus demandas de amparo, de manera coincidente, en los siguientes motivos: </w:t>
      </w:r>
    </w:p>
    <w:p w:rsidR="00DE14C9" w:rsidRDefault="00DE14C9" w:rsidP="00DE14C9">
      <w:pPr>
        <w:pStyle w:val="TextoNormal"/>
      </w:pPr>
      <w:r>
        <w:t xml:space="preserve">a) Vulneración del derecho a la tutela judicial efectiva (art. 24.1 CE) en relación con el procedimiento seguido para impugnar los actos de proclamación, ya que, aun con apariencia de tratarse de un recurso contencioso-electoral, se ha tratado, en realidad, de ejecutar la Sentencia de la Sala Especial del Tribunal Supremo del art. 61 LOPJ de 27 de marzo del 2003, por la que se ilegalizó a determinados partidos políticos, lo que ha generado una indefensión constitucionalmente relevante, pues las agrupaciones de electores que se han visto ahora afectadas ni pudieron realizar alegación alguna en dicho proceso ni pueden verse afectadas por la ejecución de una Sentencia dictada en un procedimiento en el que no fueron parte. </w:t>
      </w:r>
    </w:p>
    <w:p w:rsidR="00DE14C9" w:rsidRDefault="00DE14C9" w:rsidP="00DE14C9">
      <w:pPr>
        <w:pStyle w:val="TextoNormal"/>
      </w:pPr>
      <w:r>
        <w:t xml:space="preserve">b) Vulneración del derecho a un proceso con todas las garantías (art. 24.2 CE), porque el procedimiento seguido ha impedido que las agrupaciones de electores pudieran defenderse eficazmente, por los motivos alegados en el punto anterior. </w:t>
      </w:r>
    </w:p>
    <w:p w:rsidR="00DE14C9" w:rsidRDefault="00DE14C9" w:rsidP="00DE14C9">
      <w:pPr>
        <w:pStyle w:val="TextoNormal"/>
      </w:pPr>
      <w:r>
        <w:lastRenderedPageBreak/>
        <w:t xml:space="preserve">c) Vulneración del derecho de defensa (art. 24.2 CE), con fundamento en que en el procedimiento seguido las agrupaciones tienen que cuestionar argumentaciones ofrecidas en un proceso previo y ajeno al actual, que ahora trata de ejecutarse sobre sujetos distintos. </w:t>
      </w:r>
    </w:p>
    <w:p w:rsidR="00DE14C9" w:rsidRDefault="00DE14C9" w:rsidP="00DE14C9">
      <w:pPr>
        <w:pStyle w:val="TextoNormal"/>
      </w:pPr>
      <w:r>
        <w:t xml:space="preserve">d) Vulneración del derecho de defensa (art. 24.2 CE), debido al tardío traslado de los documentos de las demandas, que, finalmente, fueron entregados por la Junta electoral el 4 de mayo de 2007, lo que ha menoscabado el derecho de defensa por la imposibilidad material de examinar con un mínimo detenimiento la voluminosa documentación aportada, los extensos recursos y realizar las oportunas alegaciones, destacándose que, si bien es cierto que se recibió con anterioridad copia de la resolución judicial dictada por el Tribunal Supremo, es difícil que con tal trámite haya sido respetadas las garantías de contradicción, defensa y tutela judicial efectiva que la Constitución consagra. </w:t>
      </w:r>
    </w:p>
    <w:p w:rsidR="00DE14C9" w:rsidRDefault="00DE14C9" w:rsidP="00DE14C9">
      <w:pPr>
        <w:pStyle w:val="TextoNormal"/>
      </w:pPr>
      <w:r>
        <w:t xml:space="preserve">e) Vulneración del derecho a utilizar todos los medios de prueba pertinentes para la defensa (art. 24.2 CE), que trae causa de que ni se ha producido el oportuno traslado de los recursos ni se ha dispuesto de un plazo mínimamente razonable que hiciera posible la propuesta de prueba de descargo. </w:t>
      </w:r>
    </w:p>
    <w:p w:rsidR="00DE14C9" w:rsidRDefault="00DE14C9" w:rsidP="00DE14C9">
      <w:pPr>
        <w:pStyle w:val="TextoNormal"/>
      </w:pPr>
      <w:r>
        <w:t xml:space="preserve">f) Vulneración del principio de igualdad (art. 14 CE) respecto de las partes y de los medios de prueba, puesto que los recurrentes tuvieron mayor tiempo para presentar la suya que el nulo margen con el que han contado las agrupaciones de electores a tal fin. </w:t>
      </w:r>
    </w:p>
    <w:p w:rsidR="00DE14C9" w:rsidRDefault="00DE14C9" w:rsidP="00DE14C9">
      <w:pPr>
        <w:pStyle w:val="TextoNormal"/>
      </w:pPr>
      <w:r>
        <w:t xml:space="preserve">g) Vulneración del derecho a un proceso con todas las garantías (art. 24.2 CE) en relación con el derecho a utilizar todos los medios de prueba pertinentes para la defensa, ya que la prueba aportada por los recurrentes en la vía judicial previa ha sido elaborada con un tiempo del que no han dispuesto los recurrentes de amparo, haciéndose, además, referencia a un proceso de ilegalización en el que no fueron parte, por lo que se reitera la solicitud de prueba en su día instada, en los términos expresados al final de las alegaciones. </w:t>
      </w:r>
    </w:p>
    <w:p w:rsidR="00DE14C9" w:rsidRDefault="00DE14C9" w:rsidP="00DE14C9">
      <w:pPr>
        <w:pStyle w:val="TextoNormal"/>
      </w:pPr>
      <w:r>
        <w:t xml:space="preserve">h) Vulneración del derecho de defensa (art. 24.2 CE), en relación con el principio de contradicción y con el art. 6 CEDH, a la vista de los motivos expuestos en el alegato anterior. </w:t>
      </w:r>
    </w:p>
    <w:p w:rsidR="00DE14C9" w:rsidRDefault="00DE14C9" w:rsidP="00DE14C9">
      <w:pPr>
        <w:pStyle w:val="TextoNormal"/>
      </w:pPr>
      <w:r>
        <w:t xml:space="preserve">i) Vulneración del derecho a ser juzgado por un tribunal imparcial (arts. 24.2 CE y 6 CEDH), y por extensión a los derechos a un proceso con todas las garantías y a la tutela judicial efectiva sin indefensión, porque al reconocer el órgano judicial que tiene que garantizar la pervivencia de su Sentencia de 27 de marzo de 2003, confirma el carácter de ejecución seguido, lo que impide el acceso a un nuevo proceso y a un tribunal imparcial en sus resoluciones. </w:t>
      </w:r>
    </w:p>
    <w:p w:rsidR="00DE14C9" w:rsidRDefault="00DE14C9" w:rsidP="00DE14C9">
      <w:pPr>
        <w:pStyle w:val="TextoNormal"/>
      </w:pPr>
      <w:r>
        <w:t xml:space="preserve">j) Vulneración de los derechos a la tutela judicial efectiva, a la defensa y a un proceso con todas las garantías (art. 24, apartados primero y segundo, CE), así como los principios de legalidad (art. 9.3 CE) y de igualdad (art. 14 CE), porque el Tribunal Supremo no ha notificado personalmente la sanción impuesta, sino a través de la Junta Electoral, lo que desconoce el derecho aplicable y genera inseguridad y desigualdad, ya que sí se han empleado los mecanismos ordinarios para hacer lo propio con los recurrentes. </w:t>
      </w:r>
    </w:p>
    <w:p w:rsidR="00DE14C9" w:rsidRDefault="00DE14C9" w:rsidP="00DE14C9">
      <w:pPr>
        <w:pStyle w:val="TextoNormal"/>
      </w:pPr>
      <w:r>
        <w:t xml:space="preserve">k) Vulneración de los derechos a la tutela judicial efectiva, de defensa, a un proceso con todas las garantías, a utilizar todos los medios de prueba pertinentes para la defensa y a la presunción de inocencia (art. 24.1 y 2 CE) y del principio de igualdad (art. 14 CE), que trae causa del plazo conferido para realizar alegaciones, menos de veinticuatro horas, que ha destruido el principio de igualdad de armas con el que deben contar las partes procesales. </w:t>
      </w:r>
    </w:p>
    <w:p w:rsidR="00DE14C9" w:rsidRDefault="00DE14C9" w:rsidP="00DE14C9">
      <w:pPr>
        <w:pStyle w:val="TextoNormal"/>
      </w:pPr>
      <w:r>
        <w:t xml:space="preserve">l) Vulneración del principio del pluralismo político (art. 6 CE), ya que se persiguen de forma preventiva las ideas políticas, al impedir que se presenten estas agrupaciones electores por presumir que su comportamiento futuro será antidemocrático, sin que se cumplan los requisitos establecidos en la LOPP. No se ilegaliza a una estructura, funcionamiento o una que ni siquiera ha podido iniciarse, sino la posibilidad de que se mantengan dichas ideas. </w:t>
      </w:r>
    </w:p>
    <w:p w:rsidR="00DE14C9" w:rsidRDefault="00DE14C9" w:rsidP="00DE14C9">
      <w:pPr>
        <w:pStyle w:val="TextoNormal"/>
      </w:pPr>
      <w:r>
        <w:lastRenderedPageBreak/>
        <w:t xml:space="preserve">m) Vulneración del derecho de sufragio pasivo (art. 23.2 CE), en relación con el principio de pluralismo político (art. 6 CE) y con el principio de legalidad en materia sancionadora (art. 25.1 CE), puesto que se ha impuesto retroactivamente, a través de la resolución judicial impugnada en amparo, una sanción a las agrupaciones recurrentes, consagrando la muerte civil de las personas que, en el pasado, participaron en los partidos políticos que han sido posteriormente ilegalizados y, por extensión, de aquéllas otras personas que, sin guardar relación alguna con aquéllos, han visto igualmente cercenados sus derechos políticos. La censura a las personas que formaron parte de tal partido se produce cuando aquéllas formaciones eran plenamente legales, por lo que se ha producido una aplicación retroactiva de la Ley. Por otra parte, tampoco se argumenta en la resolución judicial impugnada que, más allá de la coincidencia de algunas personas, la agrupación electoral mantiene una estructura, ni de organización ni de funcionamiento, similar a la que ofrecían los partidos políticos ilegalizados. </w:t>
      </w:r>
    </w:p>
    <w:p w:rsidR="00DE14C9" w:rsidRDefault="00DE14C9" w:rsidP="00DE14C9">
      <w:pPr>
        <w:pStyle w:val="TextoNormal"/>
      </w:pPr>
      <w:r>
        <w:t xml:space="preserve">n) Vulneración del derecho de sufragio pasivo (art. 23.2 CE), en relación con los arts. 9.2 CE y 14 CEDH, ya que ni la LOPP consiente que un ciudadano se vea privado del derecho a participar en las elecciones, ni es posible una privación general del derecho fundamental, como aquí se ha producido, sino que la misma debe efectuarse a través de una condena individualizada y aplicada a acciones individuales. </w:t>
      </w:r>
    </w:p>
    <w:p w:rsidR="00DE14C9" w:rsidRDefault="00DE14C9" w:rsidP="00DE14C9">
      <w:pPr>
        <w:pStyle w:val="TextoNormal"/>
      </w:pPr>
      <w:r>
        <w:t xml:space="preserve">o) Vulneración del derecho al respeto de los datos de carácter personal (art. 18.4 CE), en relación con los arts. 24 CE y 8 CEDH, ya que en la resolución judicial impugnada se contienen datos relacionados con la concurrencia o participación en diversos procesos electorales, cuyo tratamiento requiere el consentimiento inequívoco del afectado. Así, se afirma que nadie está obligado a declarar sobre su ideología (art. 16.2 CE) y que se encuentran prohibidos los ficheros de carácter personal que revelen la ideología de las personas, debiendo ser cancelados de oficio cuando ya hayan cumplido su fin. Es obvio que su utilización en este proceso es nula, porque su misma existencia es ilegal, por lo que no pueden ser tomados en consideración en el proceso. </w:t>
      </w:r>
    </w:p>
    <w:p w:rsidR="00DE14C9" w:rsidRDefault="00DE14C9" w:rsidP="00DE14C9">
      <w:pPr>
        <w:pStyle w:val="TextoNormal"/>
      </w:pPr>
      <w:r>
        <w:t xml:space="preserve">p) Vulneración del derecho a participar en los asuntos públicos (arts. 23.1 CE y 3 del protocolo adicional al CEDH), en el que se integra el derecho a formar agrupaciones electores y cuya paralización efectiva incide también, negativamente, en el derecho de los ciudadanos a pronunciarse a favor de una determinada opción política y en el derecho de algunos de ellos, que no habían tenido relación alguna con partidos políticos que han sido posteriormente ilegalizados, a presentarse a las elecciones. La ilegalización de las actividades de un partido no puede extenderse a cada una de las personas que formaron parte de aquél porque en tal caso no hay sucesión, sino mera persecución de unas ideas o de un determinado proyecto político. </w:t>
      </w:r>
    </w:p>
    <w:p w:rsidR="00DE14C9" w:rsidRDefault="00DE14C9" w:rsidP="00DE14C9">
      <w:pPr>
        <w:pStyle w:val="TextoNormal"/>
      </w:pPr>
      <w:r>
        <w:t xml:space="preserve">q) Vulneración del derecho a que los representantes elegidos permanezcan en sus cargos y puedan ejercer las funciones previstas en la Ley (art. 23.2 CE. y arts. 22 DUDH y 25 PIDCP), que se ha visto manifiestamente desconocido en el caso que nos ocupa. </w:t>
      </w:r>
    </w:p>
    <w:p w:rsidR="00DE14C9" w:rsidRDefault="00DE14C9" w:rsidP="00DE14C9">
      <w:pPr>
        <w:pStyle w:val="TextoNormal"/>
      </w:pPr>
      <w:r>
        <w:t xml:space="preserve">r) Vulneración de la previsión constitucional de que son electores y elegibles todos los españoles que estén en pleno uso de sus derechos políticos (art. 68.5 CE), sin que quepa otra limitación que la contenida en una sentencia firme limitadora individualizadamente de sus derechos, que aquí no ha existido. </w:t>
      </w:r>
    </w:p>
    <w:p w:rsidR="00DE14C9" w:rsidRDefault="00DE14C9" w:rsidP="00DE14C9">
      <w:pPr>
        <w:pStyle w:val="TextoNormal"/>
      </w:pPr>
      <w:r>
        <w:t xml:space="preserve">s) Vulneración de la libertad ideológica (art. 16.1 CE en relación con los arts. 14 y 20 CE y 9 CEDH), ya que la ilegalización de los partidos políticos en su día habida sancionó la actuación de un partido político, sin que sus efectos puedan extenderse a castigar la ideología de las personas que, en el pasado, formaron parte de aquellos. En la medida en que la Sentencia no alude al comportamiento de tales personas, sino a su ideología, y las impiden </w:t>
      </w:r>
      <w:r>
        <w:lastRenderedPageBreak/>
        <w:t xml:space="preserve">que, pese a disfrutar del pleno ejercicio de sus derechos, puedan presentarse a una contienda electoral, se presume vulnerado el derecho a la libertad ideológica. De hecho hay personas que también pertenecieron a tales partidos (algunas han sido condenadas por su relación con banda armada) y que se presentan hoy en las filas de otras formaciones políticas, por lo que la anulación de las agrupaciones de electores recurrentes consagra una manifiesta desigualdad. </w:t>
      </w:r>
    </w:p>
    <w:p w:rsidR="00DE14C9" w:rsidRDefault="00DE14C9" w:rsidP="00DE14C9">
      <w:pPr>
        <w:pStyle w:val="TextoNormal"/>
      </w:pPr>
      <w:r>
        <w:t xml:space="preserve">t) Vulneración del derecho a participar en los asuntos públicos (art. 23 CE), en relación con la libertad ideológica y los derechos a la defensa, a utilizar todos los medios de prueba pertinentes para la defensa y a un proceso con todas las garantías respecto de la prueba que consta en el procedimiento. Se insiste en el presente motivo en la consistencia de los anteriormente resumidos. Se recuerda que ninguno de los promotores de las agrupaciones de electores recurrentes han sido jamás elegidos por otros partidos políticos que hayan sido ilegalizados, y que todos sus miembros han sido sancionados en virtud de una investigación ilícita en el plano jurídico y reprobable en el plano moral. Se concluye afirmando que la Sentencia se limita a recoger una argumentación jurídica y un fallo, pero que no existen argumentos fácticos que demuestren la sucesión por actividades de la agrupación, sino por coincidencias de nombres y apellidos, filiaciones que no se dan, con lo que ha resultado imposible ejercer en condiciones plenas el derecho de defensa. </w:t>
      </w:r>
    </w:p>
    <w:p w:rsidR="00DE14C9" w:rsidRDefault="00DE14C9" w:rsidP="00DE14C9">
      <w:pPr>
        <w:pStyle w:val="TextoNormal"/>
      </w:pPr>
      <w:r>
        <w:t>u) Las agrupaciones de electores reiteran, al hilo de un determinado motivo de amparo, la solicitud de prueba en su día cursada en el escrito de alegaciones ante el Tribunal Supremo, renunciando exclusivamente al exhorto al Juzgado Central de Instrucción 5 de la Audiencia Nacional, por ya constar éste en las actuaciones.</w:t>
      </w:r>
    </w:p>
    <w:p w:rsidR="00DE14C9" w:rsidRDefault="00DE14C9" w:rsidP="00DE14C9">
      <w:pPr>
        <w:pStyle w:val="TextoNormal"/>
      </w:pPr>
    </w:p>
    <w:p w:rsidR="00DE14C9" w:rsidRDefault="00DE14C9" w:rsidP="00DE14C9">
      <w:pPr>
        <w:pStyle w:val="TextoNormal"/>
      </w:pPr>
      <w:r w:rsidRPr="00DE14C9">
        <w:rPr>
          <w:rStyle w:val="NumeroAFNegritaCaracter"/>
        </w:rPr>
        <w:t>28</w:t>
      </w:r>
      <w:r>
        <w:t xml:space="preserve">. Los demandantes en el recurso de amparo núm. 4111-2007 fundan su demanda de amparo en los siguientes motivos: </w:t>
      </w:r>
    </w:p>
    <w:p w:rsidR="00DE14C9" w:rsidRDefault="00DE14C9" w:rsidP="00DE14C9">
      <w:pPr>
        <w:pStyle w:val="TextoNormal"/>
      </w:pPr>
      <w:r>
        <w:t xml:space="preserve">a) Vulneración del derecho a la tutela judicial efectiva (art. 24.1 CE), en cuanto que la comunicación de las impugnaciones de las candidaturas de las agrupaciones electorales recurrentes habría sido irregular, al no venir acompañada de los correspondientes recursos. Se alega que esta omisión constituiría también una vulneración de los derechos de defensa (art. 24.2 CE) y a ser informado de la acusación (art. 24.2 CE), producida por la brevedad del plazo concedido de 24 horas para hacer alegaciones. Asimismo se aduce que vulneraría el derecho de defensa la omisión del trámite de audiencia a las partes. Además se argumenta que el derecho de defensa, junto con los derechos de asistencia letrada (art. 24.2 CE) y a un proceso con igualdad de las partes (art. 24.2 CE) han sido vulnerados por la imposibilidad material de contactar con Abogado y Procurador, derivada, tanto de la mencionada brevedad del plazo concedido para alegar, como del hecho de que tal plazo coincidiera con un día festivo en Madrid. Por último, la demanda atribuye a la Sentencia impugnada la vulneración del principio de independencia judicial (art. 117 CE) y del derecho a un juez imparcial (art. 24.2 CE), pues, a su entender, el Tribunal Supremo ha dictado tal resolución con criterios ideológicos y políticos, y no jurídicos, fruto de las directrices del Poder Ejecutivo o, al menos, bajo su presión mediática. </w:t>
      </w:r>
    </w:p>
    <w:p w:rsidR="00DE14C9" w:rsidRDefault="00DE14C9" w:rsidP="00DE14C9">
      <w:pPr>
        <w:pStyle w:val="TextoNormal"/>
      </w:pPr>
      <w:r>
        <w:t xml:space="preserve">b) Vulneración del art. 9.2 CE en cuanto que este precepto establece que los poderes públicos han de “promover las condiciones para que la libertad y la igualdad del individuo y de los grupos en que se integran sean reales y efectivas; …y facilitar la participación de todos los ciudadanos en la vida política, económica, cultural y social”. </w:t>
      </w:r>
    </w:p>
    <w:p w:rsidR="00DE14C9" w:rsidRDefault="00DE14C9" w:rsidP="00DE14C9">
      <w:pPr>
        <w:pStyle w:val="TextoNormal"/>
      </w:pPr>
      <w:r>
        <w:t xml:space="preserve">c) Vulneración de los derechos de participación política, que sitúa en el art. 6 CE, y a la libertad ideológica (arts. 16.1 CE y 9.1 CEDH), toda vez que se impide a personas que tienen todos sus derechos unirse para defender unas ideas en el ámbito foral o local, por el </w:t>
      </w:r>
      <w:r>
        <w:lastRenderedPageBreak/>
        <w:t xml:space="preserve">hecho de que sus ideas coincidan, supuestamente, con las de partidos políticos declarados ilegales, lo que a su vez supone que esta ilegalidad no se ha sustentado en la actividad del partido, sino en sus ideas políticas, que quedarían así “al margen del juego político y electoral”. Señalan las agrupaciones recurrentes la trascendencia que la jurisprudencia constitucional ha atribuido al derecho a la libertad ideológica y la máxima amplitud con la que está recogida en la Constitución, con el único límite del mantenimiento del orden público protegido por la ley. La demanda insiste en las anteriores vulneraciones por cuanto que al impedir a las agrupaciones electorales recurrentes que se presenten a las elecciones municipales se hurta a la ciudadanía la oportunidad de escoger una determinada opción política, de postulados legítimos y no recogidos en otras candidaturas concurrentes en las mismas localidades. </w:t>
      </w:r>
    </w:p>
    <w:p w:rsidR="00DE14C9" w:rsidRDefault="00DE14C9" w:rsidP="00DE14C9">
      <w:pPr>
        <w:pStyle w:val="TextoNormal"/>
      </w:pPr>
      <w:r>
        <w:t xml:space="preserve">d) Vulneración de los derechos de participación en asuntos públicos directamente o por medio de representantes (art. 23.1 CE) y de acceso en condiciones de igualdad a las funciones y cargos públicos (art. 23.2 CE), íntimamente vinculados al principio democrático y a la soberanía popular, e incluyentes de los derechos electorales activo y pasivo. Se constataría asimismo la infracción del art. 14 CE, conforme al cual no cabe discriminación de ningún tipo por razón de opinión o cualquier otra condición o circunstancia personal o social. En este sentido, justifican las agrupaciones recurrentes que no tienen nada que ver con ninguna otra, son independientes, con sus propios postulados e ideario político, el cual ha surgido por iniciativa de un grupo de personas sin relación alguna con ninguna otra agrupación o partido político. Concluyen con ello que no habría fraude de ley ni prueba respecto de que las agrupaciones sean continuadoras de Herri Batasuna, Euskal Herritarrok y Batasuna. </w:t>
      </w:r>
    </w:p>
    <w:p w:rsidR="00DE14C9" w:rsidRDefault="00DE14C9" w:rsidP="00DE14C9">
      <w:pPr>
        <w:pStyle w:val="TextoNormal"/>
      </w:pPr>
      <w:r>
        <w:t xml:space="preserve">En el mismo sentido se argumenta que, aun admitiendo como hipótesis la identificación de personas que hace las Sentencia como personas relacionadas con algún partido ilegalizado, no resulta sostenible que ello comporte, sin más, la continuidad entre la agrupación y el partido, y la privación de derechos para el resto de los integrantes de las listas, máxime cuando sólo se certifica la inclusión de dichas personas en candidaturas anteriores, en su momento de un modo plenamente legal, sin concreción de la vinculación de las mismas con partidos ilegalizados. Se subraya también que la LOPP exige una similitud esencial entre la agrupación que se impugna y el partido ilegalizado, para cuya comprobación no basta la mera inclusión en las candidaturas de aquéllas de quienes hubieran sido candidatos de éste y que, aplicando los criterios establecidos en la citada ley no se constata que haya similitud de funcionamiento, ya que la agrupación tiene una estructura mínima dedicada sólo al impulso de la candidatura, ni de medios de financiación, pues nada se ha probado acerca de que la agrupación se haya financiado de manera irregular o que haya participado de la misma fuente de financiación de un partido político ilegalizado. </w:t>
      </w:r>
    </w:p>
    <w:p w:rsidR="00DE14C9" w:rsidRDefault="00DE14C9" w:rsidP="00DE14C9">
      <w:pPr>
        <w:pStyle w:val="TextoNormal"/>
      </w:pPr>
      <w:r>
        <w:t>Igualmente, se aduce que la Sentencia impugnada impide la proclamación de las candidaturas de las agrupaciones por su relación con el partido ilegalizado Batasuna y, sin embargo, las intervenciones públicas que se atribuyen a personas que se identifican como dirigentes de Batasuna se refieren siempre a la izquierda abertzale, que, como han reiterado varios Autos del Juzgado Central de Instrucción núm. 5, no es una organización ilegal ni tiene prohibidas sus actividades. Tales Autos insisten incluso en que las personas imputadas puede participar en actos políticos si no están auspiciados o convocados por organizaciones ilícitas. Se destaca, por último, que era obligación de los impugnantes en el pocedimiento contencioso acreditar la relación que se afirma entre Batasuna y las candidaturas que se pretende declarar ilegales con hechos probatorios claros y contundentes, y no de forma indiciaria o con simples afirmaciones retóricas.</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29</w:t>
      </w:r>
      <w:r>
        <w:t xml:space="preserve">. Los demandantes en los recursos de amparo núms. 4116-2007, 4119-2007, 4120-2007, 4123-2007, 4124-2007, 4125-2007, 4126-2007, 4128-2007 y 4129-2007 fundan sus demandas de amparo, de manera coincidente, en los siguientes motivos: </w:t>
      </w:r>
    </w:p>
    <w:p w:rsidR="00DE14C9" w:rsidRDefault="00DE14C9" w:rsidP="00DE14C9">
      <w:pPr>
        <w:pStyle w:val="TextoNormal"/>
      </w:pPr>
      <w:r>
        <w:t xml:space="preserve">a) Vulneración del art. 24 CE en relación con el art. 14 PIDCP y el art. 6 CEDH, toda vez que la mediatización del Poder Judicial por el Gobierno desde el comienzo del proceso electoral, manifestando que las personas que integran estas plataformas electorales son sucesión de Batasuna, actúan al servicio de ETA y por su encargo y que no van a dejar que ETA vuelva a las instituciones, acosando y condicionando a los Tribunales, les priva del derecho a acceder a un Tribunal imparcial e independiente. </w:t>
      </w:r>
    </w:p>
    <w:p w:rsidR="00DE14C9" w:rsidRDefault="00DE14C9" w:rsidP="00DE14C9">
      <w:pPr>
        <w:pStyle w:val="TextoNormal"/>
      </w:pPr>
      <w:r>
        <w:t xml:space="preserve">b) Vulneración del derecho a un proceso con todas las garantías, a la seguridad jurídica y a la tutela judicial efectiva del art. 24 CE en relación con el art. 14 PIDCP y el art. 6 CEDH, con fundamento en que inicialmente no se les dio traslado de la demanda, ni de los documentos con ella aportados y no han tenido un plazo razonable para estudiar el expediente y articular correctamente su defensa, pues se les concedió un brevísimo plazo de 24 horas desde la notificación para examinar los recursos y los expedientes —que se encontraban en Madrid, con copia en la Audiencia Provincial de Guipúzcoa— estudiarlos y presentar alegaciones también en Madrid, pese a tener su domicilio en Guipúzcoa, habiendo tenido acceso a las demandas sólo el mismo día en que debían presentar alegaciones. </w:t>
      </w:r>
    </w:p>
    <w:p w:rsidR="00DE14C9" w:rsidRDefault="00DE14C9" w:rsidP="00DE14C9">
      <w:pPr>
        <w:pStyle w:val="TextoNormal"/>
      </w:pPr>
      <w:r>
        <w:t xml:space="preserve">c) Vulneración del derecho de defensa en relación con el derecho a la proposición y práctica de prueba del art. 24 CE en relación con el art. 14 PIDCP y el art. 6 CEDH, pues el procedimiento seguido ante el Tribunal Supremo no ha sido posible practicar prueba alguna en defensa de sus derechos, pues por la brevedad de los plazos era imposible plantear otra prueba que no fuera la documental, y la prueba propuesta sobre cuestiones concretas no ha sido practicada por la Sala, alegando razones de tiempo. También se invoca el principio de igualdad de armas, dado que la parte que realiza alegaciones está en inferioridad de condiciones y no puede ejercitar adecuadamente su derecho de defensa. </w:t>
      </w:r>
    </w:p>
    <w:p w:rsidR="00DE14C9" w:rsidRDefault="00DE14C9" w:rsidP="00DE14C9">
      <w:pPr>
        <w:pStyle w:val="TextoNormal"/>
      </w:pPr>
      <w:r>
        <w:t xml:space="preserve">d) Vulneración del art. 24 CE en relación con el art. 14 PIDCP y el art. 6 CEDH, por cuanto se han valorado y tenido en cuenta como prueba informes policiales que constan en diferentes expedientes de la Audiencia Nacional, no ratificados en presencia judicial. </w:t>
      </w:r>
    </w:p>
    <w:p w:rsidR="00DE14C9" w:rsidRDefault="00DE14C9" w:rsidP="00DE14C9">
      <w:pPr>
        <w:pStyle w:val="TextoNormal"/>
      </w:pPr>
      <w:r>
        <w:t xml:space="preserve">e) Vulneración del art. 24 CE en relación con el art. 14 PIDCP y el art. 6 CEDH, porque no se ha practicado prueba válida alguna que pueda desvirtuar el derecho a la presunción de inocencia que permita considerar acreditado que las agrupaciones de electores impugnadas son continuidad de Batasuna, Herri Batasuna o Euskal Herritarrok. Tras ponerse de relieve las diferencias entre las agrupaciones de electores y los partidos políticos, y entre el derecho de promover agrupaciones de electores, núcleo esencial del derecho de participación política (art. 23 CE), y el derecho de asociación política, se destaca que ningún ciudadano puede ser privado de su derecho a participar en las elecciones por su presunta conexión con un partido declarado ilegal; sólo penalmente se puede privar a los ciudadanos de este derecho. Por ello, no puede admitirse como argumento para justificar la pretendida continuidad o conexión el hecho de que personas que hayan sido militantes o cargos de un partido político declarado ilegal decidan promover una agrupación de electores o formar parte de la lista de una agrupación. Los efectos de la Sentencia de ilegalización no pueden alcanzar a los derechos de las personas que formaban parte del partido político, ni a sus cargos directivos o electos, impidiéndoles que promuevan una agrupación de electores, ya que las ideas del partido ilegalizado no han sido proscritas, como señala la propia LOPP. </w:t>
      </w:r>
    </w:p>
    <w:p w:rsidR="00DE14C9" w:rsidRDefault="00DE14C9" w:rsidP="00DE14C9">
      <w:pPr>
        <w:pStyle w:val="TextoNormal"/>
      </w:pPr>
      <w:r>
        <w:t xml:space="preserve">A continuación se señala que de las pruebas tenidas en cuenta por el Tribunal Supremo no se desprende en absoluto que sea Batasuna quien está detrás de las agrupaciones electorales, pues todas las declaraciones públicas de las personas a las que se hace referencia lo </w:t>
      </w:r>
      <w:r>
        <w:lastRenderedPageBreak/>
        <w:t xml:space="preserve">han sido en nombre no de Batasuna, sino de la izquierda abertzale, que no es una organización ilegal y cuyas actividades no están prohibidas, como pone de relieve el Auto de 26 de enero de 2007, del Juzgado Central de Instrucción núm. 5, encargado del seguimiento de la suspensión de actividades del mencionado partido. Tampoco la Sentencia que declaró la ilegalidad de Batasuna y su disolución hizo referencia alguna a la izquierda abertzale. Y además, las personas que pertenecieron en su día a Batasuna no se encuentran privadas de sus derechos civiles y políticos, derechos que pueden ejercitar como miembros de la izquierda abertzale, al no estar ilegalizada, ni suspendida. También se señala que los documentos hallados en el registro de una persona detenida carecen de valor probatorio y que resulta sorprendente que la Sala argumente que no puede tener en cuenta como prueba las resoluciones del Juzgado Central de Instrucción núm. 5 de la Audiencia Nacional por ser resoluciones provisionales y, sin embargo, tengan en cuenta documentos que provienen de otros procedimientos judiciales en los que tampoco existe resolución firme. </w:t>
      </w:r>
    </w:p>
    <w:p w:rsidR="00DE14C9" w:rsidRDefault="00DE14C9" w:rsidP="00DE14C9">
      <w:pPr>
        <w:pStyle w:val="TextoNormal"/>
      </w:pPr>
      <w:r>
        <w:t xml:space="preserve">f) Vulneración del derecho a la igualdad (art. 14 CE), ya que la LOPP fue creada ad hoc para unos ciudadanos, no habiéndose recurrido todas las candidaturas en las que algunas personas habían sido candidatos con anterioridad, ni utilizado el mismo criterio jurídico en todos los casos. También se denuncia que el tratamiento por la Sentencia del principio de proporcionalidad es claramente inadecuado y contrario a la jurisprudencia del Tribunal Europeo de Derechos Humanos, pues la norma no se puede utilizar para impedir la actividad política, cuando una injerencia tan traumática y radical como la ilegalización de candidaturas sólo puede justificarse en los supuestos en que su actuación supone un claro peligro para la continuación del sistema democrático, lo que no ocurre en absoluto en el supuesto que nos ocupa. </w:t>
      </w:r>
    </w:p>
    <w:p w:rsidR="00DE14C9" w:rsidRDefault="00DE14C9" w:rsidP="00DE14C9">
      <w:pPr>
        <w:pStyle w:val="TextoNormal"/>
      </w:pPr>
      <w:r>
        <w:t xml:space="preserve">g) Vulneración del derecho a acceder a los cargos públicos de representación política del art. 23 CE, en relación con el art. 25 PIDCP y el art. 10.2 CEDH vinculado con el principio democrático y manifestación de la soberanía popular. </w:t>
      </w:r>
    </w:p>
    <w:p w:rsidR="00DE14C9" w:rsidRDefault="00DE14C9" w:rsidP="00DE14C9">
      <w:pPr>
        <w:pStyle w:val="TextoNormal"/>
      </w:pPr>
      <w:r>
        <w:t xml:space="preserve">h) Vulneración del derecho fundamental a la libertad ideológica (art. 16 CE y 9.1 del Convenio europeo), al impedirse a las personas que forman parte de las agrupaciones defender unas ideas en el ámbito foral o local, vulnerando su libertad ideológica consagrada en el art. 16.1 CE, indisolublemente unida al pluralismo político. </w:t>
      </w:r>
    </w:p>
    <w:p w:rsidR="00DE14C9" w:rsidRDefault="00DE14C9" w:rsidP="00DE14C9">
      <w:pPr>
        <w:pStyle w:val="TextoNormal"/>
      </w:pPr>
      <w:r>
        <w:t xml:space="preserve">i) Vulneración del derecho al pluralismo político y al debate público del art. 23 CE en relación con el art. 10 CEDH, que se concretan en el terreno político en la organización de elecciones libres, que no pueden concebirse sin el concurso de todas las ideas y proyectos políticos, también de aquellos que chocan o inquietan, incluso aunque entre sus propuestas estén algunas compartidas por una organización terrorista, siempre que los medios para conseguir los objetivos sean democráticos y legales. Y al impedir la Sentencia la participación de estas agrupaciones en el proceso electoral está conculcando este derecho fundamental. </w:t>
      </w:r>
    </w:p>
    <w:p w:rsidR="00DE14C9" w:rsidRDefault="00DE14C9" w:rsidP="00DE14C9">
      <w:pPr>
        <w:pStyle w:val="TextoNormal"/>
      </w:pPr>
      <w:r>
        <w:t xml:space="preserve">j) Vulneración del derecho de participación política del art. 23.2 CE, ya que la Sentencia impugnada limita el derecho de sufragio pasivo, por cuanto las personas que aparecen en las candidaturas anuladas, que gozan de plenos derechos civiles y políticos, son expulsadas de la contienda electoral de manera arbitraria y contraria a la legislación vigente, teniendo en cuenta actividades o conductas de otras personas. Sólo se hace referencia en algunos casos a su presentación en otras contiendas electorales por partidos posteriormente ilegalizados, cuando esas mismas condiciones existen en otras personas que se presentan por otros partidos, cuyas listas no han sido objeto de impugnación. </w:t>
      </w:r>
    </w:p>
    <w:p w:rsidR="00DE14C9" w:rsidRDefault="00DE14C9" w:rsidP="00DE14C9">
      <w:pPr>
        <w:pStyle w:val="TextoNormal"/>
      </w:pPr>
      <w:r>
        <w:t xml:space="preserve">k) Vulneración de la interdicción de la aplicación retroactiva de la legislación sancionadora del art. 9.3 CE, pues las agrupaciones recurrentes no han tenido más actividad que su </w:t>
      </w:r>
      <w:r>
        <w:lastRenderedPageBreak/>
        <w:t xml:space="preserve">creación y presentación al público, por lo que se está ilegalizando a sus miembros por actuaciones no cometidas por ellos y que, además, se han producido en el pasado, lo que provoca indefensión y vulnera el principio de irretroactividad. Se pretende que personas que fueron candidatas de partidos legales se vean privadas de sus derechos de participación política al convertir los partidos en ilegales, lo que está proscrito legalmente. </w:t>
      </w:r>
    </w:p>
    <w:p w:rsidR="00DE14C9" w:rsidRDefault="00DE14C9" w:rsidP="00DE14C9">
      <w:pPr>
        <w:pStyle w:val="TextoNormal"/>
      </w:pPr>
      <w:r>
        <w:t xml:space="preserve">l) Vulneración del principio de no discriminación por razón de ideas, religión, raza o sexo del art. 14 CE en relación con el art. 14 CEDH y el art. 18 PIDCP, al dictarse esta sentencia con el fin de evitar que las ideas de independencia, derecho de autodeterminación y la democracia participativa estén presentes en las elecciones municipales, ilegalizando ideas y proyectos concretos y perjudicando a las personas a causa de sus opiniones y su actividad política. Se utiliza la disculpa de la democracia y su defensa contra el terrorismo para perseguir grupos e ideas políticas enfrentados a los intereses del Gobierno. Ideas que son la opción política de una importante parte del País Vasco, que se va a ver privada de su representación institucional, poniéndose en cuestión la libertad de ideas en el Estado Español. </w:t>
      </w:r>
    </w:p>
    <w:p w:rsidR="00DE14C9" w:rsidRDefault="00DE14C9" w:rsidP="00DE14C9">
      <w:pPr>
        <w:pStyle w:val="TextoNormal"/>
      </w:pPr>
      <w:r>
        <w:t xml:space="preserve">m) Vulneración del derecho a la libertad de expresión del art. 20 CE, en relación con el art. 19 PIDCP y el art. 10 CEDH, ya que se está impidiendo a los miembros de las agrupaciones expresar libremente sus opiniones, bien a través de las plataformas, bien a través de las instituciones en las que fueran a participar, bien a través de los medios de comunicación a los que el fallo de la Sentencia les impide acceder. </w:t>
      </w:r>
    </w:p>
    <w:p w:rsidR="00DE14C9" w:rsidRDefault="00DE14C9" w:rsidP="00DE14C9">
      <w:pPr>
        <w:pStyle w:val="TextoNormal"/>
      </w:pPr>
      <w:r>
        <w:t xml:space="preserve">n) Vulneración de la prohibición de abuso de derecho de art. 17 CEDH, al utilizarse una ley redactada ad hoc y contraria a la Constitución y a los Pactos internacionales para privar a las agrupaciones electorales de sus derechos fundamentales, impidiendo el ejercicio del derecho de participación política consagrado en el art. 23 CE, causando un daño irreparable. </w:t>
      </w:r>
    </w:p>
    <w:p w:rsidR="00DE14C9" w:rsidRDefault="00DE14C9" w:rsidP="00DE14C9">
      <w:pPr>
        <w:pStyle w:val="TextoNormal"/>
      </w:pPr>
      <w:r>
        <w:t xml:space="preserve">o) Vulneración del derecho a la segunda instancia reconocido en el art. 14.5 PIDCP, al atribuirse competencia exclusiva y sin posibilidad de recurso a la Sala Especial del art. 61 LOPJ del Tribunal Supremo, pues cuando se acude al Tribunal Constitucional no se está ejercitando la segunda instancia, sino un recurso extraordinario por vulneración de derechos fundamentales. </w:t>
      </w:r>
    </w:p>
    <w:p w:rsidR="00DE14C9" w:rsidRDefault="00DE14C9" w:rsidP="00DE14C9">
      <w:pPr>
        <w:pStyle w:val="TextoNormal"/>
      </w:pPr>
      <w:r>
        <w:t xml:space="preserve">p) Vulneración del derecho a participar en los asuntos públicos (art. 23 CE), en relación con el art. 14 y 140 CE, y con los derechos a la tutela judicial efectiva (art. 24.1 CE) y a un proceso con todas las garantías (art. 24.2 CE), fundamentado en que la Sentencia impugnada extiende las tachas de inelegibilidad a través de un procedimiento inadecuado, pues si se sostiene que existe una sucesión entre las agrupaciones electorales y un partido disuelto por resolución judicial, el cauce adecuado hubiera sido la ejecución de sentencia, prevista en el art. 12.3 LOPP. Al no emplearse este cauce, la resolución es nula, ex art. 238 LOPJ, por prescindir totalmente del procedimiento. </w:t>
      </w:r>
    </w:p>
    <w:p w:rsidR="00DE14C9" w:rsidRDefault="00DE14C9" w:rsidP="00DE14C9">
      <w:pPr>
        <w:pStyle w:val="TextoNormal"/>
      </w:pPr>
      <w:r>
        <w:t>q) Vulneración del derecho a la intimidad personal (art. 18 CE), en relación con el derecho a un proceso con todas las garantías (art. 24 CE) y el derecho a la libertad ideológica (art. 16 CE), en relación con los arts. 17 PIDCP y 8 CEDH, pues los datos que constan en los informes policiales tenidos en cuenta por la Sentencia son datos de carácter personal, cuyo tratamiento requiere el consentimiento del afectado, que no se ha prestado. Por ello la prueba de la relación entre algunas personas de las candidaturas y los partidos ilegalizados es nula.</w:t>
      </w:r>
    </w:p>
    <w:p w:rsidR="00DE14C9" w:rsidRDefault="00DE14C9" w:rsidP="00DE14C9">
      <w:pPr>
        <w:pStyle w:val="TextoNormal"/>
      </w:pPr>
    </w:p>
    <w:p w:rsidR="00DE14C9" w:rsidRDefault="00DE14C9" w:rsidP="00DE14C9">
      <w:pPr>
        <w:pStyle w:val="TextoNormal"/>
      </w:pPr>
      <w:r w:rsidRPr="00DE14C9">
        <w:rPr>
          <w:rStyle w:val="NumeroAFNegritaCaracter"/>
        </w:rPr>
        <w:t>30</w:t>
      </w:r>
      <w:r>
        <w:t xml:space="preserve">. Los demandantes en el recurso de amparo núm. 4118-2007 fundan su demanda de amparo en los siguientes motivos: </w:t>
      </w:r>
    </w:p>
    <w:p w:rsidR="00DE14C9" w:rsidRDefault="00DE14C9" w:rsidP="00DE14C9">
      <w:pPr>
        <w:pStyle w:val="TextoNormal"/>
      </w:pPr>
      <w:r>
        <w:lastRenderedPageBreak/>
        <w:t xml:space="preserve">a) Vulneración del art. 24.1 CE, en relación con los arts. 6.3 b) y 13 CEDH, y los arts. 2.3 a) y b) y 14.1 y 3 b) PIDCP, al haber visto vulnerado su derecho a la tutela judicial efectiva durante la tramitación del proceso que se resolvió con la Sentencia impugnada, al habérseles ofrecido únicamente la puesta a disposición —sin permitir la obtención de copias— de los escritos de interposición de los recursos de la Abogacía del Estado y del Ministerio Fiscal en la Junta Electoral Provincial de Vizcaya, trámite que sólo fue posible evacuar a las 11:30 horas del cuatro de mayo, seis horas antes de acabar el plazo para la presentación de alegaciones. </w:t>
      </w:r>
    </w:p>
    <w:p w:rsidR="00DE14C9" w:rsidRDefault="00DE14C9" w:rsidP="00DE14C9">
      <w:pPr>
        <w:pStyle w:val="TextoNormal"/>
      </w:pPr>
      <w:r>
        <w:t xml:space="preserve">b) Vulneración del art. 24.1 CE, en relación con el art. 6.3 b) CEDH y los arts. 14.1 y 3 e) PIDCP, basado en que las circunstancias denunciadas en la anterior alegación les habría producido indefensión, al no haber dado ocasión de instruirse sobre los medios de prueba presentados en las demandas, con la consiguiente imposibilidad material y real para su impugnación. </w:t>
      </w:r>
    </w:p>
    <w:p w:rsidR="00DE14C9" w:rsidRDefault="00DE14C9" w:rsidP="00DE14C9">
      <w:pPr>
        <w:pStyle w:val="TextoNormal"/>
      </w:pPr>
      <w:r>
        <w:t xml:space="preserve">c) Vulneración del art. 24.2 CE, en relación con el art. 6.1 CEDH y del art. 14.1 PIDCP, por vulneración del derecho a un juez imparcial, en atención a que la misma Sala Especial del Tribunal Supremo que ha dictado la Sentencia recurrida hubiera sido creada para resolver sobre la disolución de determinados partidos políticos, habiendo sido el Magistrado Ponente uno de los componentes de la concreta Sala que disolvió los tres partidos ilegalizados, y a la vista de las manifestaciones de altos cargos y representantes del Gobierno y de diversas informaciones de prensa. </w:t>
      </w:r>
    </w:p>
    <w:p w:rsidR="00DE14C9" w:rsidRDefault="00DE14C9" w:rsidP="00DE14C9">
      <w:pPr>
        <w:pStyle w:val="TextoNormal"/>
      </w:pPr>
      <w:r>
        <w:t xml:space="preserve">d) Vulneración del art. 24.2 CE, en relación con el art. 14.3 b) y e) PIDCP y 6 d) CEDH, por la imposibilidad de utilizar medio de prueba alguno como consecuencia de la forma en que se ha tramitado el procedimiento. </w:t>
      </w:r>
    </w:p>
    <w:p w:rsidR="00DE14C9" w:rsidRDefault="00DE14C9" w:rsidP="00DE14C9">
      <w:pPr>
        <w:pStyle w:val="TextoNormal"/>
      </w:pPr>
      <w:r>
        <w:t xml:space="preserve">e) Vulneración del art. 1 CE, en relación con los arts. 3, 16, 18, 22 y 25 PIDCP y los arts. 9, 10, 11 y 14 del CEDH, por impedir el derecho a participar en los asuntos públicos en condiciones de igualdad. </w:t>
      </w:r>
    </w:p>
    <w:p w:rsidR="00DE14C9" w:rsidRDefault="00DE14C9" w:rsidP="00DE14C9">
      <w:pPr>
        <w:pStyle w:val="TextoNormal"/>
      </w:pPr>
      <w:r>
        <w:t xml:space="preserve">f) Vulneración de los arts. 9.2, 10, 14, 16, 23.1, 68.5, 140 y 141.2 CE, en relación con el art. 14 CEDH y los arts. 2 y 25 PIDCP, por vulneración del derecho al sufragio activo y pasivo de sujetos que no han sido inhabilitados mediante sentencia, infringiendo el derecho de igualdad de todos los españoles ante la Ley, y particularmente en relación con el derecho a acceder a funciones y cargos públicos, por el mero hecho de profesar una concreta ideología. </w:t>
      </w:r>
    </w:p>
    <w:p w:rsidR="00DE14C9" w:rsidRDefault="00DE14C9" w:rsidP="00DE14C9">
      <w:pPr>
        <w:pStyle w:val="TextoNormal"/>
      </w:pPr>
      <w:r>
        <w:t xml:space="preserve">g) Vulneración del art. 24.2 CE, en relación con el art. 6.2 CEDH y el art. 14.2 PIDCP, en su vertiente de presunción de inocencia, basada en que se impide el derecho de sufragio pasivo a sujetos no condenados penalmente sobre la base de la presunción de que delinquirán desde el cargo público al que pretenden acceder. </w:t>
      </w:r>
    </w:p>
    <w:p w:rsidR="00DE14C9" w:rsidRDefault="00DE14C9" w:rsidP="00DE14C9">
      <w:pPr>
        <w:pStyle w:val="TextoNormal"/>
      </w:pPr>
      <w:r>
        <w:t>h) Vulneración del art. 24.2 CE, en relación con el art. 15 PIDCP, en su vertiente de presunción de inocencia, por cuanto determinadas declaraciones de ciertos políticos y de miembros del Gobierno califican de criminales y cómplices del terrorismo a quienes pretenden concurrir a los comicios, a pesar de no haber sido juzgados ni condenados.</w:t>
      </w:r>
    </w:p>
    <w:p w:rsidR="00DE14C9" w:rsidRDefault="00DE14C9" w:rsidP="00DE14C9">
      <w:pPr>
        <w:pStyle w:val="TextoNormal"/>
      </w:pPr>
    </w:p>
    <w:p w:rsidR="00DE14C9" w:rsidRDefault="00DE14C9" w:rsidP="00DE14C9">
      <w:pPr>
        <w:pStyle w:val="TextoNormal"/>
      </w:pPr>
      <w:r w:rsidRPr="00DE14C9">
        <w:rPr>
          <w:rStyle w:val="NumeroAFNegritaCaracter"/>
        </w:rPr>
        <w:t>31</w:t>
      </w:r>
      <w:r>
        <w:t xml:space="preserve">. Los demandantes en el recurso de amparo núm. 4109-2007 fundan su demanda de amparo en los siguientes motivos: </w:t>
      </w:r>
    </w:p>
    <w:p w:rsidR="00DE14C9" w:rsidRDefault="00DE14C9" w:rsidP="00DE14C9">
      <w:pPr>
        <w:pStyle w:val="TextoNormal"/>
      </w:pPr>
      <w:r>
        <w:t xml:space="preserve">a) Vulneración del derecho a la tutela judicial efectiva (art. 24.1 CE), habida cuenta que, dispuesto por la Sala Especial del art. 61 LOPJ en su Auto de 3 de mayo de 2007, la puesta a disposición en las Juntas Electorales identificadas en el precitado Auto, a efectos de examen, de los escritos de interposición de recurso deducidos por Abogacía del Estado y Ministerio Fiscal, se había incumplido su tenor ante la inexistencia de copia de dichos escritos </w:t>
      </w:r>
      <w:r>
        <w:lastRenderedPageBreak/>
        <w:t xml:space="preserve">en la Junta Electoral de Bizkaia entre las 20:40 y las 21:00 del 3 de mayo de 2007, periodo en que los demandantes comparecieron, no disponiéndose en dicha Junta, según manifiestan haber acreditado en sede de alegaciones, ni de copia de los recursos ni de la documental que a los mismos se acompañaba. </w:t>
      </w:r>
    </w:p>
    <w:p w:rsidR="00DE14C9" w:rsidRDefault="00DE14C9" w:rsidP="00DE14C9">
      <w:pPr>
        <w:pStyle w:val="TextoNormal"/>
      </w:pPr>
      <w:r>
        <w:t xml:space="preserve">b) Vulneración del derecho a la libertad ideológica (art. 16.1 CE) en relación con el art. 9 CEDH, como consecuencia de la admisión del recurso contra los acuerdos de proclamación de candidaturas y de las propias conclusiones de la Sentencia impugnada, para lo que la recurrente colige que la fundamentación razonada en la misma, a efectos de establecer la relación entre las agrupaciones electorales y la sucesión en la actividad de partidos ilegalizados, concurrencia en anteriores comicios en candidaturas de HB, EH o Batasuna, o la propia integración per se en las actuales candidaturas, es constitutiva de persecución ideológica, por encontrase los candidatos excluidos en el pleno ejercicio de sus derechos civiles y políticos, atentándose igualmente contra el pluralismo político a través de los que la demandante expresamente califica de “indicios” considerados por la Sentencia, entre los que igualmente cita el propio hecho de establecer una estructura organizativa a efectos de constitución de agrupaciones electorales, hecho que no es, considera la demandante, sino el cauce y medio natural y necesario para articular la voluntad de participar en los citados comicios. </w:t>
      </w:r>
    </w:p>
    <w:p w:rsidR="00DE14C9" w:rsidRDefault="00DE14C9" w:rsidP="00DE14C9">
      <w:pPr>
        <w:pStyle w:val="TextoNormal"/>
      </w:pPr>
      <w:r>
        <w:t xml:space="preserve">c) Vulneración del derecho fundamental a participar en los asuntos públicos, directamente o por medio de representantes, regulado en el art. 23.1 CE, derivando dicha lesión del hecho de que los miembros de las distintas agrupaciones demandantes, identificados y descritos en la demanda, en su día fueron representantes de partidos que, en tales fechas, no habían sido todavía ilegalizados, por lo que atender al momento y hecho de la posterior ilegalización en lugar de al momento temporal en que concurrieron efectivamente a los anteriores comicios vulneraría tanto el art. 16 CE como el 25.1 CE, por constituir también una sanción implícita que aplicaría retroactivamente consecuencias jurídicas restrictivas de derechos. </w:t>
      </w:r>
    </w:p>
    <w:p w:rsidR="00DE14C9" w:rsidRDefault="00DE14C9" w:rsidP="00DE14C9">
      <w:pPr>
        <w:pStyle w:val="TextoNormal"/>
      </w:pPr>
      <w:r>
        <w:t xml:space="preserve">d) Vulneración del derecho fundamental a la intimidad personal del art. 18.1 CE, fundada en que los firmantes de las agrupaciones electorales habrían debido consentir expresamente que sus datos fueran examinados y considerados en relación con los criterios y conclusiones utilizados por la Sentencia impugnada, estando por tanto ante un tratamiento de datos personales no consentido, lo que conlleva la imposibilidad jurídica de su consideración como medios válidos de prueba a los efectos del art. 24 CE. </w:t>
      </w:r>
    </w:p>
    <w:p w:rsidR="00DE14C9" w:rsidRDefault="00DE14C9" w:rsidP="00DE14C9">
      <w:pPr>
        <w:pStyle w:val="TextoNormal"/>
      </w:pPr>
      <w:r>
        <w:t>e) Vulneración de la libertad de asociación (art. 22 CE en relación con el art. 11.1 CEDH), como consecuencia de la decisión judicial en relación con las agrupaciones recurrentes al constituir éstas una peculiar forma asociativa, de modo que las decisiones relativas a las mismas afectarían, inmediata y automáticamente, al derecho de asociación.</w:t>
      </w:r>
    </w:p>
    <w:p w:rsidR="00DE14C9" w:rsidRDefault="00DE14C9" w:rsidP="00DE14C9">
      <w:pPr>
        <w:pStyle w:val="TextoNormal"/>
      </w:pPr>
    </w:p>
    <w:p w:rsidR="00DE14C9" w:rsidRDefault="00DE14C9" w:rsidP="00DE14C9">
      <w:pPr>
        <w:pStyle w:val="TextoNormal"/>
      </w:pPr>
      <w:r w:rsidRPr="00DE14C9">
        <w:rPr>
          <w:rStyle w:val="NumeroAFNegritaCaracter"/>
        </w:rPr>
        <w:t>32</w:t>
      </w:r>
      <w:r>
        <w:t xml:space="preserve">. Los demandantes en el recurso de amparo núm. 4122-2007 fundan su demanda de amparo en los siguientes motivos: </w:t>
      </w:r>
    </w:p>
    <w:p w:rsidR="00DE14C9" w:rsidRDefault="00DE14C9" w:rsidP="00DE14C9">
      <w:pPr>
        <w:pStyle w:val="TextoNormal"/>
      </w:pPr>
      <w:r>
        <w:t xml:space="preserve">a) Vulneración del derecho de defensa (art. 24 CE), porque el Tribunal Supremo, aunque antes de dictar Sentencia abrió un trámite de alegaciones y proposición de prueba, éste no fue más que un mero formalismo, ya que el plazo que se otorgó, que vencía a las 18:00 del día 4 de mayo de 2007, fue a todas luces insuficiente para el conocimiento de la demanda, el examen de las pruebas y la formalización de alegaciones. Destaca en este sentido que la copia de la demanda no fue entregada, en muchos casos, hasta las 12:23 del día 4 de mayo de 2007, tal y como consta en la diligencia de entrega emitida por la Junta Provincial que se adjunta, concluyendo que, dado que el Auto dictado por la Sala Especial del Tribunal </w:t>
      </w:r>
      <w:r>
        <w:lastRenderedPageBreak/>
        <w:t xml:space="preserve">Supremo estableció el término final en un día y hora fijos, dicho Auto extiende la perentoriedad de un plazo que ya es de por sí especialísimo por ley con merma del derecho de defensa. </w:t>
      </w:r>
    </w:p>
    <w:p w:rsidR="00DE14C9" w:rsidRDefault="00DE14C9" w:rsidP="00DE14C9">
      <w:pPr>
        <w:pStyle w:val="TextoNormal"/>
      </w:pPr>
      <w:r>
        <w:t xml:space="preserve">b) Vulneración del derecho a la presunción de inocencia (art. 24.2 CE), ya que no se ha acreditado la sumisión, vinculación e integración actual en la estructura de ETA de los integrantes de las candidaturas o de los miembros de la Izquierda Abertzale que vertieron manifestaciones a su favor. Se argumenta, a esos efectos, que la Sentencia impugnada invoca como elemento de convicción el Auto de 30 de abril del año 2003 del Juzgado Central de Instrucción núm. 5 que no hace referencia a hechos actuales y que, habiéndose dictado en fase de instrucción, no tiene virtualidad de cosa juzgada. Por el contrario, el mismo órgano jurisdiccional en Autos recientes, como los de 26 de enero y 28 de abril de 2007, entiende que las personas que en su día integraban las estructuras HB-EH-Batasuna no se encuentran privadas por ese mismo hecho de sus derechos civiles y políticos y que no quedan privados de los mismos por pertenecer a la Izquierda Abertzale porque ésta no está privada ni suspendida de actividades políticas. </w:t>
      </w:r>
    </w:p>
    <w:p w:rsidR="00DE14C9" w:rsidRDefault="00DE14C9" w:rsidP="00DE14C9">
      <w:pPr>
        <w:pStyle w:val="TextoNormal"/>
      </w:pPr>
      <w:r>
        <w:t xml:space="preserve">c) Vulneración del derecho a utilizar los medios de prueba pertinentes para su defensa (art. 24 CE), en la vertiente negativa de este derecho de que no se practique una prueba viciada, cuya pertinencia deba ser negada por el Juez o Tribunal en su función de garantizar la tutela judicial efectiva. Ello se funda en que el Tribunal Supremo aceptó como pruebas periciales los informes de la Guardia Civil, de la Policía Nacional y de la Policía Autonómica Vasca aportados por los demandantes cuando, a su juicio, por una aplicación de los artículos 456 LEC y 335 LECrim, deberían ser tenidos por meros atestados policiales. Destacan, además, que no pueden ser considerados pruebas periciales porque los policías no aportan al hacerlos especiales conocimientos, pues se limitan a hacer un estudio pormenorizado de una documentación. </w:t>
      </w:r>
    </w:p>
    <w:p w:rsidR="00DE14C9" w:rsidRDefault="00DE14C9" w:rsidP="00DE14C9">
      <w:pPr>
        <w:pStyle w:val="TextoNormal"/>
      </w:pPr>
      <w:r>
        <w:t xml:space="preserve">d) Vulneración del derecho a la participación política (art. 23.1 CE), porque el derecho a promover agrupaciones de electores forma parte del núcleo esencial del mismo. Argumenta el recurso que cualquier persona en pleno uso de sus derechos tiene el de participar en las elecciones, independientemente de que años atrás haya estado relacionado con un partido ilegalizado, pues la LOPP tiene como finalidad perseguir actividades de partidos políticos, no ideas ni proyectos políticos. Se niega, en esta línea, que promover agrupaciones electorales para concurrir a las elecciones por parte de estas personas constituya fraude de ley o abuso de derecho. </w:t>
      </w:r>
    </w:p>
    <w:p w:rsidR="00DE14C9" w:rsidRDefault="00DE14C9" w:rsidP="00DE14C9">
      <w:pPr>
        <w:pStyle w:val="TextoNormal"/>
      </w:pPr>
      <w:r>
        <w:t>e) Vulneración del derecho a la libertad ideológica (art. 16.1 CE), en su dimensión externa de poder expresar las propias ideas sin sufrir por ello sanción o injerencia de los poderes públicos. Se cita en apoyo de esta queja el ATC 1227/1988, de 7 de noviembre, según el cual la libertad ideológica “no se circunscribe a la oral/escrita sino que incluye también la adopción de actitudes y conductas como se deduce de los propios términos del art. 16.1 CE, al prever como únicas limitaciones las necesarias para el mantenimiento del orden público”, entendiendo éste no como mera perturbación material, sino la quiebra de los intereses y los fines generales y básicos que constituyen el fundamento de la globalidad del ordenamiento jurídico.</w:t>
      </w:r>
    </w:p>
    <w:p w:rsidR="00DE14C9" w:rsidRDefault="00DE14C9" w:rsidP="00DE14C9">
      <w:pPr>
        <w:pStyle w:val="TextoNormal"/>
      </w:pPr>
    </w:p>
    <w:p w:rsidR="00DE14C9" w:rsidRDefault="00DE14C9" w:rsidP="00DE14C9">
      <w:pPr>
        <w:pStyle w:val="TextoNormal"/>
      </w:pPr>
      <w:r w:rsidRPr="00DE14C9">
        <w:rPr>
          <w:rStyle w:val="NumeroAFNegritaCaracter"/>
        </w:rPr>
        <w:t>33</w:t>
      </w:r>
      <w:r>
        <w:t xml:space="preserve">. Los demandantes en el recurso de amparo núm. 4115-2007 fundan su demanda de amparo en los siguientes motivos: </w:t>
      </w:r>
    </w:p>
    <w:p w:rsidR="00DE14C9" w:rsidRDefault="00DE14C9" w:rsidP="00DE14C9">
      <w:pPr>
        <w:pStyle w:val="TextoNormal"/>
      </w:pPr>
      <w:r>
        <w:t xml:space="preserve">a) Vulneración de los arts. 24 CE, 6 CEDH y 10 DUDH, ya que les fue concedido un plazo insuficiente para el conocimiento de la demanda, el examen de las pruebas y la formalización de sus alegaciones. </w:t>
      </w:r>
    </w:p>
    <w:p w:rsidR="00DE14C9" w:rsidRDefault="00DE14C9" w:rsidP="00DE14C9">
      <w:pPr>
        <w:pStyle w:val="TextoNormal"/>
      </w:pPr>
      <w:r>
        <w:lastRenderedPageBreak/>
        <w:t xml:space="preserve">b) Vulneración del derecho a la presunción de inocencia (art. 24.2 CE), que se habría infringido por diversas causas. Así, en primer término, se denuncia que ha sido valorado como elemento de convicción el Auto del Juzgado Central de Instrucción núm. 5 de 30 de abril de 2003, dictado en sumario 35-2002, siendo así que, a tenor de la doctrina del Tribunal Supremo, el Auto de procesamiento no ostenta carácter documental. Se añade, de otro lado, que la culpabilidad ha de comprobarse en cada acción típica concretamente ejecutada por su autor y, finalmente, que aquella resolución, dictada en fase de instrucción, no puede poseer la virtualidad de cosa juzgada en el presente contencioso electoral. En segundo lugar, se afirma que no existe dato alguno que permita sostener la argumentación esencial que ha llevado a anular la proclamación de su candidatura, esto es, la vinculación entre las agrupaciones recurrentes y Batasuna, pues de las manifestaciones e intervenciones de las personas que integran aquéllas no se desprende tal vinculación con Batasuna, sino con la izquierda abertzale, que no es una organización ilegal, por lo que sus actividades son legítimas, legales y ajustadas a Derecho. En este sentido, se resalta además que acerca de la agrupación Atxondoko Abertzale Sozialistak se afirma que ninguno de sus componentes posee vínculo alguno con los partidos ilegalizados, motivo suficiente para que la pretensión de los demandantes en el proceso a quo hubiera decaído; y, en relación con el resto de agrupaciones, se argumenta que sus componentes participaron con aquéllos antes de su ilegalización. </w:t>
      </w:r>
    </w:p>
    <w:p w:rsidR="00DE14C9" w:rsidRDefault="00DE14C9" w:rsidP="00DE14C9">
      <w:pPr>
        <w:pStyle w:val="TextoNormal"/>
      </w:pPr>
      <w:r>
        <w:t xml:space="preserve">Se denuncia, de otra parte, que la sumisión, vinculación y dirección de las personas que se imputa a las que integran las agrupaciones recurrentes debe demostrarse con prueba legalmente obtenida y no de forma indiciaria, subrayando que se ha producido una inversión de la carga de la prueba, de modo que son los ciudadanos que forman las listas de electores anuladas los que han de acreditar su no vinculación con los partidos ilegalizados. Por otro lado, respecto de los informes de la Guardia Civil, de la Policía Nacional y de la Policía Autonómica, se subraya en la demanda de amparo que la doctrina de la Sala Segunda del Tribunal Supremo establece que los informes policiales tienen naturaleza de prueba pericial siempre que la documentación haya sido incorporada a los autos, y sin embargo en este caso las recurrentes no habrían tenido conocimiento de aquéllos hasta la notificación de la Sentencia recurrida o, de haber constado en las actuaciones, no habrían tenido posibilidad de examinarlos. Por lo demás, no ha quedado tampoco acreditado que tales informes haya sido ratificados, afirmándose en la demanda que, con independencia de las infracciones denunciadas “se impugnan los referidos informes a los efectos legales oportunos”. </w:t>
      </w:r>
    </w:p>
    <w:p w:rsidR="00DE14C9" w:rsidRDefault="00DE14C9" w:rsidP="00DE14C9">
      <w:pPr>
        <w:pStyle w:val="TextoNormal"/>
      </w:pPr>
      <w:r>
        <w:t xml:space="preserve">c) Vulneración del derecho a utilizar los medios de prueba pertinentes para la defensa (art. 24.2 CE) en una vertiente negativa, y que sería la garantía de que no se practiquen determinadas pruebas, denuncian las agrupaciones recurrentes que el órgano judicial ha admitido una prueba impertinente —esto es, los antedichos informes policiales—, por no ostentar los funcionarios de los cuerpos y fuerzas de seguridad la condición objetiva de peritos en este supuesto. De esta forma, el órgano judicial a quo habría dotado de naturaleza de atestado ratificado a lo que son meros informes policiales carentes de valor probatorio alguno. </w:t>
      </w:r>
    </w:p>
    <w:p w:rsidR="00DE14C9" w:rsidRDefault="00DE14C9" w:rsidP="00DE14C9">
      <w:pPr>
        <w:pStyle w:val="TextoNormal"/>
      </w:pPr>
      <w:r>
        <w:t>d) Vulneración del derecho a participar en asuntos públicos (art. 23.1 CE, art. 22 DUDH y art. 25 PIDCP) en relación con el derecho a la libertad ideológica (art. 16.1 CE y art. 9.1 CEDH), con fundamento, en primer lugar, en que el derecho de promover agrupaciones electorales forma parte del núcleo esencial del derecho a la participación política reconocido en el art. 23.1 CE y que la única manera de privar a un ciudadano del derecho a participar en las elecciones es la vía penal, circunstancia que no se produce con la ilegalización de partidos políticos, por lo que los efectos de una sentencia de ilegalización no pueden alcan</w:t>
      </w:r>
      <w:r>
        <w:lastRenderedPageBreak/>
        <w:t>zar a los derechos de las personas que formaban parte del partido político u ostentaban cargos directivos o electos, a promover una agrupación de electores o a formar parte de la lista que una agrupación presente. De otro lado, se aduce que se ha imputado a las demandantes haber actuado en fraude de ley y con abuso de derecho sin que concurran los elementos de tales figuras jurídicas, resultando, en cambio, fraudulento, abusivo y vulnerador del art. 23.1 CE, cercenar el derecho de participación a quienes con anterioridad a su ilegalización formaron parte de un partido ilegalizado, así como extender tales efectos a quienes compartan candidatura con ellos. En segundo término, respecto de la supuesta vulneración del derecho a la libertad ideológica (art. 16.1 CE), afirman las demandantes que el mismo resulta infringido porque su exclusión impide a personas que tienen todos sus derechos unirse para defender unas ideas en el ámbito foral o local, limitándose a continuación a exponer doctrina constitucional relativa a aquel derecho.</w:t>
      </w:r>
    </w:p>
    <w:p w:rsidR="00DE14C9" w:rsidRDefault="00DE14C9" w:rsidP="00DE14C9">
      <w:pPr>
        <w:pStyle w:val="TextoNormal"/>
      </w:pPr>
    </w:p>
    <w:p w:rsidR="00DE14C9" w:rsidRDefault="00DE14C9" w:rsidP="00DE14C9">
      <w:pPr>
        <w:pStyle w:val="TextoNormal"/>
      </w:pPr>
      <w:r w:rsidRPr="00DE14C9">
        <w:rPr>
          <w:rStyle w:val="NumeroAFNegritaCaracter"/>
        </w:rPr>
        <w:t>34</w:t>
      </w:r>
      <w:r>
        <w:t xml:space="preserve">. Los demandantes en el recurso de amparo núm. 4110-2007 fundan su demanda de amparo en los siguientes motivos: </w:t>
      </w:r>
    </w:p>
    <w:p w:rsidR="00DE14C9" w:rsidRDefault="00DE14C9" w:rsidP="00DE14C9">
      <w:pPr>
        <w:pStyle w:val="TextoNormal"/>
      </w:pPr>
      <w:r>
        <w:t xml:space="preserve">a) Vulneración del derecho a la tutela judicial efectiva y del principio de contradicción, reconocido por el art. 24.1 CE y el art. 6 CEDH, ya que, en primer lugar, no se ha dado traslado de los documentos adjuntos y demás pruebas aportadas por el Abogado del Estado y del Ministerio Fiscal y resultaba improcedente el plazo concedido para formular alegaciones, ya que ni tan siquiera se notificó la interposición del recurso. En segundo lugar, por la brevedad del plazo para efectuar alegaciones que, teniendo en cuenta las distancias existentes entre los domicilios de las agrupaciones de electores recurrentes y la sede del órgano resolutorio, imposibilitó el estudio de la demanda produciendo indefensión material a las recurrentes. En tercer lugar, por la imposibilidad de examinar el recurso en la sede del Tribunal porque el plazo otorgado se refería a la noche del 1 al 2 de mayo, teniendo que recorrer más de cuatrocientos kilómetros y formular alegaciones en esa misma noche. En cuarto lugar, por limitación de la práctica de pruebas, que se justifica en la resolución impugnada por la naturaleza sumaria del recurso articulado a través del art. 49.1 LOREG. Aducen las recurrentes que ese recurso no garantiza los derechos fundamentales reconocidos por la Constitución. En el caso de autos, los informes de la Policía Nacional y de la Guardia Civil y la Ertzantza fueron aceptados como prueba pericial aunque no fueron ratificados en presencia judicial, en contra de jurisprudencia consolidada. Por último, en cuarto lugar, se aduce la vulneración del derecho fundamental reconocido en el art. 24.1 CE y en el art. 6 CEDH por infracción del derecho de contradicción e igualdad de armas, ya que el trámite de audiencia abierto fue más testimonial que real, dadas las escasas horas que tuvieron las recurrentes para estudiar y contradecir las pruebas de la Fiscalía y Abogacía del Estado. </w:t>
      </w:r>
    </w:p>
    <w:p w:rsidR="00DE14C9" w:rsidRDefault="00DE14C9" w:rsidP="00DE14C9">
      <w:pPr>
        <w:pStyle w:val="TextoNormal"/>
      </w:pPr>
      <w:r>
        <w:t xml:space="preserve">b) Se aduce la inconstitucionalidad del art. 49 LOREG por la sumariedad del recurso allí establecido, incidiéndose en que ese procedimiento no garantiza la efectividad de los derechos fundamentales reconocidos en los arts. 24.1 y 2 CE ni la seguridad jurídica (art. 9.3 CE). La perentoriedad de los plazos y la distancia que se debe recorrer hasta la sede del Tribunal lesiona los derechos fundamentales invocados. </w:t>
      </w:r>
    </w:p>
    <w:p w:rsidR="00DE14C9" w:rsidRDefault="00DE14C9" w:rsidP="00DE14C9">
      <w:pPr>
        <w:pStyle w:val="TextoNormal"/>
      </w:pPr>
      <w:r>
        <w:t xml:space="preserve">c) Vulneración del art. 6 CEDH en cuanto establece que toda persona tiene derecho a ser oída de forma equitativa, pues por los motivos expuestos no es posible que sean oídas de forma equitativa y con respeto al principio de igualdad de armas. </w:t>
      </w:r>
    </w:p>
    <w:p w:rsidR="00DE14C9" w:rsidRDefault="00DE14C9" w:rsidP="00DE14C9">
      <w:pPr>
        <w:pStyle w:val="TextoNormal"/>
      </w:pPr>
      <w:r>
        <w:t xml:space="preserve">d) Vulneración del art. 6 CEDH en cuanto que establece que toda persona tiene derecho a ser oída por un tribunal independiente e imparcial, ya que la mediatización del Poder Judicial por el Gobierno, con quien han hecho causa común los medios de comunicación, y </w:t>
      </w:r>
      <w:r>
        <w:lastRenderedPageBreak/>
        <w:t xml:space="preserve">que se concreta en este caso en el acoso y condicionamiento del Tribunal Supremo, priva a esta parte del derecho a acceder a un tribunal imparcial e independiente. </w:t>
      </w:r>
    </w:p>
    <w:p w:rsidR="00DE14C9" w:rsidRDefault="00DE14C9" w:rsidP="00DE14C9">
      <w:pPr>
        <w:pStyle w:val="TextoNormal"/>
      </w:pPr>
      <w:r>
        <w:t xml:space="preserve">e) Vulneración del derecho fundamental de las recurrentes a la participación en los asuntos públicos del art. 23.1 CE, del art. 9 CEDH, del art. 21 DUDH y del art. 25 PIDCP. La resolución judicial impugnada no se basa en los tres criterios principales establecidos por el art. 44.4 de la Ley Orgánica reguladora del régimen electoral general para determinar la sucesión del partido político declarado ilegal por las agrupaciones de electores. Según se aduce en la demanda de amparo, no existe similitud sustancial de las agrupaciones electorales recurrentes con la estructura, organización y funcionamiento del partido político ilegalizado. Las agrupaciones de electores demandantes de amparo no tienen órganos ni estructura, sino promotores individuales, representante ante la Junta electoral y un Administrador, por lo que la Sentencia impugnada no pudo constatar la similitud establecida por la Ley. En cuanto a las personas que componen las candidaturas de la agrupación electoral, la Sala se limita a mencionar un número de candidatos que coinciden con candidaturas anteriores en alguna de las formaciones disueltas o ilegalizadas, pero que no están incluidos en las candidaturas de las agrupaciones recurrentes en amparo. Por último, en cuanto al criterio de la procedencia de los medios de financiación, las agrupaciones hasta el momento sólo han realizado la apertura de una cuenta corriente, que además viene exigido por la normativa electoral. En consecuencia, la similitud entre las agrupaciones electorales y las formaciones disueltas se basa, de acuerdo con la Sentencia impugnada, en un único criterio (coincidencia de algunos candidatos en las listas ilegalizadas anteriormente) que, además, según las pruebas practicadas, no es aplicable a las agrupaciones demandantes de este recurso de amparo, por lo que la Sala incumple el principio favor libertatis recocido por la jurisprudencia constitucional </w:t>
      </w:r>
    </w:p>
    <w:p w:rsidR="00DE14C9" w:rsidRDefault="00DE14C9" w:rsidP="00DE14C9">
      <w:pPr>
        <w:pStyle w:val="TextoNormal"/>
      </w:pPr>
      <w:r>
        <w:t xml:space="preserve">f) Vulneración del derecho fundamental de los electores que promueven las agrupaciones electorales a la participación en los asuntos públicos del art. 23 CE, del art. 9 CEDH, del art. 21 DUDH y del art. 25 PIDCP. Todo ello porque los protagonistas de las agrupaciones no son aquellos que las integran sino los electores que las promueven, que con la declaración de nulidad ven lesionados los derechos fundamentales. </w:t>
      </w:r>
    </w:p>
    <w:p w:rsidR="00DE14C9" w:rsidRDefault="00DE14C9" w:rsidP="00DE14C9">
      <w:pPr>
        <w:pStyle w:val="TextoNormal"/>
      </w:pPr>
      <w:r>
        <w:t xml:space="preserve">g) Vulneración del derecho fundamental a la participación en los asuntos públicos del art. 23.1 CE, del art. 9 CEDH, del art. 21 DUDH y del art. 25 PIDCP, de las personas que, aún cumpliendo todos los requisitos legales para concurrir a las elecciones como candidatos, se les niega ese derecho fundamental. Los efectos de una Sentencia de ilegalización no pueden alcanzar- porque entre otras razones no ha sido objeto del proceso- a los derechos de personas que formaban parte del partido político, cuyas ideas además no fueron proscritas. </w:t>
      </w:r>
    </w:p>
    <w:p w:rsidR="00DE14C9" w:rsidRDefault="00DE14C9" w:rsidP="00DE14C9">
      <w:pPr>
        <w:pStyle w:val="TextoNormal"/>
      </w:pPr>
      <w:r>
        <w:t xml:space="preserve">h) Vulneración del derecho fundamental a la participación en los asuntos públicos por sí o por medio de representante del art. 23.1 CE, del art. 9 CEDH, del art. 21 DUDH y del art. 25 PIDCP de las personas que no tuvieron participación en ninguna lista anterior y habían sido incluidas en las de las agrupaciones demandantes de amparo. En conexión con los citados preceptos se invoca asimismo la lesión del derecho al pluralismo político (art. 1 CE), del derecho a la participación política (art. 6 CE), del derecho a la igualdad ante la Ley sin ser sometido a discriminación por razón de opinión (art. 14 CE), del derecho a la libertad ideológica (art. 16 CE), del derecho a acceder en condiciones de igualdad a las funciones y cargos públicos (art. 23.2 CE), y del derecho a la elección mediante sufragio universal (art. 140 CE). </w:t>
      </w:r>
    </w:p>
    <w:p w:rsidR="00DE14C9" w:rsidRDefault="00DE14C9" w:rsidP="00DE14C9">
      <w:pPr>
        <w:pStyle w:val="TextoNormal"/>
      </w:pPr>
      <w:r>
        <w:t xml:space="preserve">i) Vulneración del derecho fundamental a la participación en los asuntos públicos por sí o por medio de representante del art. 23.1 CE, del art. 9 CEDH, del art. 21 DUDH y del art. </w:t>
      </w:r>
      <w:r>
        <w:lastRenderedPageBreak/>
        <w:t xml:space="preserve">25 PIDCP de las personas que optan por participar en la actividad pública a través de representantes políticos que son eliminados de la contienda electoral, lo que priva a los electores de que sus ideas queden representadas en las instituciones. Estas ideas, según la demanda de amparo, son objeto de persecución política por la Fiscalía y la Abogacía del Estado, en contra del objeto de la Ley 6/2002 de partidos políticos. </w:t>
      </w:r>
    </w:p>
    <w:p w:rsidR="00DE14C9" w:rsidRDefault="00DE14C9" w:rsidP="00DE14C9">
      <w:pPr>
        <w:pStyle w:val="TextoNormal"/>
      </w:pPr>
      <w:r>
        <w:t xml:space="preserve">j) Vulneración del derecho fundamental a la libertad ideológica (art. 16 CE), en relación con el art. 9 CEDH, con los arts. 18 y 19 DUDH y con los arts. 18 y 19 PIDCP. La anulación de las candidaturas implica, según la demanda de amparo, la lesión del derecho a la libertad ideológica de los candidatos puesto que impide que personas que gozan de la plenitud de sus derechos se unan para defender unas ideas de ámbito foral o local. La Sentencia impugnada no habría respetado, según las demandantes de amparo, la doctrina del Tribunal Constitucional sobre la máxima amplitud de la libertad ideológica reconocida en el art. 16 CE, por ser fundamento, junto con la dignidad de la persona, de otros derechos y libertades fundamentales como los reconocidos en el art. 20 a) y d) CE (STC 20/1990 y ATC 19/1992). </w:t>
      </w:r>
    </w:p>
    <w:p w:rsidR="00DE14C9" w:rsidRDefault="00DE14C9" w:rsidP="00DE14C9">
      <w:pPr>
        <w:pStyle w:val="TextoNormal"/>
      </w:pPr>
      <w:r>
        <w:t xml:space="preserve">k) Infracción del art. 18.4 CE con vulneración del derecho fundamental a la autodeterminación informativa de las personas que componen las candidaturas de las agrupaciones electorales recurrentes en amparo, porque se utilizaron las bases de datos personales de miles de personas donde se recogen datos ideológicos sin ningún control administrativo. Los informes de la Ertzantza, de la Policía Nacional y de la Guardia Civil utilizaron datos de personas que concurrieron a las elecciones pasadas y que, en algunos casos, han desempeñado cargos públicos, que no están registrados en ningún fichero de la Agencia Nacional de Protección de Datos, dándoles un tratamiento contrario a lo dispuesto en la Ley Orgánica de protección de datos de carácter personal, sin ningún tipo de garantías para el afectado. </w:t>
      </w:r>
    </w:p>
    <w:p w:rsidR="00DE14C9" w:rsidRDefault="00DE14C9" w:rsidP="00DE14C9">
      <w:pPr>
        <w:pStyle w:val="TextoNormal"/>
      </w:pPr>
      <w:r>
        <w:t>Por otrosí se solicita el recibimiento del pleito a prueba con proposición de diversas pruebas documentales y prueba testifical, consistente en la toma de declaración a los promotores de la candidatura.</w:t>
      </w:r>
    </w:p>
    <w:p w:rsidR="00DE14C9" w:rsidRDefault="00DE14C9" w:rsidP="00DE14C9">
      <w:pPr>
        <w:pStyle w:val="TextoNormal"/>
      </w:pPr>
    </w:p>
    <w:p w:rsidR="00DE14C9" w:rsidRDefault="00DE14C9" w:rsidP="00DE14C9">
      <w:pPr>
        <w:pStyle w:val="TextoNormal"/>
      </w:pPr>
      <w:r w:rsidRPr="00DE14C9">
        <w:rPr>
          <w:rStyle w:val="NumeroAFNegritaCaracter"/>
        </w:rPr>
        <w:t>35</w:t>
      </w:r>
      <w:r>
        <w:t xml:space="preserve">. Los demandantes en el recurso de amparo núm. 4127-2007 fundan su demanda de amparo en los siguientes motivos: </w:t>
      </w:r>
    </w:p>
    <w:p w:rsidR="00DE14C9" w:rsidRDefault="00DE14C9" w:rsidP="00DE14C9">
      <w:pPr>
        <w:pStyle w:val="TextoNormal"/>
      </w:pPr>
      <w:r>
        <w:t xml:space="preserve">a) Vulneración del derecho a la tutela judicial efectiva (art. 24.1 CE), basado, por un lado, en la indefensión generada por la brevedad de los plazos para la interposición del recurso ante el Tribunal Supremo y las escasas horas concedidas para el examen de los recursos interpuestos, preparación de alegaciones y presentación de las mismas, y, por otro, en el hecho de que no se ha dado a la parte el pertinente traslado de la documentación que acompañaba el recurso, por lo que se ha visto impedida de analizar la documental aportada. </w:t>
      </w:r>
    </w:p>
    <w:p w:rsidR="00DE14C9" w:rsidRDefault="00DE14C9" w:rsidP="00DE14C9">
      <w:pPr>
        <w:pStyle w:val="TextoNormal"/>
      </w:pPr>
      <w:r>
        <w:t xml:space="preserve">b) Vulneración del derecho a la defensa (art. 24.2 CE), basado en la indefensión generada por la brevedad de los plazos para el recurso ante el Tribunal Supremo y en el hecho de que en ningún momento, desatendiendo lo señalado en el Auto emitido por Tribunal Supremo, se puso en conocimiento de la parte la documental aportada. </w:t>
      </w:r>
    </w:p>
    <w:p w:rsidR="00DE14C9" w:rsidRDefault="00DE14C9" w:rsidP="00DE14C9">
      <w:pPr>
        <w:pStyle w:val="TextoNormal"/>
      </w:pPr>
      <w:r>
        <w:t xml:space="preserve">c) Vulneración del art. 24.2 CE, basado en que no se le dio traslado de la demanda ni de las pruebas presentadas con ella. Este hecho supone una vulneración de las reglas procesales y del derecho a un proceso con todas las garantías, vulneración que no puede considerarse reparada, como pretende el Tribunal Supremo, por la vía de dejar las copias de interposición de los recursos y documentación anexa a disposición de las partes para su examen en la Junta electoral correspondiente. El carácter sumario del procedimiento no puede implicar una modificación de las reglas de procedimiento ni una vulneración de derechos fundamentales. </w:t>
      </w:r>
    </w:p>
    <w:p w:rsidR="00DE14C9" w:rsidRDefault="00DE14C9" w:rsidP="00DE14C9">
      <w:pPr>
        <w:pStyle w:val="TextoNormal"/>
      </w:pPr>
      <w:r>
        <w:lastRenderedPageBreak/>
        <w:t xml:space="preserve">d) Vulneración del art. 24.2 CE, basado, por una parte, en la valoración de las pruebas aportadas por los demandantes ante el Tribunal Supremo, ya que los elementos de convicción en los que se ha basado la decisión no han estado a disposición de los demandados ni los informes policiales han sido objeto de ratificación. Por otra, en que no se ha podido practicar la prueba interesada so pretexto de lo perentorio de los plazos y del carácter sumario del proceso. </w:t>
      </w:r>
    </w:p>
    <w:p w:rsidR="00DE14C9" w:rsidRDefault="00DE14C9" w:rsidP="00DE14C9">
      <w:pPr>
        <w:pStyle w:val="TextoNormal"/>
      </w:pPr>
      <w:r>
        <w:t xml:space="preserve">e) Vulneración del derecho a la participación en asuntos públicos (art. 23 CE), basado en que la Sentencia recurrida anula la proclamación de candidatos porque existe una continuación o sucesión de las agrupaciones de electores hoy recurrentes ante este Tribunal respecto de los partidos políticos ilegalizados Herri Batasuna, Euskal Herritarrok y Batasuna, sin que en la Sentencia recurrida hayan quedado acreditados los elementos que, de acuerdo con el art. 44.4 LOREG, resultan determinantes para que pueda considerarse la señalada continuidad o sucesión. </w:t>
      </w:r>
    </w:p>
    <w:p w:rsidR="00DE14C9" w:rsidRDefault="00DE14C9" w:rsidP="00DE14C9">
      <w:pPr>
        <w:pStyle w:val="TextoNormal"/>
      </w:pPr>
      <w:r>
        <w:t>f) Vulneración del derecho a la libertad ideológica (art. 16 CE), basado en que la anulación de la candidatura implica la imposibilidad de personas en pleno ejercicio de sus derechos el unirse para defender unas ideas en el ámbito foral o local, concurriendo a las elecciones.</w:t>
      </w:r>
    </w:p>
    <w:p w:rsidR="00DE14C9" w:rsidRDefault="00DE14C9" w:rsidP="00DE14C9">
      <w:pPr>
        <w:pStyle w:val="TextoNormal"/>
      </w:pPr>
    </w:p>
    <w:p w:rsidR="00DE14C9" w:rsidRDefault="00DE14C9" w:rsidP="00DE14C9">
      <w:pPr>
        <w:pStyle w:val="TextoNormal"/>
      </w:pPr>
      <w:r w:rsidRPr="00DE14C9">
        <w:rPr>
          <w:rStyle w:val="NumeroAFNegritaCaracter"/>
        </w:rPr>
        <w:t>36</w:t>
      </w:r>
      <w:r>
        <w:t xml:space="preserve">. Los demandantes en el recurso de amparo núm. 4117-2007 fundan su demanda de amparo en los siguientes motivos: </w:t>
      </w:r>
    </w:p>
    <w:p w:rsidR="00DE14C9" w:rsidRDefault="00DE14C9" w:rsidP="00DE14C9">
      <w:pPr>
        <w:pStyle w:val="TextoNormal"/>
      </w:pPr>
      <w:r>
        <w:t xml:space="preserve">a) Vulneración del derecho a no sufrir indefensión y del derecho a la defensa del art. 24 CE y el art. 6 CEDH, debido a las condiciones en las que los representantes de las candidaturas impugnadas han tenido que organizar la preparación de sus alegaciones. Así, en primer lugar, la notificación del Auto de la Sala donde se acordó la acumulación de los recursos y el hecho mismo de la impugnación de las candidaturas se realizó entre las 18:00 y las 21:30 horas del día 3 de mayo, sin que la documentación que acompañaba al Auto notificado comenzará a entregarse hasta las 20:00 horas, y sin que el contenido del diskette entregado se correspondiera con el señalado en el Auto de 3 de mayo, incluyendo sólo copias de los recursos contencioso-electorales interpuestos, pero no, frente al tenor literal del Auto, apartado d), los listados de las candidaturas presentadas a los comicios electorales de los años 2003, 2004 y 2005. De todo ello se deduce que las Juntas electorales no han obrado de acuerdo con el Auto que se les notificó. En segundo lugar, resulta dañada la igualdad de armas y las posibilidades de defensa por el hecho de que el resto de la documentación, informes del Cuerpo Nacional de la Policía, de la Guardia Civil y de la Policía Autonómica vasca, sólo ha podido ser consultada trasladándose a la oficina judicial del Tribunal Supremo, lo que comporta que la consulta de tal documentación y la posterior preparación y redacción de las alegaciones se ha visto lastrada por dificultades materiales prácticamente insalvables, las cuales son consecuencia, en realidad, de la propia inconstitucionalidad de la normativa electoral. En tercer lugar, similares dificultades son predicables de la posibilidad de aportar prueba, al haber dispuesto únicamente, en el mejor de los casos, de un plazo de 24 horas. La demanda entiende, en definitiva, que estas circunstancias le han cerrado la posibilidad de impetrar la protección judicial de sus derechos de manera injustificada, por haber podido el Tribunal Supremo prever las circunstancias que se iban a producir. </w:t>
      </w:r>
    </w:p>
    <w:p w:rsidR="00DE14C9" w:rsidRDefault="00DE14C9" w:rsidP="00DE14C9">
      <w:pPr>
        <w:pStyle w:val="TextoNormal"/>
      </w:pPr>
      <w:r>
        <w:t xml:space="preserve">b) Vulneración del derecho a la tutela judicial efectiva sin indefensión (art. 24.1 CE) y a un proceso con todas las garantías (art. 24.2 CE), fundada en las citadas limitaciones de las posibilidades efectivas de defensa, así como en la ausencia de contradicción. </w:t>
      </w:r>
    </w:p>
    <w:p w:rsidR="00DE14C9" w:rsidRDefault="00DE14C9" w:rsidP="00DE14C9">
      <w:pPr>
        <w:pStyle w:val="TextoNormal"/>
      </w:pPr>
      <w:r>
        <w:t xml:space="preserve">c) Vulneración del derecho a participar en los asuntos públicos directamente o por medio de representantes (art. 23.1 CE y art. 25 PIDCP), fundada en que la Sentencia impugnada </w:t>
      </w:r>
      <w:r>
        <w:lastRenderedPageBreak/>
        <w:t xml:space="preserve">conculca el derecho al sufragio pasivo de los integrantes de la candidatura promovida. Se argumenta que el Tribunal Supremo en ningún momento hace alusión a la concreta participación de los electores que forman parte de la agrupación en la “coordinación” con distintas plataformas vinculadas con partidos políticos declarados ilegales, y en que respecto de los miembros de la candidatura que formaron parte de dichos partidos no se ofrecen argumentos respecto de sus condiciones personales, concluyendo el Tribunal Supremo que por haber formado parte de tales candidaturas de partidos ilegalizados dichas personas han perdido el derecho de sufragio pasivo, arrastrando además a la totalidad de la candidatura de la que ahora forman parte. Adicionalmente, consideran las recurrentes que no existe una similitud sustancial entre la agrupación electoral y los partidos políticos ilegalizados y disueltos, concluyendo que la única manera de privar a un ciudadano de participar en las elecciones es privarle penalmente de su derecho de sufragio pasivo, circunstancia que no puede producirse con la mera ilegalización de partidos políticos, por lo que no puede admitirse como argumento para justificar una pretendida continuidad o sucesión con partidos políticos declarados ilegales el hecho de que personas que hayan sido militantes, hayan desempeñado cargos directivos o electos de un partido político declarado ilegal decidan promover o formar parte de una agrupación electoral. Además, no cabe tampoco entender que han actuado en fraude de ley, pues debe tener presente la particular naturaleza de las agrupaciones de electores y el hecho de que con ellas se está ejercitando de modo directo el derecho de participación política (art. 23.1 CE) y el derecho a la libertad ideológica (art. 16 CE). </w:t>
      </w:r>
    </w:p>
    <w:p w:rsidR="00DE14C9" w:rsidRDefault="00DE14C9" w:rsidP="00DE14C9">
      <w:pPr>
        <w:pStyle w:val="TextoNormal"/>
      </w:pPr>
      <w:r>
        <w:t xml:space="preserve">d) Vulneración de los derechos a las libertades ideológica (art. 16.1 CE y art. 9 CEDH) y de expresión (art. 20.1 CE), al haber limitado la Sentencia impugnada el pleno disfrute de tales derechos, los cuales se manifiestan de modo público tanto en la propia formación del grupo que opta a ser elegido por los electores como por la difusión de sus alternativas ideológicas y políticas para la problemática municipal. </w:t>
      </w:r>
    </w:p>
    <w:p w:rsidR="00DE14C9" w:rsidRDefault="00DE14C9" w:rsidP="00DE14C9">
      <w:pPr>
        <w:pStyle w:val="TextoNormal"/>
      </w:pPr>
      <w:r>
        <w:t>e) Vulneración del derecho a la libertad de asociación del art. 22 CE, en relación con el art. 11.1 CEDH, que no puede limitarse por el obligado respeto a ciertos principios y estructuras constitucionales existentes en un momento dado, por cuanto forma parte de la esencia de la democracia el permitir la propuesta y discusión de proyectos políticos distintos, incluso aquellos que pongan en cuestión el modelo de organización actual del Estado (STEDH de 25 de mayo de 1998, Partido Socialista y otros contra Turquía). La Sentencia recurrida habría privado del derecho de asociación a los integrantes de la agrupación recurrente, que ya había sido proclamada oficialmente por su publicación en el “Boletín Oficial del Estado”.</w:t>
      </w:r>
    </w:p>
    <w:p w:rsidR="00DE14C9" w:rsidRDefault="00DE14C9" w:rsidP="00DE14C9">
      <w:pPr>
        <w:pStyle w:val="TextoNormal"/>
      </w:pPr>
    </w:p>
    <w:p w:rsidR="00DE14C9" w:rsidRDefault="00DE14C9" w:rsidP="00DE14C9">
      <w:pPr>
        <w:pStyle w:val="TextoNormal"/>
      </w:pPr>
      <w:r w:rsidRPr="00DE14C9">
        <w:rPr>
          <w:rStyle w:val="NumeroAFNegritaCaracter"/>
        </w:rPr>
        <w:t>37</w:t>
      </w:r>
      <w:r>
        <w:t xml:space="preserve">. Los demandantes en el recurso de amparo núm. 4216-2007 fundan su demanda de amparo en los siguientes motivos: </w:t>
      </w:r>
    </w:p>
    <w:p w:rsidR="00DE14C9" w:rsidRDefault="00DE14C9" w:rsidP="00DE14C9">
      <w:pPr>
        <w:pStyle w:val="TextoNormal"/>
      </w:pPr>
      <w:r>
        <w:t xml:space="preserve">a) Vulneración de la interdicción de la indefensión, del derecho a la defensa del art. 24 CE, art. 6 CEDH y art. 14 PIDCP, del derecho a un derecho a un proceso con todas las garantías (art. 24.2 CE) y del derecho a la doble instancia en procedimientos que conllevan consecuencias sancionadoras, en relación esta última con el principio de legalidad penal del art. 25.1 CE. En relación con ello, se alega, en primer lugar, que la Sala ha incurrido en un exceso de jurisdicción toda vez que las agrupaciones recurrentes, al no haber sido parte en el procedimiento que culminó con la Sentencia de 27 de marzo de 2003 que ilegalizó a Batasuna-Euskal Herritarrok y Herri Batasuna, no han podido tener conocimiento del procedimiento, generando una absoluta indefensión; debiendo haberse sustanciado ante el correspondiente Juzgado del Contencioso-administrativo de Bilbao lo relativo a incidentes procesales que pudieran existir en la impugnación de las listas de candidatos. En segundo </w:t>
      </w:r>
      <w:r>
        <w:lastRenderedPageBreak/>
        <w:t xml:space="preserve">lugar, se alega que la Sentencia recurrida en amparo conlleva de hecho una sanción de naturaleza penal, ya que supone una inhabilitación especial para el ejercicio del sufragio pasivo, lo que da lugar a la vulneración del art. 25.1 CE al no existir tipificación penal de las conductas, ni haberse sustanciado un procedimiento penal para tal fin, debiendo añadirse que no se ha disfrutado de una doble instancia. De otra parte, se afirma que de cualquier modo no cabe hacer extensiva a todos los miembros de la candidatura la inhabilitación especial acordada respecto de algunos de sus miembros. </w:t>
      </w:r>
    </w:p>
    <w:p w:rsidR="00DE14C9" w:rsidRDefault="00DE14C9" w:rsidP="00DE14C9">
      <w:pPr>
        <w:pStyle w:val="TextoNormal"/>
      </w:pPr>
      <w:r>
        <w:t xml:space="preserve">b) Vulneración del derecho a participar en asuntos públicos directamente o por medio de representantes del art. 23 CE y art. 25 PIDCP, alegándose, de una parte, que las agrupaciones electorales son expresión del derecho de participación política y no del derecho de asociación, sin que aquél pueda ser limitado como consecuencia de la limitación del derecho de asociación, al ser constitutivo de la ciudadanía y, por tanto, de la igualdad. De otra parte se sostiene que son inciertas las vinculaciones subjetivas que la Sentencia del Tribunal Supremo establece con partidos políticos ilegalizados (al menos respecto de las candidaturas de Aulestiako y Berritxuko), que las palabras “Abertzale” y “Sozialistak” son términos genéricos sin relevancia probatoria, y que, en cualquier caso, la Sentencia impugnada contradice la doctrina del Tribunal Constitucional relativa a que el hecho de la pertenencia de algunas personas en partidos ilegalizados no era suficiente para proceder a la ilegalización de la candidatura. </w:t>
      </w:r>
    </w:p>
    <w:p w:rsidR="00DE14C9" w:rsidRDefault="00DE14C9" w:rsidP="00DE14C9">
      <w:pPr>
        <w:pStyle w:val="TextoNormal"/>
      </w:pPr>
      <w:r>
        <w:t xml:space="preserve">c) Vulneración del derecho a la igualdad recogido en el art. 14 CE, que sanciona la discriminación por razón de opinión, por haber fundado el Tribunal Supremo su decisión en una circunstancia arbitraria y no proporcional, resultando afectadas por la misma personas por el mero hecho de haber concurrido junto con otras que hubieran pertenecido a partidos ilegalizados. </w:t>
      </w:r>
    </w:p>
    <w:p w:rsidR="00DE14C9" w:rsidRDefault="00DE14C9" w:rsidP="00DE14C9">
      <w:pPr>
        <w:pStyle w:val="TextoNormal"/>
      </w:pPr>
      <w:r>
        <w:t xml:space="preserve">d) Vulneración del derecho a la libertad ideológica (art. 16.1 CE, art. 18 PIDCP y art. 9 CEDH), a partir de la invocación de la doctrina de este Tribunal. </w:t>
      </w:r>
    </w:p>
    <w:p w:rsidR="00DE14C9" w:rsidRDefault="00DE14C9" w:rsidP="00DE14C9">
      <w:pPr>
        <w:pStyle w:val="TextoNormal"/>
      </w:pPr>
      <w:r>
        <w:t xml:space="preserve">e) Vulneración de los derechos a la libertad de expresión (art. 20.1 CE) y a la libertad de asociación (art. 22 CE, arts. 10 y 11 CEDH y art. 19 y 22 PIDCP), alegando que impedir que las personas que forman parte de las candidaturas puedan ejercer la libre expresión de sus ideas, explicando abiertamente su programa electoral supondría la vulneración de tales derechos fundamentales, teniendo la razón de su impugnación un fundamento estrictamente ideológico, contrario a la doctrina del Tribunal Europeo de Derechos Humanos, actuándose en fraude de ley con la finalidad de eliminar un adversario político. </w:t>
      </w:r>
    </w:p>
    <w:p w:rsidR="00DE14C9" w:rsidRDefault="00DE14C9" w:rsidP="00DE14C9">
      <w:pPr>
        <w:pStyle w:val="TextoNormal"/>
      </w:pPr>
      <w:r>
        <w:t>Por otrosí, solicitan los demandantes de amparo que, en virtud del art. 35 LOTC, se sustancie ante el Tribunal Constitucional cuestión de constitucionalidad acerca de la Disposición Adicional Segunda de la Ley Orgánica 6/2002 y el art. 49 de la Ley Orgánica 5/1985, de régimen electoral general.</w:t>
      </w:r>
    </w:p>
    <w:p w:rsidR="00DE14C9" w:rsidRDefault="00DE14C9" w:rsidP="00DE14C9">
      <w:pPr>
        <w:pStyle w:val="TextoNormal"/>
      </w:pPr>
    </w:p>
    <w:p w:rsidR="00DE14C9" w:rsidRDefault="00DE14C9" w:rsidP="00DE14C9">
      <w:pPr>
        <w:pStyle w:val="TextoNormal"/>
      </w:pPr>
      <w:r w:rsidRPr="00DE14C9">
        <w:rPr>
          <w:rStyle w:val="NumeroAFNegritaCaracter"/>
        </w:rPr>
        <w:t>38</w:t>
      </w:r>
      <w:r>
        <w:t>. El Ministerio Fiscal, por sendos escritos registrados el día 9 de mayo de 2007 en cada uno de los recursos de amparo electoral planteados, interesa su desestimación íntegra. A esos efectos, después de poner de relevancia el hecho de que, frente a la invocación de diversos preceptos de Textos internacionales, no es competencia del Tribunal Constitucional examinar la observancia de los mismos, se pronuncia el Ministerio Fiscal en relación con las alegadas vulneraciones del derecho a la tutela judicial efectiva (art. 24.1 CE), a la defensa, al derecho a utilizar los medios de prueba pertinentes para la defensa y a un proceso con todas las garantías (art. 24.2 CE), derivadas de la celeridad y perentoriedad del proceso electoral. Por lo que respecta a los alegados vicios de inconstitucionalidad del art. 49 LO</w:t>
      </w:r>
      <w:r>
        <w:lastRenderedPageBreak/>
        <w:t xml:space="preserve">REG, sostiene que, como expuso este Tribunal en su STC 85/2003, tales características están fundadas en la finalidad de hacer compatible el derecho a la tutela judicial efectiva de los recurrentes con la necesidad de cumplir los plazos de la globalidad del proceso electoral. Por lo demás, tampoco tiene sobre los derechos a la tutela judicial efectiva y la igualdad de armas la dificultad de acceso a un órgano jurisdiccional radicado en Madrid (STC 99/2004), ni se concrete por los recurrentes la lesión de derecho fundamental alguno en la queja relativa a que el Tribunal Supremo dictó la Sentencia impugnada después del vencimiento del plazo previsto en el citado art. 49 LOREG. </w:t>
      </w:r>
    </w:p>
    <w:p w:rsidR="00DE14C9" w:rsidRDefault="00DE14C9" w:rsidP="00DE14C9">
      <w:pPr>
        <w:pStyle w:val="TextoNormal"/>
      </w:pPr>
      <w:r>
        <w:t xml:space="preserve">Igualmente, se afirma que carece de relevancia constitucional la alegación de que los demandantes de amparo no fueran parte del procedimiento que culminó en la Sentencia del Tribunal Supremo de 27 de marzo de 2003 —lo que se aduce que lesionaría su derecho a un proceso con todas las garantías (art.24.2 CE), al no haber podido tener conocimiento de tan complejo procedimiento—, ya que las agrupaciones recurrentes han gozado de la debida contradicción. También se argumenta la carencia de contenido de la lesión del derecho a la doble instancia penal, al no tratarse de un procedimiento penal ni derivarse del mismo consecuencias penales, razón por la que tampoco concurre lesión alguna de los derechos a la legalidad penal (art. 25.1 CE) y a la presunción de inocencia (art. 24.2 CE). Asimismo, se argumenta que no se ha producido conculcación del derecho a un juez imparcial (art. 24.2 CE), pues ni cabe considerar que la Sala Especial del Tribunal Supremo haya perdido la imparcialidad objetiva por haber decidido en otro proceso la ilegalización determinados partidos políticos cuya continuidad ahora se predica en las agrupaciones demandantes de amparo, ni acreditan los recurrentes la supuesta mediatización de que habrían sido objeto los integrantes de la Sala por parte de instancias políticas. Además, reputa como inexistente la vulneración del derecho a la igualdad (art. 14 CE), pues los recurrentes no aportan término de comparación válido, ni han sido discriminados por razón ideológica, así como la lesión del derecho a la intimidad personal y a la protección de datos (art. 18 CE), pues los manejados en el presente caso son datos publicados a los que puede acceder cualquier ciudadano (STC 85/2003). </w:t>
      </w:r>
    </w:p>
    <w:p w:rsidR="00DE14C9" w:rsidRDefault="00DE14C9" w:rsidP="00DE14C9">
      <w:pPr>
        <w:pStyle w:val="TextoNormal"/>
      </w:pPr>
      <w:r>
        <w:t>Considera el Ministerio Fiscal que debe ser igualmente desestimada la alegada vulneración del derecho a la participación política directamente o por medio de representantes y al derecho de sufragio pasivo (art. 23 CE), pues tanto el Tribunal Constitucional (STC 68/2005) como la Sentencia recurrida diferencian entre la disolución de una agrupación de electores y las causas de ineligibilidad para el ejercicio del derecho al sufragio pasivo, que no se pierde con la declaración de nulidad de los actos de proclamación de aquéllas, habiendo llegado a su pronunciamiento la Sala Especial del Tribunal Supremo a partir de una valoración razonable y conjunta de un cúmulo de indicios objetivos y subjetivos, siendo los mismos plenamente válidos como elementos probatorios, resultando acorde con la doctrina constitucional la utilización de informes policiales (STC 5/2004) por lo que no cabría oponer la conculcación del derecho a la defensa (art. 24.2 CE), y estando debidamente fundada la conclusión acerca de la continuidad material de los partidos ilegalizados en las agrupaciones recurrentes. De igual modo, se afirma que debe desestimarse la vulneración de libertad ideológica (art. 16 CE) y de expresión (art. 20 CE), pues, siguiendo nuevamente a la STC 85/2003, tales derechos no guardan relación objetiva con el pronunciamiento de la Sala Especial del Tribunal Supremo, sin que tampoco lo sea el derecho de asociación (art. 22 CE), por no ser manifestación del mismo la creación de agrupaciones de electores.</w:t>
      </w:r>
    </w:p>
    <w:p w:rsidR="00DE14C9" w:rsidRDefault="00DE14C9" w:rsidP="00DE14C9">
      <w:pPr>
        <w:pStyle w:val="TextoNormal"/>
      </w:pPr>
    </w:p>
    <w:p w:rsidR="00DE14C9" w:rsidRDefault="00DE14C9" w:rsidP="00DE14C9">
      <w:pPr>
        <w:pStyle w:val="TextoNormal"/>
      </w:pPr>
      <w:r w:rsidRPr="00DE14C9">
        <w:rPr>
          <w:rStyle w:val="NumeroAFNegritaCaracter"/>
        </w:rPr>
        <w:t>39</w:t>
      </w:r>
      <w:r>
        <w:t xml:space="preserve">. El Abogado del Estado, por sendos escritos registrados el día 9 de mayo de 2007 en cada uno de los recursos de amparo electoral planteados, solicita su desestimación íntegra. </w:t>
      </w:r>
      <w:r>
        <w:lastRenderedPageBreak/>
        <w:t xml:space="preserve">A esos efectos, señala, en primer lugar, que de acuerdo con los arts. 53.2 CE y 41 LOTC no le corresponde a este Tribunal el examinar la observancia o inobservancia per se de textos internacionales que obligan a España, de forma que las quejas relativas a la vulneración de diversos preceptos de la DUDH, la CEDH y el PIDCP no son materia del presente recurso de amparo, como también hay que excluir las alegaciones referidas a preceptos constitucionales que no contemplan derechos fundamentales. En cuanto a las quejas relativas a la libertad ideológica (art. 16.1 CE) y libertad de expresión [art. 20.1 a) CE] considera que carecen de autonomía propia, puesto que la Sentencia impugnada se ha ceñido a determinar si las agrupaciones demandantes son de hecho sucesoras de la actividad de partidos políticos disueltos judicialmente. Debe desestimarse también, por tanto, que concurra trato discriminatorio. Para rechazar la queja que se refiere a la supuesta violación del derecho a la intimidad (art. 18 CE) sobre la base de que se ha producido el tratamiento masivo de los datos personales de los integrantes de las candidaturas, sin su consentimiento y con investigación de su ideología, el Abogado del Estado se remite a lo dicho en las SSTC 85/2003, FJ 21; 99/2004, FJ 13, y 68/2005, FJ 15. </w:t>
      </w:r>
    </w:p>
    <w:p w:rsidR="00DE14C9" w:rsidRDefault="00DE14C9" w:rsidP="00DE14C9">
      <w:pPr>
        <w:pStyle w:val="TextoNormal"/>
      </w:pPr>
      <w:r>
        <w:t xml:space="preserve">Por lo que se refiere a las aducidas infracciones del art. 24 CE, el Abogado del Estado estima que son todas ellas rechazables. Así, en la referida a la independencia judicial (art. 24.2 CE), se afirma que no se ha acreditado la supuesta campaña mediática sufrida. Tampoco se considera que se haya infringido el derecho a la doble instancia, ya que tal derecho sólo existe en el proceso penal y a favor del reo. En cuanto a la indefensión por la brevedad del plazo alegatorio en el recurso contencioso-electoral, la presunta desigualdad de armas y la supuesta violación del derecho a la prueba, se argumenta su desestimación por remisión a la doctrina de este Tribunal en las SSTC 85/2003, 99/2004 y 68/2005. Por último, sobre la suficiencia y razonabilidad de la prueba en la que se ha basado la resolución impugnada se sostiene que el Tribunal Supremo ha realizado una valoración pormenorizada de cada uno de los elementos probatorios. </w:t>
      </w:r>
    </w:p>
    <w:p w:rsidR="00DE14C9" w:rsidRDefault="00DE14C9" w:rsidP="00DE14C9">
      <w:pPr>
        <w:pStyle w:val="TextoNormal"/>
      </w:pPr>
      <w:r>
        <w:t>Entrando en el análisis de la vulneración de los derechos reconocidos en el art. 23 CE, se destaca que la Sentencia impugnada ha realizado una argumentación razonada y suficiente para concluir que las agrupaciones anuladas continúan o suceden la actividad de partidos disueltos judicialmente. Más en concreto, se sostiene que no se ha vulnerado el derecho a la participación política mediante representantes y la garantía del pluralismo político, pues ningún ciudadano vasco es inelegible por el simple hecho de haber formado parte de las listas electorales de los partidos disueltos o de agrupaciones electorales que pretendieron sucederlos o continuarlos. También se rechaza la alegación de que se ha producido una aplicación retroactiva lesiva del sufragio pasivo, incidiéndose en que el art. 44.4 LOREG no puede calificarse como un precepto sancionador. Lo mismo se hace en relación con el derecho a la libertad de asociación (art. 22 CE), dado que la creación de agrupaciones de electores queda al margen del mismo. Por último, por lo que se refiere a los elementos objetivos y subjetivos utilizados por el Tribunal Supremo en su Sentencia, considera que se ajustan a la doctrina expuesta por este Tribunal en las SSTC 99/2004, FJ 15 y 68/2005, FJ 12.</w:t>
      </w:r>
    </w:p>
    <w:p w:rsidR="00DE14C9" w:rsidRDefault="00DE14C9" w:rsidP="00DE14C9">
      <w:pPr>
        <w:pStyle w:val="TextoNormal"/>
      </w:pPr>
    </w:p>
    <w:p w:rsidR="00DE14C9" w:rsidRDefault="00DE14C9" w:rsidP="00DE14C9">
      <w:pPr>
        <w:pStyle w:val="TextoNormal"/>
      </w:pPr>
      <w:r w:rsidRPr="00DE14C9">
        <w:rPr>
          <w:rStyle w:val="NumeroAFNegritaCaracter"/>
        </w:rPr>
        <w:t>40</w:t>
      </w:r>
      <w:r>
        <w:t>. Por Auto de 10 de mayo de 2007, la Sala Primera de este Tribunal acordó resolver en Sentencia única los recursos de amparo admitidos a trámite interpuestos contra la Sentencia de la Sala Especial del art. 61 LOPJ del Tribunal Supremo de 5 de mayo de 2007, dictada en los recursos contencioso-electorales acumulados núms. 1-2007 y 2-2007.</w:t>
      </w:r>
    </w:p>
    <w:p w:rsidR="00DE14C9" w:rsidRDefault="00DE14C9" w:rsidP="00DE14C9">
      <w:pPr>
        <w:pStyle w:val="TextoNormal"/>
      </w:pPr>
    </w:p>
    <w:p w:rsidR="00DE14C9" w:rsidRDefault="00DE14C9" w:rsidP="00DE14C9">
      <w:pPr>
        <w:pStyle w:val="TextoNormalNegritaCentrado"/>
        <w:keepNext/>
      </w:pPr>
      <w:r>
        <w:lastRenderedPageBreak/>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 Sentencia de la Sala Especial del art. 61 LOPJ del Tribunal Supremo de 5 de mayo de 2007, dictada en los recursos contencioso-electorales acumulados 1-2007 y 2-2007, instados, respectivamente, por el Ministerio Fiscal y la Abogacía del Estado, anula, en aplicación del art. 44.4 de la Ley Orgánica del régimen electoral general (LOREG), los actos de proclamación acordados por las respectivas Juntas electorales de las candidaturas de muy diferentes agrupaciones de electores a las elecciones municipales, a las de las Juntas Generales de Álava, Guipúzcoa y Vizcaya o a las del Parlamento de Navarra. Contra dicha resolución judicial se han interpuesto veinticuatro recursos de amparo electoral por un total de doscientas veintisiete agrupaciones de electores, habiéndose aquietado y, por tanto, no recurrido en amparo diversas agrupaciones electorales cuyas proclamaciones también fueron anuladas. El objeto de la presente resolución es hacer un análisis conjunto de la totalidad de los recursos efectivamente deducidos contra dicha resolución para determinar si ha vulnerado los derechos fundamentales invocados en las demandas de amparo por las agrupaciones de electores recurrentes.</w:t>
      </w:r>
    </w:p>
    <w:p w:rsidR="00DE14C9" w:rsidRDefault="00DE14C9" w:rsidP="00DE14C9">
      <w:pPr>
        <w:pStyle w:val="TextoNormal"/>
      </w:pPr>
      <w:r>
        <w:t>Una exposición completa y detallada de todas las vulneraciones aducidas ha sido desarrollada en los antecedentes. De ese modo, sin perjuicio de las precisiones que se harán al estudiar cada una de ellas, ahora sólo debe destacarse que las invocaciones aducidas en estas demandas de amparo electoral van a ser sistematizadas para abordar, en primer lugar, el análisis de aquéllas que presentan un carácter predominantemente procesal, que aparecen referidas tanto al procedimiento establecido legalmente para tramitar la impugnación de candidaturas electorales ya proclamadas (art. 49 LOREG), como a diversas decisiones procesales adoptadas por el Tribunal Supremo durante la sustanciación del proceso en el que se ha dictado la resolución impugnada (art. 24 CE, en cuanto garantiza el derecho a obtener la tutela judicial efectiva sin indefensión, y los derechos de defensa, a un proceso con todas las garantías y al uso de los medios de prueba pertinentes). En segundo lugar, se abordarán aquéllas que tienen un contenido sustantivo, en sí mismo y por relación con otros derechos fundamentales, del derecho a participar en los asuntos públicos, directamente o por medio de representantes libremente elegidos en elecciones periódicas (art.  23.1 CE).</w:t>
      </w:r>
    </w:p>
    <w:p w:rsidR="00DE14C9" w:rsidRDefault="00DE14C9" w:rsidP="00DE14C9">
      <w:pPr>
        <w:pStyle w:val="TextoNormal"/>
      </w:pPr>
    </w:p>
    <w:p w:rsidR="00DE14C9" w:rsidRDefault="00DE14C9" w:rsidP="00DE14C9">
      <w:pPr>
        <w:pStyle w:val="TextoNormal"/>
      </w:pPr>
      <w:r w:rsidRPr="00DE14C9">
        <w:rPr>
          <w:rStyle w:val="NumeroAFNegritaCaracter"/>
        </w:rPr>
        <w:t>2</w:t>
      </w:r>
      <w:r>
        <w:t>. Dado el número de alegaciones formuladas, muchas de las cuales plantean idénticas pretensiones de amparo, aunque desde distintas perspectivas, y la acumulación de argumentos que, de forma no siempre bien diferenciada, aducen la vulneración de derechos fundamentales, principios y valores constitucionales o, simplemente, de preceptos concretos de la Constitución, entendemos necesario, antes de iniciar su concreto análisis, hacer algunas precisiones dirigidas a delimitar el objeto del presente recurso de amparo:</w:t>
      </w:r>
    </w:p>
    <w:p w:rsidR="00DE14C9" w:rsidRDefault="00DE14C9" w:rsidP="00DE14C9">
      <w:pPr>
        <w:pStyle w:val="TextoNormal"/>
      </w:pPr>
      <w:r>
        <w:t xml:space="preserve">a) Procede denegar el recibimiento a prueba que, en la fundamentación de sus demandas, ha sido pedido por algunas de las agrupaciones demandantes. En relación con la prueba en el proceso de amparo, prevista en el art. 89 LOTC, hemos reiterado en anteriores pronunciamientos que la finalidad de la actividad probatoria no puede ser otra que la de acreditar la violación de los derechos fundamentales o libertades públicas susceptibles de dicho recurso, de conformidad con el art. 41.1 y 3 LOTC, sin que el Tribunal Constitucional pueda revisar la valoración de la prueba practicada por los órganos judiciales (ATC 331/1989, de 19 de junio, FJ único). De otra parte, también hemos señalado que es extensible a la vía de amparo la exigencia de que la parte alegue y fundamente la trascendencia y relevancia de la </w:t>
      </w:r>
      <w:r>
        <w:lastRenderedPageBreak/>
        <w:t>prueba (SSTC 116/1983, de 7 de diciembre, y 116/1987, de 7 de julio). Como hemos señalado ya respecto del amparo que se plantea en el ámbito electoral, su peculiaridad permite la aportación de elementos probatorios con la demanda (STC 85/2003, de 8 de mayo, FFJJ 11 y 13). Pero en el caso que ahora examinamos no ha sido así. Las agrupaciones reiteran en esta sede la solicitud de práctica de la prueba que les fue denegada en la vía judicial previa, pero al no cumplir con la carga procesal que les exige aducir y justificar la relevancia de los medios probatorios propuestos en relación con los derechos fundamentales que estima vulnerados, la pretensión de prueba no puede ser admitida.</w:t>
      </w:r>
    </w:p>
    <w:p w:rsidR="00DE14C9" w:rsidRDefault="00DE14C9" w:rsidP="00DE14C9">
      <w:pPr>
        <w:pStyle w:val="TextoNormal"/>
      </w:pPr>
      <w:r>
        <w:t>b) Como en ocasiones anteriores en las que, en el contexto de aplicación del art. 44.4 LOREG se han planteado —SSTC 85/2003, de 8 de mayo, y 99/2004, de 27 de mayo—, han de desestimarse desde ahora, por remisión a las mismas y sin necesidad de una más detenida argumentación, las quejas por las aducidas lesiones del derecho a la presunción de inocencia y del principio de retroactividad de las normas sancionadoras (art. 25.1 CE), pues en modo alguno tiene tal carácter el precepto aplicado, ni cabe apreciar en la Sentencia impugnada una aplicación retroactiva del art. 44.4 LOREG, dada la fecha de constitución de las agrupaciones electorales recurrentes, ni cabe predicar la naturaleza penal o sancionatoria del proceso contencioso-electoral de revisión de la proclamación de candidaturas.</w:t>
      </w:r>
    </w:p>
    <w:p w:rsidR="00DE14C9" w:rsidRDefault="00DE14C9" w:rsidP="00DE14C9">
      <w:pPr>
        <w:pStyle w:val="TextoNormal"/>
      </w:pPr>
      <w:r>
        <w:t>La misma suerte han de seguir las quejas que invocan autónomamente el derecho a la igualdad ante la ley o en la aplicación de la ley por no haber sido impugnadas, ex art. 44.4 LOREG, otras candidaturas u otras agrupaciones de electores en las que se integran personas que, con anterioridad, habían sido miembros o candidatos de partidos declarados ilegales y que denuncian que no se ha aplicado el mismo criterio jurídico en todos los casos. De acuerdo con una reiterada doctrina jurisprudencial, el derecho a la igualdad, dado su carácter relacional, sólo puede entenderse como igualdad en la legalidad, ámbito dentro del cual siempre ha de operar (SSTC 37/1982, de 16 de junio, FJ 3; 29/1987, de 6 de marzo, FJ 7; 127/1988, de 24 de junio, FJ 4; 131/1988, de 4 de julio, FJ 4, por todas). A lo que ha de añadirse que no se concreta en las demandas un término de comparación que permitiera realizar el juicio de igualdad (STC 39/2003, de 27 de febrero, FJ 4, y 307/2006, de 23 de octubre, FJ 4).  Igualmente, de nuevo debe descartarse el examen en este contexto de la alegada vulneración del derecho de asociación (art. 22 CE), por no resultar concernido por la Sentencia impugnada, ni ser una manifestación del referido derecho fundamental la creación de agrupaciones electorales [STC 85/2003, FJ 6 b)], así como la supuesta infracción del art.  9.2 y 3 CE, pues, de acuerdo con una reiterada doctrina constitucional, pese a su trascendencia constitucional, no enuncia derechos fundamentales susceptibles de amparo [SSTC 85/2003, de 8 de mayo, FJ 6 c); 99/2004, de 27 de mayo, FJ 3 b)].</w:t>
      </w:r>
    </w:p>
    <w:p w:rsidR="00DE14C9" w:rsidRDefault="00DE14C9" w:rsidP="00DE14C9">
      <w:pPr>
        <w:pStyle w:val="TextoNormal"/>
      </w:pPr>
      <w:r>
        <w:t>Debemos rechazar también, ab initio, las quejas que, más allá de su fuerza retórica, carecen de la fundamentación exigida, pues no es labor de este Tribunal reconstruir las demandas de amparo de oficio cuando los demandantes han desatendido la carga de la argumentación que pesa sobre ellos (SSTC 7/1998, de 13 de enero, FJ 3; 52/1999, de 12 de abril, FJ 5; 21/2001, de 29 de enero, FJ 3; 5/2002, de 14 de enero, FJ 1). En esta situación se encuentran la que denuncia la lesión del art. 24 CE por la supuesta extemporaneidad de la Sentencia impugnada, la que cuestiona que el emplazamiento a los representantes de las candidaturas se haya hecho a través de las Juntas electorales y no por el propio órgano judicial, o la que, con cita del art. 13 CE, afirma injustificadamente que sólo una sentencia penal firme puede impedir la participación en unas elecciones políticas.</w:t>
      </w:r>
    </w:p>
    <w:p w:rsidR="00DE14C9" w:rsidRDefault="00DE14C9" w:rsidP="00DE14C9">
      <w:pPr>
        <w:pStyle w:val="TextoNormal"/>
      </w:pPr>
      <w:r>
        <w:t xml:space="preserve">c) Por último, dado que en determinadas demandas de amparo se invocan autónomamente como lesionados diversos preceptos del Convenio europeo de derechos humanos (CEDH), del Pacto internacional de derechos civiles y políticos (PIDCP) y de la Declaración </w:t>
      </w:r>
      <w:r>
        <w:lastRenderedPageBreak/>
        <w:t>universal de derechos humanos (DUDH) debemos reiterar que no le corresponde a este Tribunal, al conocer en recurso de amparo, examinar la observancia o inobservancia per se de textos internacionales que obliguen a España, sino únicamente comprobar el respeto o la infracción de los preceptos constitucionales que reconocen derechos fundamentales y libertades públicas susceptibles de amparo (arts. 53.2 CE y 49.1 LOTC), sin perjuicio de que, por mandato del art. 10.2 CE, deban tales preceptos ser interpretados “de conformidad con la Declaración universal de derechos humanos y los tratados y acuerdos internacionales sobre las mismas materias ratificados por España” (SSTC 120/1990, de 27 de junio, FJ 3; 249/2000, de 30 de octubre, FJ 2; y 7/2004, de 9 de febrero, FJ 2).</w:t>
      </w:r>
    </w:p>
    <w:p w:rsidR="00DE14C9" w:rsidRDefault="00DE14C9" w:rsidP="00DE14C9">
      <w:pPr>
        <w:pStyle w:val="TextoNormal"/>
      </w:pPr>
    </w:p>
    <w:p w:rsidR="00DE14C9" w:rsidRDefault="00DE14C9" w:rsidP="00DE14C9">
      <w:pPr>
        <w:pStyle w:val="TextoNormal"/>
      </w:pPr>
      <w:r w:rsidRPr="00DE14C9">
        <w:rPr>
          <w:rStyle w:val="NumeroAFNegritaCaracter"/>
        </w:rPr>
        <w:t>3</w:t>
      </w:r>
      <w:r>
        <w:t>. En relación con el primer grupo de quejas, todas ellas relacionadas con las garantías del juicio justo, las demandas presentadas, de forma casi unánime, formulan un reproche indirecto de inconstitucionalidad de la Ley Orgánica del régimen electoral general, en tanto cuestionan que el proceso judicial sumario de revisión de las decisiones sobre proclamación de candidaturas (art. 49 LOREG), sea compatible con las previsiones constitucionales reconocidas por el art. 24 CE. Más concretamente, denuncian su inidoneidad para sustanciar conforme a las previsiones constitucionales las pretensiones referidas a la prohibición establecida en el art. 44.4 LOREG, conforme al cual: “No podrán presentar candidaturas las agrupaciones de electores que, de hecho, vengan a continuar o suceder la actividad de un partido político declarado judicialmente ilegal y disuelto, o suspendido. A estos efectos, se tendrá en cuenta la similitud sustancial de sus estructuras, organización y funcionamiento de las personas que los componen, rigen, representan o administran las candidaturas, de la procedencia de los medios de financiación o materiales, o de cualesquiera otras circunstancias relevantes que, como su disposición a apoyar la violencia o el terrorismo, permitan considerar dicha continuidad o sucesión”.</w:t>
      </w:r>
    </w:p>
    <w:p w:rsidR="00DE14C9" w:rsidRDefault="00DE14C9" w:rsidP="00DE14C9">
      <w:pPr>
        <w:pStyle w:val="TextoNormal"/>
      </w:pPr>
      <w:r>
        <w:t>En tal sentido, aducen que pese a su conformidad con las previsiones legales, los plazos que les han sido conferidos para conocer la impugnación y las pruebas que la justifican, para alegar y proponer prueba, para consultar con sus Letrados, para preparar su defensa, así como las limitaciones probatorias impuestas, les han situado de facto en una situación de indefensión, con desventaja y desigualdad procesal respecto a los demandantes y ante la práctica imposibilidad de refutar justificadamente los argumentos del Ministerio Fiscal y del Abogado del Estado, que han dispuesto de mucho más tiempo para preparar su impugnación, como lo acreditaría el empleo de informes policiales que han debido ser elaborados con suficiente antelación.</w:t>
      </w:r>
    </w:p>
    <w:p w:rsidR="00DE14C9" w:rsidRDefault="00DE14C9" w:rsidP="00DE14C9">
      <w:pPr>
        <w:pStyle w:val="TextoNormal"/>
      </w:pPr>
      <w:r>
        <w:t>No es la primera vez que la cuestión se plantea ante este Tribunal Constitucional. Desde la aprobación de la Ley Orgánica 6/2002, de 27 de junio, de partidos políticos (LOPP), que introdujo en la Ley Orgánica del régimen electoral general dicha previsión legislativa, hemos analizado en cuatro ocasiones la práctica totalidad de las pretensiones de amparo que ahora se reiteran (SSTC 85/2003, de 8 de mayo; 176/2003, de 10 de octubre; 99/2004, de 27 de mayo; y 68/2005, de 31 de marzo).</w:t>
      </w:r>
    </w:p>
    <w:p w:rsidR="00DE14C9" w:rsidRDefault="00DE14C9" w:rsidP="00DE14C9">
      <w:pPr>
        <w:pStyle w:val="TextoNormal"/>
      </w:pPr>
      <w:r>
        <w:t>Dada la identidad de razón que se aprecia en las quejas analizadas, parece oportuno, sin perjuicio de remitirnos a la doctrina expuesta en las mismas, recordar sus pronunciamientos principales, que son los siguientes:</w:t>
      </w:r>
    </w:p>
    <w:p w:rsidR="00DE14C9" w:rsidRDefault="00DE14C9" w:rsidP="00DE14C9">
      <w:pPr>
        <w:pStyle w:val="TextoNormal"/>
      </w:pPr>
      <w:r>
        <w:t>a) No es preciso cuestionar la constitucionalidad del procedimiento establecido en el art. 49 LOREG aduciendo su sumariedad, celeridad y perentoriedad, incluso cuando, en tal cauce, se sustancian pretensiones complejas como lo son las relativas a la prohibición de presentación de candidaturas establecida en su art. 44.4 (introducida por la disposición adi</w:t>
      </w:r>
      <w:r>
        <w:lastRenderedPageBreak/>
        <w:t>cional segunda de la Ley Orgánica de partidos políticos). “Al haber optado nuestro ordenamiento jurídico por el control jurisdiccional de los actos de proclamación de candidaturas y candidatos (STC 24/1990, de 15 de febrero, FJ 2) es inexcusable articular dicha revisión jurisdiccional con arreglo a las notas características de celeridad y perentoriedad, a fin de no malograr el curso del propio procedimiento electoral” (SSTC 85/2003, FJ 9; 99/2004, FFJJ 4 y 5; y 68/2005, FJ 4), lo que es plenamente aplicable a este supuesto, ello sin perjuicio de los acomodos legales precisos para compaginar adecuadamente los bienes jurídicos en juego.</w:t>
      </w:r>
    </w:p>
    <w:p w:rsidR="00DE14C9" w:rsidRDefault="00DE14C9" w:rsidP="00DE14C9">
      <w:pPr>
        <w:pStyle w:val="TextoNormal"/>
      </w:pPr>
      <w:r>
        <w:t>Como este Tribunal señaló en la STC 73/1995, de 12 de mayo, FJ 3, recordando lo expuesto ya en la STC 67/1987, de 21 de mayo, FJ 2, “el proceso electoral es, por su propia naturaleza, un procedimiento extremadamente rápido, con plazos perentorios en todas sus fases y tanto en su vertiente administrativa como en los recursos jurisdiccionales que se establecen para el control de la regularidad de todo el proceso”. En esta misma línea argumental, la citada STC 68/2005, FJ 4, destacó que la brevedad de los plazos establecidos en el art. 49 LOREG, en relación con su art. 44.4, para la tramitación del recurso contra la proclamación de candidaturas y candidatos —dos días para la interposición del recurso y los dos días siguientes para su resolución—, no implicaba per se una vulneración del derecho a la tutela judicial efectiva, “si con ello se tiende a hacer efectivo el principio de celeridad en el proceso, pues es constitucionalmente inobjetable que el legislador prevea tal reducción en los plazos cuando tal decisión responde a una finalidad razonable y necesaria acorde con los principios que han de regir el procedimiento correspondiente (SSTC 14/1992, de 10 de febrero, FJ 8; 335/1994, de 19 de diciembre, FJ 3; y 130/1998, de 16 de junio, FJ 5)”.  Tal necesidad de equilibrio entre los valores en juego “requiere de todos los intervinientes (también por supuesto del órgano judicial) una extremada diligencia, puesto que se ha decidido hacer compatible el derecho a la tutela judicial efectiva de los recurrentes, con la necesidad de cumplir los plazos establecidos para, a su vez, cumplir los de la globalidad del proceso electoral correspondiente” (STC 85/2003, FJ 10).</w:t>
      </w:r>
    </w:p>
    <w:p w:rsidR="00DE14C9" w:rsidRDefault="00DE14C9" w:rsidP="00DE14C9">
      <w:pPr>
        <w:pStyle w:val="TextoNormal"/>
      </w:pPr>
      <w:r>
        <w:t>Las afirmaciones anteriores no obstan para que se vuelva a recordar que el procedimiento contencioso-electoral, que debe satisfacer las exigencias del proceso electoral como institución básica de la democracia, está concebido inicialmente para supuestos de menor complejidad que los contemplados en el art. 44.4 LOREG, en los que “se trata de dilucidar si la candidatura o candidaturas presentadas por una o varias agrupaciones electorales vienen de hecho a continuar o suceder la actividad de un partido político declarado judicialmente ilegal y disuelto o suspendido”. Por tanto, en los términos ya reiterados en la STC 68/2005, de 31 de marzo, FJ 4, “sería deseable un especial esfuerzo por parte del legislador en orden a lograr un mejor acomodo procesal”, que aunara los garantías procesales del art. 24 CE con sus notas de celeridad, perentoriedad, preclusión de plazos y concentración de las fases de alegaciones y prueba, que incluso han implicado la “flexibilización de los límites propios del recurso de amparo” (SSTC 85/2003, FJ 9, y 68/2005, FJ 4).</w:t>
      </w:r>
    </w:p>
    <w:p w:rsidR="00DE14C9" w:rsidRDefault="00DE14C9" w:rsidP="00DE14C9">
      <w:pPr>
        <w:pStyle w:val="TextoNormal"/>
      </w:pPr>
      <w:r>
        <w:t>b) Las expresadas notas de sumariedad, celeridad y concentración de fases justifican modulaciones en el régimen ordinario de proposición, admisión y práctica de la prueba, que se traducen en la inexistencia de una específica fase probatoria (STC 85/2003, FJ 13), lo que impone la necesidad de observar plazos preclusivos y reduce la eventual admisión de elementos de prueba a la de aquellos que puedan acompañarse con el escrito de alegaciones, de modo similar, por cierto, a lo que para quien impugna la proclamación de cualquier candidatura se prevé en el inciso final del art. 49.1 LOREG.</w:t>
      </w:r>
    </w:p>
    <w:p w:rsidR="00DE14C9" w:rsidRDefault="00DE14C9" w:rsidP="00DE14C9">
      <w:pPr>
        <w:pStyle w:val="TextoNormal"/>
      </w:pPr>
      <w:r>
        <w:t xml:space="preserve">c) Las justificadas modulaciones que han sido expuestas han llevado a este Tribunal a destacar la especialidad de su propia intervención a través del recurso de amparo electoral </w:t>
      </w:r>
      <w:r>
        <w:lastRenderedPageBreak/>
        <w:t>—STC 74/1986, de 3 de junio—, pues “aporta un nuevo cauce para la garantía jurisdiccional de los derechos fundamentales, entre los que se encuentran los derechos a la tutela judicial efectiva y al proceso debido” y “ha de conducir a una flexibilización de los límites propios del recurso de amparo a la vista de la brevedad de los plazos del proceso previo” (STC 85/2003, FJ 9). Por esta razón, como señalamos al rechazar la prueba propuesta, hemos admitido que cuando el amparo se plantea en el ámbito electoral, “su peculiaridad permite la aportación de elementos probatorios con la demanda” [SSTC 85/2003, de 8 de mayo, FJ 13, y 99/2004, FJ 3, letra a)], siempre que se razone sobre su relevancia en relación con las pretensiones ejercitadas; así como es también posible la formulación de nuevas alegaciones, con pleno conocimiento de las cuestiones planteadas en el proceso originario (STC 99/2004, FJ 6 in fine).</w:t>
      </w:r>
    </w:p>
    <w:p w:rsidR="00DE14C9" w:rsidRDefault="00DE14C9" w:rsidP="00DE14C9">
      <w:pPr>
        <w:pStyle w:val="TextoNormal"/>
      </w:pPr>
    </w:p>
    <w:p w:rsidR="00DE14C9" w:rsidRDefault="00DE14C9" w:rsidP="00DE14C9">
      <w:pPr>
        <w:pStyle w:val="TextoNormal"/>
      </w:pPr>
      <w:r w:rsidRPr="00DE14C9">
        <w:rPr>
          <w:rStyle w:val="NumeroAFNegritaCaracter"/>
        </w:rPr>
        <w:t>4</w:t>
      </w:r>
      <w:r>
        <w:t>. La doctrina constitucional que se acaba de exponer es por sí misma suficiente, sin necesidad de otro razonamiento que la remisión a ella, para desestimar las quejas de las agrupaciones electorales demandantes de amparo que, con cita del art.  24 1 y 2 CE, se encuentran relacionadas con la simple aplicación de las previsiones legislativas que regulan el procedimiento contencioso-electoral.</w:t>
      </w:r>
    </w:p>
    <w:p w:rsidR="00DE14C9" w:rsidRDefault="00DE14C9" w:rsidP="00DE14C9">
      <w:pPr>
        <w:pStyle w:val="TextoNormal"/>
      </w:pPr>
      <w:r>
        <w:t>Así, como señalamos en la STC 85/2003, FJ 8, cabe reiterar que el proceso previo que culminó con la Sentencia del Tribunal Supremo de 27 de marzo de 2003 que declaró la ilegalidad de diversos partidos políticos de cuya actividad las demandantes de amparo han sido declaradas continuadoras, no tuvo otro objeto que el expuesto, decidir sobre la ilegalización de determinados partidos políticos, lo que hacía entonces inviable e innecesaria la participación de los ahora demandantes. El proceso en el que se ha dictado la resolución impugnada en amparo tiene como presupuesto aquella decisión de ilegalización, pero no por ello es un proceso de ilegalización de formación política alguna, sino que su objeto, conforme establece la Ley Orgánica del régimen electoral general, es apreciar la eventual concurrencia de las circunstancias que justifican la prohibición de concurrir a la convocatoria electoral. No existe, de ese modo, inadecuación de procedimiento, ni exceso de jurisdicción por parte de la Sala especial del Tribunal Supremo prevista en el art. 61 de la Ley Orgánica del Poder Judicial (LOPJ), pues su competencia específica está predeterminada por la ley en el art. 49.5 de la ley electoral. Por tanto, hemos de reiterar, que ninguna relevancia tiene, en relación con la eventual vulneración de los considerados derechos fundamentales de los recurrentes en el proceso judicial que da lugar al presente recurso de amparo, la circunstancia mencionada de su falta de intervención en aquel proceso de ilegalización.</w:t>
      </w:r>
    </w:p>
    <w:p w:rsidR="00DE14C9" w:rsidRDefault="00DE14C9" w:rsidP="00DE14C9">
      <w:pPr>
        <w:pStyle w:val="TextoNormal"/>
      </w:pPr>
      <w:r>
        <w:t>A lo anterior se ha de añadir que, dada su naturaleza contencioso-electoral y no sancionatoria, ninguna relevancia tiene la aducida vulneración del derecho a que el fallo condenatorio y la pena impuesta sea sometido a la revisión de un Tribunal superior (art. 24.2 CE en relación con el 14.5 del Pacto internacional de derechos civiles y políticos) pues, como es sobradamente conocido, dicha garantía sólo adquiere rango constitucional en relación con los procedimientos penales, al margen de los cuales la garantía de la doble instancia judicial es de configuración legal (STC 128/1998, de 16 de junio, FJ 4). Dicho de otro modo, no puede encontrarse en la Constitución ninguna norma o principio que imponga la necesidad de una doble instancia o de unos determinados recursos, que la ley no prevé para este supuesto. Es posible, en abstracto, tanto su inexistencia como condicionar legislativamente su admisibilidad al cumplimiento de ciertos requisitos, lo que, expresamente, hemos considerado aplicable en los procedimientos contencioso-administrativos (STC 89/1995, de 6 de junio, FJ 6) y compatible con la Constitución (STC 176/2003, de 10 de octubre, FJ 3).</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5</w:t>
      </w:r>
      <w:r>
        <w:t>. Diversos recurrentes aducen como motivo de amparo la parcialidad del Tribunal que ha dictado la resolución impugnada. Según aducen con carácter genérico, sin referencia a los concretos Magistrados que la integraron en esta ocasión, la Sala especial del Tribunal Supremo prevista en el art. 61 LOPJ no es un Tribunal imparcial porque entre sus competencias está pronunciarse sobre la eventual ilegalidad de los partidos políticos y, concretamente, le correspondió dictar la Sentencia de 27 de marzo de 2003, por la que se ilegalizaron los partidos políticos Herri Batasuna, Euskal Herritarrok y Batasuna cuya pretensión de continuidad se les ha imputado para anular la proclamación de sus candidaturas. Otros recurrentes consideran que esta vulneración se produce por la intervención del poder político mediatizando la actuación de dicho órgano judicial en un clima de acoso, también mediático, que impide un juicio imparcial e independiente.</w:t>
      </w:r>
    </w:p>
    <w:p w:rsidR="00DE14C9" w:rsidRDefault="00DE14C9" w:rsidP="00DE14C9">
      <w:pPr>
        <w:pStyle w:val="TextoNormal"/>
      </w:pPr>
      <w:r>
        <w:t>Ambos motivos fueron ya analizados y resueltos en un pronunciamiento anterior (STC 85/2003, FJ 7), según el cual la imparcialidad objetiva se refiere al objeto del proceso y asegura que el Juez o Tribunal no ha tenido un contacto previo con el thema decidendi y, por tanto, que se acerca al objeto del mismo sin prevenciones en su ánimo a favor o en contra de las partes (por todas, SSTC 47/1982, de 12 de julio, FJ 3; 157/1993, de 6 de mayo, FJ 2; 47/1998, de 2 de marzo, FJ 4; 162/1999, de 27 de septiembre, FJ 5; 11/2000, de 17 de enero, FJ 4; 52/2001, de 26 de febrero, FJ 3; 153/2002, de 22 de julio, FJ 2; o 38/2003, de 28 de febrero, FJ 3). En el presente supuesto no puede considerarse desde el prisma de la imparcialidad objetiva que un órgano judicial, aunque decidiera en otro proceso la ilegalización de determinados partidos o formaciones políticas, quede prevenido en su ánimo al tener que decidir sobre la existencia o inexistencia de la continuidad entre aquéllos y otras organizaciones o agrupaciones que concurran a las elecciones, dada la notoria diferencia del objeto de cada uno de los procesos. Y añadimos: “en efecto, mientras que en el proceso en el que se decide sobre la pretendida ilegalización de determinado partido o formación política se trata de determinar si éstos incurren en alguno de los supuestos previstos al efecto en la normativa de aplicación (en el momento presente la Ley Orgánica 6/2002, de 27 de junio), en el proceso que da lugar a este amparo, partiendo de la previa declaración judicial de ilegalidad de un concreto partido político, se trata de establecer, conforme a lo previsto en el art. 44.4 LOREG, si otras organizaciones distintas de aquél vienen a continuar o suceder su actividad. En este sentido, es preciso señalar que el proceso anterior, al que puso fin la Sentencia de 27 de marzo de 2003, tuvo como objeto procesal la ilegalización y disolución judicial de un partido político, mientras que el segundo proceso decidido por la Sala Especial del art.  61 LOPJ del Tribunal Supremo, del que trae causa este recurso de amparo, se contrae a dilucidar si el partido político disuelto es continuado o sucedido, de hecho, y en su actividad, por determinadas agrupaciones electorales”.</w:t>
      </w:r>
    </w:p>
    <w:p w:rsidR="00DE14C9" w:rsidRDefault="00DE14C9" w:rsidP="00DE14C9">
      <w:pPr>
        <w:pStyle w:val="TextoNormal"/>
      </w:pPr>
      <w:r>
        <w:t xml:space="preserve">Pese a que la genérica denuncia, referida a la supuesta pérdida de imparcialidad de la Sala especial del Tribunal Supremo debida a la mediatización o presión a la que, quienes la integran, habrían sido objeto por parte de instancias políticas, no ha recibido respuesta expresa en la vía judicial previa, la misma debe ser abordada y resuelta en este proceso de amparo electoral, modulando así su naturaleza subsidiaria, para garantizar el derecho de los recurrentes a obtener una respuesta fundada sobre todas sus pretensiones. En relación con su contenido, ayuno de apoyo justificativo, los recurrentes no han acreditado que la situación por ellos descrita, incluso en el caso en que ésta se hubiera producido, se haya revelado como capaz de menoscabar con la suficiente intensidad la imparcialidad o la apariencia de imparcialidad de la Sala sentenciadora, compuesta por Magistrados independientes por razón de su estatuto, de forma que haya quedado en entredicho su necesaria serenidad o la </w:t>
      </w:r>
      <w:r>
        <w:lastRenderedPageBreak/>
        <w:t>confianza de la ciudadanía en el comportamiento neutral de los juzgadores, ni consta tampoco que éstos hayan actuado en momento alguno de modo que permita pensar que se han inclinado por alguna de las partes, por lo que la queja debe ser rechazada (STC 136/1999, de 20 de junio, FFJJ 8 y 9).</w:t>
      </w:r>
    </w:p>
    <w:p w:rsidR="00DE14C9" w:rsidRDefault="00DE14C9" w:rsidP="00DE14C9">
      <w:pPr>
        <w:pStyle w:val="TextoNormal"/>
      </w:pPr>
    </w:p>
    <w:p w:rsidR="00DE14C9" w:rsidRDefault="00DE14C9" w:rsidP="00DE14C9">
      <w:pPr>
        <w:pStyle w:val="TextoNormal"/>
      </w:pPr>
      <w:r w:rsidRPr="00DE14C9">
        <w:rPr>
          <w:rStyle w:val="NumeroAFNegritaCaracter"/>
        </w:rPr>
        <w:t>6</w:t>
      </w:r>
      <w:r>
        <w:t>. En simple aplicación de las previsiones procesales legislativas o de una interpretación de las mismas que ya hemos declarado conforme con la Constitución, la Sala Especial del Tribunal Supremo acordó en esta ocasión, por Auto de 3 de mayo de 2007, dar conocimiento de la impugnación de sus candidaturas a los representantes de las agrupaciones electorales demandantes “por el medio más rápido posible”, a través de las Juntas electorales que las habían proclamado y con la información de que los recursos y documentos aportados podrían ser examinados antes de las 18:00 horas del día siguiente en las Juntas respectivas o en la Secretaría del Tribunal (fundamento jurídico 4.8 de la resolución impugnada). Tal previsión hizo compatibles de forma razonable la necesidad de garantizar la contradicción en el proceso y el cumplimiento de los plazos perentorios que inexorablemente lo delimitan. No puede por ello imputarse a la actuación judicial reseñada la limitación indebida del derecho de defensa, o de la posibilidad de actuar con contradicción en el proceso, o las inevitables modulaciones que en el proceso contencioso-electoral tiene la capacidad de proponer prueba, practicarla o intervenir la ajena. Tampoco con esta actuación quedó desequilibrado el proceso, con vulneración del principio de igualdad de armas, en beneficio de los impugnantes, que también dispusieron únicamente de dos días desde la publicación de la proclamación de las candidaturas para formalizar su recurso (art.  49.1 LOREG), pues las notas de sumariedad, celeridad y perentoriedad del proceso son comunes para todos los que en él participan, incluido el órgano judicial que ha de resolver también en el plazo máximo de dos días.</w:t>
      </w:r>
    </w:p>
    <w:p w:rsidR="00DE14C9" w:rsidRDefault="00DE14C9" w:rsidP="00DE14C9">
      <w:pPr>
        <w:pStyle w:val="TextoNormal"/>
      </w:pPr>
      <w:r>
        <w:t>Sirva lo expuesto para rechazar, por los mismos argumentos ya expuestos en anteriores pronunciamientos de este Tribunal (SSTC 85/2003, FJ 11; 99/2004, FJ 6; y 68/2005, FFJJ 4 y 5), las quejas que cuestionan la brevedad del plazo concedido para formalizar alegaciones, las que denuncian que no fue simultáneo el emplazamiento y la entrega de copias de las demandas y documentos adjuntos, o las que destacan las dificultades para contactar con el Letrado o el hecho de que el día 2 de mayo fuera festivo en Madrid, la aportación con la demanda de documentos elaborados con antelación, o la estructural limitación en la posibilidad de proposición de medios de prueba o de refutación de la aportada con la impugnación. En definitiva, además de ser estas circunstancias consustanciales al proceso de impugnación analizado, no se impidió a los recurrentes así emplazados el ejercicio del derecho de defensa, privando o limitando injustificadamente su facultad de alegar y probar sus derechos e intereses, replicando dialécticamente las posiciones contrarias en el ejercicio del indispensable principio de contradicción, produciendo así un efectivo y real menoscabo del derecho de defensa, pues pudieron realizar y realizaron las alegaciones que consideraron oportunas rebatiendo la cuestión fundamental planteada en el recurso: el carácter de agrupación electoral continuadora o sucesora de las actividades de los partidos políticos ilegalizados conforme al art. 44.4 LOREG. Por tanto, como dijimos en la STC 85/2003, FJ 11, “partiendo de que no es función de este Tribunal establecer de qué forma es preciso dar cumplimiento al procedimiento establecido en el art. 49 LOREG”, ha de rechazarse la vulneración de los derechos de los recurrentes a la tutela judicial efectiva sin indefensión y al proceso con todas las garantías pues, siendo carga de los mismos, no se ha acreditado un efectivo y real menoscabo del derecho de defensa.</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7</w:t>
      </w:r>
      <w:r>
        <w:t>. Restan por analizar, desde la perspectiva de las garantías procesales invocadas, las quejas de algunos recurrentes relacionadas con las pruebas propuestas para apoyar sus alegaciones, que les fueron rechazadas, y con la validez de las utilizadas para justificar la decisión que se cuestiona en el presente proceso de amparo.</w:t>
      </w:r>
    </w:p>
    <w:p w:rsidR="00DE14C9" w:rsidRDefault="00DE14C9" w:rsidP="00DE14C9">
      <w:pPr>
        <w:pStyle w:val="TextoNormal"/>
      </w:pPr>
      <w:r>
        <w:t>El examen de las demandas que plantean específicamente esta queja, más allá de la genérica denuncia sobre la limitación de los medios de prueba que pudieron proponer por la brevedad del plazo para alegaciones, permite concluir que, en contra de lo que se aduce, sí hubo respuesta judicial a la proposición de prueba, pues la resolución impugnada dedica su fundamento jurídico núm. 4.9 a rechazar la admisibilidad de aquellas pruebas que no hayan sido acompañadas con las alegaciones. Esta respuesta se ajusta a la doctrina constitucional que fue antes expuesta. A ello se ha de añadir que en las demandas no se cumple con el deber de argumentar específicamente que la actividad probatoria que no fue admitida o practicada era decisiva en términos de defensa, esto es, que hubiera podido tener una influencia decisiva en la resolución del pleito, al ser susceptible de alterar el fallo a favor del recurrente. Teniendo en cuenta que la carga de la argumentación recae sobre los demandantes de amparo, a éstos les corresponde fundamentar adecuadamente que la prueba o pruebas en cuestión resultaban determinantes en términos de defensa, sin que la verificación de tal extremo pueda ser emprendida por este Tribunal mediante un examen de oficio de las circunstancias concurrentes en cada caso concreto (por todas, SSTC 157/2000, de 12 de junio, FJ 2.c; 70/2002, de 3 de abril, FJ 5; 79/2002, de 8 de abril, FJ 3; 147/2002, de 15 de julio, FJ 4; 236/2002, de 9 de diciembre, FJ 4; 85/2003, de 8 de mayo, FJ 13). Por otra parte, como ya se dijo, aunque en algún caso la proposición de prueba se ha reiterado ante este Tribunal Constitucional en la demanda de amparo, la misma ha sido rechazada al no concretar los recurrentes los argumentos esgrimidos en el proceso contencioso-electoral en relación con la pertinencia y relevancia de las pruebas entonces propuestas e inadmitidas, ni ofrecer razonamiento alguno sobre dicha relevancia a la vista de los concretos elementos fácticos tomados en consideración por la Sala del art. 61 LOPJ para llegar a la conclusión de que las candidaturas por ella presentadas incurren en el supuesto contemplado en el art. 44.4 LOREG. Todo lo cual lleva a la desestimación de estas quejas.</w:t>
      </w:r>
    </w:p>
    <w:p w:rsidR="00DE14C9" w:rsidRDefault="00DE14C9" w:rsidP="00DE14C9">
      <w:pPr>
        <w:pStyle w:val="TextoNormal"/>
      </w:pPr>
    </w:p>
    <w:p w:rsidR="00DE14C9" w:rsidRDefault="00DE14C9" w:rsidP="00DE14C9">
      <w:pPr>
        <w:pStyle w:val="TextoNormal"/>
      </w:pPr>
      <w:r w:rsidRPr="00DE14C9">
        <w:rPr>
          <w:rStyle w:val="NumeroAFNegritaCaracter"/>
        </w:rPr>
        <w:t>8</w:t>
      </w:r>
      <w:r>
        <w:t>. Con argumentos que ya fueron analizados y rechazados por este Tribunal en anteriores resoluciones, se cuestiona con carácter general la validez de las pruebas documentales que acompañaron a las demandas contencioso-electorales y que consistían en informes policiales, no ratificados ante el Juez, sobre las actividades de algunos miembros de las candidaturas o sobre la vinculación de las mismas con los partidos políticos ilegalizados en la Sentencia del Tribunal Supremo de 27 de marzo de 2003.  Se pretende con su impugnación negarles valor probatorio por su origen o por su forma de incorporación al proceso. Pues bien, la queja debe ser rechazada al apreciar que, de conformidad con la doctrina constitucional expuesta en el FJ 12 de la STC 99/2004, la Sala sentenciadora distingue los documentos y datos objetivos recogidos o incorporados a los informes de las meras opiniones o juicios de valor emitidos por los funcionarios que los suscriben, dando valor indiciario únicamente a los primeros y razonando con cautela acerca de su eficacia probatoria. Así pues, hemos de concluir que “en cuanto en la Sentencia recurrida la Sala toma en consideración, no las opiniones de los agentes, sino documentos y datos objetivos que figuran en los informes policiales, es de perfecta aplicación la doctrina recogida en la STC 5/2004, de 16 de enero, en la que no se estimó infracción constitucional alguna por la utilización de informes policiales como medio de prueba, al apreciarse que el informe [policial] examinado, cons</w:t>
      </w:r>
      <w:r>
        <w:lastRenderedPageBreak/>
        <w:t>tituya o no una auténtica prueba pericial, no ha tenido, por tanto, más trascendencia probatoria que la que la Sala le ha concedido al material informativo en él agrupado, una vez fiscalizado su contenido y contrastado con otras pruebas practicadas durante el proceso. El órgano judicial ha ponderado en consecuencia la credibilidad de aquel material, sin hacer abstracción de la circunstancia de que se incluía en un informe elaborado por personas cuya imparcialidad había sido objeto de tacha por la parte, sino, por el contrario, advertido de la sospecha abrigada por ésta, contrastando su contenido con otras pruebas y limitando el alcance de la pericia examinada al mero tratamiento agrupado de una información cuya verosimilitud ha verificado por sí la propia Sala” (FJ 14).</w:t>
      </w:r>
    </w:p>
    <w:p w:rsidR="00DE14C9" w:rsidRDefault="00DE14C9" w:rsidP="00DE14C9">
      <w:pPr>
        <w:pStyle w:val="TextoNormal"/>
      </w:pPr>
      <w:r>
        <w:t>Por último, debemos poner de manifiesto que cuando se denuncia la supuesta vulneración del art. 24 CE aduciendo disconformidad con el hecho de haber dado valor indiciario al contenido de la documentación hallada en el registro de una vivienda en razón de que el detenido por dicha causa no fue interrogado sobre su contenido, negó su participación en los hechos imputados, denunció torturas durante la detención o no existe resolución judicial que autentique el documento, no se expresa sino una diferencia de criterio con el órgano judicial para determinar la fuerza de convicción que a dicho documento pueda otorgársele, por sí mismo, o en concordancia o contraste con otras pruebas. Mas no es función de este Tribunal, ni contenido garantizado por el art. 24 CE, dar determinado valor probatorio a unos u otros medios de prueba, una vez constatado que los mismos no ha sido obtenidos con vulneración de derechos fundamentales, como es el caso, y que su contenido se ha sometido al debate contradictorio del proceso contencioso, dando posibilidad de impugnarlos.</w:t>
      </w:r>
    </w:p>
    <w:p w:rsidR="00DE14C9" w:rsidRDefault="00DE14C9" w:rsidP="00DE14C9">
      <w:pPr>
        <w:pStyle w:val="TextoNormal"/>
      </w:pPr>
      <w:r>
        <w:t>De la misma forma, no revela sino una simple discrepancia sin relevancia constitucional la disconformidad expresada en diversas demandas en relación con la valoración que la Sala sentenciadora ha hecho de las opiniones o referencias objetivas contenidas en resoluciones judiciales sin valor de cosa juzgada dictadas en otros procesos. Hemos declarado ya que, en la medida que en dichas resoluciones se haga referencia a datos objetivos contrastables, éstos podrán ser utilizados como medio evaluable de prueba siempre que, como la propia Sentencia impugnada expresa, dicha valoración incorpore las cautelas que debe imponer la naturaleza provisional de los actos de investigación penal, el contexto y momento temporal en que se emitieron, y la eventual valoración de datos adicionales no tomados entonces en consideración. Todo ello constituye la exposición de criterios razonados y razonables de valoración de la prueba que, precisamente por dichas características, no pueden ser censurados por este Tribunal (STC 68/2005, FFJJ 7 y 9).</w:t>
      </w:r>
    </w:p>
    <w:p w:rsidR="00DE14C9" w:rsidRDefault="00DE14C9" w:rsidP="00DE14C9">
      <w:pPr>
        <w:pStyle w:val="TextoNormal"/>
      </w:pPr>
    </w:p>
    <w:p w:rsidR="00DE14C9" w:rsidRDefault="00DE14C9" w:rsidP="00DE14C9">
      <w:pPr>
        <w:pStyle w:val="TextoNormal"/>
      </w:pPr>
      <w:r w:rsidRPr="00DE14C9">
        <w:rPr>
          <w:rStyle w:val="NumeroAFNegritaCaracter"/>
        </w:rPr>
        <w:t>9</w:t>
      </w:r>
      <w:r>
        <w:t>. Las quejas relativas a la presunta vulneración del derecho a la intimidad alegadas por algunas agrupaciones recurrentes se basan en la supuesta infracción del art. 18 CE y se fundamentan, bien en que la resolución judicial impugnada contiene datos relacionados con la concurrencia o participación en diversos procesos electorales, cuyo tratamiento requiere el consentimiento inequívoco del afectado y que se encuentran prohibidos los ficheros de carácter personal que revelen la ideología de las personas, bien en que los datos que constan en los informes policiales tenidos en cuenta por la Sentencia son datos de carácter personal, cuyo tratamiento requiere el consentimiento del afectado, que no se ha prestado, por lo que la prueba de la relación entre algunas personas de las candidaturas y los partidos ilegalizados es nula. Asimismo se denuncia la infracción del art. 18.4 CE con vulneración del derecho fundamental a la autodeterminación informativa de quienes componen las candidaturas de las agrupaciones electorales recurrentes en amparo, porque se utilizaron las bases de datos personales de miles de personas donde se recogen datos ideológicos sin ningún control administrativo.</w:t>
      </w:r>
    </w:p>
    <w:p w:rsidR="00DE14C9" w:rsidRDefault="00DE14C9" w:rsidP="00DE14C9">
      <w:pPr>
        <w:pStyle w:val="TextoNormal"/>
      </w:pPr>
      <w:r>
        <w:lastRenderedPageBreak/>
        <w:t>En relación con estas quejas interesa comenzar recordando que, según se señaló en la STC 85/2003, las informaciones protegidas frente a una publicidad no querida por el art. 18.1 CE se corresponden con los aspectos más básicos de la autodeterminación personal “y es obvio que entre aquellos aspectos básicos no se encuentran los datos referentes a la participación de los ciudadanos en la vida política, actividad que por su propia naturaleza se desarrolla en la esfera pública de una sociedad democrática, con excepción del derecho de sufragio activo dado el carácter secreto del voto. De esta manera, el ejercicio del derecho de participación política (art. 23.1 CE) implica en general la renuncia a mantener ese aspecto de la vida personal alejada del público conocimiento. A ello debe añadirse el carácter público que la legislación electoral atribuye a determinadas actuaciones de los ciudadanos en los procesos electorales, en concreto, la publicación de las candidaturas presentadas y proclamadas en las elecciones, que se efectúa, para las municipales, en el Boletín Oficial de la Provincia (arts. 47 y 187.4 LOREG); y la publicación de los electos, que se efectúa, para todo tipo de elecciones, en el Boletín Oficial del Estado (art. 108.6 LOREG). Estas normas que prescriben la publicidad de candidatos proclamados y electos son, por otra parte, básicas para la transparencia política que en un Estado democrático debe regir las relaciones entre electores y elegibles” (FJ 21). En esta misma resolución rechazamos igualmente que pudiera “considerarse vulnerado el derecho fundamental a la protección de datos (art. 18.4 CE), que faculta a los ciudadanos para oponerse a que determinados datos personales sean utilizados para fines distintos de aquél legítimo que justificó su obtención (STC 94/1988, de 24 de mayo, FJ 4). Tal derecho persigue garantizar a las personas un poder de control sobre sus datos personales, sobre su uso y su destino, con el propósito de impedir su tráfico ilícito y lesivo para la dignidad y derecho del afectado (STC 292/2000, de 30 de noviembre, FJ 6). Pero ese poder de disposición no puede pretenderse con respecto al único dato relevante en este caso, a saber, la vinculación política de aquellos que concurren como candidatos a un proceso electoral pues, como hemos dicho, se trata de datos publicados a los que puede acceder cualquier ciudadano y que por tanto quedan fuera del control de las personas a las que se refieren. La adscripción política de un candidato es y debe ser un dato público en una sociedad democrática, y por ello no puede reclamarse sobre él ningún poder de disposición”  (FJ 12). En términos análogos, se han pronunciado las SSTC 99/2004, FJ 13, y 68/2005, FJ 15.</w:t>
      </w:r>
    </w:p>
    <w:p w:rsidR="00DE14C9" w:rsidRDefault="00DE14C9" w:rsidP="00DE14C9">
      <w:pPr>
        <w:pStyle w:val="TextoNormal"/>
      </w:pPr>
      <w:r>
        <w:t>La aplicación al presente caso de la doctrina ahora recordada conduce a la desestimación de este motivo de amparo. Por una parte, como expresamente se señala en el fundamento octavo de la Sentencia recurrida, los datos empleados por el órgano judicial figuraban en los boletines oficiales correspondientes, fuentes accesibles al público, cuyo uso no precisa el consentimiento de los afectados. Por otra, los datos extraídos en el fundamento séptimo del informe de la Comisaría General de Información aportado por el Abogado del Estado no contienen referencia alguna a circunstancias personales de los integrantes de las agrupaciones electorales demandantes de amparo y ni tan siquiera identifican personas, al limitarse a consignar “la participación masiva de miembros de Batasuna en la campaña de recogida de firmas” (apartado 18 del citado fundamento jurídico séptimo).</w:t>
      </w:r>
    </w:p>
    <w:p w:rsidR="00DE14C9" w:rsidRDefault="00DE14C9" w:rsidP="00DE14C9">
      <w:pPr>
        <w:pStyle w:val="TextoNormal"/>
      </w:pPr>
    </w:p>
    <w:p w:rsidR="00DE14C9" w:rsidRDefault="00DE14C9" w:rsidP="00DE14C9">
      <w:pPr>
        <w:pStyle w:val="TextoNormal"/>
      </w:pPr>
      <w:r w:rsidRPr="00DE14C9">
        <w:rPr>
          <w:rStyle w:val="NumeroAFNegritaCaracter"/>
        </w:rPr>
        <w:t>10</w:t>
      </w:r>
      <w:r>
        <w:t xml:space="preserve">. El segundo grupo de quejas está integrado por la invocación, reiterada en las distintas demandas, del derecho a participar en los asuntos públicos reconocido en el art. 23 CE.  Sostienen las agrupaciones recurrentes que la vulneración de este derecho fundamental por la Sentencia impugnada afecta tanto a los integrantes de las diversas agrupaciones electorales, como a los promotores de las mismas, y a los electores, quienes se ven privados de la posibilidad de ejercer su derecho de sufragio activo a favor de las candidaturas anuladas. </w:t>
      </w:r>
      <w:r>
        <w:lastRenderedPageBreak/>
        <w:t>Por otra parte, a la órbita de este derecho fundamental deben reconducirse, como ya hiciéramos en las SSTC 99/2004, de 17 de mayo (FJ 14), y 68/2005, de 31 de marzo [FJ 2 b)], las denuncias de infracción de la libertad ideológica, por lo común efectuadas con invocación del art. 16.1 CE, pero en ocasiones articulada a través de una queja de discriminación por razones ideológicas contraria al art.  14 CE y de la libertad de expresión [art. 20.1 a) CE].</w:t>
      </w:r>
    </w:p>
    <w:p w:rsidR="00DE14C9" w:rsidRDefault="00DE14C9" w:rsidP="00DE14C9">
      <w:pPr>
        <w:pStyle w:val="TextoNormal"/>
      </w:pPr>
      <w:r>
        <w:t>La queja que ahora nos ocupa parte de la constatación de que las agrupaciones actoras han sido anuladas en virtud de su pretendida vinculación con un partido político ilegalizado. Pues bien, las agrupaciones recurrentes sostienen, en primer lugar, que la valoración de los elementos subjetivos tomados en consideración por la resolución judicial impugnada para alcanzar esa conclusión —en especial, el hecho de que algunos de los integrantes de las agrupaciones concurrieran a otros comicios en el pasado formando parte de candidaturas auspiciadas por aquel partido disuelto, cuando aún no había sido ilegalizado y sin que, por consiguiente, dichas candidaturas adolecieran de tacha alguna de ilegalidad—, supondría el sacrificio del derecho de sufragio pasivo de quienes no han sido formalmente privados del mismo de conformidad con lo previsto en la legislación electoral. Y ello tanto respecto de quienes concurrieron en las citadas condiciones a otros procesos electorales, a los que, en opinión de las agrupaciones recurrentes, se impediría participar de por vida en los asuntos públicos como, incluso, respecto de quienes nunca antes llegaron a participar. En segundo lugar, afirman que la valoración realizada por la Sentencia recurrida de los elementos objetivos proyecta más allá del referido ámbito subjetivo la limitación del derecho fundamental proclamado en el art. 23 CE pues impide la participación electoral de la izquierda abertzale, en cuyo nombre se han efectuado las declaraciones periodísticas reseñadas en la citada Sentencia, y con la que se identifican las agrupaciones demandantes de amparo tanto en su denominación formal como en el logotipo empleado para su identificación, comunes ambos por ser igualmente común ese referente ideológico.</w:t>
      </w:r>
    </w:p>
    <w:p w:rsidR="00DE14C9" w:rsidRDefault="00DE14C9" w:rsidP="00DE14C9">
      <w:pPr>
        <w:pStyle w:val="TextoNormal"/>
      </w:pPr>
    </w:p>
    <w:p w:rsidR="00DE14C9" w:rsidRDefault="00DE14C9" w:rsidP="00DE14C9">
      <w:pPr>
        <w:pStyle w:val="TextoNormal"/>
      </w:pPr>
      <w:r w:rsidRPr="00DE14C9">
        <w:rPr>
          <w:rStyle w:val="NumeroAFNegritaCaracter"/>
        </w:rPr>
        <w:t>11</w:t>
      </w:r>
      <w:r>
        <w:t>. Para dar cumplida respuesta a este motivo de amparo es preciso comenzar reiterando que la disolución judicial de los partidos políticos Herri Batasuna, Euskal Herritarrok y Batasuna, acordada por la Sentencia del Tribunal Supremo de 27 de marzo de 2003, no ha privado de su derecho de sufragio pasivo a ciudadano alguno (SSTC 99/2004, de 17 de mayo, FJ 14, y 68/2005, de 31 de marzo, FJ 10); por consiguiente, tampoco a los integrantes de las agrupaciones electorales actoras.</w:t>
      </w:r>
    </w:p>
    <w:p w:rsidR="00DE14C9" w:rsidRDefault="00DE14C9" w:rsidP="00DE14C9">
      <w:pPr>
        <w:pStyle w:val="TextoNormal"/>
      </w:pPr>
      <w:r>
        <w:t xml:space="preserve">Al respecto, según tuvo ocasión de señalar este Tribunal en la STC 85/2003, de 8 de mayo, “la disolución de un partido político no comporta la privación del derecho de sufragio, activo o pasivo, de quienes fueron sus promotores, dirigentes o afiliados.  Semejante consecuencia sólo puede traer causa de un procedimiento judicial específicamente centrado en la conducta o en las circunstancias de personas físicas, quienes, en los términos previstos por la Ley, únicamente pueden verse privadas del ejercicio del derecho fundamental reconocido en el art. 23.1 CE si concurren las causas también taxativamente fijadas por el art. 6 de la Ley electoral, entre las que no figura la vinculación con un partido disuelto en aplicación de la Ley Orgánica 6/2002” (FJ 23).  Y es que, conforme declaramos en la STC 5/2004, de 16 de enero, “como se admitía en la propia STC 48/2003 (FJ 9), ‘la ilegalización y disolución de un partido político es, desde luego, una consecuencia jurídica gravosa para el partido mismo, para sus afiliados y, por extensión, también para sus simpatizantes y votantes’; pero ello no convierte tales medidas, ‘sin más, en medidas punitivas, pues en otro caso habría que conceder ... que toda consecuencia jurídica desfavorable o la simple denegación de un beneficio encerraría un componente sancionador’. En definitiva la LOPP no instaura </w:t>
      </w:r>
      <w:r>
        <w:lastRenderedPageBreak/>
        <w:t>un procedimiento penal o sancionador referido a conductas individuales y del que se deriven consecuencias punitivas para sus autores, sino un procedimiento de verificación de la concurrencia en una asociación de las características que —presumidas en origen y sólo verificables tras la inscripción— hacen de ella un partido político, resultando de un eventual juicio negativo la consecuencia de su disolución, sin mayor perjuicio para los actores de las conductas examinadas y reconducidas al partido que el propio de quien se ve perjudicado por la imposibilidad de continuar en el disfrute de beneficios y ventajas, que sólo se disfrutan legítimamente en el marco normativo que el partido disuelto, justamente, no ha querido respetar” (FJ 9).</w:t>
      </w:r>
    </w:p>
    <w:p w:rsidR="00DE14C9" w:rsidRDefault="00DE14C9" w:rsidP="00DE14C9">
      <w:pPr>
        <w:pStyle w:val="TextoNormal"/>
      </w:pPr>
      <w:r>
        <w:t>Para evitar que se desvirtúe la reparación del orden jurídico constitucional llevada a cabo mediante la ilegalización judicial de un partido político, el art. 44.4 LOREG incorpora una previsión que, si bien no puede calificarse como “una causa de inelegibilidad, pues las personas que figuran en la agrupación no proclamada pueden ejercer su derecho de sufragio pasivo a través de otra candidatura” (STC 85/2003, FJ 24, luego reiterada en SSTC 99/2004, FJ 14, y 68/2005, FJ 10), “no puede negarse que ‘restringe materialmente el libre ejercicio de aquel derecho’, pues aunque no excluye su ejercicio con carácter absoluto, ‘sí impide que lo disfruten en unión de quienes con su concurso puedan dar fundamento razonable a la convicción judicial de que se está ante un concierto de voluntades para la elusión fraudulenta de las consecuencias jurídicas de la disolución de un partido político’ (STC 99/2004, FJ 14)” (STC 68/2005, FJ 10).  Como igualmente subrayamos en esta misma resolución, “tal fue la razón que explica la interpretación conforme del art. 44.4 LOREG contenida en la STC 85/2003, en cuya virtud ‘su sentido no es el propio de una causa restrictiva del derecho de sufragio pasivo, sino el de un mecanismo de garantía institucional con el que pretende evitarse, justamente, la desnaturalización de las agrupaciones electorales como instrumentos de participación ciudadana’ (STC 85/2003, FJ 24), haciendo así imposible que a su través pudiera articularse fraudulentamente la continuidad material de un partido político disuelto judicialmente. El art. 44.4 LOREG, por tanto, ‘no atiende a cualesquiera agrupaciones electorales, sino específicamente a las que sirven de instrumento para la evasión fraudulenta de las consecuencias de la disolución de un partido político. En definitiva, a las agrupaciones electorales que, de hecho, y pervirtiendo la naturaleza y sentido de la institución, se quieren antes elementos constitutivos de un nuevo partido que instrumento de ejercicio del derecho de sufragio pasivo por parte de los ciudadanos al margen de la disciplina partidista’ (STC 85/2003, FJ 25)” (STC 68/2005, FJ 10).</w:t>
      </w:r>
    </w:p>
    <w:p w:rsidR="00DE14C9" w:rsidRDefault="00DE14C9" w:rsidP="00DE14C9">
      <w:pPr>
        <w:pStyle w:val="TextoNormal"/>
      </w:pPr>
      <w:r>
        <w:t xml:space="preserve">Finalmente, es preciso recordar que este Tribunal ha sido consciente de las dificultades que entraña el intento de equiparación conceptual entre dos realidades no equivalentes, como son los partidos políticos y las agrupaciones electorales. En la STC 99/2004 hemos sintetizado la doctrina sentada al respecto en la STC 85/2003, subrayando que “precisamente las similitudes exigidas por el art. 44.4 LOREG para apreciar la concurrencia de un principio de continuidad entre un partido disuelto y una agrupación de electores (similitudes orgánico-funcional, subjetiva y financiera) nos permitían concluir que la norma atendía al fenómeno de la constitución material de una trama equivalente a un partido a partir de la estructura formal de una agrupación, resultado que podía alcanzarse, bien con ‘la concertación de una pluralidad de agrupaciones electorales alrededor de una entidad común que las articula al punto de erigirlas en elementos constitutivos de una realidad distinta: un partido político de facto con el que se quieren obviar las consecuencias de la disolución de un partido al que se pretende dar continuidad de manera fraudulenta’ (STC 85/2003, FJ 25), bien asegurando ‘la permanencia en el tiempo de la agrupación electoral’, de suerte que ‘cumplido su cometido tras la celebración de las elecciones, subsista de facto como organización </w:t>
      </w:r>
      <w:r>
        <w:lastRenderedPageBreak/>
        <w:t>política hasta la siguiente convocatoria electoral y, reactivándose jurídicamente para presentar entonces nuevas candidaturas, se continúe en el tiempo a la manera de un verdadero partido. De esta forma, con su prolongación en el tiempo, la agrupación electoral perdería la naturaleza efímera que es común a las agrupaciones de electores y pasaría a asimilarse a un partido político, siendo ya factible apreciar un eventual continuum entre la agrupación y un partido disuelto en el pasado’ (loc. ult. cit.)” (FJ 15). En palabras de la STC 68/2005, “quiere esto decir que toda la distancia que media entre ambas categorías se diluye, precisamente, cuando la naturaleza propia de las agrupaciones electorales se pervierte con el fin de constituirlas en instrumento para la continuidad material de un partido, operando así el ánimo defraudatorio como la solución de continuidad necesaria entre dos realidades conceptualmente inconfundibles. Y tal es justamente el efecto que con el art. 44.4 LOREG ha querido evitar el legislador orgánico” (FJ 10).</w:t>
      </w:r>
    </w:p>
    <w:p w:rsidR="00DE14C9" w:rsidRDefault="00DE14C9" w:rsidP="00DE14C9">
      <w:pPr>
        <w:pStyle w:val="TextoNormal"/>
      </w:pPr>
    </w:p>
    <w:p w:rsidR="00DE14C9" w:rsidRDefault="00DE14C9" w:rsidP="00DE14C9">
      <w:pPr>
        <w:pStyle w:val="TextoNormal"/>
      </w:pPr>
      <w:r w:rsidRPr="00DE14C9">
        <w:rPr>
          <w:rStyle w:val="NumeroAFNegritaCaracter"/>
        </w:rPr>
        <w:t>12</w:t>
      </w:r>
      <w:r>
        <w:t>. En virtud de lo expuesto, la aplicación de la previsión contenida en el art. 44.4 LOREG precisa de la “acreditación judicial —razonable, suficiente y conformada en un proceso con todas las garantías— de un designio defraudador dirigido a la continuación de un partido ilegalizado y materializado a través de instrumentos subjetivos, organizativo-estructurales o financieros” (STC 68/2005, FJ 11). Se trata, dicho de otro modo, de acreditar que las agrupaciones electorales no son expresión espontánea del propósito de ejercer el derecho de sufragio pasivo al margen de las estructuras partidistas, sino que responden al fin de eludir los efectos de un pronunciamiento judicial de disolución de un partido político. Como dijimos en la STC 85/2003, “tratándose de la acreditación de una trama defraudatoria, es evidente que la convicción judicial de su existencia deberá conformarse a partir de la concurrencia de elementos probatorios del más diverso cariz y que habrá de estarse a cada caso para precisar si es suficiente con la demostración de un elemento de continuidad financiera o si se impone la concurrencia de un elemento de continuidad personal que, además, debe ser significativa en número o en calidad. Lo decisivo, en cualquier caso, es que los criterios acreditativos utilizados abonen la convicción fundada de que las agrupaciones electorales cuya proclamación se deniega operan materialmente como componentes constitutivos de un partido de facto y no como verdaderos instrumentos de participación política que agotan su sentido en la actualización del ejercicio del derecho de sufragio pasivo por parte de los particulares que en ellas se agrupan” (FJ 26; en el mismo sentido, SSTC 99/2004, FJ 16, y 68/2005, FJ 11).</w:t>
      </w:r>
    </w:p>
    <w:p w:rsidR="00DE14C9" w:rsidRDefault="00DE14C9" w:rsidP="00DE14C9">
      <w:pPr>
        <w:pStyle w:val="TextoNormal"/>
      </w:pPr>
      <w:r>
        <w:t xml:space="preserve">Tras haber constatado, al dar respuesta al primer grupo de alegaciones formuladas por las agrupaciones electorales recurrentes, que la resolución de la Sala Especial del Tribunal Supremo se ha adoptado en el curso de un proceso con todas las garantías, cumple ahora comprobar si este órgano judicial ha acreditado de manera razonable y suficiente la concurrencia de la causa contemplada en el art. 44.4 LOREG. Dicha comprobación debe llevarse a cabo desde la perspectiva propia del recurso de amparo, que no es otra sino la incidencia efectiva en el derecho fundamental a participar en los asuntos públicos “en atención a la consistencia que, en términos constitucionales, ofrece la convicción judicial alcanzada en el proceso previo en punto a la naturaleza de la agrupación cuyas candidaturas han sido excluidas del proceso electoral por haberse demostrado que con ellas sólo se quiere dar continuidad a un partido ilegalizado por Sentencia firme” (STC 68/2005, FJ 11). Por ello, al igual que precisamos en esta misma resolución, “como principio que ya quedó sentado en la STC 85/2003 (FJ 29), sólo nos cabe revisar la apreciación de la Sala del art. 61 LOPJ ‘en aquellos supuestos en los que, desde los propios criterios interpretativos asumidos por el Tribunal Supremo, la convicción alcanzada pugne con un derecho constitucionalmente relevante; en </w:t>
      </w:r>
      <w:r>
        <w:lastRenderedPageBreak/>
        <w:t>el caso, el derecho de sufragio pasivo. En definitiva, estando en juego la efectividad del ejercicio de un derecho fundamental, este Tribunal Constitucional, ponderando los derechos individuales en presencia y el interés general del ordenamiento en la sujeción de los procedimientos electorales al principio de legalidad, debe verificar aquella revisión con arreglo a un canon decisorio cuyo contenido ha de depender de la apreciación conjunta de una pluralidad de magnitudes y referencias’ que permitan ‘inferir, de modo razonable y no arbitrario, que la agrupación electoral excluida del proceso electoral ha actuado, de hecho, como continuadora de la actividad de los partidos ilegalizados” (STC 68/2005, FJ 11).</w:t>
      </w:r>
    </w:p>
    <w:p w:rsidR="00DE14C9" w:rsidRDefault="00DE14C9" w:rsidP="00DE14C9">
      <w:pPr>
        <w:pStyle w:val="TextoNormal"/>
      </w:pPr>
    </w:p>
    <w:p w:rsidR="00DE14C9" w:rsidRDefault="00DE14C9" w:rsidP="00DE14C9">
      <w:pPr>
        <w:pStyle w:val="TextoNormal"/>
      </w:pPr>
      <w:r w:rsidRPr="00DE14C9">
        <w:rPr>
          <w:rStyle w:val="NumeroAFNegritaCaracter"/>
        </w:rPr>
        <w:t>13</w:t>
      </w:r>
      <w:r>
        <w:t>. En el presente caso la Sentencia impugnada tiene por probado que las agrupaciones electorales, la proclamación de cuyos candidatos finalmente se anula, pretenden eludir los efectos de un pronunciamiento judicial de ilegalización y disolución de unos partidos políticos.</w:t>
      </w:r>
    </w:p>
    <w:p w:rsidR="00DE14C9" w:rsidRDefault="00DE14C9" w:rsidP="00DE14C9">
      <w:pPr>
        <w:pStyle w:val="TextoNormal"/>
      </w:pPr>
      <w:r>
        <w:t>En especial, se destaca el revelador contenido de las informaciones periodísticas y de los informes policiales reseñados en el fundamento jurídico séptimo, y que ponen de manifiesto, sin sombra alguna de duda, que el proceso de presentación de las candidaturas de las agrupaciones electorales ha sido dirigido, preparado, organizado, dinamizado, controlado y animado por Batasuna, uno de los partidos disueltos, a fin de poder participar en el proceso electoral y, en su caso, obtener representación en los órganos electos. Con respecto a las informaciones periodísticas se subraya que reflejan hechos incontestados de conocimiento general y declaraciones de personalidades u organizaciones políticas, que no han tratado de ocultar el papel jugado desde el entramado del partido ilegalizado en la instrumentación de las agrupaciones electorales, haciéndose hincapié en que dichas declaraciones no fueron contradichas por sus autores tras su publicación ni desmentidas o cuestionadas en el proceso seguido ante la Sala Especial del Tribunal Supremo. También se destaca como elemento para desvirtuar la nota de espontaneidad que caracteriza a las agrupaciones electorales, su denominación común, consistente en la utilización de los términos “Abertzale Sozialistak” seguidos del nombre del pueblo o localidad donde se ha constituido, pretendiéndose con ello otorgar a su constitución y actividad una vocación de permanencia impropia de las agrupaciones, que las desnaturaliza al tiempo que asegura su inequívoca identificación como sucesoras de Batasuna, con el fin de aglutinar en su favor la adhesión de los votantes en las urnas.</w:t>
      </w:r>
    </w:p>
    <w:p w:rsidR="00DE14C9" w:rsidRDefault="00DE14C9" w:rsidP="00DE14C9">
      <w:pPr>
        <w:pStyle w:val="TextoNormal"/>
      </w:pPr>
      <w:r>
        <w:t xml:space="preserve">Además de los elementos objetivos, en el fundamento jurídico octavo se exponen pormenorizadamente los criterios de valoración de las vinculaciones entre los candidatos y los partidos ilegalizados, por entender que esas vinculaciones permiten inferir que se persigue desarrollar desde las entidades locales el proyecto impulsado por los partidos disueltos, así como generar en el cuerpo de electores próximo al entramado de Batasuna la confianza de que el proyecto que representa la agrupación electoral es continuación de los partidos ilegalizados. No obstante, debe consignarse que en la Sentencia ahora controvertida se hace hincapié en la particular relevancia de los elementos objetivos.  En primer lugar, al afirmarse que “la estrategia mostrada por los líderes de Batasuna en innumerables comparecencias públicas y la trama urdida en torno a la constitución de las agrupaciones electorales que nos ocupan revela un reconocimiento expreso desde lo que se ha venido en denominar el entramado de Batasuna de su designio defraudador de la ilegalización de los partidos políticos antes mencionados, capaz por sí solo de acreditar su vocación de suceder a los mismos, sin necesidad de verse acompañado de elemento subjetivo alguno de vinculación en las formaciones políticas ilegalizadas y los candidatos de tales agrupaciones” (fundamento jurídico noveno).  Y, en segundo lugar, al señalar en el fundamento jurídico décimo que, si bien en </w:t>
      </w:r>
      <w:r>
        <w:lastRenderedPageBreak/>
        <w:t>algunas agrupaciones impugnadas no se ha acreditado la existencia de vínculos subjetivos entre sus candidatos y los partidos ilegalizados, este solo hecho “no enerva la convicción de la Sala a la hora de apreciar la sucesión fraudulenta dada la intensidad de los elementos objetivos antes descritos, ello unido al hecho mismo de la adhesión de los candidatos a incorporarse a las listas de referencia, lo que hace ociosa por su propia consistencia la necesidad de operar con otros elementos objetivos. La asunción de la marca A.S. es extremadamente relevante a este respecto”.</w:t>
      </w:r>
    </w:p>
    <w:p w:rsidR="00DE14C9" w:rsidRDefault="00DE14C9" w:rsidP="00DE14C9">
      <w:pPr>
        <w:pStyle w:val="TextoNormal"/>
      </w:pPr>
    </w:p>
    <w:p w:rsidR="00DE14C9" w:rsidRDefault="00DE14C9" w:rsidP="00DE14C9">
      <w:pPr>
        <w:pStyle w:val="TextoNormal"/>
      </w:pPr>
      <w:r w:rsidRPr="00DE14C9">
        <w:rPr>
          <w:rStyle w:val="NumeroAFNegritaCaracter"/>
        </w:rPr>
        <w:t>14</w:t>
      </w:r>
      <w:r>
        <w:t>. Las agrupaciones electorales solicitantes de amparo impugnan diversos extremos del hilo argumental seguido en la resolución judicial cuya anulación se postula. Así, en primer término, y con respecto a la acreditación misma de la existencia de una trama articulada con la pretensión de defraudar la ilegalización de los partidos políticos comprendidos en la parte dispositiva de la Sentencia de la Sala Especial del art. 61 LOPJ del Tribunal Supremo de 27 de marzo de 2003, sostienen que las informaciones periodísticas habrían mediatizado las declaraciones de quienes no se habrían pronunciado como representantes cualificados de esos partidos sino de la denominada izquierda abertzale. Igualmente, señalan que la identidad en la denominación no responde a un concierto de voluntades sino a la comunidad de planteamientos políticos y a que los términos “abertzale” y “sozialista” son genéricos y de gran presencia en la sociedad vasca. Finalmente, se cuestiona el empleo de diversos elementos subjetivos para establecer la vinculación de las agrupaciones con la referida trama defraudatoria, subrayando, en este sentido, que no existe una vinculación significativa entre las agrupaciones electorales ahora anuladas y los partidos políticos en su día ilegalizados.</w:t>
      </w:r>
    </w:p>
    <w:p w:rsidR="00DE14C9" w:rsidRDefault="00DE14C9" w:rsidP="00DE14C9">
      <w:pPr>
        <w:pStyle w:val="TextoNormal"/>
      </w:pPr>
      <w:r>
        <w:t>Antes de dar cumplida respuesta a estos reproches es preciso salir al paso de la errónea comprensión de la doctrina sentada en la STC 85/2003, de 8 de mayo, y luego reiterada en sus aspectos esenciales en las SSTC 94/2004, de 17 de mayo, y 68/2005, de 31 de marzo, que se aprecia en las demandas de amparo presentadas por las agrupaciones electorales.</w:t>
      </w:r>
    </w:p>
    <w:p w:rsidR="00DE14C9" w:rsidRDefault="00DE14C9" w:rsidP="00DE14C9">
      <w:pPr>
        <w:pStyle w:val="TextoNormal"/>
      </w:pPr>
      <w:r>
        <w:t xml:space="preserve">En la STC 85/2003 analizamos pormenorizadamente la primera de las similitudes sustanciales que deben valorarse para concluir que las agrupaciones electorales vienen a continuar o suceder la actividad de un partido político declarado judicialmente ilegal y disuelto, o suspendido: la similitud sustancial de las “estructuras, organización y funcionamiento”. Y afirmábamos que “la única manera de que ese criterio tenga alguna virtualidad pasa por dos circunstancias: La primera sería la permanencia en el tiempo de la agrupación electoral; es decir, que la agrupación electoral, cumplido su cometido tras la celebración de las elecciones, subsista de facto como organización política hasta la siguiente convocatoria electoral y, reactivándose jurídicamente para presentar entonces nuevas candidaturas, se continúe en el tiempo a la manera de un verdadero partido. De esta forma, con su prolongación en el tiempo, la agrupación electoral perdería la naturaleza efímera que es común a las agrupaciones de electores y pasaría a asimilarse a un partido político, siendo ya factible apreciar un eventual continuum entre la agrupación y un partido disuelto en el pasado. En otras palabras, para que una agrupación electoral pueda ser continuación de un partido político es necesario que ante ella misma se prolongue en cuanto agrupación para que, adquirida así una naturaleza equiparable a la de los partidos en punto a su estabilidad, pueda servir después como elemento de continuidad del partido disuelto. La segunda circunstancia sería la concertación de una pluralidad de agrupaciones electorales alrededor de una entidad común que las articula al punto de erigirlas en elementos constitutivos de una realidad distinta: un partido político ‘de facto’ con el que se quieren obviar las consecuencias de la disolución de un partido al que se pretende dar continuidad de manera fraudulenta. Las agrupaciones </w:t>
      </w:r>
      <w:r>
        <w:lastRenderedPageBreak/>
        <w:t>así articuladas transcenderían la condición que les es propia como instrumento de participación política y se convertirían en elemento necesario para la comisión de un acto fraudulento” (FJ 25). En tal caso, las agrupaciones electorales dejan de ser propiamente tales para convertirse en un instrumento al servicio de la reactivación o continuidad de un partido disuelto, hipótesis en la que debe convenirse en que “en la medida en que una agrupación electoral se articule con otras agrupaciones al servicio de un fin defraudatorio, su equivalencia funcional con el partido disuelto debe imponerse a toda otra consideración, también a la del ejercicio de un derecho que, así instrumentalizado, se pervierte en tanto que derecho” (STC 85/2003, FJ 26).</w:t>
      </w:r>
    </w:p>
    <w:p w:rsidR="00DE14C9" w:rsidRDefault="00DE14C9" w:rsidP="00DE14C9">
      <w:pPr>
        <w:pStyle w:val="TextoNormal"/>
      </w:pPr>
      <w:r>
        <w:t>Cuando, como aquí sucede, se reprocha a una pluralidad de agrupaciones electorales el haber sido creadas no para la consecución del fin propio de esta figura, como es el ejercicio del derecho de los ciudadanos a concurrir a un proceso electoral, sino para la elusión de los efectos de la disolución de un partido político, el primer extremo que deberá ser acreditado será justamente el relativo a la concertación de esa pluralidad de agrupaciones, que no responden, por ello mismo, al designio de la espontaneidad característico de la figura. Como asimismo subrayamos en la STC 85/2003, “tratándose de la acreditación de una trama defraudatoria, es evidente que la convicción judicial de su existencia deberá conformarse a partir de la concurrencia de elementos probatorios del más diverso cariz y que habrá de estarse a cada caso para precisar si es suficiente con la demostración de un elemento de continuidad financiera o si se impone la concurrencia de un elemento de continuidad personal que, además, debe ser significativa en número o en calidad. Lo decisivo, en cualquier caso, es que los criterios acreditativos utilizados abonen la convicción fundada de que las agrupaciones electorales cuya proclamación se deniega operan materialmente como componentes constitutivos de un partido de facto y no como verdaderos instrumentos de participación política que agotan su sentido en la actualización del ejercicio del derecho de sufragio pasivo por parte de los particulares que en ellas se agrupan” (FJ 26).</w:t>
      </w:r>
    </w:p>
    <w:p w:rsidR="00DE14C9" w:rsidRDefault="00DE14C9" w:rsidP="00DE14C9">
      <w:pPr>
        <w:pStyle w:val="TextoNormal"/>
      </w:pPr>
    </w:p>
    <w:p w:rsidR="00DE14C9" w:rsidRDefault="00DE14C9" w:rsidP="00DE14C9">
      <w:pPr>
        <w:pStyle w:val="TextoNormal"/>
      </w:pPr>
      <w:r w:rsidRPr="00DE14C9">
        <w:rPr>
          <w:rStyle w:val="NumeroAFNegritaCaracter"/>
        </w:rPr>
        <w:t>15</w:t>
      </w:r>
      <w:r>
        <w:t>. Una vez constatada la existencia de esa trama defraudatoria, será imprescindible “verificar si las concretas agrupaciones cuya proclamación se discutió ante la Sala del art. 61 LOPJ se encuentran efectivamente imbricadas en ese complejo orgánico” (STC 85/2003, FJ 28). Dicho en palabras de la STC 68/2005, “la constancia de la intención de defraudar no es, sin embargo, suficiente para tener por cierta la continuidad” entre los partidos disueltos y las agrupaciones electorales, siendo preciso, por tanto, “que de la prueba obrante en las actuaciones se desprenda también que esa intención ha llegado a materializarse, es decir, ha culminado en la constitución de una agrupación electoral subsumible en el supuesto contemplado en el art.  44.4 LOREG” (FJ 13).  Pues bien, para entender acreditada la incardinación de las concretas agrupaciones electorales en esa trama defraudatoria general la Sala Especial del Tribunal Supremo podrá valorar tanto elementos objetivos como subjetivos y no sólo estos últimos, frente a lo que parecen defender una mayoría de las demandantes de amparo al invocar lo declarado en la STC 85/2003, FJ 29.</w:t>
      </w:r>
    </w:p>
    <w:p w:rsidR="00DE14C9" w:rsidRDefault="00DE14C9" w:rsidP="00DE14C9">
      <w:pPr>
        <w:pStyle w:val="TextoNormal"/>
      </w:pPr>
      <w:r>
        <w:t xml:space="preserve">En efecto, aunque esos elementos objetivos fueron los predominantes en los supuestos analizados en las SSTC 99/2004 y 68/2005, debe recordarse que también en la STC 85/2003 se puso de manifiesto la conexión objetiva y no sólo subjetiva entre las agrupaciones electorales impugnadas y los partidos políticos disueltos. Así, señalamos que aunque “el hecho de que, al cabo, el criterio identificador utilizado sea el de la integración personal de las candidaturas podría llevar a pensar que, en definitiva, la disolución de un partido político se ha convertido inopinadamente en causa de privación individual del derecho de sufragio pasivo”, esta primera impresión no autorizaba a ignorar “el dato de que, como toda trama </w:t>
      </w:r>
      <w:r>
        <w:lastRenderedPageBreak/>
        <w:t>defraudatoria, también ésta se desenvuelve en los términos de opacidad y embozo característicos de todo fraude a la Ley. Pero, sobre todo, el hecho de que, como antes se ha señalado, entre las instrucciones contenidas en los documentos probatorios manejados por la Sala figura la de que se incluyan en las agrupaciones, y en puestos relevantes, a miembros de la izquierda ‘abertzale’ que hubieran sido electos en el pasado. Las instrucciones y pautas contenidas en esa documentación ofrecen, pues, la medida del criterio que ha de observarse para la correcta identificación de las agrupaciones incursas en la trama defraudatoria. Ello, claro está, sin perjuicio de que quienes ahora recurren en amparo ante nosotros puedan acreditar eventuales errores en el juicio de la Sala sentenciadora, nunca descartables, por mayor que sea el celo desplegado, dado el número de candidaturas impugnadas y la perentoriedad de los plazos procesales disponibles” (FJ 28 in fine).</w:t>
      </w:r>
    </w:p>
    <w:p w:rsidR="00DE14C9" w:rsidRDefault="00DE14C9" w:rsidP="00DE14C9">
      <w:pPr>
        <w:pStyle w:val="TextoNormal"/>
      </w:pPr>
      <w:r>
        <w:t>En cualquier caso, debe destacarse, como ya ha reiterado este Tribunal, que “es perfectamente aceptable en una sociedad democrática que, tan pronto se cierna sobre una agrupación electoral la sospecha fundada de connivencia con el terror o con formaciones que han sido proscritas en razón de esa connivencia, pueda esperarse de ella, si efectivamente no acepta más instrumentos que los del voto y el debate libre, una declaración inequívoca de distanciamiento, rechazo y condena de cuanto representan una organización criminal y sus instrumentos políticos; y ello por respeto, en primer lugar, a aquéllos cuyo voto se busca para integrar, en su nombre, la voluntad del poder público. Con ello habría de bastar para deshacer la eficacia probatoria de indicios que, contra manifestación tan inconcusa, difícilmente podrían acreditar una realidad que así se desvirtúa” (SSTC 99/2004, FJ 19, y 68/2005, FJ 16).</w:t>
      </w:r>
    </w:p>
    <w:p w:rsidR="00DE14C9" w:rsidRDefault="00DE14C9" w:rsidP="00DE14C9">
      <w:pPr>
        <w:pStyle w:val="TextoNormal"/>
      </w:pPr>
    </w:p>
    <w:p w:rsidR="00DE14C9" w:rsidRDefault="00DE14C9" w:rsidP="00DE14C9">
      <w:pPr>
        <w:pStyle w:val="TextoNormal"/>
      </w:pPr>
      <w:r w:rsidRPr="00DE14C9">
        <w:rPr>
          <w:rStyle w:val="NumeroAFNegritaCaracter"/>
        </w:rPr>
        <w:t>16</w:t>
      </w:r>
      <w:r>
        <w:t>. En esta ocasión la existencia de la trama defraudatoria se entiende acreditada a partir de la concurrencia de los elementos objetivos pormenorizados en el fundamento séptimo de la Sentencia impugnada.</w:t>
      </w:r>
    </w:p>
    <w:p w:rsidR="00DE14C9" w:rsidRDefault="00DE14C9" w:rsidP="00DE14C9">
      <w:pPr>
        <w:pStyle w:val="TextoNormal"/>
      </w:pPr>
      <w:r>
        <w:t xml:space="preserve">La Sala del art. 61 LOPJ del Tribunal Supremo ha concedido singular relevancia, en primer término, a las declaraciones y manifestaciones efectuadas por significados dirigentes de los partidos disueltos en las que se pone de manifiesto el protagonismo activo de dichos partidos en la promoción de las agrupaciones electorales. Esas declaraciones se formularon tanto en ruedas de prensa como en entrevistas radiofónicas, así como en actos político-electorales aprovechados para la acreditación de avalistas de las agrupaciones. La valoración de estos datos no puede merecer tacha alguna de inconstitucionalidad pues se trata de informaciones hechas públicas por los medios de información y que no han sido contradichas por los autores de las referidas declaraciones. Por otro lado, se trata de actos públicos y notorios realizados por quienes pueden arrogarse la representación de los partidos políticos disueltos y en virtud de esta representación han sido valoradas por la Sala, pues cuando las manifestaciones proceden de quienes no ocuparon cargos orgánicos en dichos partidos este extremo se infiere claramente del relato realizado por la Sentencia (v.gr. fundamento séptimo 3 y 4). Por consiguiente, se han valorado dichas declaraciones en cuanto que efectuadas no por representantes de un sector político determinado, en este caso la llamada izquierda abertzale, sino por quienes expresan con habitualidad la opinión de los partidos políticos declarados ilegales, como así se indica expresamente en el fundamento noveno de la Sentencia impugnada donde se señala que el criterio determinante para la valoración de tales expresiones como indicio de existencia de la trama “no sería la pertenencia o proximidad de dichas personas a la ‘izquierda abertzale’, sino la caracterización de las mismas como personas que ocuparon cargos destacados o representativos de los partidos ilegalizados y que, pese a la </w:t>
      </w:r>
      <w:r>
        <w:lastRenderedPageBreak/>
        <w:t>ilegalización de éstos, han continuado actuando en la vida pública como si aún ostentaran tal condición”.</w:t>
      </w:r>
    </w:p>
    <w:p w:rsidR="00DE14C9" w:rsidRDefault="00DE14C9" w:rsidP="00DE14C9">
      <w:pPr>
        <w:pStyle w:val="TextoNormal"/>
      </w:pPr>
      <w:r>
        <w:t>Igualmente, se ha resaltado el valor del informe de la Comisaría General de Información aportado por el Abogado del Estado en el proceso. En particular se subraya que en dicho informe se consigna que “en toda la cartelería y expresiones gráficas tendentes a dinamizar el proceso de recogida de firmas, figura de forma destacada la estrella roja de cinco puntas rodeadas con otra estrella blanca en su interior, que es el símbolo del partido político proyectado por Batasuna y presentado a inscripción en el Registro de Partidos del Ministerio del Interior por dirigentes de Batasuna ... A. S. B., cuya inscripción se encuentra pendiente de resolución de esta Sala, y a la que se han opuesto el Abogado del Estado y el Ministerio Fiscal” (fundamento séptimo 16).  A ello se añade que en dicho informe, “junto a la recopilación de informaciones de prensa”, figuran informaciones relativas a “la participación operativa de miembros de Batasuna en la gestación, organización y proceso de recogida de firmas de las candidaturas Abertzale Sozialistak” (loc. cit., 18). Por las razones anteriormente expuestas, no puede estimarse que estas informaciones hayan sido obtenidas con vulneración de derechos fundamentales, de tal forma que su valoración como indicio de la existencia de un trama defraudatoria no merece reproche alguno desde la perspectiva del juicio de constitucionalidad que nos corresponde formular.</w:t>
      </w:r>
    </w:p>
    <w:p w:rsidR="00DE14C9" w:rsidRDefault="00DE14C9" w:rsidP="00DE14C9">
      <w:pPr>
        <w:pStyle w:val="TextoNormal"/>
      </w:pPr>
      <w:r>
        <w:t>Finalmente, en el propio fundamento séptimo se destaca la existencia de una “prueba directamente especialmente intensa por cuanto revela la realidad de una estrategia especialmente concebida para dar continuidad por sí misma y acreditar los hechos alegados por los demandantes”. Esta prueba, cuya irregularidad ya ha sido descartada con anterioridad, viene constituida por uno de los documentos incautados a un presunto miembro de la organización terrorista ETA en el curso del registro domiciliario practicado en la investigación abierta en las diligencias previas 117-2007 del Juzgado Central de Instrucción núm. 2 y donde se expone la estrategia a seguir por el entramado Batasuna en los comicios locales de 2007.</w:t>
      </w:r>
    </w:p>
    <w:p w:rsidR="00DE14C9" w:rsidRDefault="00DE14C9" w:rsidP="00DE14C9">
      <w:pPr>
        <w:pStyle w:val="TextoNormal"/>
      </w:pPr>
      <w:r>
        <w:t>Advertida la existencia de la trama defraudatoria, la Sentencia impugnada destaca la extremada relevancia que encierra la asunción de la denominación común “Abertzale Sozialistak” para acreditar la incardinación de todas y cada una de las agrupaciones anuladas en aquella. Frente a lo aducido por las agrupaciones recurrentes, esta inferencia no puede tildarse de excesivamente abierta en virtud del carácter genérico de la denominación y de su uso habitual en la sociedad vasca si se repara tanto en la unánime coincidencia en la denominación de unas realidades que de suyo se caracterizan por la espontaneidad como en la existencia de informaciones periodísticas —recogidas en los apartados 6 y 8 del fundamento séptimo de la Sentencia de la Sala Especial del Tribunal Supremo— donde se relata, en especial que un dirigente de la ilegalizada Batasuna avanzó que “las plataformas tendrán como denominación común ‘nuestras dos señas de identidad’. Junto al nombre de la localidad se incluirán pues los conceptos ‘abertzale’ y ‘sozialista” Esta manifestación tiene lugar en el curso de una rueda de prensa en la que comparecen varios dirigentes del citado partido político, por lo que cabe calificarla como un acto público y notorio realizado por quien puede arrogarse la representación del partido disuelto, sin que haya sido contradicha ni puesta en cuestión por el aludido dirigente o por las agrupaciones electorales en el proceso seguido ante la Sala Especial del art. 61 LOPJ o en las demandas de amparo que ahora nos ocupan.</w:t>
      </w:r>
    </w:p>
    <w:p w:rsidR="00DE14C9" w:rsidRDefault="00DE14C9" w:rsidP="00DE14C9">
      <w:pPr>
        <w:pStyle w:val="TextoNormal"/>
      </w:pPr>
      <w:r>
        <w:t xml:space="preserve">Consecuentemente, atendiendo a las circunstancias que concurren en el presente caso, no puede afirmarse que la utilización de esa identidad en la denominación como criterio “extremadamente relevante” para apreciar la imbricación de las agrupaciones electorales en la trama defraudatoria resulte una inferencia excesivamente abierta. A mayor abundamiento, </w:t>
      </w:r>
      <w:r>
        <w:lastRenderedPageBreak/>
        <w:t>a la vista de las manifestaciones realizadas por un dirigente del partido político ilegalizado Batasuna y de la generalizada información periodística, en medios de ámbito tanto nacional como autonómico, de que la denominación proporcionada por miembros de Batasuna en comparecencias públicas incluía la marca común de “Abertzale Sozialista”, la adopción de esta marca común revela el propósito de contribuir activamente al designio fraudulento de los efectos de la ilegalización de los partidos políticos afectados por la Sentencia de 27 de marzo de 2003.</w:t>
      </w:r>
    </w:p>
    <w:p w:rsidR="00DE14C9" w:rsidRDefault="00DE14C9" w:rsidP="00DE14C9">
      <w:pPr>
        <w:pStyle w:val="TextoNormal"/>
      </w:pPr>
    </w:p>
    <w:p w:rsidR="00DE14C9" w:rsidRDefault="00DE14C9" w:rsidP="00DE14C9">
      <w:pPr>
        <w:pStyle w:val="TextoNormal"/>
      </w:pPr>
      <w:r w:rsidRPr="00DE14C9">
        <w:rPr>
          <w:rStyle w:val="NumeroAFNegritaCaracter"/>
        </w:rPr>
        <w:t>17</w:t>
      </w:r>
      <w:r>
        <w:t>. En virtud de lo expuesto debemos concluir, como ya sucediera en la STC 68/2005, que “los elementos objetivos considerados por el Tribunal Supremo, en un examen de conjunto, conforme a criterios de valoración razonable y no arbitraria, desde el debido respeto a los derechos fundamentales puestos en riesgo y con ajuste a nuestra doctrina sobre estos particulares, son por sí suficientes para fundamentar la convicción judicial que ahora se combate en amparo” (FJ 14). Y al igual que entonces hemos de añadir que “dicha convicción se refuerza, para el Tribunal Supremo, con una serie de elementos subjetivos que, por el contrario, no podemos aceptar, sin que por ello padezcan en su consistencia los juicios de valor deducidos de las pruebas de naturaleza objetiva” (FJ 14).</w:t>
      </w:r>
    </w:p>
    <w:p w:rsidR="00DE14C9" w:rsidRDefault="00DE14C9" w:rsidP="00DE14C9">
      <w:pPr>
        <w:pStyle w:val="TextoNormal"/>
      </w:pPr>
      <w:r>
        <w:t>Más concretamente, en la presente ocasión no podemos aceptar la equiparación, que se repite en el análisis de la integración personal de las agrupaciones impugnadas efectuado en el fundamento octavo de la Sentencia recurrida, entre personas que han pertenecido a los partidos políticos disueltos o han concurrido en sus listas a comicios precedentes con la de quienes, en anteriores procesos electorales, formaban parte de agrupaciones finalmente anuladas en aplicación de las previsiones del art.  44.4 LOREG. Por una parte, resulta evidente la indudable menor capacidad indiciaria de este dato para contribuir a conformar la inferencia de que un conjunto de agrupaciones electorales constituye en realidad la continuación o la sucesión de un partido político ilegalizado, pues ni tales candidatos pertenecieron o se presentaron por dicho partido, ni concurre obviamente en ellos la plasmación de una estrategia dirigida a incluir “en las agrupaciones, y en puestos relevantes, a miembros de la izquierda abertzale que hubieran sido electos en el pasado” (STC 85/2003, FJ 28). Asimilar, siquiera sea únicamente a efectos indiciarios, la integración de candidatos de agrupaciones electorales impugnadas con éxito, en aplicación del art. 44.4 LOREG, con la de candidatos de que lo fueron de partidos ilegalizados, supone, además y sobre todo, una restricción excesiva del derecho de sufragio pasivo, al ampliar el riesgo que apreciábamos en la STC 176/2003, de 10 de octubre, de que esa actuación anterior se convierta en una especie de causa de inhabilitación de los candidatos para concurrir a los posteriores procesos electorales, afectándose directamente su derecho al sufragio pasivo (FJ 5).</w:t>
      </w:r>
    </w:p>
    <w:p w:rsidR="00DE14C9" w:rsidRDefault="00DE14C9" w:rsidP="00DE14C9">
      <w:pPr>
        <w:pStyle w:val="TextoNormal"/>
      </w:pPr>
      <w:r>
        <w:t>Por tanto, desestimada también la concurrencia de esta última vulneración aducida por las agrupaciones electorales recurrentes, procede la íntegra denegación del amparo solicitado.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lastRenderedPageBreak/>
        <w:t>Ha decidido</w:t>
      </w:r>
    </w:p>
    <w:p w:rsidR="00DE14C9" w:rsidRDefault="00DE14C9" w:rsidP="00DE14C9">
      <w:pPr>
        <w:pStyle w:val="TextoNormalCentrado"/>
        <w:keepNext/>
      </w:pPr>
    </w:p>
    <w:p w:rsidR="00DE14C9" w:rsidRDefault="00DE14C9" w:rsidP="00DE14C9">
      <w:pPr>
        <w:pStyle w:val="TextoNormal"/>
      </w:pPr>
      <w:r>
        <w:t>Denegar los amparos electorales solicitados por las agrupaciones electorales recurrentes.</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diez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24" w:name="SENTENCIA_2007_111"/>
      <w:r>
        <w:lastRenderedPageBreak/>
        <w:t>SENTENCIA 111/2007, de 10 de mayo de 2007</w:t>
      </w:r>
    </w:p>
    <w:bookmarkEnd w:id="24"/>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137, de 8 de junio de 2007)</w:t>
      </w:r>
    </w:p>
    <w:p w:rsidR="00DE14C9" w:rsidRDefault="00DE14C9" w:rsidP="00DE14C9">
      <w:pPr>
        <w:pStyle w:val="TtuloBOE"/>
      </w:pPr>
    </w:p>
    <w:p w:rsidR="00DE14C9" w:rsidRDefault="00DE14C9" w:rsidP="00DE14C9">
      <w:pPr>
        <w:pStyle w:val="SntesisDescriptiva"/>
      </w:pPr>
      <w:r>
        <w:t>ECLI:ES:TC:2007:111</w:t>
      </w:r>
    </w:p>
    <w:p w:rsidR="00DE14C9" w:rsidRDefault="00DE14C9" w:rsidP="00DE14C9">
      <w:pPr>
        <w:pStyle w:val="SntesisDescriptiva"/>
      </w:pPr>
    </w:p>
    <w:p w:rsidR="00DE14C9" w:rsidRDefault="00DE14C9" w:rsidP="00DE14C9">
      <w:pPr>
        <w:pStyle w:val="SntesisDescriptiva"/>
      </w:pPr>
      <w:r>
        <w:t>Recurso de amparo electoral 4144-2007. Promovido por el partido político Veciños de Bergondo frente a la Sentencia del Juzgado de lo Contencioso-Administrativo núm. 1 de A Coruña que anuló la proclamación de su candidatura en las elecciones locales por la circunscripción de Bergondo.</w:t>
      </w:r>
    </w:p>
    <w:p w:rsidR="00DE14C9" w:rsidRDefault="00DE14C9" w:rsidP="00DE14C9">
      <w:pPr>
        <w:pStyle w:val="SntesisDescriptiva"/>
      </w:pPr>
    </w:p>
    <w:p w:rsidR="00DE14C9" w:rsidRDefault="00DE14C9" w:rsidP="00DE14C9">
      <w:pPr>
        <w:pStyle w:val="SntesisAnaltica"/>
      </w:pPr>
      <w:r>
        <w:t>Vulneración de los derechos a la tutela judicial sin indefensión y a acceder a los cargos representativos: SSTC 96/2007 y 97/2007.</w:t>
      </w:r>
    </w:p>
    <w:p w:rsidR="00DE14C9" w:rsidRDefault="00DE14C9" w:rsidP="00DE14C9">
      <w:pPr>
        <w:pStyle w:val="SntesisAnaltica"/>
      </w:pPr>
    </w:p>
    <w:p w:rsidR="00DE14C9" w:rsidRDefault="00DE14C9" w:rsidP="00DE14C9">
      <w:pPr>
        <w:pStyle w:val="Extracto"/>
      </w:pPr>
      <w:r>
        <w:t>1.</w:t>
      </w:r>
      <w:r>
        <w:tab/>
        <w:t>Aplica la doctrina de las SSTC 96/2007 y 97/2007 [FFJJ 2, 3].</w:t>
      </w:r>
    </w:p>
    <w:p w:rsidR="00DE14C9" w:rsidRDefault="00DE14C9" w:rsidP="00DE14C9">
      <w:pPr>
        <w:pStyle w:val="Extracto"/>
      </w:pPr>
    </w:p>
    <w:p w:rsidR="00DE14C9" w:rsidRDefault="00DE14C9" w:rsidP="00DE14C9">
      <w:pPr>
        <w:pStyle w:val="Extracto"/>
      </w:pPr>
      <w:r>
        <w:t>2.</w:t>
      </w:r>
      <w:r>
        <w:tab/>
        <w:t>No corresponde al Tribunal proclamar candidaturas sino, sólo y exclusivamente, pronunciarnos sobre la existencia o no de lesiones de derechos fundamentales en las decisiones adoptadas (STC 103/1991) [FJ 4].</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electoral núm. 4144-2007, promovido por el partido político Veciños de Bergondo, representado por el Procurador de los Tribunales don Luis Pozas Osset y asistido por la Abogada doña Loreto Caseiras Arroyo, contra la Sentencia dictada el 7 de mayo de 2007 por el Juzgado de lo Contencioso-Administrativo núm. 1 de A Coruña, que estimó el recurso contencioso-electoral núm. 125-2007 interpuesto por el representante de las candidaturas presentadas por el Partido Popular en la provincia de A Coruña contra el Acuerdo de la Junta electoral de zona de Betanzos de proclamación de la candidatura del partido político Veciños de Bergondo para participar, en la circunscripción de Bergondo, en las elecciones locales convocadas por Real Decreto 444/2007, de 2 de abril. Ha intervenido el Ministerio Fiscal. Ha sido Ponente el Magistrado don Jorge Rodríguez-Zapata Pérez, quien expresa el parecer de la Sala.</w:t>
      </w:r>
    </w:p>
    <w:p w:rsidR="00DE14C9" w:rsidRDefault="00DE14C9" w:rsidP="00DE14C9">
      <w:pPr>
        <w:pStyle w:val="TextoNormal"/>
      </w:pPr>
    </w:p>
    <w:p w:rsidR="00DE14C9" w:rsidRDefault="00DE14C9" w:rsidP="00DE14C9">
      <w:pPr>
        <w:pStyle w:val="TextoNormalNegritaCentrado"/>
        <w:keepNext/>
      </w:pPr>
      <w:r>
        <w:lastRenderedPageBreak/>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El 8 de mayo de 2007 tuvo entrada en el Registro General de este Tribunal el recurso de amparo electoral presentado por el Procurador de los Tribunales don Luis Pozas Osset en nombre y representación del partido político Veciños de Bergondo, contra la Sentencia dictada el 7 de mayo de 2007 por el Juzgado de lo Contencioso-Administrativo núm. 1 de A Coruña en el recurso contencioso-electoral registrado con el núm. 125-2007.</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fundamentos de hecho en los que tiene su origen el presente proceso de amparo son los siguientes: </w:t>
      </w:r>
    </w:p>
    <w:p w:rsidR="00DE14C9" w:rsidRDefault="00DE14C9" w:rsidP="00DE14C9">
      <w:pPr>
        <w:pStyle w:val="TextoNormal"/>
      </w:pPr>
      <w:r>
        <w:t xml:space="preserve">a) La representación del partido político Veciños de Bergondo presentó ante la Junta electoral de zona de Betanzos (A Coruña) la candidatura de dicha formación política para participar en las elecciones locales convocadas por Real Decreto 444/2007, de 2 de abril, en la circunscripción de Bergondo. </w:t>
      </w:r>
    </w:p>
    <w:p w:rsidR="00DE14C9" w:rsidRDefault="00DE14C9" w:rsidP="00DE14C9">
      <w:pPr>
        <w:pStyle w:val="TextoNormal"/>
      </w:pPr>
      <w:r>
        <w:t xml:space="preserve">b) El 25 de abril de 2007 se procedió a la publicación en el “Boletín Oficial de la Provincia de A Coruña” de las candidaturas presentadas y el 1 de mayo a la publicación oficial de las candidaturas proclamadas por la indicada Junta electoral. </w:t>
      </w:r>
    </w:p>
    <w:p w:rsidR="00DE14C9" w:rsidRDefault="00DE14C9" w:rsidP="00DE14C9">
      <w:pPr>
        <w:pStyle w:val="TextoNormal"/>
      </w:pPr>
      <w:r>
        <w:t xml:space="preserve">c) Efectuados los referidos trámites, el representante de las candidaturas presentadas por el Partido Popular en la provincia de A Coruña interpuso recurso contencioso-electoral contra la proclamación de la candidatura presentada en la circunscripción de Bergondo (A Coruña) por el partido político Veciños de Bergondo. En el escrito de recurso se interesaba la anulación de dicha candidatura por incumplir lo dispuesto en el art. 44 bis de la Ley Orgánica del régimen electoral general (LOREG), introducido por la Ley Orgánica 3/2007, de 22 de marzo, para la igualdad efectiva de mujeres y hombres, toda vez que el número de mujeres de dicha candidatura no alcanzan el mínimo porcentual del cuarenta por ciento que dicho precepto establece. </w:t>
      </w:r>
    </w:p>
    <w:p w:rsidR="00DE14C9" w:rsidRDefault="00DE14C9" w:rsidP="00DE14C9">
      <w:pPr>
        <w:pStyle w:val="TextoNormal"/>
      </w:pPr>
      <w:r>
        <w:t>d) El conocimiento de la impugnación correspondió al Juzgado de lo Contencioso-administrativo núm. 1 de A Coruña, quedando registrada con el núm. 125-2007 y dictándose Sentencia el 7 de mayo, mediante la que, estimando el recurso interpuesto por el Partido Popular, se anuló el Acuerdo de la Junta electoral de zona de Betanzos que había acordado la proclamación de la candidatura presentada por el partido político Veciños de Bergondo. La decisión judicial se sustenta en que la candidatura presentada incumple el régimen de paridad fijado por el art. 44 bis LOREG, introducido por la Ley Orgánica 3/2007, de 22 de marzo, para la igualdad efectiva de mujeres y hombres.</w:t>
      </w:r>
    </w:p>
    <w:p w:rsidR="00DE14C9" w:rsidRDefault="00DE14C9" w:rsidP="00DE14C9">
      <w:pPr>
        <w:pStyle w:val="TextoNormal"/>
      </w:pPr>
    </w:p>
    <w:p w:rsidR="00DE14C9" w:rsidRDefault="00DE14C9" w:rsidP="00DE14C9">
      <w:pPr>
        <w:pStyle w:val="TextoNormal"/>
      </w:pPr>
      <w:r w:rsidRPr="00DE14C9">
        <w:rPr>
          <w:rStyle w:val="NumeroAFNegritaCaracter"/>
        </w:rPr>
        <w:t>3</w:t>
      </w:r>
      <w:r>
        <w:t>. En la demanda de amparo electoral se alega la vulneración del principio de igualdad (art. 14 CE) en relación con el derecho a acceder a los cargos públicos en condiciones de igualdad (art. 23.2 CE), como consecuencia de que no se ha permitido la subsanación de la irregularidad apreciada, a diferencia de lo acontecido con otros casos semejantes, en los que el órgano judicial correspondiente ha aplicado el art. 47.2 LOREG.</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Por diligencia de ordenación de 9 de mayo de 2007 el Secretario de Justicia de la Sección Segunda de este Tribunal acordó, en conformidad con lo dispuesto en el art. 49 LOREG y en el Acuerdo del Pleno de 20 de enero de 2000, tener por interpuesto el recurso de amparo y recabar del Juzgado de lo Contencioso-Administrativo núm. 1 de A Coruña el envío de las actuaciones correspondientes a su proceso contencioso-electoral núm. 125-2007, incluidas las seguidas ante la Junta electoral, interesando al propio tiempo que se </w:t>
      </w:r>
      <w:r>
        <w:lastRenderedPageBreak/>
        <w:t>emplazara a quienes fueron parte en el procedimiento, a excepción de la formación política recurrente en amparo, que aparece ya personada, para que en el plazo de dos días pudieran comparecer y formular alegaciones en este proceso constitucional. Igualmente se acordó dar vista al Ministerio Fiscal para que en el plazo de un día formulase las alegaciones pertinentes.</w:t>
      </w:r>
    </w:p>
    <w:p w:rsidR="00DE14C9" w:rsidRDefault="00DE14C9" w:rsidP="00DE14C9">
      <w:pPr>
        <w:pStyle w:val="TextoNormal"/>
      </w:pPr>
    </w:p>
    <w:p w:rsidR="00DE14C9" w:rsidRDefault="00DE14C9" w:rsidP="00DE14C9">
      <w:pPr>
        <w:pStyle w:val="TextoNormal"/>
      </w:pPr>
      <w:r w:rsidRPr="00DE14C9">
        <w:rPr>
          <w:rStyle w:val="NumeroAFNegritaCaracter"/>
        </w:rPr>
        <w:t>5</w:t>
      </w:r>
      <w:r>
        <w:t>. La Fiscalía ante este Tribunal Constitucional presentó el mismo día 9 de mayo su escrito de alegaciones. Comienza señalando el Ministerio Fiscal, en relación con la queja sobre vulneración del derecho a la igualdad, que la demandante de amparo no aporta un tertium comparationis ni existe constancia sobre el resto de los requisitos exigidos por la jurisprudencia constitucional para apreciar la vulneración del art. 14 CE. En lo demás, tras recordar lo dispuesto en el art. 47.2 LOREG y la doctrina de este Tribunal en materia de subsanación de irregularidades en la presentación de candidaturas (con cita de las SSTC 24/1989, 95/1991, 113/1991 y 84/2003), concluye señalando que procedería otorgar el amparo solicitado por vulneración del art. 23.2 CE si se confirma, a la vista de las actuaciones, que el partido recurrente ha sido efectivamente privado del trámite de subsanación.</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 demanda de amparo electoral se dirige contra la Sentencia de 7 de mayo de 2007 del Juzgado de lo Contencioso-Administrativo núm. 1 de A Coruña, que estimó el recurso contencioso-electoral núm. 125-2007, interpuesto por el representante de las candidaturas presentadas por el Partido Popular en la provincia de A Coruña contra el Acuerdo de la Junta electoral de zona de Betanzos —publicado en el “Boletín Oficial de la Provincia de A Coruña” el 1 de mayo de 2007— de proclamación de la candidatura del partido político Veciños de Bergondo en la circunscripción electoral de Bergondo para participar en las elecciones municipales convocadas por Real Decreto 444/2007, de 2 de abril.</w:t>
      </w:r>
    </w:p>
    <w:p w:rsidR="00DE14C9" w:rsidRDefault="00DE14C9" w:rsidP="00DE14C9">
      <w:pPr>
        <w:pStyle w:val="TextoNormal"/>
      </w:pPr>
      <w:r>
        <w:t>La formación política demandante de amparo denuncia la lesión del principio de igualdad (art. 14 CE) en relación con el derecho de acceder a los cargos públicos en condiciones de igualdad (art. 23.2 CE) por lo que respecta a la actuación del órgano judicial, en cuanto que no se concedió ocasión para subsanar la irregularidad apreciada, como posibilita el art. 47.2 de la Ley Orgánica del régimen electoral general (LOREG); se añade que tal subsanación ha sido permitida por los órganos judiciales a otras candidaturas en similar situación. El Ministerio Fiscal, que indica la falta de acreditación de un trato discriminatorio lesivo del art. 14 CE, interesa, por el contrario, el otorgamiento del amparo —por vulneración del art. 23.2 CE— para el caso de confirmarse, a la vista de las actuaciones, que el partido recurrente ha sido efectivamente privado del trámite de subsanación de defectos en la candidatura.</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En primer lugar, procede rechazar la queja sobre infracción del principio de igualdad (art. 14 CE) que la entidad demandante de amparo imputa al Juzgado de lo Contencioso-Administrativo interviniente y que sustenta en que en otros casos semejantes se permitió la subsanación de la irregularidad apreciada. Tal alegación de violación del art. 14 CE ha de entenderse referida al art. 23.2 CE, puesto que, como este Tribunal ha indicado ya reiteradamente, cuando la queja por discriminación se plantea respecto de los supuestos contenidos en el art. 23.2 CE, y siempre que la diferenciación impugnada no se deba a alguno de los criterios explícitamente impedidos en el art. 14 CE, será aquel precepto el que habrá de ser </w:t>
      </w:r>
      <w:r>
        <w:lastRenderedPageBreak/>
        <w:t>considerado de modo directo para apreciar si el acto impugnado ha desconocido el principio de igualdad (STC 50/1986, de 23 de abril, FJ 4).</w:t>
      </w:r>
    </w:p>
    <w:p w:rsidR="00DE14C9" w:rsidRDefault="00DE14C9" w:rsidP="00DE14C9">
      <w:pPr>
        <w:pStyle w:val="TextoNormal"/>
      </w:pPr>
      <w:r>
        <w:t>Pues bien, la doctrina de este Tribunal exige, para apreciar la vulneración del derecho a la igualdad (art. 14 CE), la concurrencia de varios presupuestos, el primero de los cuales es el de acreditarse por el recurrente en amparo la existencia de un término de comparación, dado que el juicio de igualdad sólo puede realizarse comparando la resolución judicial que se impugna y el precedente del mismo órgano judicial en casos sustancialmente iguales (SSTC 81/1997, de 22 de abril, FJ 2; 186/2000, de 10 de julio, FJ 11; 37/2001, de 12 de febrero, FJ 3; y 111/2001, de 7 de mayo, FJ 2). En el presente caso, la generalidad con que se invoca la desigualdad dejaría en manos de este Tribunal indagar el término idóneo para realizar el contraste, y es doctrina constante que la carga de señalar el término de comparación corresponde exclusivamente a los demandantes de amparo (entre otras, SSTC 281/2000, de 27 de noviembre, FJ 5; 174/2003, de 29 de septiembre, FJ 8; y 33/2007, de 12 de febrero, FJ 1).</w:t>
      </w:r>
    </w:p>
    <w:p w:rsidR="00DE14C9" w:rsidRDefault="00DE14C9" w:rsidP="00DE14C9">
      <w:pPr>
        <w:pStyle w:val="TextoNormal"/>
      </w:pPr>
    </w:p>
    <w:p w:rsidR="00DE14C9" w:rsidRDefault="00DE14C9" w:rsidP="00DE14C9">
      <w:pPr>
        <w:pStyle w:val="TextoNormal"/>
      </w:pPr>
      <w:r w:rsidRPr="00DE14C9">
        <w:rPr>
          <w:rStyle w:val="NumeroAFNegritaCaracter"/>
        </w:rPr>
        <w:t>3</w:t>
      </w:r>
      <w:r>
        <w:t>. En relación con la queja de vulneración del derecho de sufragio pasivo (art. 23.2 CE), antes debemos señalar que no corresponde a este Tribunal pronunciarse acerca de si en este concreto caso la candidatura presentada cumple las exigencias impuestas por el art. 44 bis LOREG, al no ser ese el objeto del presente recurso de amparo electoral, sino exclusivamente dilucidar si, una vez apreciada por el órgano judicial que la candidatura no podía ser válidamente proclamada por la razón antedicha, de ello debía derivarse la consecuencia de que la candidatura no pudiera participar en las elecciones locales convocadas o si, por el contrario, en aplicación del art. 47.2 LOREG debió permitirse la subsanación de la irregularidad apreciada.</w:t>
      </w:r>
    </w:p>
    <w:p w:rsidR="00DE14C9" w:rsidRDefault="00DE14C9" w:rsidP="00DE14C9">
      <w:pPr>
        <w:pStyle w:val="TextoNormal"/>
      </w:pPr>
      <w:r>
        <w:t>Nuestra doctrina en materia de subsanación de irregularidades sufridas en la presentación de candidaturas ante la Administración electoral puede resumirse en la afirmación de que, por principio, los errores e irregularidades cometidos en la presentación de aquéllas son subsanables y que, en consecuencia, las Juntas Electorales han de ofrecer la oportunidad de que las candidaturas en las que se han detectado lo hagan. Busca con ello la Ley Orgánica del régimen electoral general,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w:t>
      </w:r>
    </w:p>
    <w:p w:rsidR="00DE14C9" w:rsidRDefault="00DE14C9" w:rsidP="00DE14C9">
      <w:pPr>
        <w:pStyle w:val="TextoNormal"/>
      </w:pPr>
      <w:r>
        <w:t xml:space="preserve">Deriva de lo expuesto el que si por la Administración electoral se incumple este deber legal en orden al examen de los escritos de presentación de candidaturas, no dándose así ocasión a los interesados para la reparación de unos defectos que después llevan al rechazo de aquéllas, se habrá ignorado, con ello, una garantía dispuesta por la Ley Orgánica del régimen electoral general para la efectividad, como queda dicho, del derecho de sufragio pasivo, que resultará así afectado negativamente en la medida en que se desconozca por una Junta electoral, o se atienda sólo imperfectamente la exigencia legal de la que aquí se trata. En modo alguno empaña esta conclusión, ni la consideración general que se acaba de hacer sobre la afectación del derecho reconocido en el art. 23.2 CE, el hecho de que, en estos </w:t>
      </w:r>
      <w:r>
        <w:lastRenderedPageBreak/>
        <w:t>casos, el resultado finalmente gravoso para candidaturas y candidatos —la denegación de su proclamación como tales— se llegue a producir por no haberse reparado un defecto fruto de la ignorancia o de la negligencia de quienes presentaron la candidatura sin cumplir, en todos sus extremos, las prevenciones legales, sin perjuicio, como es obvio, del deber de diligencia y de colaboración con la Administración electoral que pesa sobre los candidatos y las formaciones políticas que les avalan (SSTC 67/1987, de 21 de mayo, FJ 3; 73/1995, de 12 de mayo, FJ 3; y 80/2002, de 8 de abril, FJ 7).</w:t>
      </w:r>
    </w:p>
    <w:p w:rsidR="00DE14C9" w:rsidRDefault="00DE14C9" w:rsidP="00DE14C9">
      <w:pPr>
        <w:pStyle w:val="TextoNormal"/>
      </w:pPr>
      <w:r>
        <w:t>En efecto, en este específico procedimiento no ha querido la Ley Orgánica del régimen electoral general dejar la suerte de las candidaturas a merced de la sola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Orgánica del régimen electoral general que tal irregularidad depare aquella sanción sin que antes se haga posible, mediante su identificación y advertencia de oficio, la oportuna subsanación, siempre, claro ésta, que ello sea materialmente factible (SSTC 73/1986, de 3 de junio, FJ 1; 59/1987, de 19 de mayo, FJ 3; 86/1987, de 1 de junio, FJ 4; 24/1989, de 2 de febrero, FJ 95/1991, de 7 de mayo, FJ 2; 113/1991, de 20 de mayo, FJ 3; 175/1991, de 16 de septiembre, FJ 2; y 84/2003, de 8 de mayo, FJ 3).</w:t>
      </w:r>
    </w:p>
    <w:p w:rsidR="00DE14C9" w:rsidRDefault="00DE14C9" w:rsidP="00DE14C9">
      <w:pPr>
        <w:pStyle w:val="TextoNormal"/>
      </w:pPr>
      <w:r>
        <w:t>Lo cierto es que si el órgano judicial apreció, como lo hizo, una irregularidad en la actuación de la Junta Electoral al proclamar la candidatura sin reparos, la apreciación de dicha irregularidad administrativa no debió llevar a la anulación de la proclamación misma; pues, esta decisión, a la vista del sistema legal aquí aplicable, entrañó, pese a lo que tuvo de formal restablecimiento de la legalidad quebrada, un desconocimiento de las garantías subjetivas previstas por el legislador en el citado art. 47.2 LOREG, en cuya virtud las irregularidades que puedan mostrar las candidaturas presentadas, apreciadas por la Administración electoral, habrán de dar siempre lugar a su posible subsanación.</w:t>
      </w:r>
    </w:p>
    <w:p w:rsidR="00DE14C9" w:rsidRDefault="00DE14C9" w:rsidP="00DE14C9">
      <w:pPr>
        <w:pStyle w:val="TextoNormal"/>
      </w:pPr>
      <w:r>
        <w:t>El hecho notorio de que la Ley no prevea dicho trámite de subsanación, sino con carácter previo a la proclamación de las candidaturas, no puede en modo alguno llevar a la conclusión de que los defectos subsanables devengan definitivos e irreparables tan sólo por el irregular funcionamiento de la Administración electoral, que —según la resolución judicial— debió advertirlos y no lo hizo, en el momento que la Ley prevé para ello, ya que no puede pesar sobre los ciudadanos un resultado, gravoso para sus derechos fundamentales, que se originó en la falta de la diligencia debida por los poderes públicos en la garantía de su plena efectividad. Se debió, pues, reconocer el derecho de la candidatura para disponer del plazo de subsanación que antes no tuvo, poniendo así fin, en su caso, ante la Junta Electoral, al impedimento legal apreciado y logrando, de este modo, que el ejercicio del derecho fundamental no quedase contrariado como, sin embargo, ha ocurrido a resultas de una aplicación de la Ley contraria a su espíritu garantizador.</w:t>
      </w:r>
    </w:p>
    <w:p w:rsidR="00DE14C9" w:rsidRDefault="00DE14C9" w:rsidP="00DE14C9">
      <w:pPr>
        <w:pStyle w:val="TextoNormal"/>
      </w:pPr>
    </w:p>
    <w:p w:rsidR="00DE14C9" w:rsidRDefault="00DE14C9" w:rsidP="00DE14C9">
      <w:pPr>
        <w:pStyle w:val="TextoNormal"/>
      </w:pPr>
      <w:r w:rsidRPr="00DE14C9">
        <w:rPr>
          <w:rStyle w:val="NumeroAFNegritaCaracter"/>
        </w:rPr>
        <w:t>4</w:t>
      </w:r>
      <w:r>
        <w:t>. En consideración a cuanto antecede el amparo debe ser concedido aunque no corresponde a este Tribunal proclamar candidaturas sino, sólo y exclusivamente, pronunciamos sobre la existencia o no de lesiones de derechos fundamentales en las decisiones adoptadas al respecto por los órganos legalmente competentes y de acuerdo con lo planteado ante los mismos (STC 103/1991, de 13 de mayo, FJ 3).</w:t>
      </w:r>
    </w:p>
    <w:p w:rsidR="00DE14C9" w:rsidRDefault="00DE14C9" w:rsidP="00DE14C9">
      <w:pPr>
        <w:pStyle w:val="TextoNormal"/>
      </w:pPr>
      <w:r>
        <w:t xml:space="preserve">La circunstancia de que obre en las actuaciones copia del escrito dirigido por la formación política demandante de amparo a la Junta Electoral de Zona de Betanzos pidiendo se </w:t>
      </w:r>
      <w:r>
        <w:lastRenderedPageBreak/>
        <w:t>tuviera en cuenta la rectificación en la composición de la candidatura electoral permite concluir el presente procedimiento declarando, por lo expuesto, la nulidad de la Sentencia impugnada, así como el derecho de la entidad política demandante de amparo a que la Junta electoral de zona indicada tenga por subsanado el defecto, de conformidad con lo dispuesto en el último inciso del art. 47.2 de la Ley Orgánica 5/1985.</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el partido político Veciños de Bergondo y, en consecuencia:</w:t>
      </w:r>
    </w:p>
    <w:p w:rsidR="00DE14C9" w:rsidRDefault="00DE14C9" w:rsidP="00DE14C9">
      <w:pPr>
        <w:pStyle w:val="TextoNormal"/>
      </w:pPr>
      <w:r>
        <w:t>1° Reconocer su derecho a acceder en condiciones de igualdad a las funciones y cargos públicos (art. 23.2 CE).</w:t>
      </w:r>
    </w:p>
    <w:p w:rsidR="00DE14C9" w:rsidRDefault="00DE14C9" w:rsidP="00DE14C9">
      <w:pPr>
        <w:pStyle w:val="TextoNormal"/>
      </w:pPr>
      <w:r>
        <w:t>2º Declarar la nulidad de la Sentencia de 7 de mayo de 2007, dictada por el Juzgado de lo Contencioso-Administrativo núm. 1 de A Coruña en el recurso contencioso-electoral núm. 125-2007.</w:t>
      </w:r>
    </w:p>
    <w:p w:rsidR="00DE14C9" w:rsidRDefault="00DE14C9" w:rsidP="00DE14C9">
      <w:pPr>
        <w:pStyle w:val="TextoNormal"/>
      </w:pPr>
      <w:r>
        <w:t>3º Retrotraer las actuaciones al momento anterior al Acuerdo de la Junta Electoral de Zona de Betanzos de proclamación de la candidatura del partido político Veciños de Bergondo, para que por dicha Junta electoral se permita la subsanación de la irregularidad apreciada.</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diez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25" w:name="SENTENCIA_2007_112"/>
      <w:r>
        <w:lastRenderedPageBreak/>
        <w:t>SENTENCIA 112/2007, de 10 de mayo de 2007</w:t>
      </w:r>
    </w:p>
    <w:bookmarkEnd w:id="25"/>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137, de 8 de junio de 2007)</w:t>
      </w:r>
    </w:p>
    <w:p w:rsidR="00DE14C9" w:rsidRDefault="00DE14C9" w:rsidP="00DE14C9">
      <w:pPr>
        <w:pStyle w:val="TtuloBOE"/>
      </w:pPr>
    </w:p>
    <w:p w:rsidR="00DE14C9" w:rsidRDefault="00DE14C9" w:rsidP="00DE14C9">
      <w:pPr>
        <w:pStyle w:val="SntesisDescriptiva"/>
      </w:pPr>
      <w:r>
        <w:t>ECLI:ES:TC:2007:112</w:t>
      </w:r>
    </w:p>
    <w:p w:rsidR="00DE14C9" w:rsidRDefault="00DE14C9" w:rsidP="00DE14C9">
      <w:pPr>
        <w:pStyle w:val="SntesisDescriptiva"/>
      </w:pPr>
    </w:p>
    <w:p w:rsidR="00DE14C9" w:rsidRDefault="00DE14C9" w:rsidP="00DE14C9">
      <w:pPr>
        <w:pStyle w:val="SntesisDescriptiva"/>
      </w:pPr>
      <w:r>
        <w:t>Recurso de amparo electoral 4215-2007. Promovido por el partido político Eusko Abertzale Ekintza – Acción Nacionalista Vasca (EAE-ANV) frente a los Autos de la Sala Especial del art. 61 LOPJ del Tribunal Supremo en la pieza separada de ejecución de un procedimiento sobre ilegalización de los partidos políticos Herri Batasuna y otros.</w:t>
      </w:r>
    </w:p>
    <w:p w:rsidR="00DE14C9" w:rsidRDefault="00DE14C9" w:rsidP="00DE14C9">
      <w:pPr>
        <w:pStyle w:val="SntesisDescriptiva"/>
      </w:pPr>
    </w:p>
    <w:p w:rsidR="00DE14C9" w:rsidRDefault="00DE14C9" w:rsidP="00DE14C9">
      <w:pPr>
        <w:pStyle w:val="SntesisAnaltica"/>
      </w:pPr>
      <w:r>
        <w:t>Supuesta vulneración de los derechos a la tutela judicial efectiva, a un proceso con garantías y a acceder a los cargos representativos: cauce judicial procedente; candidaturas electorales de un partido político que de hecho continúan o suceden la actividad de un partido político ilegal (STC 85/2003).</w:t>
      </w:r>
    </w:p>
    <w:p w:rsidR="00DE14C9" w:rsidRDefault="00DE14C9" w:rsidP="00DE14C9">
      <w:pPr>
        <w:pStyle w:val="SntesisAnaltica"/>
      </w:pPr>
    </w:p>
    <w:p w:rsidR="00DE14C9" w:rsidRDefault="00DE14C9" w:rsidP="00DE14C9">
      <w:pPr>
        <w:pStyle w:val="Extracto"/>
      </w:pPr>
      <w:r>
        <w:t>1.</w:t>
      </w:r>
      <w:r>
        <w:tab/>
        <w:t>La Sala Especial del Tribunal Supremo formó su convicción sobre la continuidad de los partidos políticos disueltos a través de las candidaturas no proclamadas del partido recurrente con base en un conjunto de elementos probatorios de naturaleza objetiva y subjetiva que le permitieron concluir que le designio defraudatorio concebido por los responsables de los partidos políticos disueltos ha tomado cuerpo en aquellas candidaturas [FFJJ 8 a 11]</w:t>
      </w:r>
    </w:p>
    <w:p w:rsidR="00DE14C9" w:rsidRDefault="00DE14C9" w:rsidP="00DE14C9">
      <w:pPr>
        <w:pStyle w:val="Extracto"/>
      </w:pPr>
    </w:p>
    <w:p w:rsidR="00DE14C9" w:rsidRDefault="00DE14C9" w:rsidP="00DE14C9">
      <w:pPr>
        <w:pStyle w:val="Extracto"/>
      </w:pPr>
      <w:r>
        <w:t>2.</w:t>
      </w:r>
      <w:r>
        <w:tab/>
        <w:t>La argumentación del demandante de amparo acerca de la veracidad de los elementos probatorios utilizados por el Tribunal Supremo no deja de ser una mera manifestación de su personal discrepancia con la valoración judicial, pues en modo alguno aportó ningún indicio documental para que el Tribunal Constitucional contrastase las afirmaciones, pudiendo haberlo hecho – se admitió en los supuestos resueltos en las SSTC 85/2003, 68/2005 [FJ 11].</w:t>
      </w:r>
    </w:p>
    <w:p w:rsidR="00DE14C9" w:rsidRDefault="00DE14C9" w:rsidP="00DE14C9">
      <w:pPr>
        <w:pStyle w:val="Extracto"/>
      </w:pPr>
    </w:p>
    <w:p w:rsidR="00DE14C9" w:rsidRDefault="00DE14C9" w:rsidP="00DE14C9">
      <w:pPr>
        <w:pStyle w:val="Extracto"/>
      </w:pPr>
      <w:r>
        <w:t>3.</w:t>
      </w:r>
      <w:r>
        <w:tab/>
        <w:t>No resulta vulnerado el art. 24.1 CE si el Tribunal Supremo ha aplicado, en la tramitación de las pretensiones, un cauce procesal existente previsto en la ley y cuya aplicación a este caso concreto, además de no haber causado indefensión, no trasciende el ámbito de la estricta legalidad ordinaria y no puede considerarse arbitraria, irrazonable o incursa en error patente [FJ 5].</w:t>
      </w:r>
    </w:p>
    <w:p w:rsidR="00DE14C9" w:rsidRDefault="00DE14C9" w:rsidP="00DE14C9">
      <w:pPr>
        <w:pStyle w:val="Extracto"/>
      </w:pPr>
    </w:p>
    <w:p w:rsidR="00DE14C9" w:rsidRDefault="00DE14C9" w:rsidP="00DE14C9">
      <w:pPr>
        <w:pStyle w:val="Extracto"/>
      </w:pPr>
      <w:r>
        <w:t>4.</w:t>
      </w:r>
      <w:r>
        <w:tab/>
        <w:t>No resulta vulnerado el art. 24.2 CE, ya que ni se alega ni se justifica en la demanda ninguna merma de las garantías de defensa, siendo el recurrente efectivamente oído antes de adoptarse el Auto de decisión del procedimiento a seguir, teniendo ocasión de defender sus derechos e intereses con todas las garantías [FJ 5].</w:t>
      </w:r>
    </w:p>
    <w:p w:rsidR="00DE14C9" w:rsidRDefault="00DE14C9" w:rsidP="00DE14C9">
      <w:pPr>
        <w:pStyle w:val="Extracto"/>
      </w:pPr>
    </w:p>
    <w:p w:rsidR="00DE14C9" w:rsidRDefault="00DE14C9" w:rsidP="00DE14C9">
      <w:pPr>
        <w:pStyle w:val="Extracto"/>
      </w:pPr>
      <w:r>
        <w:t>5.</w:t>
      </w:r>
      <w:r>
        <w:tab/>
        <w:t>El art. 24 CE no incluye un derecho fundamental a procesos determinados, siendo los órganos judiciales los que, aplicando las normas competenciales o de otra índole, han de encauzar cada pretensión por el procedimiento adecuado (STC 214/2000) [FJ 5].</w:t>
      </w:r>
    </w:p>
    <w:p w:rsidR="00DE14C9" w:rsidRDefault="00DE14C9" w:rsidP="00DE14C9">
      <w:pPr>
        <w:pStyle w:val="Extracto"/>
      </w:pPr>
    </w:p>
    <w:p w:rsidR="00DE14C9" w:rsidRDefault="00DE14C9" w:rsidP="00DE14C9">
      <w:pPr>
        <w:pStyle w:val="Extracto"/>
      </w:pPr>
      <w:r>
        <w:lastRenderedPageBreak/>
        <w:t>6.</w:t>
      </w:r>
      <w:r>
        <w:tab/>
        <w:t>Al Tribunal sólo le cabe revisar la apreciación de la Sala Especial del art. 61 LOPJ del Tribunal Supremo en aquellos supuestos en los que la convicción alcanzada pugne con un derecho constitucionalmente relevante (SSTC 85/2003, 68/2005) [FJ 7].</w:t>
      </w:r>
    </w:p>
    <w:p w:rsidR="00DE14C9" w:rsidRDefault="00DE14C9" w:rsidP="00DE14C9">
      <w:pPr>
        <w:pStyle w:val="Extracto"/>
      </w:pPr>
    </w:p>
    <w:p w:rsidR="00DE14C9" w:rsidRDefault="00DE14C9" w:rsidP="00DE14C9">
      <w:pPr>
        <w:pStyle w:val="Extracto"/>
      </w:pPr>
      <w:r>
        <w:t>7.</w:t>
      </w:r>
      <w:r>
        <w:tab/>
        <w:t>La modalidad específica del recurso de amparo electoral se prevé frente a las resoluciones de recursos contenciosos frente a la proclamación de candidaturas y candidatos o, por vía de remisión explícita, frente a las resoluciones dictadas por la Sala del Tribunal Supremo regulada en el art. 61 LOPJ cuando se recurre frente a la proclamación o exclusión de candidaturas presentadas por agrupaciones a las que se refiere el art. 44.4 LOREG (SSTC 71/1986, 1/1988) [FJ 2].</w:t>
      </w:r>
    </w:p>
    <w:p w:rsidR="00DE14C9" w:rsidRDefault="00DE14C9" w:rsidP="00DE14C9">
      <w:pPr>
        <w:pStyle w:val="Extracto"/>
      </w:pPr>
    </w:p>
    <w:p w:rsidR="00DE14C9" w:rsidRDefault="00DE14C9" w:rsidP="00DE14C9">
      <w:pPr>
        <w:pStyle w:val="Extracto"/>
      </w:pPr>
      <w:r>
        <w:t>8.</w:t>
      </w:r>
      <w:r>
        <w:tab/>
        <w:t>La jurisdicción constitucional no es continuación o secuencia última de la ordinaria y tiene una legalidad por la que se rige y unas indeclinables potestades de interpretación [FJ 2].</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Centrado"/>
        <w:keepNext/>
      </w:pPr>
      <w:r>
        <w:t xml:space="preserve">En el recurso de amparo núm. 4215-2007, promovido por el partido político Eusko Abertzale Ekintza–Acción Nacionalista Vasca (EAE-ANV), representado por la Procuradora de los Tribunales doña Ana Lobera Argüelles y asistido por los Abogados don Adolfo Araiz Flamarique y don Iñigo Iruin Sanz, contra los Autos de 4 y 5 de mayo de 2007 dictados por la Sala Especial del Tribunal Supremo a que se refiere el art. 61 de la Ley Orgánica del Poder Judicial en la pieza separada abierta dentro del proceso de ejecución núm. 1-2003, dimanante las actuaciones acumuladas núms. 6-2002 y 7-2002, sobre ilegalización de partidos políticos. </w:t>
      </w:r>
    </w:p>
    <w:p w:rsidR="00DE14C9" w:rsidRDefault="00DE14C9" w:rsidP="00DE14C9">
      <w:pPr>
        <w:pStyle w:val="TextoNormal"/>
      </w:pPr>
      <w:r>
        <w:t>Ha comparecido el Abogado del Estado. Ha intervenido el Ministerio Fiscal. Ha sido Ponente el Magistrado don Manuel Aragón Reyes,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el 8 de mayo de 2007, la Procuradora de los Tribunales doña Ana Lobera Argüelles interpuso recurso de amparo en nombre del partido político Eusko Abertzale Ekintza-Acción Nacionalista Vasca (EAE-ANV) contra las resoluciones judiciales mencionadas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de los que trae causa la demanda de amparo son, en síntesis, los siguientes: </w:t>
      </w:r>
    </w:p>
    <w:p w:rsidR="00DE14C9" w:rsidRDefault="00DE14C9" w:rsidP="00DE14C9">
      <w:pPr>
        <w:pStyle w:val="TextoNormal"/>
      </w:pPr>
      <w:r>
        <w:t xml:space="preserve">a) Ante la Sala Especial del Tribunal Supremo prevista en el art. 61 de la Ley Orgánica del Poder Judicial (LOPJ) el Abogado del Estado, en representación del Gobierno, interpuso el día 3 de mayo pasado recurso contencioso-electoral, al amparo del art. 49 de la Ley Orgánica 5/1985, de 19 de junio, del régimen electoral general (LOREG), contra los acuerdos de proclamación de candidatos realizados por las Juntas electorales de zona de las provincias de Álava, Guipúzcoa y Vizcaya y por la Junta Electoral Provincial de Navarra respecto de las candidaturas presentadas por el partido político demandante en los procesos electorales y localidades siguientes: </w:t>
      </w:r>
    </w:p>
    <w:p w:rsidR="00DE14C9" w:rsidRDefault="00DE14C9" w:rsidP="00DE14C9">
      <w:pPr>
        <w:pStyle w:val="TextoNormal"/>
      </w:pPr>
      <w:r>
        <w:t xml:space="preserve">- Elecciones a las Juntas Generales del Territorio Histórico de Álava: Junta electoral de zona de Amurrio: Cuadrilla de Ayala/Aiara </w:t>
      </w:r>
    </w:p>
    <w:p w:rsidR="00DE14C9" w:rsidRDefault="00DE14C9" w:rsidP="00DE14C9">
      <w:pPr>
        <w:pStyle w:val="TextoNormal"/>
      </w:pPr>
      <w:r>
        <w:t xml:space="preserve">- Elecciones a las Juntas Generales del Territorio Histórico de Guipúzcoa: 1.- Junta electoral de zona de Bergara, circunscripción de Deba/Urola. 2.- Junta electoral de zona de Donostia/San Sebastián, circunscripción de Donostialdea. 3.- Junta electoral de zona de Donostia/San Sebastián, circunscripción de Bidasoa-Oiartzun. 4.- Junta electoral de zona de Tolosa, circunscripción de Oria Eskualdea. </w:t>
      </w:r>
    </w:p>
    <w:p w:rsidR="00DE14C9" w:rsidRDefault="00DE14C9" w:rsidP="00DE14C9">
      <w:pPr>
        <w:pStyle w:val="TextoNormal"/>
      </w:pPr>
      <w:r>
        <w:t xml:space="preserve">- Elecciones a las Juntas Generales del Territorio Histórico de Vizcaya 1.- Circunscripción de Bilbao. 2.- Circunscripción de Busturia Uribe. </w:t>
      </w:r>
    </w:p>
    <w:p w:rsidR="00DE14C9" w:rsidRDefault="00DE14C9" w:rsidP="00DE14C9">
      <w:pPr>
        <w:pStyle w:val="TextoNormal"/>
      </w:pPr>
      <w:r>
        <w:t xml:space="preserve">-Elecciones al Parlamento de Navarra. Se impugna la totalidad de la candidatura. </w:t>
      </w:r>
    </w:p>
    <w:p w:rsidR="00DE14C9" w:rsidRDefault="00DE14C9" w:rsidP="00DE14C9">
      <w:pPr>
        <w:pStyle w:val="TextoNormal"/>
      </w:pPr>
      <w:r>
        <w:t xml:space="preserve">- Elecciones municipales: </w:t>
      </w:r>
    </w:p>
    <w:p w:rsidR="00DE14C9" w:rsidRDefault="00DE14C9" w:rsidP="00DE14C9">
      <w:pPr>
        <w:pStyle w:val="TextoNormal"/>
      </w:pPr>
      <w:r>
        <w:t xml:space="preserve">En Navarra: 1.- Junta electoral de zona de Aoiz: Esteribar 2.- Junta electoral de zona de Estella: Viana 3.- Zona electoral de Pamplona: Anue, Areso, Bakaiku, Barañain, Baztan, Ziordia, Etxarri/Aranaz, Ezcabarte, Imotz, Iturmendi, Lesaka, Sumbilla y Ultzama 4.- Junta electoral de zona de Tafalla: Larraga 5.- Junta electoral de zona de Tudela: Tudela </w:t>
      </w:r>
    </w:p>
    <w:p w:rsidR="00DE14C9" w:rsidRDefault="00DE14C9" w:rsidP="00DE14C9">
      <w:pPr>
        <w:pStyle w:val="TextoNormal"/>
      </w:pPr>
      <w:r>
        <w:t xml:space="preserve">En Álava: 1.- Junta electoral de zona de Amurrio: Artziniega, Ayala-Aiara, Okondo y Urkabustaiz, 2.- Junta electoral de zona de Vitoria-Gazteiz: Bernedo, Harana/Valle de Arana, Iruraiz Gauna, Kuartango, Labastida/Bastida, Legutiano, Oyón/Oión, Ribera Alta, Salvatierra/Agurain, Samaniego, San Millán/Donemiliaga, Villabuena/Eskuernaga y Zuia </w:t>
      </w:r>
    </w:p>
    <w:p w:rsidR="00DE14C9" w:rsidRDefault="00DE14C9" w:rsidP="00DE14C9">
      <w:pPr>
        <w:pStyle w:val="TextoNormal"/>
      </w:pPr>
      <w:r>
        <w:t xml:space="preserve">En Guipúzcoa: 1.- Junta electoral de zona de Azpeitia: Guetaria, Segura y Zarautz 2.- Junta electoral de zona de Bergara: Eibar, Elgoibar, Mendaro, Mutriku y Zumarraga 3.- Junta electoral de zona de Donostia-San Sebastián: Donostia-San Sebastián 4.- Junta electoral de zona de Tolosa: Asteasu, Ataun, Beasain, Elduain, Ibarra, Irura, Lazkao, Leaburu, Lizartza, Ordizia, Tolosa y Zizurkil. </w:t>
      </w:r>
    </w:p>
    <w:p w:rsidR="00DE14C9" w:rsidRDefault="00DE14C9" w:rsidP="00DE14C9">
      <w:pPr>
        <w:pStyle w:val="TextoNormal"/>
      </w:pPr>
      <w:r>
        <w:t xml:space="preserve">En Vizcaya: 1.- Junta electoral de zona de Balmaseda: Artzenzales, Balmaseda, Galdames, Gordexola, Güeñes, Karrantza Harana/Valle de Carranza, Sopuerta y Zalla. 2.- Junta electoral de zona de Bilbao: Alonsotegui, Arrigorriaga, Barrika, Basauri, Berango, Bilbao, Erandio, Etxebarri, Galdakao, Getxo, Gorliz, Leioa, Lezama, Loiu, Muskiz, Orduña, Ortuella, Plentzia, Portugalete, Santurtzi, Sestao, Sondika, Urduliz, Zamudio y Zaratamo. 3.- Junta electoral de zona de Durango: Arrankudiaga, Artea, Dima, Ermua, Iurreta, Lemoa, Mañaria, Orozco, Zaldibar y Zeberio. 4.- Junta electoral de zona de Gernika-Lumo: Arratzu, Bermeo, Ea, Errigoiti, Forua, Fruiz, Gamiz-Fika, Lekeitio, Mendexa, Morga, Mundaka, Munitibar, Nabarniz, Ondarroa, Sukarrieta y Ziortza-Bolibar. </w:t>
      </w:r>
    </w:p>
    <w:p w:rsidR="00DE14C9" w:rsidRDefault="00DE14C9" w:rsidP="00DE14C9">
      <w:pPr>
        <w:pStyle w:val="TextoNormal"/>
      </w:pPr>
      <w:r>
        <w:t xml:space="preserve">El Abogado del Estado alegó que las candidaturas impugnadas, por ser sucesoras o continuadoras de partidos políticos ilegalizados por su apoyo al terrorismo, estaban incursas en los supuestos de prohibición de proclamación electoral previstos en el art. 44.4 LOREG e interesó que se dictara sentencia por la que se dejara sin efecto la proclamación de las mismas. </w:t>
      </w:r>
    </w:p>
    <w:p w:rsidR="00DE14C9" w:rsidRDefault="00DE14C9" w:rsidP="00DE14C9">
      <w:pPr>
        <w:pStyle w:val="TextoNormal"/>
      </w:pPr>
      <w:r>
        <w:lastRenderedPageBreak/>
        <w:t xml:space="preserve">b) En la misma fecha el Fiscal presentó demanda en el incidente de ejecución de la Sentencia de la Sala Especial del Tribunal Supremo a que se refiere el art. 61 LOPJ de 27 de marzo de 2003 (por la que se declaró la ilegalidad y se ordenó la disolución de los partidos políticos Herri Batasuna, Euskal Herritarrok y Batasuna), para, a través de los trámites del artículo 49 LOREG, impugnar los Acuerdos de proclamación definitiva de candidaturas para participar en las elecciones a Juntas Generales en los tres territorios históricos del País Vasco, en las elecciones al Parlamento de Navarra y en las elecciones municipales, dictados por las Juntas Electorales de cada Territorio Histórico, por la Junta Electoral Provincial de Navarra y de Zona, publicados todos ellos en los Boletines Oficiales correspondientes, de fecha 1 de mayo de 2007, respecto a las candidaturas presentadas por el partido político demandante cuya proclamación había impugnado el Abogado del Estado, a excepción de algunas. Impugnó, además, las candidaturas del partido demandante para las elecciones locales en Durando Arratia, Andoain, Aretxabaleta, Astigarraga, Oñati, Zaldibia, Amorebieta-Etxano, Aoiz, Asparrena, Lantaron y Vitoria-Gastéiz. El Ministerio Fiscal solicitó que se dictara sentencia en la que se declaren no conformes a Derecho y, consecuentemente, se anulen los actos de proclamación de las candidaturas impugnadas. </w:t>
      </w:r>
    </w:p>
    <w:p w:rsidR="00DE14C9" w:rsidRDefault="00DE14C9" w:rsidP="00DE14C9">
      <w:pPr>
        <w:pStyle w:val="TextoNormal"/>
      </w:pPr>
      <w:r>
        <w:t xml:space="preserve">c) En providencias del mismo día 3 de mayo de 2007 el Tribunal Supremo acordó conceder a la Abogacía del Estado, al Ministerio Fiscal y a la representación de las candidaturas afectadas un plazo que expiraría a las 10 horas del día siguiente para que pudieran efectuar cuantas alegaciones tuvieren por convenientes sobre la adecuación de lo pretendido en las demandas al procedimiento previsto en el artículo 12 de la Ley Orgánica 6/2002, de partidos políticos (LOPP); se concedió igualmente a los representantes de las candidaturas cuya proclamación había sido impugnada un plazo, que expiraría a las 20 horas del siguiente día 4 de mayo, para que pudieran comparecer en el procedimiento y efectuar cuantas alegaciones y aportaciones de prueba estimasen adecuadas a su derecho. </w:t>
      </w:r>
    </w:p>
    <w:p w:rsidR="00DE14C9" w:rsidRDefault="00DE14C9" w:rsidP="00DE14C9">
      <w:pPr>
        <w:pStyle w:val="TextoNormal"/>
      </w:pPr>
      <w:r>
        <w:t xml:space="preserve">d) En el trámite de alegaciones sobre la adecuación del procedimiento el Abogado del Estado reiteró la procedencia del recurso contencioso-electoral como cauce apropiado para impugnar acuerdos de proclamación de candidaturas presentadas por un partido político legal, sin perjuicio de que, subsidiariamente, considerase que podría ser de aplicación a la impugnación de candidaturas el procedimiento incidental de los apartados 1 b) y 3 del art. 12 LOPP. </w:t>
      </w:r>
    </w:p>
    <w:p w:rsidR="00DE14C9" w:rsidRDefault="00DE14C9" w:rsidP="00DE14C9">
      <w:pPr>
        <w:pStyle w:val="TextoNormal"/>
      </w:pPr>
      <w:r>
        <w:t xml:space="preserve">e) En el mismo trámite la representación del partido político demandante formuló declinatoria de jurisdicción en ambos procedimientos, alegando, además, la falta de legitimación activa del Ministerio Fiscal. </w:t>
      </w:r>
    </w:p>
    <w:p w:rsidR="00DE14C9" w:rsidRDefault="00DE14C9" w:rsidP="00DE14C9">
      <w:pPr>
        <w:pStyle w:val="TextoNormal"/>
      </w:pPr>
      <w:r>
        <w:t xml:space="preserve">f) En dos Autos de 4 de mayo de 2007 el Tribunal Supremo acordó admitir a trámite las demandas del Abogado del Estado y del Fiscal y su sustanciación al amparo de lo previsto en el apartado 3 del art. 12 LOPP, en relación con el apartado 1 b) del mismo precepto, y ello dentro del procedimiento de ejecución núm. 1-2003 dimanante de los autos acumulados núms. 6-2002 y 7-2002 sobre ilegalización de los partidos políticos Batasuna, Herri Batasuna y Euskal Herritarrok, incoando al efecto la correspondiente pieza separada; acordó igualmente la acumulación de las demandas y resolver en la sentencia sobre la declinatoria de jurisdicción formulada por la representación procesal del partido político EAE-ANV. </w:t>
      </w:r>
    </w:p>
    <w:p w:rsidR="00DE14C9" w:rsidRDefault="00DE14C9" w:rsidP="00DE14C9">
      <w:pPr>
        <w:pStyle w:val="TextoNormal"/>
      </w:pPr>
      <w:r>
        <w:t xml:space="preserve">g) El 4 de mayo de 2007 la representación del partido político EAE-ANV presentó sus alegaciones de fondo ante el Tribunal Supremo, oponiéndose a las demandas formuladas e interesando que se dictara Auto en el que se estimara la declinatoria de jurisdicción planteada, absteniéndose la Sala de conocer de recurso contencioso-electoral e indicando a sus promotores que el órgano competente era el Juzgado de lo Contencioso-Administrativo; y en el que se estimara igualmente la excepción de falta de legitimación activa del Ministerio </w:t>
      </w:r>
      <w:r>
        <w:lastRenderedPageBreak/>
        <w:t xml:space="preserve">Fiscal para interponer recurso contencioso-electoral contra los acuerdos de proclamación de las candidaturas del partido EAE-ANV. Se pidió, subsidiariamente, la desestimación de las pretensiones de la Abogacía del Estado y del Ministerio Fiscal. </w:t>
      </w:r>
    </w:p>
    <w:p w:rsidR="00DE14C9" w:rsidRDefault="00DE14C9" w:rsidP="00DE14C9">
      <w:pPr>
        <w:pStyle w:val="TextoNormal"/>
      </w:pPr>
      <w:r>
        <w:t xml:space="preserve">h) Mediante Auto de 5 de mayo de 2007, que fue notificado al partido político demandante a las siete horas y cincuenta minutos del día siguiente, la Sala del Tribunal Supremo estimó las demandas deducidas por la Abogacía del Estado y el Ministerio Fiscal y declaró no conforme a Derecho y anuló la proclamación de las candidaturas a que aquéllas se referían. </w:t>
      </w:r>
    </w:p>
    <w:p w:rsidR="00DE14C9" w:rsidRDefault="00DE14C9" w:rsidP="00DE14C9">
      <w:pPr>
        <w:pStyle w:val="TextoNormal"/>
      </w:pPr>
      <w:r>
        <w:t xml:space="preserve">El Tribunal Supremo alude, en primer lugar, a la vía procedimental escogida por el Gobierno de la Nación y por el Ministerio Fiscal. Recuerda que el art. 49 LOREG establece el procedimiento para la impugnación de los acuerdos de la Juntas electorales sobre proclamación de candidaturas, bien de agrupaciones de electores, bien de partidos políticos; recuerda asimismo que los Juzgados de lo Contencioso-Administrativo son los territorialmente competentes y que están legitimados para la impugnación tanto los candidatos excluidos, como los representantes de las candidaturas proclamadas o cuya proclamación hubiera sido denegada. No obstante, esta regla general se excepciona en el art. 44.4 LOREG para la impugnación de candidaturas de agrupaciones de electores que de hecho continúen o sucedan la actividad de un partido político ilegalizado. En este caso, en virtud del art. 49.5 LOREG, se amplía la legitimación a quienes puedan solicitar la ilegalización de un partido político (art. 11.1 LOPP, Abogado del Estado y Ministerio Fiscal) y se establece la competencia de la Sala Especial del Tribunal Supremo prevista en el art. 61 LOPJ. </w:t>
      </w:r>
    </w:p>
    <w:p w:rsidR="00DE14C9" w:rsidRDefault="00DE14C9" w:rsidP="00DE14C9">
      <w:pPr>
        <w:pStyle w:val="TextoNormal"/>
      </w:pPr>
      <w:r>
        <w:t xml:space="preserve">La LOREG —añade la Sala— no contiene un precepto específico que le atribuya competencia para examinar y decidir sobre las candidaturas de los partidos, ya que su citado art. 44.4 se refiere exclusivamente a las agrupaciones de electores, y no cabe aplicar analógicamente las reglas de un proceso a casos no previstos cuando no expresamente excluidos. Esta diferencia procedimental para la impugnación de candidaturas de las agrupaciones de electores y de partidos políticos es profusamente razonada en el Auto por la diferente naturaleza de dichas entidades. Se afirma acto seguido que la LOREG no contempla fórmula alguna procesalmente válida para el control de la proclamación de candidaturas y candidatos de partidos políticos, salvo la prevista en el art. 49.1 de dicha ley. Esta falta de proceso se justifica, a juicio de la Sala, por el hecho de que en el caso de que un partido político presentara candidaturas con el ánimo de defraudar los efectos de la ilegalización de otro partido político ello supondría un quebrantamiento de la sentencia de disolución, en cuyo caso el cauce que el ordenamiento jurídico ofrece para salvaguardar su eficacia es el de la solicitud de ilegalización del nuevo partido que sirve de instrumento defraudatorio y el consiguiente incidente de ejecución de sentencia contemplado en el artículo 12 LOPP. En definitiva, estima el Tribunal Supremo que el cauce del proceso contencioso-electoral del art. 49.5 LOREG, para analizar determinadas listas electorales del partido EAE-ANV no puede ser acogido. </w:t>
      </w:r>
    </w:p>
    <w:p w:rsidR="00DE14C9" w:rsidRDefault="00DE14C9" w:rsidP="00DE14C9">
      <w:pPr>
        <w:pStyle w:val="TextoNormal"/>
      </w:pPr>
      <w:r>
        <w:t xml:space="preserve">Entrando en el fondo de las pretensiones ejercitadas, se refiere el Auto al hecho de que las partes demandantes concretaron su pretensión en la petición de anulación de los acuerdos de la Administración electoral en relación con la proclamación de determinadas candidaturas presentadas por EAE-ANV. Tal impugnación se justifica en el hecho de que los partidos ilegalizados por la Sentencia de 27 de marzo de 2003 han sido capaces de colocar en las listas de esas candidaturas un número de miembros suficiente para continuar su actuación política a través de ellos. Puesto que ninguna de las partes demandantes solicitó la ilegalización de EAE-ANV, el Auto afirma que, en virtud del principio dispositivo que rige el proceso iniciado, analizaría únicamente las candidaturas impugnadas. </w:t>
      </w:r>
    </w:p>
    <w:p w:rsidR="00DE14C9" w:rsidRDefault="00DE14C9" w:rsidP="00DE14C9">
      <w:pPr>
        <w:pStyle w:val="TextoNormal"/>
      </w:pPr>
      <w:r>
        <w:lastRenderedPageBreak/>
        <w:t xml:space="preserve">Antes de abordar la valoración de las pruebas aportadas, expone unas consideraciones sobre la naturaleza y eficacia de los elementos probatorios a tomar en consideración para acreditar la existencia de continuidad o sucesión, respecto de la actividad de un partido político judicialmente disuelto, por las candidaturas electorales impugnadas. Así, destaca que los informes elaborados por las fuerzas y cuerpos de seguridad serán tenidos en cuenta conforme a la jurisprudencia de este Tribunal, sin que quepa dudar de la imparcialidad de los funcionarios policiales autores de los mismos; destaca también la importancia de las informaciones periodísticas y su valor probatorio conforme a los criterios establecidos en la STC 5/2004, de 16 de enero. </w:t>
      </w:r>
    </w:p>
    <w:p w:rsidR="00DE14C9" w:rsidRDefault="00DE14C9" w:rsidP="00DE14C9">
      <w:pPr>
        <w:pStyle w:val="TextoNormal"/>
      </w:pPr>
      <w:r>
        <w:t xml:space="preserve">Recoge el Auto una serie de antecedentes fácticos que declara como hechos probados: 1) Mediante Sentencia de 27 de marzo de 2003 se acordó la declaración de ilegalidad y consiguiente disolución de los partidos políticos Herri Batasuna, Euskal Herritarrok y Batasuna; dicha disolución se basó en que quedó acreditada la sumisión de dichos partidos a la organización terrorista ETA. 2) Desde aquella primera Sentencia de ilegalización la banda terrorista ETA ha mantenido su interés en participar en la acción política y parlamentaria empleando organizaciones instrumentales, habiéndose presentado candidaturas en los distintos procesos electorales que han tenido lugar en las Comunidades Vasca y Navarra a partir de aquella Sentencia. 3) Ante el nuevo proceso electoral convocado para las elecciones locales en 2007, la organización terrorista ETA así como los que fueron miembros relevantes de los partidos políticos ilegalizados, adoptaron una nueva estrategia para su actividad política que se materializó en la presentación de candidaturas a través de agrupaciones de electores con la denominación “Abertzale Sozialistak”, que no pretenden sino continuar la labor de los partidos ilegalizados y se concluye que en el seno de este mismo proceso electoral la estrategia diseñada por Batasuna pone de relieve la planificada penetración de sus miembros en las candidaturas del partido político EAE-ANV con la finalidad de instrumentar su personalidad jurídica a fin de perpetuar la actividad de aquella organización ilegal en la vida política. </w:t>
      </w:r>
    </w:p>
    <w:p w:rsidR="00DE14C9" w:rsidRDefault="00DE14C9" w:rsidP="00DE14C9">
      <w:pPr>
        <w:pStyle w:val="TextoNormal"/>
      </w:pPr>
      <w:r>
        <w:t xml:space="preserve">A continuación la Sala realiza una valoración de todos los indicios aportados por las partes demandantes, que son los siguientes: El 28 de marzo de 2007 las fuerzas de seguridad del Estado desarticularon el comando de “liberados” Uruderra. En el marco de esta operación el 31 de marzo fuerzas de la Guardia Civil procedieron a la entrada y registro de un domicilio sito en la calle Errekaondo Karriza núm. 6, 2º derecha, de Aizarotz (Navarra), observándose que una persona, que resultó ser coordinador de la “Mesa de Navarra” de la ilegalizada Batasuna en la zona de Leiza-Sakana (Navarra), arrojaba, por la ventana del piso 2º A, un pen drive. Del contenido de dicho pen drive destaca el documento titulado Herri Batzarretarako Gidoia-2 relativo a la situación política de la izquierda abertzale. El documento denominado “ultzama hauteskundeak/IZENA.doc”, en el que aparecen mencionadas, entre otras, nueve personas que se presentan en las candidaturas impugnadas de EAE-ANV. </w:t>
      </w:r>
    </w:p>
    <w:p w:rsidR="00DE14C9" w:rsidRDefault="00DE14C9" w:rsidP="00DE14C9">
      <w:pPr>
        <w:pStyle w:val="TextoNormal"/>
      </w:pPr>
      <w:r>
        <w:t xml:space="preserve">La Sala apreció como elemento objetivo de prueba el documento incautado a un dirigente de ETA del que se deriva la estrategia de los partidos ilegalizados respecto del proceso electoral y el papel que debe jugar EAE-ANV. Igualmente significativo resulta para la Sala el informe aportado por el Ministerio Fiscal, de 16 de abril de 2007, emitido por la Dirección General de Policía y de la Guardia Civil, y el documento, también aportado por el Ministerio Fiscal, denominado “Comisaría General de Información: Informe Elecciones 26.4.07”, en cuya introducción se incluye la expresión “el aprovechamiento de la cobertura de un partido, ya inscrito y que incluso rechaza la violencia”. Asimismo, el documento que contenía la planificación de Batasuna para las elecciones de mayo de 2007, igualmente incautado, y en el que se aludía a la existencia de tres planes. Tuvo en consideración también el dato de que </w:t>
      </w:r>
      <w:r>
        <w:lastRenderedPageBreak/>
        <w:t xml:space="preserve">el 14 de abril de 2007 tuvo lugar una reunión de cabezas de lista de las agrupaciones electorales de la “izquierda abertzale”, en Alsasua, en la que se identificó entre otras a la representante de EAE-ANV en Guipúzcoa, así como a determinados representantes de Batasuna. El Auto se refiere a la relación de EAE-ANV con la “izquierda abertzale” y con los partidos ilegalizados, destacando la participación de aquel partido en diversos actos de apoyo a las candidaturas de éstos, así como que el 24 de enero de 2003 en Baracaldo (Vizcaya) dos miembros de Batasuna pactaron un protocolo de colaboración para frenar los efectos de la ilegalización de esa formación con miembros de EAE-ANV. </w:t>
      </w:r>
    </w:p>
    <w:p w:rsidR="00DE14C9" w:rsidRDefault="00DE14C9" w:rsidP="00DE14C9">
      <w:pPr>
        <w:pStyle w:val="TextoNormal"/>
      </w:pPr>
      <w:r>
        <w:t xml:space="preserve">Todos estos datos objetivos, a juicio de la Sala, revelan de forma inequívoca y manifiesta que el proceso de conformación de las candidaturas electorales de EAE–ANV objeto de los acuerdos impugnados, ha sido gestado y dirigido en todo momento por miembros relevantes de Batasuna como mecanismo de sucesión de los partidos políticos ilegalizados. A continuación la el Auto procede a la valoración de las 133 candidaturas impugnadas. </w:t>
      </w:r>
    </w:p>
    <w:p w:rsidR="00DE14C9" w:rsidRDefault="00DE14C9" w:rsidP="00DE14C9">
      <w:pPr>
        <w:pStyle w:val="TextoNormal"/>
      </w:pPr>
      <w:r>
        <w:t xml:space="preserve">Analiza el Auto las alegaciones presentadas por EAE-ANV, centradas básicamente en defender la plenitud del derecho de sufragio de los integrantes de sus candidaturas. Para la Sala, sin embargo, si bien es cierto que la disolución de un partido político no priva de derecho de sufragio activo o pasivo a quienes fueron sus promotores, dirigentes, candidatos o afiliados, sí excluye que ese derecho pueda ser disfrutado en unión de quienes con su concurso puedan dar fundamento razonable a la convicción judicial de que se está ante un concierto de voluntades para la elusión fraudulenta de las consecuencias jurídicas de la disolución de un partido. Respecto a la alegación relativa a la inexistencia de vínculos entre los miembros de las candidaturas de EAE-ANV y los partidos ilegalizados en el año 2003, considera la Sala que la misma carece de consistencia, puesto que la decisión de formar parte de una determinada candidatura presupone el conocimiento de la situación política que representa, y, si en esa candidatura existe un determinado número de personas con relevancia suficiente para haber determinado su posterior exclusión del proceso electoral —por considerarse continuadoras de partidos ilegalizados—, es lógico deducir que todos los miembros de esa candidatura tienen la misma relación de proximidad con los partidos cuya sucesión se trata de impedir. </w:t>
      </w:r>
    </w:p>
    <w:p w:rsidR="00DE14C9" w:rsidRDefault="00DE14C9" w:rsidP="00DE14C9">
      <w:pPr>
        <w:pStyle w:val="TextoNormal"/>
      </w:pPr>
      <w:r>
        <w:t xml:space="preserve">Según el Auto, la voluntad de dar continuidad a los partidos ilegalizados a través de las candidaturas electorales, debe apreciarse mediante un juicio de inferencia a partir de datos probados, y considera que entre las magnitudes a tener en cuenta, además del porcentaje de candidatos vinculados a formaciones ilegalizadas, debe atenderse a la naturaleza y relevancia de esa vinculación, a la importancia del papel desempeñado, o al ejercicio de cargos públicos relacionados con los partidos disueltos. Recuerda que la jurisprudencia constitucional, aunque refiriéndose a agrupaciones electorales, ha aceptado como indicio relevante que las candidaturas cuenten con una presencia de candidatos que muestren relación con los partidos ilegalizados, igual o superior al veinte por ciento, siempre que se ubiquen en las listas en puestos relevantes. En definitiva, el Auto considera que la inclusión en las candidaturas electorales de EAE-ANV de un cierto número de candidatos, que a su vez pertenecen al entorno de los partidos políticos ilegalizados, tiene un claro valor indiciario que revela que aquéllas son continuadoras de la asignación funcional de tareas de la banda terrorista ETA. </w:t>
      </w:r>
    </w:p>
    <w:p w:rsidR="00DE14C9" w:rsidRDefault="00DE14C9" w:rsidP="00DE14C9">
      <w:pPr>
        <w:pStyle w:val="TextoNormal"/>
      </w:pPr>
      <w:r>
        <w:t xml:space="preserve">Por último, el Auto señala que la prueba, por medios objetivos, de la existencia de una utilización fraudulenta, al menos parcial, del partido EAE-ANV para la presentación de candidaturas de Batasuna comporta la aplicación de unos estándares distintos de aquellos que deben aplicarse para determinar si una agrupación electoral constituye un medio para la sucesión de un partido político ilegalizado. Mientras que en el caso de las agrupaciones </w:t>
      </w:r>
      <w:r>
        <w:lastRenderedPageBreak/>
        <w:t xml:space="preserve">electorales es necesario demostrar, junto con la vinculación objetiva, una vinculación subjetiva intensa desde el punto de vista cuantitativo o cualitativo, en el caso de un partido político el grado de implicación subjetiva suficiente para demostrar el fraude es inferior, resultando suficiente, respecto de cada candidatura en concreto, la justificación probatoria de una conexión subjetiva significativa con el partido ilegalizado. De este modo podrá descartarse racionalmente que la candidatura impugnada pueda ser ajena al partido político ilegalizado. Concluye el Auto valorando conjuntamente el material probatorio aportado con la convicción jurídica de que las candidaturas que se expresan en su fallo incurren en el presupuesto de hecho contemplado en el art. 12.1 b) y 3 LOPP. 3. Se detiene la demanda de amparo, como cuestión previa al desarrollo de las quejas constitucionales, que la sustentan en analizar la clase de acción ejercitada ante el Tribunal Supremo por el Abogado del Estado y por el Ministerio Fiscal. Para el partido demandante la Abogacía del Estado planteó un recurso contencioso-electoral con el objeto de impugnar los acuerdos de proclamación de candidaturas adoptados por la Administración electoral, incardinó su demanda en el trámite del art. 49 LOREG, sustentó su pretensión en el art. 49.5 LOREG, en relación con el art. 44.4, referidos ambos a las agrupaciones de electores, apoyó la competencia de la Sala del Tribunal Supremo del art. 61 LOPJ en el art. 49.5 a) LOREG y su legitimación activa en el art. 49.5 b) de la misma Ley Orgánica. Así lo ratificó en el escrito que presentó ante el Tribunal Supremo con ocasión del trámite abierto para decidir en torno al procedimiento a seguir. En cuanto a la acción del Ministerio Fiscal, considera la representación de la parte demandante que se acogió a la LOPP para fundar su legitimación activa y a la LOREG para fijar el plazo y el procedimiento, acudiendo simultáneamente a una y otra Leyes Orgánicas para afirmar la competencia de la Sala especial del Tribunal Supremo del art. 61 LOPJ, de forma que ejercitó una acción incidental de ejecución de la Sentencia de dicha Sala de 27 de marzo de 2003 a través de los trámites del art. 49 LOREG. En sus Autos de 4 de mayo de 2007 la Sala acordó sustanciar las demandas por el cauce del art. 12.3 LOPP dentro del proceso de ejecución de su Sentencia de 27 de marzo de 2003. A juicio del partido político demandante ello supuso la alteración, por una parte, del procedimiento interesado por la Abogacía del Estado y el Ministerio Fiscal, que habían promovido un recurso contencioso-electoral del art. 49 LOREG, en tanto que se acuerda seguir la vía del incidente de ejecución de la citada Sentencia, al que se refiere el art. 12.3 LOPP, esto es, un procedimiento de ejecución de los contemplados en el título III de la Ley 1/2000, de 7 de enero, de enjuiciamiento civil (LEC); y, por otra, del orden jurisdiccional ante el que iban a sustanciarse las demandas (desde el contencioso-administrativo al civil). Esta alteración genera, entre otras consecuencias, la de que el recurso de amparo procedente contra el Auto de 5 de mayo de 2007 no será el recurso de amparo electoral regulado en los apartados 3 y 4 del art. 49 LOREG y en el Acuerdo del Pleno de este Tribunal de 20 de enero de 2000, sino el ordinario de los arts. 41 y siguientes de la Ley Orgánica 2/1979, de 3 de octubre, del Tribunal Constitucional (LOTC), de modo que este Tribunal no estará constreñido, según la parte demandante, a resolverlo en el plazo de los tres días siguientes al de su interposición fijado en el art. 49 LOREG. </w:t>
      </w:r>
    </w:p>
    <w:p w:rsidR="00DE14C9" w:rsidRDefault="00DE14C9" w:rsidP="00DE14C9">
      <w:pPr>
        <w:pStyle w:val="TextoNormal"/>
      </w:pPr>
      <w:r>
        <w:t xml:space="preserve">Tras esta exposición preliminar, denuncia la demanda de amparo que la decisión sobre el cauce procesal en el que el Tribunal Supremo resolvió sobre las pretensiones de la Abogacía del Estado y del Ministerio Fiscal ha supuesto la vulneración del derecho fundamental a un proceso con todas las garantías (art. 24.2 CE), en relación con el derecho a la tutela judicial efectiva (art. 24.1 CE) y a un proceso justo del art. 6.1 del Convenio para la protección de los derechos humanos y de las libertades fundamentales (CEDH). Parte la demanda de la afirmación del Auto de 6 de mayo de 2007 en el sentido de que, si bien la Sala Especial </w:t>
      </w:r>
      <w:r>
        <w:lastRenderedPageBreak/>
        <w:t xml:space="preserve">del Tribunal Supremo es competente para apreciar, en su caso, la continuidad o sucesión de un partido ilegalizado y disuelto por otro partido aparentemente legal, esa impugnación, venga o no referida a la presentación de candidaturas y, por ende, en coincidencia temporal con un proceso electoral en curso, sólo se puede articular a través del medio procesal elegido y definido por el legislador, que es, conforme a lo antes expuesto y por lo que a este caso concreto se refiere, el del proceso de ejecución de la sentencia de ilegalización del partido Batasuna. Con cita de nuestra STC 31/1984, de 7 de marzo, se afirma que entre los poderes de los Tribunales se comprende el de disentir del trámite solicitado por el accionante; se invoca también la STC 160/1998, de 14 de julio, en la que afirmamos que si bien el mandato contenido en el art. 24.1 CE encierra el derecho a escoger la vía judicial que se estime más conveniente “es imprescindible que el cauce procesal elegido sea el jurídicamente correcto, pues el art. 24 de la Constitución no incluye un derecho fundamental a procesos determinados; son los órganos judiciales los que aplicando las normas competenciales o de otra índole, han de encauzar cada pretensión por el procedimiento adecuado, sea o no el elegido por la parte actora”, lo que es en principio una cuestión de legalidad ordinaria. No obstante, según el partido político demandante, los cánones de control constitucional han de ampliarse en los supuestos en que proceda calificar a la resolución judicial de ilógica, arbitraria o claramente errónea. En el caso controvertido la pretensión que ejercitaron ante el Tribunal Supremo la Abogacía del Estado y el Ministerio Fiscal era, según la representación procesal del partido demandante, inequívoca: la impugnación de los acuerdos de proclamación de candidaturas del partido político realizada por las Juntas electorales de zona; se recurrieron, pues, actos administrativos de la Administración electoral. La Sala Especial rechaza que la vía del recurso contencioso-electoral del art. 49.5 LOREG sea aplicable, pues el precepto se refiere exclusivamente a los supuestos de proclamación o exclusión de candidaturas presentadas por agrupaciones de electores. Sin embargo, el Auto de 5 de mayo de 2007 anula los actos de proclamación de las candidaturas, lo que supone una decisión patentemente errónea que lesiona de manera directa el derecho fundamental de sufragio pasivo (art. 23.2 CE). El Auto no resuelve una demanda sobre la conducta o actividad del partido político EAE-ANV, que es lo que permitiría acudir a la aplicación de los cauces de la LOPP, sino que decide sobre actos administrativos de la Administración electoral, soslayando que el art. 1.3 c) de la Ley 29/1998, de 13 de julio, reguladora de la jurisdicción contencioso-administrativa (LJCA), reserva a los órganos de ese orden jurisdiccional el conocimiento de las pretensiones en relación con la actuación de la Administración electoral. Para poder utilizar el incidente de ejecución de la Sentencia del Tribunal Supremo de 27 de marzo de 2003, la pretensión del Ministerio Fiscal y de la Abogacía del Estado debió haber consistido en “atacar” las candidaturas presentadas, una vez conocida su composición a través de su publicación en los correspondientes boletines oficiales; esa sería la actividad del partido político EAE-ANV enjuiciable en el incidente: la de haber presentado unas concretas candidaturas. No nos hallamos sólo ante un supuesto de inadecuación de procedimiento, sino también ante una alteración del orden jurisdiccional competente, la cual no puede llevarse a cabo por la Sala especial del Tribunal Supremo y ello porque en la interpretación y aplicación de la legalidad su actuación está constreñida por las pretensiones que realmente se ejercitan y el Tribunal no puede sustituir de oficio el acto o actos recurridos. Lo arbitrario de la decisión tiene su origen que la Sala prescinde del alcance del principio de legalidad procesal tal y como ella misma lo definió en el sentido de vincular la adecuación del procedimiento a la pretensión ejercitada. Si se acepta la interpretación que efectúa el Auto de 5 de mayo de 2007 de los diferentes apartados del art. 49 LOREG, según la cual el legislador </w:t>
      </w:r>
      <w:r>
        <w:lastRenderedPageBreak/>
        <w:t xml:space="preserve">no había establecido cauce procesal ni previsión alguna sobre la impugnación de la proclamación de candidaturas de un partido político por supuesta continuidad o sucesión de un partido ilegalizado, ello debió conducir a una desestimación de las demandas. La Sala ha utilizado una vía procesal que no está prevista para obtener la anulación de los acuerdos de las Juntas electorales sobre proclamación de candidaturas. </w:t>
      </w:r>
    </w:p>
    <w:p w:rsidR="00DE14C9" w:rsidRDefault="00DE14C9" w:rsidP="00DE14C9">
      <w:pPr>
        <w:pStyle w:val="TextoNormal"/>
      </w:pPr>
      <w:r>
        <w:t xml:space="preserve">En el presente caso está en juego, además, la efectividad de otro derecho fundamental, el de sufragio pasivo del art. 23.2 CE, cuyo eventual sacrificio exige que se extreme el rigor del enjuiciamiento, máxime cuando la injerencia en el mismo a través de la impugnación de los acuerdos de proclamación de candidaturas no está prevista en la Ley. Las previsiones legales han de ser interpretadas, además, con los principios de mayor efectividad del derecho fundamental y de fuerza expansiva del mismo, además de estar justificadas y motivadas y ser proporcionadas, lo que no ha acontecido en este caso. </w:t>
      </w:r>
    </w:p>
    <w:p w:rsidR="00DE14C9" w:rsidRDefault="00DE14C9" w:rsidP="00DE14C9">
      <w:pPr>
        <w:pStyle w:val="TextoNormal"/>
      </w:pPr>
      <w:r>
        <w:t xml:space="preserve">Como segundo motivo impugnatorio, se refiere el partido recurrente a la supuesta vulneración del derecho a participar en asuntos públicos, directamente o por medio de representantes libremente elegidos en elecciones periódicas por sufragio universal, contemplado en el art. 23, apartados 1 y 2 CE, en relación con el art. 6 y 2.1 del mismo texto, y con el art. 3 del Protocolo núm. 1 CEDH. Recuerda el demandante, además del contenido del art. 23 CE, la estrecha vinculación entre los derechos reconocidos en los dos apartados de dicho artículo y el principio democrático, manifestación de la soberanía popular, así como la importancia que para la correcta interpretación de estos derechos tienen la Declaración universal de derechos humanos, el CEDH y el Pacto internacional de derechos civiles y políticos, por imperativo del art. 10.2 CE. Considera que la vulneración del derecho citado se ha producido al anular la Sala Especial del Tribunal Supremo los acuerdos de proclamación de algunas de las candidaturas presentadas por un partido político legal como es EAE-ANV, que en absoluto forma parte del “complejo Batasuna”, ni mantiene relaciones orgánicas o de dependencia funcional con ETA, ni tiene entre sus afiliados o dirigentes a personas condenadas por delitos de terrorismo y que además rechaza expresamente el uso de la violencia. </w:t>
      </w:r>
    </w:p>
    <w:p w:rsidR="00DE14C9" w:rsidRDefault="00DE14C9" w:rsidP="00DE14C9">
      <w:pPr>
        <w:pStyle w:val="TextoNormal"/>
      </w:pPr>
      <w:r>
        <w:t xml:space="preserve">Sobre el derecho de sufragio pasivo y los efectos de la disolución de un partido político, expone el recurrente la importancia de las causas legales de inelegibilidad y la imposibilidad de una interpretación extensiva en esta materia, recogiendo en este punto la normativa legal en este ámbito (art. 176 LOREG, art. 4 de la Ley Foral 16/1986, y las Normas Forales correspondientes) y la doctrina de este Tribunal. Al objeto de valorar los efectos de la disolución de los partidos políticos Herri Batasuna, Euskal Herritarrok y Batasuna, con cita de la STC 85/2003, de 8 de mayo, recuerda que la disolución de un partido no perjudica los derechos individuales de sus dirigentes y afiliados. Reitera que dicha disolución no comporta la privación del derecho de sufragio, activo o pasivo, de quienes fueron sus promotores, dirigentes o afiliados, pues ello sólo puede traer causa de un procedimiento judicial específicamente centrado en las conductas o circunstancias de las personas físicas. </w:t>
      </w:r>
    </w:p>
    <w:p w:rsidR="00DE14C9" w:rsidRDefault="00DE14C9" w:rsidP="00DE14C9">
      <w:pPr>
        <w:pStyle w:val="TextoNormal"/>
      </w:pPr>
      <w:r>
        <w:t xml:space="preserve">Sobre los criterios utilizados para determinar la vinculación de personas pertenecientes a determinadas candidaturas con los partidos ilegalizados judicialmente, analiza seguidamente la doctrina de este Tribunal en relación con los indicios objetivos y subjetivos. A continuación expone la doctrina constitucional sobre la limitada competencia de este Tribunal para enjuiciar la prueba practicada y valorada por los tribunales ordinarios. En relación con los indicios subjetivos transcribe la doctrina señalada por este Tribunal en la STC 85/2003, de 8 de mayo (FFJJ 28 y 29). A modo de resumen en este punto, considera que de la doctrina de este Tribunal (aunque recuerda que fue establecida para las agrupaciones de electores pero no para las candidaturas presentadas por un partido político legal), se pueden extraer los siguientes criterios en orden a los indicios subjetivos para la apreciación de la </w:t>
      </w:r>
      <w:r>
        <w:lastRenderedPageBreak/>
        <w:t xml:space="preserve">vinculación con partidos ilegalizados judicialmente: no es suficiente que una agrupación incluya a una persona que pudo estar vinculada, tiene que haber una presencia significativa, el porcentaje significativo debe ser igual o superior al veinte por ciento, siempre que la ubicación en las listas lo sea en puestos relevantes; no basta la presencia de un solo candidato afectado; la inclusión en las listas del candidato afectado debe ser en puestos de relevancia y, por último, debe tenerse en cuenta la lejanía temporal en la participación electoral en candidaturas. </w:t>
      </w:r>
    </w:p>
    <w:p w:rsidR="00DE14C9" w:rsidRDefault="00DE14C9" w:rsidP="00DE14C9">
      <w:pPr>
        <w:pStyle w:val="TextoNormal"/>
      </w:pPr>
      <w:r>
        <w:t xml:space="preserve">Después de reflejar los criterios del Tribunal Constitucional en relación con los contraindicios, con cita de la STC 68/2005, FJ 16, se detiene en los criterios que este Tribunal ha establecido sobre la denominada “contaminación sobrevenida” (STC 85/2003, Voto particular), así como los criterios de la trama fraudulenta recogidos en el FJ 25 de la STC 85/2003. </w:t>
      </w:r>
    </w:p>
    <w:p w:rsidR="00DE14C9" w:rsidRDefault="00DE14C9" w:rsidP="00DE14C9">
      <w:pPr>
        <w:pStyle w:val="TextoNormal"/>
      </w:pPr>
      <w:r>
        <w:t xml:space="preserve">Entrando en el análisis del caso concreto, el partido recurrente considera que el derecho fundamental vulnerado debe ponerse en relación directa con el procedimiento de ejecución en el que ha sido dictado el Auto impugnado de 5 de mayo de 2007, ya que del mismo nace la propia vulneración, al establecer que la pretensión ejercitada para la anulación de terminadas candidaturas es justificada por los demandantes “en el hecho de que los citados partidos ilegalizados por nuestra Sentencia de 27 de marzo de 2003 han sido capaces de colocar en las listas de esas candidaturas un número de miembros suficiente para continuar su actuación política a través de ellos”. Por ello, la decisión de anular los acuerdos de proclamación de las candidaturas, objeto del procedimiento de ejecución de sentencia, inicialmente contencioso-electoral, ha incidido plenamente en el contenido esencial del derecho fundamental a participar en las elecciones por medio de representantes, puesto que se priva a un partido político de una de sus funciones más importantes, cuando, como es el caso, el partido recurrente nada que tiene que ver con el “complejo Batasuna”, ni con ETA. </w:t>
      </w:r>
    </w:p>
    <w:p w:rsidR="00DE14C9" w:rsidRDefault="00DE14C9" w:rsidP="00DE14C9">
      <w:pPr>
        <w:pStyle w:val="TextoNormal"/>
      </w:pPr>
      <w:r>
        <w:t xml:space="preserve">Considera que en el proceso valorativo realizado por la Sala Especial del Tribunal Supremo y a lo largo de la resolución impugnada hay un “silencio clamoroso” respecto de un elemento esencial, que constituye un “contraindicio”; alega que el Auto impugnado olvida reseñar en sus antecedentes o como un hecho probado más que EAE-ANV es un partido político legal. Recuerda el recurrente que ya en la propia escritura de constitución de EAE-ANV se pone de manifiesto el acatamiento del ordenamiento constitucional y el compromiso de ajustar la actuación y organización interna a las formas y procedimientos democráticos; asimismo en los estatutos del partido se expresa el rechazo a la violencia. Estos principios se han visto ratificados tanto por el Presidente del partido como por su Secretario General que, en conferencia de prensa celebrada el 16 de abril de 2007, manifestaron que EAE-ANV se presentaría a las elecciones del próximo 27 de mayo fiel a sus principios y a sus estatutos. Estima el partido demandante que este dato es una reiteración reciente sobre el repudio a la violencia, y echa de menos en la argumentación del Auto impugnado la valoración del mismo, al menos como un contraindicio que desvirtuara los posibles indicios que apuntarían a la existencia del fraude. En este punto, reprocha el demandante a la Sala Especial del Tribunal Supremo que no haya tomado este contraindicio en cuenta a la hora de considerar que las personas que voluntariamente han aceptado formar parte de las candidaturas de EAE-ANV asumían de facto los principios y fines del partido y la aceptación de su ideario. </w:t>
      </w:r>
    </w:p>
    <w:p w:rsidR="00DE14C9" w:rsidRDefault="00DE14C9" w:rsidP="00DE14C9">
      <w:pPr>
        <w:pStyle w:val="TextoNormal"/>
      </w:pPr>
      <w:r>
        <w:t xml:space="preserve">Sobre la convicción formada por el Tribunal Supremo con fundamento en la prueba de indicios objetivos y subjetivos, considera que el Auto impugnado parte de una “apreciación conjunta” de diversas circunstancias previstas en el apartado 4 del art. 12 LOPP, y de otras no previstas con el objetivo de llegar a una conclusión: “la pretendida instrumentalización </w:t>
      </w:r>
      <w:r>
        <w:lastRenderedPageBreak/>
        <w:t xml:space="preserve">en su provecho de las candidaturas del partido político ANV por el complejo Batasuna”. A continuación, procede la representación del partido demandante a rebatir los indicios objetivos y subjetivos empleados por el Tribunal Supremo para formar su convicción acerca de los vínculos de las candidaturas impugnadas con el partido político disuelto Batasuna. En relación con los indicios de carácter objetivo, manifiesta en primer lugar la falta de relevancia indiciaria de la documentación incautada a Jorge Murillo Echeverria, por cuanto ni hace referencia a la estrategia del partido EAE-ANV ni guarda relación con acuerdos adoptados por dicho partido; por lo demás, los documentos incautados —en particular el denominado Zerrenga Osateko— mostrarían que la instrumentalización del mismo no podría ser la segunda opción seguida por Batasuna, pues en ellos aparecía que requisito de la llamada “segunda opción” de Batasuna era la de confeccionar listas con personas que no hubieran formado parte de partidos ilegalizados y tal requisito no se ha satisfecho con relación a EAE-ANV, siendo, por tanto, irrazonable la interpretación que el Tribunal Supremo efectúa de dichos documentos. En segundo lugar, con relación a la documentación incautada a Mikel Albizu Uriarte, manifiesta la demanda de amparo que, de una parte, sólo consta una fotocopia de la misma, pues los originales se hallan todavía en poder de las Autoridades francesas y, de otra que, en todo caso, no cabe inferir de las mismas, sin incurrir en arbitrariedad, una intención de ETA o Batasuna de instrumentalizar a EAE-ANV, tal como concluyó el Auto del Juzgado Central de Instrucción núm. 5 de 28 de abril de 2007. A la misma conclusión llega, en tercer lugar, con respecto al documento titulado “Líneas de cara al futuro”, destacándose, por un lado, el error en que incurre el Tribunal Supremo, a juicio del recurrente en amparo, pues no es en dicho documento donde figura la mención a las tres posibles opciones a utilizar en el proceso electoral y al “plan B”, sino en otro denominado “Ildo Politikoa 06/07-Línea política 06-07”, y por otro que, de cualquier modo, tales estrategias ninguna relación guardan con el partido que aglutina las candidaturas anuladas, pues dicho documento menciona la creación de siglas nuevas, debiendo deducirse que ello se refiere a “Abertzale Sozialisten Batasuna” (ASB). En cuarto lugar, niega la demanda que hubiera existido una reunión de los cabezas de lista de agrupaciones de electores de la Izquierda Abertzale en la localidad de Altsasu el 14 de abril de 2007, por cuanto en dicha fecha no se había abierto el plazo para presentar candidaturas, y por tanto no ostentaban dicha condición las personas identificadas; por ello, en suma, no cabe tomar como indicio objetivo la presencia en dicha reunión de la representante de EAE-ANV en Guipúzcoa. De igual modo rechaza, en quinto lugar, la inferencia del Tribunal Supremo relativa a que de la participación de EAE-ANV en diversas iniciativas de la “Izquierda Abertzale” deba concluirse una instrumentalización de aquel partido por parte de Batasuna, y ello porque, como han manifestado la STC 99/2004, de 27 de mayo o diversos Autos del Juzgado Central de Instrucción núm. 5, el movimiento de la “Izquierda Abertzale” no es ni puede llegar a ser proscrito por el ordenamiento jurídico, y es, además, más amplio que Batasuna; por la misma razón, ninguna relevancia como indicio objetivo puede tener la inclusión por parte del Tribunal Supremo de la noticia aparecida en el periódico “Deia” acerca de que la “Izquierda Abertzale” ha acudido a EAE-ANV para concurrir a las elecciones en todos los municipios y Juntas Generales vascas. </w:t>
      </w:r>
    </w:p>
    <w:p w:rsidR="00DE14C9" w:rsidRDefault="00DE14C9" w:rsidP="00DE14C9">
      <w:pPr>
        <w:pStyle w:val="TextoNormal"/>
      </w:pPr>
      <w:r>
        <w:t xml:space="preserve">Por último, frente a lo afirmado por el Tribunal Supremo, no han sido razones de “tipo organizativo y no ideológico”, las que han llevado a EAE-ANV a no ingresar en Batasuna, sino su posición de defensa de procedimientos democráticos y pacíficos, tal como fue explicado en las declaraciones de don Antxon Gómez, Secretario General de EAE-ANV, prestadas en calidad de testigo en la vista correspondiente a los autos acumulados núms. 6-2002 y 7-2002; ni tiene mayor relevancia, salvo como mera expresión de solidaridad, el protocolo </w:t>
      </w:r>
      <w:r>
        <w:lastRenderedPageBreak/>
        <w:t xml:space="preserve">firmado por EAE-ANV con miembros de Batasuna, con anterioridad a la ilegalización de esta formación política. </w:t>
      </w:r>
    </w:p>
    <w:p w:rsidR="00DE14C9" w:rsidRDefault="00DE14C9" w:rsidP="00DE14C9">
      <w:pPr>
        <w:pStyle w:val="TextoNormal"/>
      </w:pPr>
      <w:r>
        <w:t xml:space="preserve">Por lo que respecta a los indicios de carácter subjetivo, comienza la representación procesal del partido recurrente por enfatizar el rango de derecho fundamental del derecho de sufragio pasivo y la consiguiente gravedad que conlleva su limitación, para después negar que los candidatos presentados en las listas electorales propuestas por EAE-ANV estén incursos en alguna causa de inelegibilidad idónea para privarles del citado derecho fundamental, sin que la mera ilegalización de los partidos políticos de los que algunos de esos candidatos formaron parte en el pasado pueda dar lugar a tal consecuencia jurídica. Ello ha sido reconocido, afirma el recurrente, por el propio Fiscal General del Estado en su escrito de 16 de enero de 2006 dirigido al Fiscal Jefe de la Audiencia Nacional con ocasión de la providencia del Juzgado Central de Instrucción núm. 5 dictada en el sumario núm. 35-2002, en relación con la convocatoria de un acto político que se iba a celebrar en Baracaldo el día 21 de enero de 2006, cuando señaló que “nada impediría que las mismas personas que integraron un partido suspendido o disuelto constituyan una nueva formación política cuyos medios y fines se ajusten a la Constitución y la ley”. Manifiesta, una vez más, que esa circunstancia debe llevar a la conclusión de que la presencia de esas personas en las candidaturas de un partido político como EAE-ANV no puede per se significar que éste se halle instrumentalizado por Batasuna, teniendo en cuenta, además, que extender los efectos de la ilegalización y disolución de partidos políticos a un partido legal por el mero hecho de que en sus listas electorales de éste participen miembros de aquéllos conlleva una grave vulneración del derecho fundamental consagrado en el art. 23 CE. </w:t>
      </w:r>
    </w:p>
    <w:p w:rsidR="00DE14C9" w:rsidRDefault="00DE14C9" w:rsidP="00DE14C9">
      <w:pPr>
        <w:pStyle w:val="TextoNormal"/>
      </w:pPr>
      <w:r>
        <w:t xml:space="preserve">Por otra parte, la conclusión del Tribunal Supremo acerca de la existencia de una “trama defraudatoria” inferida a partir de la mera presencia en algunas candidaturas de EAE-ANV de personas vinculadas a partidos ilegalizados contradice, a juicio del partido demandante, la doctrina del Tribunal Constitucional, que exigiría la plena acreditación de que el partido político, a través de sus órganos y sus decisiones, se ha prestado a dicha trama, sin que en el presente caso se hayan podido probar tales circunstancias. En este orden de cosas, enfatiza el demandante que, tal como se evidencia del fundamento jurídico octavo del Auto impugnado, el Tribunal Supremo se desvía expresamente de la doctrina constitucional, al conformarse con un menor grado de implicación subjetiva que el exigido por este Tribunal, sin concretar además cómo ha de entenderse el parámetro de la “vinculación subjetiva significativa” empleado, y al incorporar al cómputo de candidatos contaminados a aquellas personas que formaron parte de listas electorales que fueron invalidadas, sin que ellos mismos hubieran sido tenidos en cuenta en aquél momento para la invalidación de la candidatura, dando lugar a una suerte de “contaminación sobrevenida”. </w:t>
      </w:r>
    </w:p>
    <w:p w:rsidR="00DE14C9" w:rsidRDefault="00DE14C9" w:rsidP="00DE14C9">
      <w:pPr>
        <w:pStyle w:val="TextoNormal"/>
      </w:pPr>
      <w:r>
        <w:t xml:space="preserve">En relación a lo afirmado, argumenta además la demanda que, al haber partido únicamente de esas circunstancias de naturaleza subjetiva, el Tribunal Supremo no ha utilizado ni uno solo de los criterios a que se refiere el art. 12.3 LOPP para determinar la conexión entre EAE-ANV y los partidos políticos ilegalizados, en la medida en que nada se ha acreditado acerca de la similitud sustancial de las estructuras, organización y funcionamiento entre los partidos políticos ilegalizados y el partido recurrente, así como tampoco respecto a las personas que los componen, rigen o administran, ni sobre la similitud de la procedencia de los medios de financiación o materiales. </w:t>
      </w:r>
    </w:p>
    <w:p w:rsidR="00DE14C9" w:rsidRDefault="00DE14C9" w:rsidP="00DE14C9">
      <w:pPr>
        <w:pStyle w:val="TextoNormal"/>
      </w:pPr>
      <w:r>
        <w:t xml:space="preserve">Una vez sentado lo anterior, procede la representación del partido demandante a un análisis pormenorizado de los criterios, datos y porcentajes empleados por el Tribunal Supremo </w:t>
      </w:r>
      <w:r>
        <w:lastRenderedPageBreak/>
        <w:t xml:space="preserve">para establecer la vinculación con partidos políticos ilegalizados en cada una de las candidaturas de EAE-ANV, procediéndose, tal como consta en las actuaciones, a una extensa revisión crítica de los mismos. </w:t>
      </w:r>
    </w:p>
    <w:p w:rsidR="00DE14C9" w:rsidRDefault="00DE14C9" w:rsidP="00DE14C9">
      <w:pPr>
        <w:pStyle w:val="TextoNormal"/>
      </w:pPr>
      <w:r>
        <w:t xml:space="preserve">Termina la representación del partido demandante interesando que se dicte Sentencia por la que se conceda el amparo solicitado y se reconozcan los derechos fundamentales del partido político EAE-ANV a un proceso con todas las garantías, a la tutela judicial efectiva, a participar en los asuntos públicos por medio de representantes y a acceder en igualdad de condiciones a cargos públicos, restableciéndole en la integridad de los mismos; que se declare la nulidad de los Autos de 4 y 5 de mayo de 2007 dictados por la Sala Especial del art. 61 de la Ley Orgánica del Poder Judicial, en la pieza separada abierta dentro del proceso de ejecución núm. 1-2003, dimanante las actuaciones acumuladas núms. 6-2002 y 7-2002, sobre ilegalización de partidos políticos, confirmando la proclamación de las candidaturas realizadas por las Juntas electorales de zona de los Territorios Históricos de Araba, Gipuzkoa y Bizkaia y por la Junta Electoral Provincial de Navarra de fecha 30 de abril de 2007 y que las candidaturas presentadas por el partido político EAE-ANV pueden concurrir a las elecciones municipales y forales al Parlamento de Navarra a celebrar el día 27 de mayo de 2007. En otrosí de la demanda se interesa que, a fin de no impedir la efectividad de la pretensión ejercitada en este proceso constitucional, se suspenda, de conformidad con el art. 56 LOTC, la ejecución del Auto del Tribunal Supremo de 5 de mayo de 2007, dada la irreparabilidad de los daños que para el partido recurrente supondría su ejecución y que ello se haga de modo inmediato, ante la inminencia del comienzo de la campaña electoral. </w:t>
      </w:r>
    </w:p>
    <w:p w:rsidR="00DE14C9" w:rsidRDefault="00DE14C9" w:rsidP="00DE14C9">
      <w:pPr>
        <w:pStyle w:val="TextoNormal"/>
      </w:pPr>
      <w:r>
        <w:t xml:space="preserve">4. Mediante providencia de 9 de mayo de 2007, la Sala Primera acordó admitir a trámite el presente recurso de amparo, su ordenación conforme a las reglas previstas en el art. 49.3 y 4 LOREG, a fin de que fuera posible adoptar una resolución sobre el fondo de la pretensión deducida en protección, tanto de la eficaz garantía de los derechos fundamentales aducidos, como de la plena seguridad y certeza del procedimiento electoral en su conjunto. Asimismo, acordó conceder un plazo común, hasta las quince horas del día diez de mayo, al partido recurrente, al Ministerio Fiscal y a la Abogacía del Estado, para que dentro de dicho término pudieran presentar las alegaciones que a su derecho conviniera, previo traslado de las actuaciones a éstos últimos. </w:t>
      </w:r>
    </w:p>
    <w:p w:rsidR="00DE14C9" w:rsidRDefault="00DE14C9" w:rsidP="00DE14C9">
      <w:pPr>
        <w:pStyle w:val="TextoNormal"/>
      </w:pPr>
      <w:r>
        <w:t xml:space="preserve">5. En escrito presentado en el día de hoy formuló sus alegaciones el Abogado del Estado, en nombre del Gobierno. Comienza por referirse al significado y alcance de los apartados 1 b), 2 y 3 del art. 12 LOPP. Alega que el art. 12.1 b) LOPP declara improcedente y presume fraudulenta tanto “la creación de un nuevo partido político” como “la utilización de otro [partido político] ya inscrito en el Registro que continúe o suceda la actividad de un partido declarado ilegal y disuelto”; con arreglo al art. 12.3 LOPP, “corresponderá a la Sala sentenciadora, previa audiencia de los interesados, declarar la improcedencia de la continuidad o sucesión de un partido disuelto a la que se refiere el párrafo b) del apartado 1”. Se trata, ante todo, de impedir la actividad continuadora o sucesora del partido disuelto mediante la instrumentalización de otro ya inscrito, sin perjuicio de que, respecto de éste, puedan sacarse otras “consecuencias que, respetando el principio de proporcionalidad, hayan de anudarse a la apreciación o no de la continuidad o sucesión antedichas”, por decirlo con palabras del Auto de impugnado de 5 de mayo de 2007. Mediante el incidente de ejecución regulado en el art. 12.3 LOPP se busca sobre todo preservar la eficacia inherente a la Sentencia de disolución, especialmente en lo que hace al pronunciamiento de cese de la actividad política del partido disuelto mediante la instrumentalización de otro partido político. El pronunciamiento judicial habrá de limitarse a restringir los derechos de participación política del art. 23 CE en la medida estrictamente indispensable, desde el punto de vista del principio de </w:t>
      </w:r>
      <w:r>
        <w:lastRenderedPageBreak/>
        <w:t xml:space="preserve">proporcionalidad, para preservar este efecto de la sentencia de ilegalización —el cese de actividad política del partido disuelto, art. 12.1 a) LOPP— e impedir que resulte defraudado mediante la actividad continuadora o sucesora de la del partido disuelto efectuada por otro partido, nuevo o preexistente. Cabe, por ello, sostener que, en el incidente de ejecución, el pronunciamiento puede no comprender toda la actividad política del partido utilizado, sino que puede quedar circunscrito a una parte o sector de ella, precisamente aquella parte o sector respecto de la que logre probarse la sucesión o continuidad respecto al partido disuelto. Los apartados 1 b) y 3 del art. 12 LOPP se refieren ante todo a la actividad política y respecto de ésta, la sucesión o continuidad puede ser o total o parcial; no hay razón ninguna en el texto del art. 12 LOPP que fuerce a entender que, por necesidad ineluctable, la sucesión o continuidad de la actividad política del partido disuelto por otro partido ya inscrito deba ser total y sin fisuras. Si tal se exigiera, se dificultaría –más que se facilitaría– la supresión del fraude. </w:t>
      </w:r>
    </w:p>
    <w:p w:rsidR="00DE14C9" w:rsidRDefault="00DE14C9" w:rsidP="00DE14C9">
      <w:pPr>
        <w:pStyle w:val="TextoNormal"/>
      </w:pPr>
      <w:r>
        <w:t xml:space="preserve">Por otro lado, el art. 12.2 LOPP establece que “corresponde a la Sala sentenciadora asegurar, en trámite de ejecución de sentencia, que se respeten y ejecuten todos los efectos previstos por las leyes para el supuesto de disolución de un partido político”, lo que supone dotar a la Sala del Tribunal Supremo a que se refiere el art. 61 LOPJ de unos singulares poderes para garantizar la recta e íntegra ejecución de la Sentencia disolutoria. Al amparo de este precepto puede justificarse jurídicamente que —por ejemplo— la Sala del art. 61 LOPJ, atendiendo sólo a la finalidad de impedir el fraude, adecue de oficio el procedimiento cuando entienda que las partes legitimadas para promover la declaración de improcedencia de la continuidad o sucesión —art. 12.3 LOPP— no han acertado plenamente en la selección de la vía procesal apropiada. No se altera con ello la causa de pedir, entendida, como debe serlo, de acuerdo con la doctrina de la sustanciación como fundamentación basada en una acotación y calificación jurídica de un conjunto estructurado de hechos. Así, la petición (petitum) consignada en la demanda de la Abogacía del Estado en el asunto que nos ocupa se basaba en una causa de pedir (causa petendi) que era, exactamente, la utilización o instrumentalización del partido EAE–ANV para suceder o continuar una de las actividades políticas de partidos ilegales y disueltos, como la presentación de candidaturas. Delimitada así la causa de pedir, la decisión relativa a la adecuación procesal tomada en los Autos de 4 de mayo de 2007 y explicada en los fundamentos 1 y 2 del posterior Auto de 5 de mayo de 2007 no vulnera el derecho a la tutela judicial efectiva por incongruencia extra petitum (art. 24.1 CE). Y en efecto, la demanda de amparo no le reprocha este vicio y admite claramente que la adecuación procedimental estaba dentro de las facultades de la Sala, único juez legalmente predeterminado para resolver en ejecución de sentencia si un partido es utilizado para continuar o suceder la actividad de otro declarado ilegal y disuelto por Sentencia de la propia Sala. Así resulta de los arts. 10.5 y 12 (2 y 3) LOPP. Como recuerda el Auto impugnado de 5 de mayo de 2007 (FJ 1.c), citando el preámbulo de la LOPP, la citada Sala “simboliza por su composición al Pleno del Tribunal Supremo”, y es, “de alguna manera, el Pleno, un Pleno reducido”, de manera que goza de “un estatus de supremacía respecto a las Salas ordinarias en orden a la definición de sus competencias”. En armonía con su naturaleza, no cabe adscribirla a un orden jurisdiccional antes que a otro, porque está, por decirlo así, por encima de las Salas de todos los órdenes jurisdiccionales. En su función de Tribunal que conoce de la declaración de ilegalidad no penal y disolución de los partidos políticos, la Sala ejerce algunas funciones que la acercan al orden contencioso–administrativo (por ejemplo, las del art. 5.6 LOPP, si atendemos a lo dispuesto por el art. 5.5 LOPP, o el conocimiento de los recursos contencioso–electorales con arreglo al art. 49.5 LOREG), junto con </w:t>
      </w:r>
      <w:r>
        <w:lastRenderedPageBreak/>
        <w:t xml:space="preserve">otras que corresponden al orden civil cuando se trata de asociaciones comunes (arts. 38.2.b y 40.1 de la Ley Orgánica 1/2002, de 22 de marzo, reguladora del derecho de asociación). </w:t>
      </w:r>
    </w:p>
    <w:p w:rsidR="00DE14C9" w:rsidRDefault="00DE14C9" w:rsidP="00DE14C9">
      <w:pPr>
        <w:pStyle w:val="TextoNormal"/>
      </w:pPr>
      <w:r>
        <w:t xml:space="preserve">Entrando a contestar la primera de las quejas de la demanda de amparo, que denuncia la infracción del derecho al proceso con todas las garantías (art. 24.2 CE) en relación con el derecho a la tutela judicial efectiva (art. 24.1 CE), con el art. 6.1 CEDH y con el art. 3 del Protocolo núm. 1, comienza el Abogado del Estado por señalar que, de acuerdo con la doctrina, entre otras, de las SSTC 41/2002, de 25 de febrero, FJ 2, y 56/2003, de 24 de marzo, FJ 1, no corresponde a este Tribunal, al conocer de un recurso de amparo, examinar la observancia o inobservancia, per se, de textos internacionales que obliguen a España, sino comprobar el respeto o la infracción de los preceptos constitucionales que reconocen derechos fundamentales y libertades públicas susceptibles de amparo (arts. 53.2 CE y 49.1 LOTC), sin perjuicio de que, por mandato del art. 10.2 CE, tales preceptos deban ser interpretados de conformidad con la Declaración universal de derechos humanos y los tratados y acuerdos internacionales sobre las mismas materias ratificados por España. </w:t>
      </w:r>
    </w:p>
    <w:p w:rsidR="00DE14C9" w:rsidRDefault="00DE14C9" w:rsidP="00DE14C9">
      <w:pPr>
        <w:pStyle w:val="TextoNormal"/>
      </w:pPr>
      <w:r>
        <w:t xml:space="preserve">Expone seguidamente el Abogado del Estado que la queja por la vulneración del art. 24.2 CE, por lo que concierne al Auto de 4 de mayo de 2007, estaría incursa en la causa de inadmisibilidad del art. 50.1 a) LOTC en relación con el art. 44.1 a) LOTC, por no haberse interpuesto recurso de reposición o de súplica, según se entienda aplicable el art. 451 LEC como o el art. 79.1 LJCA. </w:t>
      </w:r>
    </w:p>
    <w:p w:rsidR="00DE14C9" w:rsidRDefault="00DE14C9" w:rsidP="00DE14C9">
      <w:pPr>
        <w:pStyle w:val="TextoNormal"/>
      </w:pPr>
      <w:r>
        <w:t xml:space="preserve">No obstante, y, por si no se acepta esa inadmisibilidad, procede el Abogado del Estado a impugnar las alegaciones del demandante. En contra de la afirmación de éste de que el principio de legalidad procesal se erige en un auténtico derecho fundamental, implícito en el derecho a un proceso con todas las garantías, afirma, con cita de diversas sentencias de este Tribunal, que es doctrina constitucional reiterada que no toda ilegalidad procesal se traduce en una violación del derecho a la tutela judicial efectiva o del derecho a un proceso con todas las garantías. Por lo tanto, será preciso analizar si efectivamente la violación denunciada puede afectar a una de las garantías procesales esenciales. La demanda, que reconoce que dentro de la potestad jurisdiccional se comprende la de encauzar una pretensión por la vía procesalmente adecuada, no niega que la Sala Especial del Tribunal Supremo dispusiera de tales poderes de regularización procesal, tal vez por la contundencia de lo dispuesto en el art. 12.2 LOPP, sino que se limita a sostener que la decisión de encauzar las demandas del Fiscal y del Abogado del Estado por la vía del art. 12.3 LOPP ha resultado errónea de modo patente. El partido político demandante no pretende realmente denunciar un error patente con el sentido que este canon de control asume en la doctrina constitucional, es decir, un error fáctico atribuible al órgano judicial, verificable de forma incontrovertible a partir de las actuaciones judiciales y determinante de la decisión adoptada, de manera que constituya el soporte único o básico (ratio decidendi) de la resolución. De haber existido, el error del Tribunal Supremo habría sido jurídico y, desde luego, no sería inmediata e incontrovertiblemente comprobable. Para el Abogado del Estado el error que el partido demandante imputa al Tribunal Supremo consiste en que el Auto de 5 de mayo de 2007 invalida actos administrativos (los de proclamación de candidatos dictados por órganos de la Administración electoral) mediante un procedimiento —el del art. 12.3 LOPP— inscrito en el campo del orden civil; como la Sala del art. 61 LOPJ no podía alterar de tal manera el orden jurisdiccional debió desestimar las demandas. Según la Abogacía del Estado no existe la denunciada violación del derecho a un proceso con todas las garantías. En primer lugar, porque no toda violación de los límites entre los órdenes jurisdiccionales supone violación del art. 24.2 CE, que, en todo caso, sería violación del juez predeterminado por la ley y no </w:t>
      </w:r>
      <w:r>
        <w:lastRenderedPageBreak/>
        <w:t xml:space="preserve">del proceso con todas las garantías. Y en segundo término, porque, como ya se había adelantado, en materia de disolución de partidos políticos la Sala del Tribunal Supremo del art. 61 LOPJ acoge funciones que corresponden a diversos órdenes jurisdiccionales, entre ellos el contencioso–administrativo. Si el art. 12.3 LOPP pretende evitar la continuidad fraudulenta de un partido ya disuelto a través de otra formación política, no se ve por qué, entre las medidas que la Sala del art. 61 LOPJ puede adoptar para proteger y preservar la eficacia propia de la Sentencia de disolución, no puede estar la de anular actos administrativos cuando éstos sirvan de cobertura a una maniobra fraudulenta de continuación o sucesión de un partido disuelto por otro inscrito. La anulación de actos administrativos que se oponen a la eficacia propia de una sentencia no hace más que imponer un mandato constitucional, el que recoge el art. 118 CE; no es una institución desconocida la anulación de actos administrativos contrarios a los pronunciamientos de una sentencia por la vía del incidente de ejecución: así está regulado en el art. 103 LJCA, que remite justamente a las normas reguladoras del incidente de ejecución. En este caso, la improcedencia de continuar la actividad política de los partidos disueltos por la Sentencia del Tribunal Supremo de 27 de marzo de 2003 por medio de EAE-ANV sólo podía llevarse a cabo mediante la anulación de unos actos administrativos de proclamación que actuaban como cobertura de una actividad continuadora prohibida. La invalidación de tales actos era necesaria para evitar el fraude y preservar la fuerza jurídica de los pronunciamientos de la sentencia de disolución. Niega el Abogado del Estado que la declaración de improcedencia de la continuidad o sucesión hubiera debido pretenderse respecto a la presentación de candidaturas de EAE-ANV, y ello porque tal presentación no es más que una solicitud dirigida a la Administración electoral, que puede ser retirada y que no legitima por sí misma para participar en la elección. Como sólo el acto de proclamación, acto reglado en casi todos sus elementos, tiene esa eficacia jurídica, el mismo es el blanco idóneo de la pretensión dirigida a evitar la improcedente continuación o sucesión en la actividad política de los partidos disueltos. Puesto que, con arreglo al art. 12.2 LOPP y a la singular naturaleza de la Sala del art. 61 LOPJ es perfectamente factible anular actos administrativos que desconozcan o violen los pronunciamientos de la sentencia de disolución de un partido político, nada cabe oponer a la elección que la Fiscalía y la Abogacía del Estado hicieron a la hora de interponer sus demandas. Los Autos recurridos no vulneran, pues los derechos a la tutela judicial efectiva y a un proceso con todas las garantías. </w:t>
      </w:r>
    </w:p>
    <w:p w:rsidR="00DE14C9" w:rsidRDefault="00DE14C9" w:rsidP="00DE14C9">
      <w:pPr>
        <w:pStyle w:val="TextoNormal"/>
      </w:pPr>
      <w:r>
        <w:t xml:space="preserve">Se refiere a continuación el Abogado del Estado a la queja relativa a la violación de los derechos proclamados por los dos apartados del artículo 23 CE, así como a la supuesta violación del art. 22 CE (libertad de asociación). Afirma, con cita de las SSTC 85/2003, 99/2004, y 68/2005, que se trata simplemente de razonar que el Auto de 5 de mayo de 2007 obtuvo fundadamente la conclusión de que las candidaturas impugnadas del partido EAE-ANV suponían continuidad o sucesión con la actividad política de los partidos disueltos por la Sentencia del Tribunal Supremo de 27 de marzo de 2003. En consecuencia, estima que, como dijo este Tribunal en la STC 68/2005, FJ 12, “el juicio de constitucionalidad que aquí procede [en el presente amparo] acerca de la valoración que esa prueba ha merecido en el proceso a quo sólo puede llevarnos a descartar que el Tribunal Supremo haya alcanzado sobre esa base una conclusión irrazonable o arbitraria”. Considera, en este sentido, que el Auto de 5 de mayo de 2007 se basa en la apreciación correcta de unos indicios “de carácter objetivo” que refleja en su fundamento 6 a los que se suman luego los de “naturaleza subjetiva” del fundamento 7, relativos a cada candidatura de EAE-ANV. Elogia el razonamiento realizado por la Sala del art. 61 LOPJ en cuanto a loa criterios de valoración de los </w:t>
      </w:r>
      <w:r>
        <w:lastRenderedPageBreak/>
        <w:t xml:space="preserve">subjetivos y objetivos, en concreto la tesis expuesta de que, cuando se trata de partidos utilizados en una maniobra fraudulenta de sucesión o continuidad de partidos disueltos, el grado de “implicación subjetiva suficiente para demostrar el fraude” es inferior al que se precisaría si estuviéramos ante agrupaciones electorales y rechaza que se pueda aceptar, como pretende la demanda de amparo, el estándar de conexión subjetiva aplicado a un partido sucesor o continuador deba ser más exigente que el aplicado a las agrupaciones electorales. Y menos aún cuando esta tesis pretende respaldarse con una apelación a la historia de EAE-ANV o a la fecha de su inscripción. No es la historia ni la fecha de la inscripción sino la realidad actual, la actividad política de presente, lo que debe ser valorado, como, en efecto, hace el Tribunal Supremo. Recuerda que la doctrina constitucional que cita la demanda sobre la valoración de los indicios subjetivos ha sido sentada a propósito de las agrupaciones de electores, y, pone de manifiesto que el Auto impugnado se aparta de ella al sostener que, cuando se trata de partido sucesor o continuador, basta una conexión subjetiva más débil. </w:t>
      </w:r>
    </w:p>
    <w:p w:rsidR="00DE14C9" w:rsidRDefault="00DE14C9" w:rsidP="00DE14C9">
      <w:pPr>
        <w:pStyle w:val="TextoNormal"/>
      </w:pPr>
      <w:r>
        <w:t xml:space="preserve">Seguidamente argumenta el Abogado del Estado que la negación por el partido demandante de que pertenezca al “complejo Batasuna” o de que mantenga relaciones orgánicas o de dependencia funcional con la organización terrorista ETA o de que entre sus dirigentes y afiliados haya personas condenadas por delitos de terrorismo no son más que una muestra de discrepancia, y de discrepancia de parte, con la valoración de la prueba efectuada por el Tribunal Supremo. Como tal manifestación de discrepancia, carece de todo relieve constitucional. En cuanto a la valoración del “contraindicio”, por no referirse el Auto impugnado al contenido de los estatutos de EAE-ANV y a lo manifestado por su Presidente y su Secretario General, esgrime, con cita de la STEDH de 17 de junio de 2004, caso Zdanoka, parágrafo 91, que como genuino contraindicio no valen las condenas genéricas de la violencia. </w:t>
      </w:r>
    </w:p>
    <w:p w:rsidR="00DE14C9" w:rsidRDefault="00DE14C9" w:rsidP="00DE14C9">
      <w:pPr>
        <w:pStyle w:val="TextoNormal"/>
      </w:pPr>
      <w:r>
        <w:t xml:space="preserve">A propósito del sufragio pasivo, considera que la anulación de la proclamación de candidaturas no deriva de una causa de inelegibilidad subjetiva que incapacite a la persona para ser candidato, sino que es la consecuencia de la integración de un candidato en unas listas, que un complejo de elementos probatorios, permite identificar como penetración en determinadas candidaturas de los partidos en su día ilegalizados. Frente a la queja del demandante acerca de que, constatada la ausencia de causas de inelegibilidad en los integrantes de las listas impugnadas, la proyección de los efectos de la ilegalización del partido sobre las listas, en un sentido anulatorio, produce una lesión del derecho fundamental de participación en los asuntos públicos, opone el Abogado del Estado la doctrina de la STC 85/2003. </w:t>
      </w:r>
    </w:p>
    <w:p w:rsidR="00DE14C9" w:rsidRDefault="00DE14C9" w:rsidP="00DE14C9">
      <w:pPr>
        <w:pStyle w:val="TextoNormal"/>
      </w:pPr>
      <w:r>
        <w:t xml:space="preserve">Frente a lo alegado por el demandante acerca de los criterios del art. 12.3 LOPP, destaca el Abogado del Estado que el FJ 6 del Auto de 5 de mayo de 2007 examina “todos los indicios que, aportados por las partes demandantes pudieran poner de manifiesto la actividad fraudulenta desplegada por el entramado Batasuna para utilizar parte de las candidaturas del partido político ANV en provecho de sus propios fines”. A continuación el mismo FJ analiza los indicios o hechos indiciarios de carácter objetivo invocados por el Ministerio Fiscal y la Abogacía del Estado. En concreto, por lo que se refiere a la demanda presentada por el Gobierno ante el Tribunal Supremo, indica que se incluyeron dichos indicios en la misma. Entre ellos, la referencia a la celebración del X Congreso del partido EAE-ANV, los estatutos registrados en 1976, la instrumentalización de alguna de sus candidaturas, la documentación incautada al dirigente de ETA Mikel Albizu, el Auto dictado por el Juzgado Central de Instrucción núm. 5 en el sumario 35-2002 y una relación de las vinculaciones subjetivas de las candidaturas impugnadas. </w:t>
      </w:r>
    </w:p>
    <w:p w:rsidR="00DE14C9" w:rsidRDefault="00DE14C9" w:rsidP="00DE14C9">
      <w:pPr>
        <w:pStyle w:val="TextoNormal"/>
      </w:pPr>
      <w:r>
        <w:t xml:space="preserve">Sobre los criterios empleados en la impugnación de las candidaturas, afirma que la alegación de la demanda de que el Tribunal Supremo no ha seguido los criterios empleados </w:t>
      </w:r>
      <w:r>
        <w:lastRenderedPageBreak/>
        <w:t xml:space="preserve">por el Ministerio Fiscal o el Abogado del Estado o no se ajusta a la realidad. Explica éste que, además de que en otrosí de su demanda interesó que se llevaran al proceso todos los datos de todos los procesos sobre ilegalización de partidos o impugnación de candidaturas seguidos ante la Sala del art. 61 LOPJ, al tratarse de un incidente de ejecución de sentencia, toda la carga probatoria obraba ya en el proceso principal; de esta forma, la Sala únicamente ha tomado en consideración la prueba ya incorporada al proceso. </w:t>
      </w:r>
    </w:p>
    <w:p w:rsidR="00DE14C9" w:rsidRDefault="00DE14C9" w:rsidP="00DE14C9">
      <w:pPr>
        <w:pStyle w:val="TextoNormal"/>
      </w:pPr>
      <w:r>
        <w:t xml:space="preserve">Sobre los indicios objetivos, considera que la valoración y ponderación efectuadas en los FFJJ 6 y 8 del Auto están perfectamente razonadas y son plenamente razonables, de acuerdo con la doctrina constitucional sobre la prueba indiciaria o circunstancial. Las inferencias realizadas en el Auto impugnado y las conclusiones a las que llega son, a su juicio, perfectamente respetuosas con dicha doctrina. Refleja a continuación el Abogado del Estado separadamente la corrección de los fundamentos del Auto en relación con cada elemento probatorio, rebatiendo las alegaciones del demandante de amparo. </w:t>
      </w:r>
    </w:p>
    <w:p w:rsidR="00DE14C9" w:rsidRDefault="00DE14C9" w:rsidP="00DE14C9">
      <w:pPr>
        <w:pStyle w:val="TextoNormal"/>
      </w:pPr>
      <w:r>
        <w:t xml:space="preserve">Considera el Abogado del Estado que en la demanda se realizan diversas alegaciones, relativas a las conexiones subjetivas de determinados candidatos, sin argumentar el error o la falta de razonabilidad en que hubiera podido incurrir el Auto impugnado. Por último rebate el Abogado del Estado el análisis que demanda realiza de cada una de las candidaturas objeto de anulación. </w:t>
      </w:r>
    </w:p>
    <w:p w:rsidR="00DE14C9" w:rsidRDefault="00DE14C9" w:rsidP="00DE14C9">
      <w:pPr>
        <w:pStyle w:val="TextoNormal"/>
      </w:pPr>
      <w:r>
        <w:t xml:space="preserve">Termina interesando que se dicte Sentencia declarando inadmisible el primer motivo de amparo y desestimando la demanda en lo demás; interesa, subsidiariamente, la total desestimación del recurso de amparo. </w:t>
      </w:r>
    </w:p>
    <w:p w:rsidR="00DE14C9" w:rsidRDefault="00DE14C9" w:rsidP="00DE14C9">
      <w:pPr>
        <w:pStyle w:val="TextoNormal"/>
      </w:pPr>
      <w:r>
        <w:t xml:space="preserve">6. El Ministerio Fiscal comienza su escrito de alegaciones, presentado también en el día de hoy, dando respuesta a la queja formulada sobre la elección del procedimiento y de la jurisdicción, que la demanda de amparo considera arbitraria, manifiestamente irrazonable o con error patente. Frente a esta afirmación, el Ministerio Fiscal, que examina con detalle la argumentación llevada a cabo por el Tribunal Supremo, considera que el procedimiento de ejecución de sentencia, que fue el elegido, es respetuoso con lo dispuesto en la Ley y, al contemplar la audiencia previa de los interesados, garantiza los derechos de los mismos. El Tribunal Supremo procede a enjuiciar la pretensión de las partes demandantes, que interesan acordar la anulación de las candidaturas impugnadas, y lo hace por un cauce permitido por la ley, el de ejecución de sentencia previsto en el art. 12 LOPP, y en un breve plazo de tiempo para no afectar el derecho de los demandados a acceder a cargos públicos (art. 23 CE). </w:t>
      </w:r>
    </w:p>
    <w:p w:rsidR="00DE14C9" w:rsidRDefault="00DE14C9" w:rsidP="00DE14C9">
      <w:pPr>
        <w:pStyle w:val="TextoNormal"/>
      </w:pPr>
      <w:r>
        <w:t xml:space="preserve">En definitiva, la decisión procesal del Tribunal Supremo, por discutible que pueda parecer en cuanto a su encaje procedimental en el art. 49 LOREG o en el 12 LOPP, no rebasa la dimensión de la legalidad ordinaria, es respetuosa con la ley, presta la tutela judicial efectiva a los entonces demandados o ejecutados y por lo tanto no les ha producido indefensión. </w:t>
      </w:r>
    </w:p>
    <w:p w:rsidR="00DE14C9" w:rsidRDefault="00DE14C9" w:rsidP="00DE14C9">
      <w:pPr>
        <w:pStyle w:val="TextoNormal"/>
      </w:pPr>
      <w:r>
        <w:t xml:space="preserve">Entrando a continuación en la denuncia de vulneración del art. 23 CE esgrimida por los recurrentes en su demanda, comienza el Ministerio Fiscal por rebatir la alegación de aquéllos relativa a que el Auto del Tribunal Supremo no ha tenido en cuenta determinados contraindicios —el hecho de que se trate de un partido legalizado que condena en sus estatutos la violencia, su amplia trayectoria histórica, y la asunción de tal presupuesto por los miembros del partido— que abocarían a la conclusión de que EAE-ANV no forma parte del “complejo Batasuna” ni mantiene una dependencia orgánica o funcional con partidos ilegalizados. Considera a este respecto el Ministerio público que, junto a la constatación de que el Auto impugnado acoge expresamente algunos de tales elementos fácticos —su evolución histórica—, lo cierto es que la jurisprudencia constitucional no ha otorgado el valor de contraindicio a la utilización de fórmulas abstractas de condena a la violencia o de respeto a los </w:t>
      </w:r>
      <w:r>
        <w:lastRenderedPageBreak/>
        <w:t xml:space="preserve">derechos humanos, cuando se trata de personas o de formaciones que hayan estado relacionadas en el pasado con partidos declarados ilegales por sentencia firme, sino que tal valor se lo ha otorgado en exclusividad en las condenas expresas al terrorismo (STC 86/2005), por lo que la estimación por parte del Tribunal Supremo de las tesis impugnatorias del Ministerio Fiscal y el Abogado del Estado supone una desestimación tácita de las alegaciones del partido recurrente y del valor como contraindicio de esa mera condena abstracta de la violencia. </w:t>
      </w:r>
    </w:p>
    <w:p w:rsidR="00DE14C9" w:rsidRDefault="00DE14C9" w:rsidP="00DE14C9">
      <w:pPr>
        <w:pStyle w:val="TextoNormal"/>
      </w:pPr>
      <w:r>
        <w:t xml:space="preserve">En segundo lugar, frente a la alegada inconsistencia e irrelevancia de los indicios de carácter objetivo, comienza el Ministerio Fiscal por destacar que, de una parte, tales indicios deben ser valorados de forma conjunta y no aisladamente, y, de otra, que la valoración efectuada por el Tribunal Supremo es plenamente acorde con las exigencias establecidas por el Tribunal Constitucional para la validez de la prueba indiciaria, por no presentar las inferencias derivadas de los mismos vicios de irrazonabilidad o arbitrariedad. Y enfatiza a continuación el Fiscal que un análisis detenido de cada uno de los indicios objetivos permite confirmar tal conclusión. Así se evidencia, en primer lugar, de los documentos incautados a Jorge Murillo, cuyo contenido coincide con la relación subjetiva de candidatos contaminados en la candidatura presentada en el Municipio de Ultzama; así como de los incautados a Mikel Albizu Uriarte o a Arkaiz Agote Sillero, en los cuales se revela la estrategia seguida por Batasuna de cara a la elecciones y que, si bien aisladamente carecerían de fuerza suficiente, su valoración conjunta arroja un resultado indudable, sin que por lo demás los recurrentes en amparo hayan negado esta conclusión, limitándose a rechazar la validez probatoria de los citados documentos. Por otra parte, rebate el Ministerio Fiscal el argumento esgrimido por el partido demandante sobre que la participación en actos de la Izquierda Abertzale no puede operar como indicio a favor de la vinculación con Batasuna, considerando que la referencia que en la demanda de amparo se hace al Informe 1/2007 de la Dirección General de la Policía y a los Autos del Juzgado Central de Instrucción núm. 5 dictados en el sumario 35-2002 es incompleta, pues se evita hacer mención de que, según el tenor literal de los mismos, miembros de Batasuna participaron en actos de EAE-ANV, a lo que debe vincularse el hecho de que EAE-ANV participara en la formación de Herri Batasuna en 1978, así como que haya formado parte de las candidaturas de dicho partido y de Euskal Herritarrok. Por último, termina el Ministerio Fiscal por destacar la relevancia de los restantes indicios, afirmando que los demandantes se limitan a ofrecer una versión aislada y parcial de los mismos, obviando, por ejemplo, toda mención a la incautación en 2004 de varios documentos a Mikel Antxa, en los que traza la relación entre Batasuna y ANV. </w:t>
      </w:r>
    </w:p>
    <w:p w:rsidR="00DE14C9" w:rsidRDefault="00DE14C9" w:rsidP="00DE14C9">
      <w:pPr>
        <w:pStyle w:val="TextoNormal"/>
      </w:pPr>
      <w:r>
        <w:t xml:space="preserve">Destaca a continuación el Ministerio público que, frente a lo afirmado por los recurrentes, la decisión del Tribunal Supremo no conlleva la pérdida del derecho de sufragio pasivo de los componentes de las candidaturas, resaltando que el Auto combatido recoge fielmente la doctrina de este Tribunal al respecto (STC 68/2005), desde la que puede afirmarse que existe una causa para restringir parcialmente el derecho de sufragio pasivo de los integrantes de las candidaturas que han sido creadas con la intención de incurrir en fraude de ley, estando tal restricción fundada no en motivos ideológicos o políticos. </w:t>
      </w:r>
    </w:p>
    <w:p w:rsidR="00DE14C9" w:rsidRDefault="00DE14C9" w:rsidP="00DE14C9">
      <w:pPr>
        <w:pStyle w:val="TextoNormal"/>
      </w:pPr>
      <w:r>
        <w:t xml:space="preserve">Procede después el Ministerio Fiscal a rebatir los argumentos expuestos en la demanda de amparo contra la valoración de los indicios subjetivos, comenzando por refutar, en primer lugar, la alegación relativa a las diferencias existentes entre las agrupaciones electorales y las candidaturas de un partido político, y la improcedencia de una anulación meramente parcial en este último caso. A este respecto, manifiesta el Fiscal que es precisamente el más decidido y riguroso respeto a los derechos consagrados en el art. 23 CE lo que debe llevar a </w:t>
      </w:r>
      <w:r>
        <w:lastRenderedPageBreak/>
        <w:t xml:space="preserve">impedir que quienes aún formando parte de esa lista patrocinada por el partido se vean perjudicados en tanto no pueda calificarse su respectiva integración en ella como mero instrumento de la acción fraudulenta que la ley pretende impedir. </w:t>
      </w:r>
    </w:p>
    <w:p w:rsidR="00DE14C9" w:rsidRDefault="00DE14C9" w:rsidP="00DE14C9">
      <w:pPr>
        <w:pStyle w:val="TextoNormal"/>
      </w:pPr>
      <w:r>
        <w:t xml:space="preserve">En segundo lugar, destaca que no es cierto que quienes fueron candidatos de un partido ilegalizado pierdan sus derechos civiles, ni que cualquier partido que en un futuro acogiera a dichas personas en sus listas vería también las mismas anuladas, pues ello sólo sería así si pudiera acreditarse que su inclusión obedecería a una estrategia de continuidad de la actuación de un partido ilegalizado. Tampoco cabe atender, en tercer lugar, a las críticas formuladas contra el grado de vinculación subjetiva empleado por el Tribunal Supremo, limitándose el demandante a sustituir el criterio del órgano judicial por el suyo propio. Por lo que respecta al reproche consistente en la utilización de una “contaminación sobrevenida”, invoca el Fiscal la STC 85/2003 para oponer que la organización “AuB” mantiene una línea evidente de continuidad con partidos ilegalizados, que permite considerar piezas del fraude a la Ley de partidos a miembros de candidaturas que, aun no habiendo formado parte de Batasuna, sí estuvieron integrados en dicha organización. </w:t>
      </w:r>
    </w:p>
    <w:p w:rsidR="00DE14C9" w:rsidRDefault="00DE14C9" w:rsidP="00DE14C9">
      <w:pPr>
        <w:pStyle w:val="TextoNormal"/>
      </w:pPr>
      <w:r>
        <w:t xml:space="preserve">Por último, concluye el Fiscal que frente a lo afirmado en la demanda, la perspectiva de enjuiciamiento empleada por el Auto impugnado en amparo sí ha partido de los requisitos que el art. 12.3 LOPP determina para poder establecer la conexión entre un partido previamente ilegalizado y otro, en este caso EAE-ANV, pues la anulación de las candidaturas proclamadas de dicho partido se basa en la consideración de los elementos señalados en el art. 12.3 LOPP, y no solamente en elementos de índole subjetiva, valorándose, en efecto, uno y otro elemento en cada candidatura en el fundamento jurídico séptimo del Auto. </w:t>
      </w:r>
    </w:p>
    <w:p w:rsidR="00DE14C9" w:rsidRDefault="00DE14C9" w:rsidP="00DE14C9">
      <w:pPr>
        <w:pStyle w:val="TextoNormal"/>
      </w:pPr>
      <w:r>
        <w:t xml:space="preserve">En suma, en opinión del Ministerio Fiscal, los elementos de prueba aceptados por el órgano judicial permiten acreditar que las candidaturas en su momento impugnadas y posteriormente anuladas por el Tribunal Supremo constituyen una continuación de la actividad política de las formaciones ilegalizadas y, subyace en las mismas la voluntad de concurrir a los comicios con la finalidad de proseguir en la actividad ilegal de aquéllas. En razón de lo afirmado, solicita el Ministerio Fiscal que se dicte Sentencia desestimatoria del presente recurso de amparo. </w:t>
      </w:r>
    </w:p>
    <w:p w:rsidR="00DE14C9" w:rsidRDefault="00DE14C9" w:rsidP="00DE14C9">
      <w:pPr>
        <w:pStyle w:val="TextoNormal"/>
      </w:pPr>
      <w:r>
        <w:t>7. La representación procesal de Eusko Abertzale Ekintza-Acción Nacionalista Vasca, en escrito registrado en el día de hoy, formula unas alegaciones complementarias al primer motivo de su recurso de amparo. En primer lugar, con cita de la STC 248/2006, de 24 de julio, considera que es evidente la inexistencia de relación entre la norma aplicada en el Auto de 5 de mayo de 2007 y su fallo, ya que el control jurisdiccional de los actos de las Juntas electorales se ha realizado en razón de elementos ajenos a la materia sobre la que versa la función de la Sala especial del art. 61 LOPJ y a su competencia. En segundo lugar afirma que existiendo vía procesal idónea y eficaz para que el Ministerio Fiscal y la Abogacía del Estado pudieran impedir que se adoptaran los acuerdos de proclamación de candidatos (art. 12.3 LOPP), no puede alegarse que una estimación del presente recurso de amparo pueda generar indefensión o vulneración del derecho a la tutela judicial efectiva de quienes promovieron la actuación del Tribunal Supremo; considera que son los evidentes errores de la acción y pretensión planteadas los que les han dejado sin cauce procesal apropiado. Por último, con cita de la STC 148/1999, de 4 de agosto, afirma que la existencia de una laguna legal no puede justificar la distorsión de los procedimientos legales.</w:t>
      </w:r>
    </w:p>
    <w:p w:rsidR="00DE14C9" w:rsidRDefault="00DE14C9" w:rsidP="00DE14C9">
      <w:pPr>
        <w:pStyle w:val="TextoNormal"/>
      </w:pPr>
    </w:p>
    <w:p w:rsidR="00DE14C9" w:rsidRDefault="00DE14C9" w:rsidP="00DE14C9">
      <w:pPr>
        <w:pStyle w:val="TextoNormalNegritaCentrado"/>
        <w:keepNext/>
      </w:pPr>
      <w:r>
        <w:lastRenderedPageBreak/>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 presente demanda de amparo tiene por objeto la impugnación de los Autos de la Sala Especial del art. 61 de la Ley Orgánica del Poder Judicial (LOPJ) del Tribunal Supremo, de 4 y 5 de mayo de 2007, recaídos en la pieza separada del proceso de ejecución 1-2003 dimanante de los autos acumulados núms. 6-2002 y 7-2002 sobre ilegalización de los partidos políticos Herri Batasuna, Euskal Herritarrok y Batasuna.</w:t>
      </w:r>
    </w:p>
    <w:p w:rsidR="00DE14C9" w:rsidRDefault="00DE14C9" w:rsidP="00DE14C9">
      <w:pPr>
        <w:pStyle w:val="TextoNormal"/>
      </w:pPr>
      <w:r>
        <w:t>Por sendos Autos de 4 de mayo de 2007, la Sala Especial del art. 61 LOPJ del Tribunal Supremo acordó admitir a trámite las demandas promovidas por el Abogado del Estado y por el Ministerio Fiscal contra determinados acuerdos de proclamación de candidaturas de las Juntas Electorales de los Territorios Históricos de Álava, Guipúzcoa y Vizcaya y de las Juntas Electorales de Navarra relativos a las candidaturas presentadas por el partido político Eusko Abertzale Ekintza-Acción Nacionalista Vasca (EAE-ANV) a las elecciones convocadas para el día 27 de mayo de 2007, así como la acumulación de ambas demandas y su sustanciación por la vía del art. 12.3, en relación con el art. 12.1 b), ambos de la Ley Orgánica 6/2002, de 27 de junio, de partidos políticos (LOPP), dentro del ya mencionado proceso de ejecución núm. 1-2003.</w:t>
      </w:r>
    </w:p>
    <w:p w:rsidR="00DE14C9" w:rsidRDefault="00DE14C9" w:rsidP="00DE14C9">
      <w:pPr>
        <w:pStyle w:val="TextoNormal"/>
      </w:pPr>
      <w:r>
        <w:t>La Sala Especial del art. 61 LOPJ del Tribunal Supremo por el Auto de 5 de mayo de 2007, de cuyo contenido se ha dejado constancia en los antecedentes de esta Sentencia, acordó estimar las demandas deducidas por el Abogado del Estado y por el Ministerio Fiscal y, en consecuencia, declaró la nulidad de los actos de proclamación de 133 candidaturas del partido político Eusko Abertzale Ekintza-Acción Nacionalista Vasca (EAE-ANV).</w:t>
      </w:r>
    </w:p>
    <w:p w:rsidR="00DE14C9" w:rsidRDefault="00DE14C9" w:rsidP="00DE14C9">
      <w:pPr>
        <w:pStyle w:val="TextoNormal"/>
      </w:pPr>
    </w:p>
    <w:p w:rsidR="00DE14C9" w:rsidRDefault="00DE14C9" w:rsidP="00DE14C9">
      <w:pPr>
        <w:pStyle w:val="TextoNormal"/>
      </w:pPr>
      <w:r w:rsidRPr="00DE14C9">
        <w:rPr>
          <w:rStyle w:val="NumeroAFNegritaCaracter"/>
        </w:rPr>
        <w:t>2</w:t>
      </w:r>
      <w:r>
        <w:t>. El partido político demandante califica de ordinario el recurso de amparo que ahora resolvemos, basándose para ello en la naturaleza del procedimiento judicial a cuyo través se han encauzado las acciones que han dado lugar al Auto de la Sala Especial del artículo 61 LOPJ del Tribunal Supremo, de 5 de mayo de 2007. Viene a entender el partido recurrente, en definitiva, que, al decantarse la tramitación de aquellas dos demandas por el cauce de la ejecución de las Sentencias de ilegalización de 27 de marzo de 2003 y en el ámbito, por tanto, de lo dispuesto en el artículo 12.3 LOPP (al margen, pues, de lo específicamente previsto en el art. 49 de la Ley Orgánica del régimen electoral general: LOREG), quedaría también determinado, sin más, que el recurso de amparo al que ahora dan lugar no puede ser ya el regulado en los apartados 4 y 5 del citado art. 49, sino el disciplinado con carácter general, sin las especialidades de tramitación de aquél, en la Ley Orgánica 2/1979, del Tribunal Constitucional.</w:t>
      </w:r>
    </w:p>
    <w:p w:rsidR="00DE14C9" w:rsidRDefault="00DE14C9" w:rsidP="00DE14C9">
      <w:pPr>
        <w:pStyle w:val="TextoNormal"/>
      </w:pPr>
      <w:r>
        <w:t>La primera observación que al respecto se ha de hacer es que, siendo relevantes para la caracterización y calificación del proceso constitucional aquí planteado tanto la definición y circunstancias del proceso judicial que le precedió como la interpretación que de aquella caracterización y calificación hace la propia demanda de amparo, ni una ni otra fijación —jurisdiccional la primera, de parte la segunda— determinan absolutamente, en éste como en cualquier otro caso análogo, la decisión definitiva que en Derecho, ateniéndose a la Constitución y a su Ley Orgánica (art. 1.1), ha de adoptar este Tribunal Constitucional, siendo del todo claro que el entendimiento por las partes del procedimiento a seguir no es, en tanto no se alteren los elementos constitutivos de la acción ejercida, vinculante para esta jurisdicción, como tampoco lo ha de ser, en otro ámbito, la previa definición dada por el Tribunal Supremo, en este caso, al proceso del que conoció, toda vez que la jurisdicción constitucional, que no es continuación o secuencia última de la ordinaria, tiene una legalidad propia —</w:t>
      </w:r>
      <w:r>
        <w:lastRenderedPageBreak/>
        <w:t>constitucional y ordinaria— por la que se rige y unas indeclinables potestades de interpretación y, llegado el caso, de integración sobre ella, única normativa, por lo demás, a la que este Tribunal queda directamente vinculado.</w:t>
      </w:r>
    </w:p>
    <w:p w:rsidR="00DE14C9" w:rsidRDefault="00DE14C9" w:rsidP="00DE14C9">
      <w:pPr>
        <w:pStyle w:val="TextoNormal"/>
      </w:pPr>
      <w:r>
        <w:t>Sentado lo anterior es ya posible entrar a determinar si la tramitación y resolución de este recurso de amparo ha de atenerse a lo establecido, con carácter general, en nuestra Ley Orgánica, según pretende la representación actora, o si más bien hemos de entender que el recurso al que se ha dado lugar, pese a la singularidad de la vía judicial previa, tiene por adecuado cauce de tramitación el previsto en los apartados 3 y 4 del art. 49 LOREG.</w:t>
      </w:r>
    </w:p>
    <w:p w:rsidR="00DE14C9" w:rsidRDefault="00DE14C9" w:rsidP="00DE14C9">
      <w:pPr>
        <w:pStyle w:val="TextoNormal"/>
      </w:pPr>
      <w:r>
        <w:t>La “modalidad específica de recurso de amparo” (SSTC 71/1986, de 31 de mayo, y 1/1988, de 13 de enero) que articuló la Ley Orgánica de régimen electoral general, se prevé, de modo expreso, como cauce de amparo frente a las resoluciones de las que conoció o que dictaron los Juzgados de lo Contencioso-Administrativo en recursos frente a la proclamación de candidaturas y candidatos (art. 49.3 y 4 LOREG) o también, por vía de remisión explícita, frente a las resoluciones dictadas por la Sala del Tribunal Supremo regulada en el art. 61 LOPJ cuando de lo que se trata es de recurrir frente a la proclamación o exclusión de candidaturas presentadas por las agrupaciones de electores a que se refiere el art. 44.4 de la propia Ley Orgánica del régimen electoral general (es decir, conforme a este último precepto, aquéllas que vengan a continuar o suceder la actividad de un partido político declarado judicialmente ilegal y disuelto, o suspendido). Así, el Acuerdo del Pleno del Tribunal Constitucional de 20 de enero de 2000 por el que se aprueban normas sobre tramitación de los recursos de amparo a que se refiere la Ley Orgánica 5/1985, de 19 de junio, de régimen electoral general, dispone en su art. 1 que “Los recursos de amparo a que se refieren los artículos 49, apartados 3 y 4, y 114, apartado 2, de la Ley Orgánica 5/1985, de 19 de junio, del régimen electoral general, se interpondrán y ordenarán con arreglo a los requisitos establecidos en los artículos 49 y 81 de la Ley Orgánica 2/1979, del Tribunal Constitucional, y según lo dispuesto en este Acuerdo”, señalando su art. 2 determinadas “reglas de interposición y tramitación” y un plazo de interposición de dos días “si la demanda de amparo se dirigiese contra los acuerdos de las Juntas Electorales sobre proclamación de candidaturas y candidatos (arts. 47.3 y 49 de la Ley Orgánica 5/1985, del régimen electoral general)”.</w:t>
      </w:r>
    </w:p>
    <w:p w:rsidR="00DE14C9" w:rsidRDefault="00DE14C9" w:rsidP="00DE14C9">
      <w:pPr>
        <w:pStyle w:val="TextoNormal"/>
      </w:pPr>
      <w:r>
        <w:t xml:space="preserve">Tal cosa es lo que sucede en el presente supuesto, en el que forma parte esencial de la pretensión de la demanda de amparo, según su suplico, el que, como consecuencia del reconocimiento de determinados derechos fundamentales, se “confirme la proclamación de las candidaturas realizadas por las Juntas electorales de zona de los Territorios Históricos de Araba, Gipuzkoa y Bizkaia y por la Junta Provincial de Navarra, de fecha de 30 de abril de 2007” y se “declare que las candidaturas presentadas por el partido político Eusko Abertzale Ekintza – Acción Nacionalista Vasca (EAE – ANV) pueden concurrir a las elecciones municipales y forales y al Parlamento Foral de Navarra a celebrar el próximo 27 de mayo de 2007”. Se trata así de una petición de amparo que se refiere directa e inequívocamente a los acuerdos de proclamación de candidaturas y que en consecuencia este Tribunal ha de tramitar por las reglas de su Acuerdo de 20 de enero de 2000. Converge de este modo, significativamente, esta solución normativa con la relativa al procedimiento para la aplicación del art. 44.4 LOREG, prevista en el ya citado art. 49.5 LOREG, procedimiento que, como el previo al presente amparo, se refiere en su resolución a la proclamación de candidaturas electorales, y en el que la Sala Especial del art. 61 LOPJ del Tribunal Supremo es llamada a intervenir para evitar se defraude, mediante la presentación y proclamación de determinadas candidaturas, lo resuelto por la propia Sala en un anterior pronunciamiento de ilegalización y disolución de un partido político. Bien entendido que con lo que se acaba de señalar nada se dice aún sobre la adecuación a la Constitución de lo actuado por la repetida </w:t>
      </w:r>
      <w:r>
        <w:lastRenderedPageBreak/>
        <w:t>Sala Especial al resolver las demandas frente a las que se alza este recurso de amparo, pues una cosa es la valoración constitucional, a la que más adelante nos referiremos, de los Autos aquí impugnados, y otra, bien distinta, la de reconocer que para tramitar este recurso de amparo con arreglo a lo previsto en el art. 49 LOREG hay sobradas razones de relieve constitucional y, junto a ellas, la consideración de la existencia misma de la hipótesis prevista en el apartado 5 de dicho precepto, por más que el mismo, de cita pertinente en lo que hace a la tramitación que aquí procede, pueda no ser en modo alguno aplicable, ya en el orden sustantivo, para resolver las demandas en su momento interpuestas por el Ministerio Fiscalía y la Abogacía del Estado.</w:t>
      </w:r>
    </w:p>
    <w:p w:rsidR="00DE14C9" w:rsidRDefault="00DE14C9" w:rsidP="00DE14C9">
      <w:pPr>
        <w:pStyle w:val="TextoNormal"/>
      </w:pPr>
      <w:r>
        <w:t>Estas modulaciones en la tramitación procesal del amparo constitucional que para tales supuestos se establecen de modo expreso —y que persiguen la más pronta y eficaz garantía de los derechos de candidaturas y candidatos así como, inseparablemente, el más seguro desarrollo, sin la incertidumbre inherente a toda tramitación más dilatada, del procedimiento electoral en su conjunto— responden a exigencias de seguridad y de celeridad en favor de una ágil protección de los derechos fundamentales, cuya plena eficacia podría malograrse si recibieran de este Tribunal una justicia constitucional que habría de quedar acomodada a los tiempos del amparo ordinario, pero que sería de facto tardía. Debe acentuarse que el propio recurrente demanda de nosotros una tutela constitucional que, en su caso, se dispensará en plenitud si su demanda se sustancia por ese específico procedimiento previsto en el art. 49 LOREG. Pretender, en efecto, que las candidaturas que aquí defiende “pued[a]n concurrir a las elecciones … a celebrar el próximo 27 de mayo de 2007”, según especifica en el suplico, únicamente sería factible, de prosperar su recurso, si éste se tramita por el cauce del amparo electoral. Ciertamente, el procedimiento de amparo ordinario también permitiría aquella concurrencia si, admitido a trámite el recurso, se acordara la suspensión de los Autos recurridos. Nada impediría, tampoco, que, aun sin adoptarse esa medida cautelar y celebradas las elecciones sin el concurso de las candidaturas cuya impugnación aquí se discute, la estimación de la demanda se acordara con el efecto de la nulidad de dichas elecciones y la obligación de repetirlas. En ambos casos, sin embargo, además del grave trastorno institucional y político que supone la anulación de un proceso electoral, se propiciaría una incertidumbre sobre la suerte de los mandatos de representación de cuantas personas integran las instituciones afectadas, con cuanto ello puede implicar en perjuicio de su autoridad y legitimación democráticas.</w:t>
      </w:r>
    </w:p>
    <w:p w:rsidR="00DE14C9" w:rsidRDefault="00DE14C9" w:rsidP="00DE14C9">
      <w:pPr>
        <w:pStyle w:val="TextoNormal"/>
      </w:pPr>
      <w:r>
        <w:t>Son sin duda estos efectos, claramente perturbadores e indeseables, los que trata de evitar la específica regulación del procedimiento de amparo cuando de recursos frente a la proclamación de candidaturas electorales se trata, y de ahí que proceda encauzar la demanda del partido recurrente para su tramitación por el procedimiento específico del art. 49 LOREG, ideado, al fin y al cabo, para el enjuiciamiento de resoluciones eventualmente lesivas de los derechos cuyo ejercicio se concreta en la proclamación de candidaturas electorales, esto es, precisamente, resoluciones del género de las que ahora se recurren. Por otra parte, conviene advertir que, a fin de conciliar las garantías de defensa del partido recurrente con las notas de celeridad, perentoriedad, preclusión de plazos y concentración de fases de alegaciones y prueba que son propias de la modalidad procesal regulada en el citado precepto legal, este Tribunal ha procedido mediante providencia de 9 de mayo de 2007 a otorgar al recurrente de un trámite de audiencia (bien que forzosamente reducido en cuanto al plazo) sólo previsto en la vía del amparo común, con el resultado que obra en los antecedentes, decisión que aúna las garantías del art. 24 CE con las exigencias de celeridad de los procesos de revisión judicial de la proclamación de candidaturas electorales.</w:t>
      </w:r>
    </w:p>
    <w:p w:rsidR="00DE14C9" w:rsidRDefault="00DE14C9" w:rsidP="00DE14C9">
      <w:pPr>
        <w:pStyle w:val="TextoNormal"/>
      </w:pPr>
      <w:r>
        <w:lastRenderedPageBreak/>
        <w:t>Atendiendo, en definitiva, a la naturaleza, contenido y alcance de las resoluciones impugnadas, a la pretensión deducida ante nosotros y a los términos en que sería factible su perfecta satisfacción sin perjuicio de otros derechos e intereses, procede la tramitación del presente recurso de amparo por la vía del art. 49 LOREG, lo que, como se ha dicho anteriormente, sólo ha tenido el efecto de acortamiento de los plazos, inevitable para la consecución de la efectiva tutela de los derechos que en este recurso de amparo se demanda, pero no, como también se ha indicado, la privación de las garantías inherentes al proceso constitucional de amparo.</w:t>
      </w:r>
    </w:p>
    <w:p w:rsidR="00DE14C9" w:rsidRDefault="00DE14C9" w:rsidP="00DE14C9">
      <w:pPr>
        <w:pStyle w:val="TextoNormal"/>
      </w:pPr>
      <w:r>
        <w:t>Por lo demás, ha de advertirse que el propio recurrente ha consentido nuestra providencia de 9 de mayo de 2007, al no interponer el recurso de súplica contra la misma que le fue ofrecido expresamente, lo que evidencia que ninguna tacha de indefensión cabe oponer a nuestra decisión de tramitar el presente recurso de amparo conforme a las reglas previstas en el art. 49 LOREG.</w:t>
      </w:r>
    </w:p>
    <w:p w:rsidR="00DE14C9" w:rsidRDefault="00DE14C9" w:rsidP="00DE14C9">
      <w:pPr>
        <w:pStyle w:val="TextoNormal"/>
      </w:pPr>
    </w:p>
    <w:p w:rsidR="00DE14C9" w:rsidRDefault="00DE14C9" w:rsidP="00DE14C9">
      <w:pPr>
        <w:pStyle w:val="TextoNormal"/>
      </w:pPr>
      <w:r w:rsidRPr="00DE14C9">
        <w:rPr>
          <w:rStyle w:val="NumeroAFNegritaCaracter"/>
        </w:rPr>
        <w:t>3</w:t>
      </w:r>
      <w:r>
        <w:t>. El partido político demandante de amparo imputa, en síntesis, a los Autos recurridos, en primer término, la vulneración del derecho a la tutela judicial efectiva (art. 24.1 CE), en relación con el derecho a un proceso con todas las garantías (art.  24.2 CE), y el derecho a un proceso justo (art. 6.1 CEDH), por haberse tramitado las demandas del Abogado del Estado y del Ministerio Fiscal por el cauce procesal del art. 12.3, en relación con el art. 12.1 b), ambos LOPP, en vez por la vía del recurso contencioso-electoral del art. 49 LOREG. En segundo lugar, achaca al Auto de 5 de mayo de 2007 la vulneración del derecho a participar en los asuntos públicos, directamente o por medio de representantes, libremente elegidos en elecciones periódicas por sufragio universal (art. 23 CE), en relación con los arts. 6 y 22.1 CE y con el art. 3 del Protocolo núm. 1 del Convenio europeo de derechos humanos (CEDH), al anular los acuerdos de proclamación de candidaturas presentadas por un partido político legal que no forma parte de lo que la Sala Especial del art. 61 LOPJ del Tribunal Supremo viene denominando desde las Sentencias de ilegalización de los partidos políticos Herri Batasuna, Euskal Herritarrok y Batasuna, de 27 de marzo de 2003, complejo Batasuna, ni mantiene relaciones orgánicas y de dependencia funcional con ETA, ni, en fin, tiene entre sus dirigentes o afiliados a personas condenadas por delitos de terrorismo, manteniendo además una clara posición respecto de la violencia.</w:t>
      </w:r>
    </w:p>
    <w:p w:rsidR="00DE14C9" w:rsidRDefault="00DE14C9" w:rsidP="00DE14C9">
      <w:pPr>
        <w:pStyle w:val="TextoNormal"/>
      </w:pPr>
      <w:r>
        <w:t>El Abogado del Estado y el Ministerio Fiscal, por las razones que se han dejado expuestas en los antecedentes de esta Sentencia, se oponen a la estimación de la demanda de amparo.</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En relación con la primera de las vulneraciones aducidas, en la demanda de amparo se argumenta al respecto, en síntesis, que las pretensiones ejercidas por el Abogado del Estado y por el Ministerio Fiscal consistían en la impugnación de determinados acuerdos de proclamación de candidaturas del partido recurrente como consecuencia de una supuesta continuidad o sucesión en la actividad de un partido declarado ilegal y disuelto, que la Sala Especial del art. 61 LOPJ del Tribunal Supremo acuerda tramitar, no a través de la vía del recurso contencioso-electoral (art. 49 LOREG), sino por el proceso de ejecución de las sentencias de ilegalización de los partidos políticos Herri Batasuna, Euskal Herritarrok y Batasuna, de 27 de marzo de 2003, es decir, por la vía del art. 12 LOPP, anulando los actos de proclamación de las candidaturas. Decisión que califica de errónea, arbitraria y lesiva de los derechos fundamentales invocados, en cuanto la pretensión que se ha ejercitado y sobre la que la Sala ha decidido es un acto de naturaleza evidentemente administrativa, que solamente puede ser recurrido en vía contencioso-administrativa ante los órganos de esa jurisdicción y a través de los procedimientos legalmente previstos, no pudiendo utilizarse la vía </w:t>
      </w:r>
      <w:r>
        <w:lastRenderedPageBreak/>
        <w:t>procesal del art. 12 LOPP para impugnar y decidir sobre un acto administrativo, como lo son los acuerdos de las Juntas Electorales. Además para poder utilizarse este incidente de ejecución, la pretensión ejercitada por el Ministerio Fiscal y el Abogado del Estado debió atacar las candidaturas presentadas, una vez que tuvieron conocimiento de su composición a través de los boletines oficiales, ya que ésta es la actividad desarrollada por el partido político, no los acuerdos de proclamación de las Juntas Electorales, que son actos administrativos. En definitiva, concluye en este extremo la demanda, nos hallamos ante una alteración del orden jurisdiccional (contencioso-administrativo/civil), que no puede ser llevada a cabo por la Sala Especial del art. 61 LOPJ del Tribunal Supremo, ya que en la interpretación y aplicación de la legalidad vigente viene determinada y constreñida por las pretensiones que realmente se ejercitan, no pudiendo la Sala sustituir de oficio los actos recurridos.</w:t>
      </w:r>
    </w:p>
    <w:p w:rsidR="00DE14C9" w:rsidRDefault="00DE14C9" w:rsidP="00DE14C9">
      <w:pPr>
        <w:pStyle w:val="TextoNormal"/>
      </w:pPr>
    </w:p>
    <w:p w:rsidR="00DE14C9" w:rsidRDefault="00DE14C9" w:rsidP="00DE14C9">
      <w:pPr>
        <w:pStyle w:val="TextoNormal"/>
      </w:pPr>
      <w:r w:rsidRPr="00DE14C9">
        <w:rPr>
          <w:rStyle w:val="NumeroAFNegritaCaracter"/>
        </w:rPr>
        <w:t>5</w:t>
      </w:r>
      <w:r>
        <w:t>. Es reiterada doctrina constitucional, de la que el propio demandante de amparo se hace eco, que la selección e interpretación de la normas procesales y su aplicación al caso concreto competen, en principio y como regla general, a los órganos judiciales en el ejercicio de la función jurisdiccional que con carácter exclusivo les confiere el art. 117.3 CE, no siendo función de este Tribunal examinar la interpretación de la legalidad hecha por los órganos judiciales, salvo que por manifiestamente arbitraria, claramente errónea o por no satisfacer las exigencias de proporcionalidad inherentes a la restricción de todo derecho fundamental implique por sí misma lesiones específicas de las garantías sustanciales del procedimiento constitucionalizadas en el art. 24 CE (SSTC 132/1992, de 28 de septiembre, FJ 2; 236/1998, de 14 de diciembre, FJ 2; 285/2000, de 27 de noviembre, FJ 3; 77/2002, de 8 de abril, FJ 3; 5/2005, de 16 de enero, FJ 8, por todas). Y ello porque en definitiva como también tenemos reiterado “el art. 24 CE no incluye un derecho fundamental a procesos determinados, siendo los órganos judiciales, los que, aplicando las normas competenciales o de otra índole, han de encauzar cada pretensión por el procedimiento adecuado” (STC 214/2000, de 18 de septiembre, FJ 5).</w:t>
      </w:r>
    </w:p>
    <w:p w:rsidR="00DE14C9" w:rsidRDefault="00DE14C9" w:rsidP="00DE14C9">
      <w:pPr>
        <w:pStyle w:val="TextoNormal"/>
      </w:pPr>
      <w:r>
        <w:t>Pues bien, en el presente caso el Tribunal Supremo, máximo intérprete de la legalidad ordinaria en el ejercicio de la función jurisdiccional (art. 123.1 CE), en una interpretación de la legalidad procesal vigente que en modo alguno cabe tildar de arbitraria, irrazonable o desproporcionada por su rigorismo se ha pronunciado sobre la vía procesal adecuada a través de la cual se habían de articular las pretensiones impugnatorias del Abogado del Estado y del Ministerio Fiscal. En este sentido, la Sala, en el Auto de 5 de mayo de 2007, razona pormenorizadamente, tras dejar sentado que en virtud del principio de legalidad procesal (art. 1 de la Ley de enjuiciamiento civil: LEC) ha de velar de oficio por la adecuación del procedimiento que se promueve a las pretensiones que realmente se ejercitan, que el incidente de ejecución del art. 12 LOPP es el cauce adecuado para perseguir la presentación por un partido político de candidaturas con el ánimo de defraudar los efectos de la declaración de ilegalidad de otro partido político, es decir, con la finalidad abusiva de continuar con su actividad quebrantando las sentencias de ilegalización, siendo en consecuencia la Sala la competente para apreciar, en su caso, la continuidad o sucesión de un partido ilegalizado y disuelto por otro partido legal, venga referida la impugnación a la presentación o no de candidaturas.</w:t>
      </w:r>
    </w:p>
    <w:p w:rsidR="00DE14C9" w:rsidRDefault="00DE14C9" w:rsidP="00DE14C9">
      <w:pPr>
        <w:pStyle w:val="TextoNormal"/>
      </w:pPr>
      <w:r>
        <w:t xml:space="preserve">En definitiva, el Tribunal Supremo, en una interpretación de la legalidad procesal vigente que no es arbitraria, errónea o desproporcionada, ha determinado el cauce procesal a través del cual ha considerado que debían tramitarse las pretensiones ejercitadas por el Abogado del Estado y por el Ministerio Fiscal, por lo que, desde la perspectiva de control que a este </w:t>
      </w:r>
      <w:r>
        <w:lastRenderedPageBreak/>
        <w:t>Tribunal corresponde, no puede apreciarse la denunciada lesión del derecho a la tutela judicial efectiva (art. 24.1 CE).  Conclusión ésta que, a mayor abundamiento, no puede verse alterada por las consideraciones del demandante de amparo relativas, en primer término, a la posibilidad de que se pueda decidir sobre un acto administrativo en el proceso de ejecución del art. 12 LOPP y por la Sala Especial del art. 61 LOPJ del Tribunal Supremo, pues, como pone de manifiesto el Abogado del Estado, en cuanto a la posibilidad de que ésta se pronuncie sobre actos administrativos y, en concreto, sobre la proclamación de candidaturas, expresamente está recogida en la Ley Orgánica del régimen electoral general en relación con las agrupaciones electorales, y, por otra parte, en modo alguno cabe descartar que en el marco del proceso de ejecución del art. 12 LOPP se anulen actos administrativos como consecuencia de la apreciación de la utilización de un partido ya inscrito para continuar o suceder la actividad de otro declarado ilegal y disuelto a efectos de evitar actos realizados en fraude de la sentencia de ilegalización.  Asimismo, en segundo lugar, frente a lo que se afirma de modo apodíctico en la demanda de amparo, ninguna razón se vislumbra para sostener que en el incidente de ejecución del art. 12 LOPP únicamente se pueden atacar las candidaturas presentadas por el partido político que supuestamente pretende suceder o continuar la actividad de un partido declarado ilegal y disuelto y no las proclamadas por las Juntas electorales, pues lo relevante, desde la perspectiva del art. 12 LOPP es si esas candidaturas, presentadas o proclamadas, revelan aquella supuesta sucesión o continuidad.</w:t>
      </w:r>
    </w:p>
    <w:p w:rsidR="00DE14C9" w:rsidRDefault="00DE14C9" w:rsidP="00DE14C9">
      <w:pPr>
        <w:pStyle w:val="TextoNormal"/>
      </w:pPr>
      <w:r>
        <w:t>Así pues, de la lectura de la fundamentación jurídica que el Auto de 5 de mayo de 2007 contiene respecto a la decisión de tramitar las pretensiones del Abogado del Estado y del Ministerio Fiscal por el proceso de ejecución del art. 12 LOPP cabe concluir que se ha aplicado un cauce procesal existente, el citado de ejecución, previsto en la ley, y cuya aplicación a este caso concreto, además de no haber causado indefensión, no trasciende el ámbito de la estricta legalidad ordinaria y no puede considerarse arbitraria, irrazonable o incursa en error patente, como se desprende de la motivación explicitada en el referido Auto, por lo que ha de desestimarse la denunciada vulneración del derecho a la tutela judicial efectiva (art. 24.1 CE).</w:t>
      </w:r>
    </w:p>
    <w:p w:rsidR="00DE14C9" w:rsidRDefault="00DE14C9" w:rsidP="00DE14C9">
      <w:pPr>
        <w:pStyle w:val="TextoNormal"/>
      </w:pPr>
      <w:r>
        <w:t>E igual suerte ha de correr la invocación que en la demanda se hace del derecho a un proceso con todas las garantías (art. 24.2 CE), pues en el presente caso, al margen de la valoración que desde la perspectiva del art. 23 CE pueda merecer la decisión adoptada respecto a las candidaturas del partido recurrente en amparo, ni se alega ni se justifica en la demanda ninguna merma de las garantías de defensa, de la que pudiera acaso inferirse la existencia de una situación de indefensión constitucionalmente relevante como consecuencia del cauce procesal a través del cual la Sala del art. 61 LOPJ del Tribunal Supremo ha tramitado las pretensiones deducidas por el Abogado del Estado y por el Ministerio Fiscal. En este sentido, no puede dejar de resaltarse que el recurrente ha sido efectivamente oído antes de adoptar en el Auto de 4 de mayo de 2007 la decisión sobre el procedimiento a seguir y que en el seno de éste ha tenido ocasión de defender sus derechos e intereses con todas las garantías. En conclusión, como el Ministerio Fiscal pone de manifiesto, tampoco desde las perspectivas de las garantías esenciales del proceso justo cabe apreciar vulneración alguna, derivada de la elección del cauce procesal para tramitar las demandas del Abogado del Estado y del Ministerio Fiscal.</w:t>
      </w:r>
    </w:p>
    <w:p w:rsidR="00DE14C9" w:rsidRDefault="00DE14C9" w:rsidP="00DE14C9">
      <w:pPr>
        <w:pStyle w:val="TextoNormal"/>
      </w:pPr>
    </w:p>
    <w:p w:rsidR="00DE14C9" w:rsidRDefault="00DE14C9" w:rsidP="00DE14C9">
      <w:pPr>
        <w:pStyle w:val="TextoNormal"/>
      </w:pPr>
      <w:r w:rsidRPr="00DE14C9">
        <w:rPr>
          <w:rStyle w:val="NumeroAFNegritaCaracter"/>
        </w:rPr>
        <w:t>6</w:t>
      </w:r>
      <w:r>
        <w:t xml:space="preserve">. Las resoluciones judiciales impugnadas se han dictado en el curso del proceso de ejecución 1-2003 dimanante de los autos acumulados 6-2002 y 7-2002, sobre ilegalización de tres partidos políticos. Su objeto no es otro, por tanto, que “asegurar … que se respeten y ejecuten todos los efectos previstos por las leyes para el supuesto de disolución de un partido </w:t>
      </w:r>
      <w:r>
        <w:lastRenderedPageBreak/>
        <w:t>político”, según dispone el art. 12.2 LOPP. En particular, se trata de impedir —como prescribe el art. 12.3 LOPP— que el partido disuelto encuentre continuidad en otro ya existente al tiempo de su disolución o se procure una personalidad distinta en un partido de nueva creación. Pero también, con alcance más general, de evitar que mediante “actos ejecutados en fraude de ley o con abuso de personalidad jurídica” [art. 12.1 b) LOPP] se impida la debida aplicación de la legalidad.</w:t>
      </w:r>
    </w:p>
    <w:p w:rsidR="00DE14C9" w:rsidRDefault="00DE14C9" w:rsidP="00DE14C9">
      <w:pPr>
        <w:pStyle w:val="TextoNormal"/>
      </w:pPr>
      <w:r>
        <w:t>En el presente supuesto, ni el Abogado del Estado ni el Ministerio Fiscal han pretendido que el Tribunal Supremo tuviera al partido ahora recurrente por sucesor de los partidos disueltos en los autos acumulados 6-2002 y 7-2002. Y tampoco han impugnado todas las candidaturas presentadas por el recurrente. Uno y otro han coincidido, como se recoge en el fundamento jurídico segundo del Auto de 5 de mayo de 2007, en que sus respectivas pretensiones no pueden extenderse hasta ese punto “en el momento en que ejercitan su acción”. Pero sí al de procurar que se frustre la elusión de una de las consecuencias principales de la disolución de un partido, cual es la de impedir su concurso en una contienda electoral.</w:t>
      </w:r>
    </w:p>
    <w:p w:rsidR="00DE14C9" w:rsidRDefault="00DE14C9" w:rsidP="00DE14C9">
      <w:pPr>
        <w:pStyle w:val="TextoNormal"/>
      </w:pPr>
      <w:r>
        <w:t>Han entendido el Ministerio público y el Abogado del Estado, en efecto, que los partidos disueltos pretendían concurrir a las próximas elecciones sirviéndose del instrumento de un partido ya inscrito, aunque relativamente inactivo en los últimos años y ahora reactivado, precisamente, con ese fin defraudatorio.</w:t>
      </w:r>
    </w:p>
    <w:p w:rsidR="00DE14C9" w:rsidRDefault="00DE14C9" w:rsidP="00DE14C9">
      <w:pPr>
        <w:pStyle w:val="TextoNormal"/>
      </w:pPr>
      <w:r>
        <w:t>Tenemos en este caso, de un lado, pues, un partido legal; de otro, la sospecha de que su primera actividad tras un largo período sin mayor presencia en la vida política fuera la de constituirse en instrumento para el acceso de un partido ilegalizado a las instituciones públicas. Eventualidad ésta que la Ley electoral impide expresamente que pueda materializarse a través de agrupaciones electorales, pero para la que no prevé una técnica específica en el supuesto de que intente consumarse por medio de un partido acaso incurso, por ello, en causa que pudiera determinar su disolución en el futuro, pero perfectamente legal y en plenitud de derechos en el momento de advertirse el riesgo de la tentativa defraudatoria. Ahora bien, si la sospecha de que con algunas de las candidaturas presentadas por un partido se pretende dar continuidad a un partido disuelto pudiera entenderse razonablemente como insuficiente para tachar a aquél de mero continuador de éste, los poderes públicos no pueden, sin embargo, dejar de reaccionar frente a esa eventual maniobra defraudatoria impidiendo la proclamación de aquellas candidaturas. La demostración de que el partido en cuestión es mero continuador del disuelto bastaría para frustrar todas sus candidaturas. Pero la identificación de un número significativo de candidaturas acaso fraudulentas podrá servir a esos efectos, para demostrar aquélla continuidad, si bien sólo en unión de otras circunstancias que abonen ese juicio de manera suficiente y razonable.</w:t>
      </w:r>
    </w:p>
    <w:p w:rsidR="00DE14C9" w:rsidRDefault="00DE14C9" w:rsidP="00DE14C9">
      <w:pPr>
        <w:pStyle w:val="TextoNormal"/>
      </w:pPr>
      <w:r>
        <w:t xml:space="preserve">En el caso del partido recurrente, se ha acreditado en los autos núm. 6-2002 y 7-2002 que algunas de sus candidaturas ofrecen elementos de conexión con partidos declarados ilegales. Para ello se ha servido el Tribunal Supremo de la técnica prevista en la Ley electoral para la invalidación de agrupaciones electorales. Una técnica que pudiera parecer extravagante aplicada a una parte de las candidaturas de un partido y no a la totalidad de las que éste ha presentado, pues el hecho de que todas ellas lo sean formalmente de un único partido político no permite trazar diferencias entre las mismas ni conferirles una existencia separada o autónoma. Sin embargo, así como puede darse el caso de que el partido disuelto intente acceder a las instituciones representativas por medio de agrupaciones electorales, o continuarse en un partido de nueva creación, puede también suceder que procure hacerse con la estructura de otro partido de manera gradual y, sin llegar a hacerlo suyo por completo, adquirir en él una posición dominante o, cuando menos, significativa. En tal supuesto, la </w:t>
      </w:r>
      <w:r>
        <w:lastRenderedPageBreak/>
        <w:t>inexistencia de una dirección unitaria en el partido podría tener su consecuencia en la autonomía de las candidaturas por él formalizadas, reducidas respectivamente a unidad en centros directivos diferenciados.</w:t>
      </w:r>
    </w:p>
    <w:p w:rsidR="00DE14C9" w:rsidRDefault="00DE14C9" w:rsidP="00DE14C9">
      <w:pPr>
        <w:pStyle w:val="TextoNormal"/>
      </w:pPr>
      <w:r>
        <w:t>La circunstancia de que buena parte de las candidaturas presentadas por el partido recurrente responden al designio de una maniobra defraudatoria ha quedado acreditada con la identificación de una trama conformada por un conjunto de candidaturas articuladas alrededor de una dirección separada de la oficial de aquel partido, a la que sólo cabe imputar las listas que, también presentadas en su nombre, no presentan indicios de conexión material con aquélla. No habiéndose alcanzado el punto en que la trama defraudatoria se confunda con la dirección formal del partido, la disolución de éste pudiera haber resultado desproporcionada, pero la indemnidad de las candidaturas que se han demostrado utilizadas al servicio de un fraude de la legalidad supondría una inaceptable infracción de la obligación de asegurar que se respeten y ejecuten todos los efectos previstos por las leyes para el supuesto de disolución de un partido político (art. 12.2 LOPP). En este caso, declarando la improcedencia de la continuidad de los partidos disueltos mediante el abuso de la personalidad jurídica de un partido distinto para la incorporación en las instituciones representativas de quienes quieren perpetuar en ellas la actividad de un partido ilegal.</w:t>
      </w:r>
    </w:p>
    <w:p w:rsidR="00DE14C9" w:rsidRDefault="00DE14C9" w:rsidP="00DE14C9">
      <w:pPr>
        <w:pStyle w:val="TextoNormal"/>
      </w:pPr>
      <w:r>
        <w:t>Al objeto de acreditar el grado de instrumentalización padecido por el partido recurrente y, sin perjuicio de su continuidad como partido legal en tanto no pueda acreditarse suficientemente que concurren circunstancias bastantes para su disolución, impedir la consecuencia de que aquellas de sus candidaturas que, por responder a un designio espurio al de su dirección oficial, puedan facilitar la presencia en las instituciones democráticas de los partidos disueltos, la Sala sentenciadora se ha servido de la técnica arbitrada por la Ley electoral para impedir la proclamación de agrupaciones electorales desnaturalizadas al servicio de ese mismo fin defraudatorio. Así, ha acreditado la existencia de una trama defraudatoria en la que se han concertado determinadas candidaturas que, dotadas de autonomía frente al partido recurrente, se han constituido materialmente en sujetos electorales separados, esto es, en equivalentes de agrupaciones de electores sintonizadas bajo un designio común o, sencillamente, en un nuevo partido de facto, cuya suerte no ha de correr pareja con la del partido al que sólo les une una relación puramente formal.</w:t>
      </w:r>
    </w:p>
    <w:p w:rsidR="00DE14C9" w:rsidRDefault="00DE14C9" w:rsidP="00DE14C9">
      <w:pPr>
        <w:pStyle w:val="TextoNormal"/>
      </w:pPr>
      <w:r>
        <w:t xml:space="preserve">No se ha disuelto, en fin, un partido (el recurrente), pero sí, con su no proclamación como candidaturas, las realidades separadas en que, por su autonomía respecto de la dirección del partido, se habían convertido algunas de sus listas electorales.  Una disolución, al cabo, conforme con el proceso de ejecución de lo acordado en un procedimiento de ilegalización de partidos políticos que ahora se ha demostrado que han querido reconstituirse bajo la veste jurídica de la candidatura electoral, como en el pasado (y aun en estos próximos comicios, según se desprende de la Sentencia con la que también hoy resolvemos los recursos de amparo núms. 4107-2007 y otros) lo intentaron bajo la de la agrupación de electores. De nuevo, en fin, la continuidad de un partido ilegalizado se ha intentado con el recurso a la desnaturalización de otras instituciones jurídicas. En el caso, subvirtiendo la naturaleza de las listas electorales de manera que, dejando de ser instrumento para la formalización de la propuesta electoral de un partido político, se convirtieran en elementos constitutivos de una realidad distinta y superior, separada del partido que formalmente las auspicia y dirigidas al fin del acceso del partido ilegalizado a las instituciones democráticas.  Con la anulación de proclamación de candidaturas se ha procedido, en realidad, a la disolución como una suerte de partido de facto —constituido con el solo propósito de defraudar una Sentencia de ilegalización— de una estructura institucional elevada sobre el entramado de unas candidaturas en realidad ajenas al partido legal que las cobija y que ha sido instrumentalizado con ese </w:t>
      </w:r>
      <w:r>
        <w:lastRenderedPageBreak/>
        <w:t>objeto desde una trama directiva ilícita que, al menos todavía, es ajena y distinta a la suya legal y propia.</w:t>
      </w:r>
    </w:p>
    <w:p w:rsidR="00DE14C9" w:rsidRDefault="00DE14C9" w:rsidP="00DE14C9">
      <w:pPr>
        <w:pStyle w:val="TextoNormal"/>
      </w:pPr>
      <w:r>
        <w:t>Ahora bien, nuestro enjuiciamiento ha de referirse exclusivamente al examen de las tachas que se han apreciado respecto de las concretas candidaturas objeto del proceso seguido ante la Sala del artículo 61 LOPJ, sin que podamos hacer consideraciones respecto al partido AEA-ANV en su conjunto, ni tampoco sobre la candidaturas que, al no ser impugnadas, quedan fuera del objeto propio de estos autos.</w:t>
      </w:r>
    </w:p>
    <w:p w:rsidR="00DE14C9" w:rsidRDefault="00DE14C9" w:rsidP="00DE14C9">
      <w:pPr>
        <w:pStyle w:val="TextoNormal"/>
      </w:pPr>
    </w:p>
    <w:p w:rsidR="00DE14C9" w:rsidRDefault="00DE14C9" w:rsidP="00DE14C9">
      <w:pPr>
        <w:pStyle w:val="TextoNormal"/>
      </w:pPr>
      <w:r w:rsidRPr="00DE14C9">
        <w:rPr>
          <w:rStyle w:val="NumeroAFNegritaCaracter"/>
        </w:rPr>
        <w:t>7</w:t>
      </w:r>
      <w:r>
        <w:t>. Sentado cuanto antecede, en este proceso de amparo nos cumple verificar si la Sala Especial del art. 61 LOPJ del Tribunal Supremo ha acreditado de manera motivada y suficiente en el caso de autos la existencia de una trama defraudatoria tendente a la instrumentalización de las candidaturas cuya proclamación ha sido anulada para suceder y dar continuidad a la actividad de los partidos políticos judicialmente declarados ilegales y disueltos. Desde la perspectiva que nos es propia en tanto que Tribunal de amparo, se trata de determinar si cabe apreciar una vulneración del derecho a participar en los asuntos públicos invocado por el partido recurrente en atención a la consistencia que, en términos constitucionales, ofrece la convicción judicial alcanzada en el proceso previo en punto a la naturaleza fraudulenta de las candidaturas que han sido excluidas del proceso electoral por haberse demostrado que con ellas solo se quiere dar continuidad a los partidos ilegalizados por Sentencia firme.</w:t>
      </w:r>
    </w:p>
    <w:p w:rsidR="00DE14C9" w:rsidRDefault="00DE14C9" w:rsidP="00DE14C9">
      <w:pPr>
        <w:pStyle w:val="TextoNormal"/>
      </w:pPr>
      <w:r>
        <w:t>Así pues, debemos examinar si la convicción alcanzada por la Sala Especial del art. 61 LOPJ del Tribunal Supremo ha lesionado el derecho del partido recurrente a participar en los asuntos públicos. En este sentido, como hemos declarado en la STC 85/2003, de 8 de mayo (FJ 29), y reiteramos en la STC 68/2005, de 21 de marzo (FJ 11), “sólo nos cabe revisar la apreciación de la Sala del art. 61 LOPJ en aquellos supuestos en los que, desde los propios criterios interpretativos asumidos por el Tribunal Supremo, la convicción alcanzada pugne con un derecho constitucionalmente relevante; en el caso el derecho de sufragio pasivo. En definitiva, estando en juego la efectividad del ejercicio de un derecho fundamental, este Tribunal Constitucional, ponderando los derechos individuales en presencia y el interés general del ordenamiento en la sujeción de los procedimientos electorales al principio de legalidad, debe verificar aquella revisión con arreglo a un canon decisorio cuyo contenido ha de depender de la apreciación conjunta de una pluralidad de magnitudes y referencias que permitan inferir, de modo razonable y no arbitrario, [que las candidaturas excluidas del] procedimiento electoral ha[n] actuado, de hecho, como continuadora[s] de la actividad de los partidos ilegalizados”.</w:t>
      </w:r>
    </w:p>
    <w:p w:rsidR="00DE14C9" w:rsidRDefault="00DE14C9" w:rsidP="00DE14C9">
      <w:pPr>
        <w:pStyle w:val="TextoNormal"/>
      </w:pPr>
    </w:p>
    <w:p w:rsidR="00DE14C9" w:rsidRDefault="00DE14C9" w:rsidP="00DE14C9">
      <w:pPr>
        <w:pStyle w:val="TextoNormal"/>
      </w:pPr>
      <w:r w:rsidRPr="00DE14C9">
        <w:rPr>
          <w:rStyle w:val="NumeroAFNegritaCaracter"/>
        </w:rPr>
        <w:t>8</w:t>
      </w:r>
      <w:r>
        <w:t>. La convicción judicial de la existencia de una estrategia defraudatoria tendente a dar vida a través de las candidaturas cuya proclamación ha sido anulada a los partidos ilegalizados se funda en este caso en la concurrencia de una serie de elementos probatorios que apreciados en su conjunto han llevado a la Sala Especial del art. 61 LOPJ del Tribunal Supremo a la conclusión de que aquellas candidaturas del partido político recurrente han sido instrumentalizadas en su provecho por los partidos políticos ilegalizados. Para alcanzar esta conclusión la Sala ha debido superar las dificultades inherentes al descubrimiento de toda trama defraudatoria y se ha basado en un material probatorio constituido tanto por pruebas directas como indiciarias.</w:t>
      </w:r>
    </w:p>
    <w:p w:rsidR="00DE14C9" w:rsidRDefault="00DE14C9" w:rsidP="00DE14C9">
      <w:pPr>
        <w:pStyle w:val="TextoNormal"/>
      </w:pPr>
      <w:r>
        <w:t xml:space="preserve">Tras referirse con carácter previo a la naturaleza y eficacia de algunos elementos probatorios tomados en consideración, en concreto, el valor que cabe conferir a los informes elaborados por los cuerpos y fuerzas de seguridad del Estado, de acuerdo con los criterios al </w:t>
      </w:r>
      <w:r>
        <w:lastRenderedPageBreak/>
        <w:t>respecto establecidos en las SSTC 5/2004, de 16 de enero (FJ 14), y 99/2004, de 27 de mayo (FJ 12), y a las informaciones periodísticas (STC 5/2004, de 16 de enero, FJ 11), la Sala parte como dato objetivo, debidamente acreditado, de los intentos de la organización terrorista ETA y de los partidos ilegalizados y disueltos de participar desde las sentencias de ilegalización en todos los procesos electorales que han tenido lugar en la Comunidad Autónoma del País Vasco y en la Comunidad Foral de Navarra, con la única excepción de las elecciones generales del 2004, trazando a tal fin las estrategias necesarias y cursando las oportunas instrucciones a las personas u organizaciones de su entorno. En las indicadas convocatorias electorales se articularon a tal fin agrupaciones electorales en las diversas circunscripciones para continuar y suceder la actividad de los partidos ilegalizados y disueltos, cuyas proclamaciones, en los casos en los que se ha apreciado dicha continuación y sucesión, han sido anuladas por el Tribunal Supremo, desestimando este Tribunal Constitucional en la mayoría de los supuestos los recursos de amparo electoral promovidos contra sus resoluciones. Incluso en las elecciones electorales a celebrar el próximo 27 de mayo de 2007, los partidos ilegalizados han articulado también una estrategia defrautaria a través de la constitución de agrupación electorales con la denominación de “Abertzale Sozialistak” seguida del nombre el municipio correspondiente, la proclamación de cuyas candidaturas ha sido anulada por el Tribunal Supremo por Sentencia de 5 de mayo de 2007 y desestimados por la Sentencia de este Tribunal 110/2007, de 10 de mayo, resolutoria de los recursos de amparo núms.  4107-2007 y otros. Es precisamente en el contexto de perpetuar con ocasión de este proceso electoral la continuidad y sucesión de los partidos políticos declarados ilegales y disueltos en el que la Sala sitúa el intento de instrumentalizar las candidaturas del partido político recurrente. En modo alguno resulta ocioso recordar al respecto, como ya hemos tenido ocasión de declarar en la STC 99/2004 (FJ 16), que, tratándose de la continuidad de un partido ilegalizado, el dato de tentativas de formalización de candidaturas frustradas en el pasado por razón, precisamente, de esa continuidad ilícita, puede avalar también, en tanto que indicio, una línea de continuidad en esa tentativa defraudatoria.</w:t>
      </w:r>
    </w:p>
    <w:p w:rsidR="00DE14C9" w:rsidRDefault="00DE14C9" w:rsidP="00DE14C9">
      <w:pPr>
        <w:pStyle w:val="TextoNormal"/>
      </w:pPr>
      <w:r>
        <w:t>A partir del dato apuntado, la Sala funda su convicción en un primer conjunto de indicios de carácter objetivo de los que infiere la actividad fraudulenta desplegada por los partidos ilegalizados y disueltos para utilizar parte de las candidaturas del partido político recurrente en amparo. Entre otros indicios, la Sala ha tenido en cuenta, en primer lugar, la detención, con ocasión de la operación antiterrorista de los cuerpos y fuerzas de seguridad del Estado en la desarticulación del comando de “liberados” Uruderra, de don Jorge Murillo Echevarria, coordinador de la Mesa de Navarra de la ilegalizada Batasuna en la zona Leiz-Sakana, en cuyo poder se encontró documentación —documento denominado Ultzama hauteskundeat/Zena.doc— en la que figuraban en tres columnas los nombres de 31 personas, 3 de las cuales se presentaban a las elecciones en la candidatura de la agrupación electoral Ultzamako Abertzale Sozialistak y otras 10 en la candidatura presentada por el partido recurrente en amparo en la localidad de Ultzama. También el documento incautado al dirigente de ETA Mikel Albizu Uriarte, trascrito en el Auto del Juzgado Central de Instrucción núm. 5 de 28 de abril de 2007, del que se deriva, a juicio de la Sala, la estrategia de los partidos ilegalizados respecto del proceso electoral y del papel que en el marco de dicha estrategia quieren que ocupe el partido demandante de amparo. Confiere también relevancia la Sala al informe de la Comisaría General del Información sobre las elecciones a celebrar el 27 de mayo de 2007 en el que se alude al aprovechamiento de la cobertura de un partido político ya inscrito y que incluso manifiesta rechazar la violencia.</w:t>
      </w:r>
    </w:p>
    <w:p w:rsidR="00DE14C9" w:rsidRDefault="00DE14C9" w:rsidP="00DE14C9">
      <w:pPr>
        <w:pStyle w:val="TextoNormal"/>
      </w:pPr>
      <w:r>
        <w:t xml:space="preserve">De otro lado, la Sala toma en consideración como indicio de carácter objetivo la propia trayectoria del partido político recurrente en amparo, que únicamente ha concurrido a las </w:t>
      </w:r>
      <w:r>
        <w:lastRenderedPageBreak/>
        <w:t>elecciones celebrados el día 15 de junio de 1977, no obteniendo representación alguna, no habiendo presentado desde entonces candidaturas a ninguna contienda electoral. A partir de la ilegalización de los partidos políticos Herri Batasuna, Euskal Herritarrok y Batasuna tampoco presentó candidaturas, limitándose a pedir el voto en los diferentes comicios para las agrupaciones electorales constituidas con el fin de suceder y continuar la actividad de los partidos políticos declarados ilegales y disueltos. En este sentido, resulta también relevante, sin duda, la información del diario “Deia” y de la agencia Europa Press sobre el resurgimiento y la revitalización electoral del partido político recurrente en amparo, que desde hacía mucho tiempo había abandonado la actividad electoral.</w:t>
      </w:r>
    </w:p>
    <w:p w:rsidR="00DE14C9" w:rsidRDefault="00DE14C9" w:rsidP="00DE14C9">
      <w:pPr>
        <w:pStyle w:val="TextoNormal"/>
      </w:pPr>
      <w:r>
        <w:t>A los anteriores indicios, se añade, en fin, el protocolo de colaboración que en fecha 24 de enero de 2003, esto es, en fechas próximas a las sentencias de ilegalización, pactaron los miembros de Batasuna don Joseba Permach y don Ibon Arbulu con los miembros del partido político recurrente en amparo don Txaro Guerrero Balino y doña Antón Gómez Llorente para intentar en la medida de lo posible frenar parte de los efectos de la ilegalización de Batasuna (STC 85/2003, de 8 de mayo, FJ 27). Y, en fin, la incautación en Francia a quien durante catorce años fue el responsable político de ETA, don Mikel Antxa, de varios documentos, entre los cuales en uno de ellos, encabezado con las palabras “qué hacer”, se conectaba de manera sucesiva la ilegalización de Batasuna, con la congelación para un momento posterior de las siglas que dan nombre al partido recurrente en amparo.</w:t>
      </w:r>
    </w:p>
    <w:p w:rsidR="00DE14C9" w:rsidRDefault="00DE14C9" w:rsidP="00DE14C9">
      <w:pPr>
        <w:pStyle w:val="TextoNormal"/>
      </w:pPr>
    </w:p>
    <w:p w:rsidR="00DE14C9" w:rsidRDefault="00DE14C9" w:rsidP="00DE14C9">
      <w:pPr>
        <w:pStyle w:val="TextoNormal"/>
      </w:pPr>
      <w:r w:rsidRPr="00DE14C9">
        <w:rPr>
          <w:rStyle w:val="NumeroAFNegritaCaracter"/>
        </w:rPr>
        <w:t>9</w:t>
      </w:r>
      <w:r>
        <w:t>. El juicio de constitucionalidad que aquí procede acerca de la valoración de los elementos probatorios objetivos a partir de los cuales la Sala considera que revelan de forma inequívoca y manifiesta la instrumentalización de las candidaturas del partido político recurrente en amparo por los partidos políticos ilegalizados sólo puede llevarnos a descartar en este caso que el Tribunal Supremo haya alcanzado sobre esa base probatoria una conclusión irrazonable o arbitraria, en una consideración de conjunto que ha sido admitida por nuestra jurisprudencia (SSTC 5/2004, de 16 de enero, FJ 10; 99/2004, de 27 de mayo, FJ 17). En efecto, no se advierte que la Sala haya operado a partir de un juicio de inferencia excesivamente abierto, sino que ha realizado una valoración razonable sobre la base de la pertinente ponderación de los bienes y derechos en conflicto, sin derivar de los indicios manejados ninguna inferencia ilógica o tan abierta que permita conclusiones contradictorias.</w:t>
      </w:r>
    </w:p>
    <w:p w:rsidR="00DE14C9" w:rsidRDefault="00DE14C9" w:rsidP="00DE14C9">
      <w:pPr>
        <w:pStyle w:val="TextoNormal"/>
      </w:pPr>
      <w:r>
        <w:t>La Sala juzgadora, en definitiva, ha concluido su apreciación probatoria con una nítida afirmación sobre “la estrategia diseñada por Batasuna”, de tal manera que “los datos objetivos expuestos revelan de forma inequívoca y manifiesta que el proceso de conformación de las candidaturas electorales de ANV que nos ocupan ha sigo gestado y dirigido en todo momento por miembros relevantes de la extinta Batasuna como mecanismo de sucesión, una vez más, de los partidos políticos ilegalizados, esta vez haciendo uso de determinados elementos orgánicos de un partido político legal” (FJ 6 in fine). Esta “utilización fraudulenta” del partido ANV para la presentación de determinadas candidaturas de Batasuna ha quedado probada, en palabras de la Sala, como utilización “al menos parcial” (FJ 8) del partido legal por el disuelto, conclusión que, conforme a lo que ya hemos dejado dicho, no puede, en modo alguno, tacharse de desprovista de fundamento, sustentada como está en un acervo probatorio y en una concordancia de indicios que esta jurisdicción constitucional no puede valorar de nuevo, caso a caso, pero sí estimar, como hacemos, lo bastante sólida para alcanzar, conforme a criterios racionales de valoración de la prueba, las conclusiones ya referidas.</w:t>
      </w:r>
    </w:p>
    <w:p w:rsidR="00DE14C9" w:rsidRDefault="00DE14C9" w:rsidP="00DE14C9">
      <w:pPr>
        <w:pStyle w:val="TextoNormal"/>
      </w:pPr>
      <w:r>
        <w:lastRenderedPageBreak/>
        <w:t>Así las cosas, lo que ahora nos cumple reconocer es, estrictamente, lo siguiente. En primer lugar, que la Sala juzgadora ha constatado —en términos que no admiten censura constitucional— que ha quedado acreditada una operación política del llamado “complejo Batasuna”, operación en parte consumada, para utilizar, con fines de sucesión política, un elevado número de candidaturas electorales del partido, legal hasta ahora, ANV. En segundo lugar, que dicha constatación jurisdiccional no ha afectado al partido en sí mismo y sí sólo a las candidaturas por él presentadas que fueron objeto de controversia en las demandas del Ministerio Fiscal y de la Abogacía del Estado. En tercer lugar, y por último, que la decisión anulatoria del Tribunal Supremo no puede tacharse, sobre la base de lo anterior, de contraria a los derechos fundamentales (art. 23 CE) de los integrantes de las candidaturas anuladas, fundamentada como está, de manera inequívoca, en la probada utilización del partido legal por el disuelto, por más que dicha “utilización” no haya podido acreditarse para el partido en su conjunto y sí sólo para una parte del mismo, lo que sin duda puede justificar la ulterior indagación de la Sala sobre las distintas candidaturas presentadas, indagación que no ha de verse como la identificación de una causa de inelegibilidad, espuria e inconstitucional, asociada a la actuación política previa en las filas o en las listas del partido disuelto, sino, más bien, como la confirmación individualizada que la Sala ha considerado precisa de la utilización de ANV por el partido disuelto e ilegalizado “Batasuna”.</w:t>
      </w:r>
    </w:p>
    <w:p w:rsidR="00DE14C9" w:rsidRDefault="00DE14C9" w:rsidP="00DE14C9">
      <w:pPr>
        <w:pStyle w:val="TextoNormal"/>
      </w:pPr>
    </w:p>
    <w:p w:rsidR="00DE14C9" w:rsidRDefault="00DE14C9" w:rsidP="00DE14C9">
      <w:pPr>
        <w:pStyle w:val="TextoNormal"/>
      </w:pPr>
      <w:r w:rsidRPr="00DE14C9">
        <w:rPr>
          <w:rStyle w:val="NumeroAFNegritaCaracter"/>
        </w:rPr>
        <w:t>10</w:t>
      </w:r>
      <w:r>
        <w:t>. Junto a los antes referidos elementos objetivos con base en los cuales la Sala ha estimado acreditada la intención de defraudar las sentencias de ilegalización dando continuidad a la actividad de los partidos ilegales y disueltos mediante la instrumentalización de las candidaturas del partido político recurrente cuya proclamación ha sido anulada, la Sala procede a continuación a apreciar indicios inequívocos de continuidad desde el punto de vista subjetivo para tener por acreditado que aquella intención ha llegado a materializarse, es decir, ha culminado con la utilización de determinadas candidaturas por los partidos políticos ilegalizados y disueltos para continuar su actividad.</w:t>
      </w:r>
    </w:p>
    <w:p w:rsidR="00DE14C9" w:rsidRDefault="00DE14C9" w:rsidP="00DE14C9">
      <w:pPr>
        <w:pStyle w:val="TextoNormal"/>
      </w:pPr>
      <w:r>
        <w:t>En cuanto a los elementos subjetivos, este Tribunal no puede admitir, como ya ha declarado en la STC 68/2005, de 31 de marzo, que pueda constituir un indicio a tal fin la condición de avalista de las agrupaciones constituidas en distintos procesos electorales para sustituir o dar continuidad a los partidos ilegalizados y disueltos. Asimismo, dada su lejanía tampoco puede reconocerse en principio relevancia al hecho de haber concurrido por los partidos ilegalizados en procesos electorales anteriores al año 1999, conforme al criterio mantenido desde la STC 85/2003 (que considera, en su FJ 26, que la participación de quienes no fueron miembros del partido ilegalizado como dato relevante de la instrumentalización fraudulenta de una candidatura supondría una restricción excesiva del derecho de sufragio pasivo), ni tampoco a ningún tipo de vínculos familiares o personales con aquellos candidatos.</w:t>
      </w:r>
    </w:p>
    <w:p w:rsidR="00DE14C9" w:rsidRDefault="00DE14C9" w:rsidP="00DE14C9">
      <w:pPr>
        <w:pStyle w:val="TextoNormal"/>
      </w:pPr>
      <w:r>
        <w:t xml:space="preserve">El resto de los elementos de continuidad subjetiva apreciados por la Sala (participación en las candidaturas cuya proclamación ha sido anulada de un número significativo de personas que han concurrido como candidatos en las listas de los partidos ilegalizados y disueltos y en las candidaturas de las agrupación electorales con las que se ha pretendido dar continuidad y suceder a aquellos partidos, ocupando además puestos predominantemente relevantes en las mismas, concurriendo en un número considerable de candidatos la condición de cargos electivos obtenidos en las listas presentadas por dichos partidos o de dirigentes de éstos, o, en fin, que ha desempeñado un papel protagonista o relevante en la concertación de los intentos defraudatorios anteriores al proceso electoral en ciernes) son criterios conformes al canon fijado en nuestras SSTC 85/2003, de 8 de mayo, 99/2004, de 27 de </w:t>
      </w:r>
      <w:r>
        <w:lastRenderedPageBreak/>
        <w:t>mayo, y 68/2005, de 31 de marzo, que evidencian en este caso en las candidaturas del partido recurrente cuya proclamación ha sido anulada la conformación de un propósito defraudatorio de las sentencias de ilegalización tendente a dar cobertura a la actividad de los partidos políticos ilegalizados y disueltos.</w:t>
      </w:r>
    </w:p>
    <w:p w:rsidR="00DE14C9" w:rsidRDefault="00DE14C9" w:rsidP="00DE14C9">
      <w:pPr>
        <w:pStyle w:val="TextoNormal"/>
      </w:pPr>
    </w:p>
    <w:p w:rsidR="00DE14C9" w:rsidRDefault="00DE14C9" w:rsidP="00DE14C9">
      <w:pPr>
        <w:pStyle w:val="TextoNormal"/>
      </w:pPr>
      <w:r w:rsidRPr="00DE14C9">
        <w:rPr>
          <w:rStyle w:val="NumeroAFNegritaCaracter"/>
        </w:rPr>
        <w:t>11</w:t>
      </w:r>
      <w:r>
        <w:t>. Cierto es que el partido recurrente en amparo cuestiona las conclusiones probatorias de la Sala, discutiendo incluso la veracidad de algunos de los elementos probatorios en los que las sustentan. Así por ejemplo, se discuten las afirmaciones de la Sala respecto de los concretos procesos electorales en los que han concurrido algunos candidatos cuya presencia en las listas no proclamadas ha sido considerada como un indicio relevante; también que la posición ocupada por algunas de tales personas en las correspondientes candidaturas sea la que afirma el Tribunal Supremo; que éste haya podido incurrir en errores cuantitativos de mínima entidad en relación con el número de personas reunidas en una lista; asimismo, que las relaciones orgánicas de algunos candidatos con los partidos ilegalizados y disueltos sean las que el Tribunal tiene por probadas; o, en fin, que la Sala haya atribuido relevancia al hecho de que en algunas listas aparezcan personas que en el pasado se integraron en agrupaciones electorales no proclamadas en razón de la presencia entre sus miembros de personas distintas vinculadas con los partidos ilegalizados y disueltos.</w:t>
      </w:r>
    </w:p>
    <w:p w:rsidR="00DE14C9" w:rsidRDefault="00DE14C9" w:rsidP="00DE14C9">
      <w:pPr>
        <w:pStyle w:val="TextoNormal"/>
      </w:pPr>
      <w:r>
        <w:t>Sin embargo, no es menos cierto, como señala el Abogado del Estado, que el partido recurrente en modo alguno acredita la realidad de sus afirmaciones, no habiendo aportado al presente proceso de amparo, pudiendo haberlo hecho con la demanda, como lo demuestra el que así se admitiera en los supuestos resueltos en las SSTC 85/2003, de 8 de mayo (FJ 13), 99/2004, de 27 de mayo (FJ 6), 68/2005, de 31 de marzo (FJ 4), ningún indicio documental sobre el que este Tribunal pudiera contrastar unas afirmaciones de la parte que no hacen sino en último término contradecir lo declarado formalmente como probado por un Tribunal de justicia en una resolución judicial. De modo que en último término la argumentación del demandante de amparo en este punto no deja de ser una mera manifestación de su personal discrepancia con la valoración judicial de un material probatorio suficiente, practicado con las debidas garantías y frente al que ha podido alegar lo que ha estimado oportuno.</w:t>
      </w:r>
    </w:p>
    <w:p w:rsidR="00DE14C9" w:rsidRDefault="00DE14C9" w:rsidP="00DE14C9">
      <w:pPr>
        <w:pStyle w:val="TextoNormal"/>
      </w:pPr>
      <w:r>
        <w:t>La Sala, en definitiva, ha formado su convicción sobre la continuidad de los partidos disueltos a través de las candidaturas no proclamadas del partido recurrente con base en un conjunto de elementos probatorios de naturaleza tanto objetiva como subjetiva que le han permitido concluir que el designio defraudatorio concebido por los responsables de los partidos políticos disueltos ha tomado cuerpo en aquellas candidaturas.</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Denegar el amparo solicitado por Eusko Abertzale Ekintza-Acción Nacionalista Vasca (EAE-ANV).</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lastRenderedPageBreak/>
        <w:t>Dada en Madrid, a diez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26" w:name="SENTENCIA_2007_113"/>
      <w:r>
        <w:lastRenderedPageBreak/>
        <w:t>SENTENCIA 113/2007, de 10 de mayo de 2007</w:t>
      </w:r>
    </w:p>
    <w:bookmarkEnd w:id="26"/>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137, de 8 de junio de 2007)</w:t>
      </w:r>
    </w:p>
    <w:p w:rsidR="00DE14C9" w:rsidRDefault="00DE14C9" w:rsidP="00DE14C9">
      <w:pPr>
        <w:pStyle w:val="TtuloBOE"/>
      </w:pPr>
    </w:p>
    <w:p w:rsidR="00DE14C9" w:rsidRDefault="00DE14C9" w:rsidP="00DE14C9">
      <w:pPr>
        <w:pStyle w:val="SntesisDescriptiva"/>
      </w:pPr>
      <w:r>
        <w:t>ECLI:ES:TC:2007:113</w:t>
      </w:r>
    </w:p>
    <w:p w:rsidR="00DE14C9" w:rsidRDefault="00DE14C9" w:rsidP="00DE14C9">
      <w:pPr>
        <w:pStyle w:val="SntesisDescriptiva"/>
      </w:pPr>
    </w:p>
    <w:p w:rsidR="00DE14C9" w:rsidRDefault="00DE14C9" w:rsidP="00DE14C9">
      <w:pPr>
        <w:pStyle w:val="SntesisDescriptiva"/>
      </w:pPr>
      <w:r>
        <w:t>Recurso de amparo electoral 4218-2007. Promovido por el partido político Terra Galega frente a la Sentencia del Juzgado de lo Contencioso-Administrativo núm. 3 de A Coruña que anuló la proclamación de su candidatura en las elecciones locales por la circunscripción de Miño.</w:t>
      </w:r>
    </w:p>
    <w:p w:rsidR="00DE14C9" w:rsidRDefault="00DE14C9" w:rsidP="00DE14C9">
      <w:pPr>
        <w:pStyle w:val="SntesisDescriptiva"/>
      </w:pPr>
    </w:p>
    <w:p w:rsidR="00DE14C9" w:rsidRDefault="00DE14C9" w:rsidP="00DE14C9">
      <w:pPr>
        <w:pStyle w:val="SntesisAnaltica"/>
      </w:pPr>
      <w:r>
        <w:t>Vulneración de los derechos a la tutela judicial sin indefensión y a acceder a los cargos representativos: SSTC 96/2007 y 97/2007.</w:t>
      </w:r>
    </w:p>
    <w:p w:rsidR="00DE14C9" w:rsidRDefault="00DE14C9" w:rsidP="00DE14C9">
      <w:pPr>
        <w:pStyle w:val="SntesisAnaltica"/>
      </w:pPr>
    </w:p>
    <w:p w:rsidR="00DE14C9" w:rsidRDefault="00DE14C9" w:rsidP="00DE14C9">
      <w:pPr>
        <w:pStyle w:val="Extracto"/>
      </w:pPr>
      <w:r>
        <w:t>1.</w:t>
      </w:r>
      <w:r>
        <w:tab/>
        <w:t xml:space="preserve">Reitera la STC 97/2007. </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electoral núm. 4218-2007, promovido por el partido político Terra Galega, representado por la Procuradora de los Tribunales doña Sonia Casqueiro Álvarez y asistido por la Abogada doña María Sandra Pouso Fustes, contra la Sentencia dictada el 4 de mayo de 2007 por el Juzgado de lo Contencioso-Administrativo núm. 3 de A Coruña, que estimó el recurso contencioso-electoral núm. 130-2007 interpuesto por el representante de las candidaturas presentadas por el Partido Popular en la provincia de A Coruña contra el Acuerdo de la Junta electoral de zona de Betanzos de proclamación de la candidatura del partido político Terra Galega para participar, en la circunscripción de Miño, en las elecciones locales convocadas por Real Decreto 444/2007, de 2 de abril. Ha intervenido el Ministerio Fiscal. Ha sido Ponente el Magistrado don Roberto García-Calvo y Montiel,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xml:space="preserve">. El 9 de mayo de 2007 tuvo entrada en el Registro General de este Tribunal el recurso de amparo electoral presentado por la Procuradora de los Tribunales doña Sonia Casqueiro </w:t>
      </w:r>
      <w:r>
        <w:lastRenderedPageBreak/>
        <w:t>Álvarez en nombre y representación del partido político Terra Galega, contra la Sentencia dictada el 4 de mayo de 2007 por el Juzgado de lo Contencioso-Administrativo núm. 3 de A Coruña en el recurso contencioso-electoral registrado con el núm. 130-2007.</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fundamentos de hecho en los que tiene su origen el presente proceso de amparo son los siguientes: </w:t>
      </w:r>
    </w:p>
    <w:p w:rsidR="00DE14C9" w:rsidRDefault="00DE14C9" w:rsidP="00DE14C9">
      <w:pPr>
        <w:pStyle w:val="TextoNormal"/>
      </w:pPr>
      <w:r>
        <w:t xml:space="preserve">a) La representación del partido político Terra Galega presentó ante la Junta electoral de zona de Betanzos (A Coruña) la candidatura de dicha formación política para participar en las elecciones locales convocadas por Real Decreto 444/2007, de 2 de abril, en la circunscripción de Miño. </w:t>
      </w:r>
    </w:p>
    <w:p w:rsidR="00DE14C9" w:rsidRDefault="00DE14C9" w:rsidP="00DE14C9">
      <w:pPr>
        <w:pStyle w:val="TextoNormal"/>
      </w:pPr>
      <w:r>
        <w:t xml:space="preserve">b) El 25 de abril de 2007 se procedió a la publicación en el “Boletín Oficial de la Provincia de A Coruña” de las candidaturas presentadas y el 1 de mayo a la publicación oficial de las candidaturas proclamadas por la indicada Junta electoral. </w:t>
      </w:r>
    </w:p>
    <w:p w:rsidR="00DE14C9" w:rsidRDefault="00DE14C9" w:rsidP="00DE14C9">
      <w:pPr>
        <w:pStyle w:val="TextoNormal"/>
      </w:pPr>
      <w:r>
        <w:t xml:space="preserve">c) Efectuados los referidos trámites, el representante de las candidaturas presentadas por el Partido Popular en la provincia de A Coruña interpuso recurso contencioso-electoral contra la proclamación de la candidatura presentada en la circunscripción de Miño (A Coruña) por el partido político Terra Galega. En el escrito de recurso se interesaba la anulación de dicha candidatura por incumplir lo dispuesto en el art. 44 bis de la Ley Orgánica del régimen electoral general (LOREG), introducido por la Ley Orgánica 3/2007, de 22 de marzo, para la igualdad efectiva de mujeres y hombres, toda vez que el número de mujeres de dicha candidatura no alcanza el mínimo porcentual del cuarenta por ciento que dicho precepto establece. </w:t>
      </w:r>
    </w:p>
    <w:p w:rsidR="00DE14C9" w:rsidRDefault="00DE14C9" w:rsidP="00DE14C9">
      <w:pPr>
        <w:pStyle w:val="TextoNormal"/>
      </w:pPr>
      <w:r>
        <w:t>d) El conocimiento de la impugnación correspondió al Juzgado de lo Contencioso-Administrativo núm. 3 de A Coruña, quedando registrada con el núm. 130-2007 y dictándose Sentencia el 4 de mayo, mediante la que, estimando el recurso interpuesto por el Partido Popular, se anuló el Acuerdo de la Junta electoral de zona de Betanzos que había acordado la proclamación de la candidatura presentada por el partido político Terra Galega. La decisión judicial se sustenta en que la candidatura presentada incumple el régimen de paridad fijado por el art. 44 bis LOREG, introducido por la Ley Orgánica 3/2007, de 22 de marzo, para la igualdad efectiva de mujeres y hombres. En particular aprecia la Sentencia que la candidatura cuestionada incumple la exigencia de composición equilibrada entre hombres y mujeres contenida en el art. 44 bis LOREG, pues, valorada en su conjunto, resulta que presenta cinco mujeres sobre un total de trece candidatos, por lo que no alcanza el mínimo del 40 por 100 legalmente establecido, que exigiría un mínimo de seis mujeres en la lista.</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En la demanda de amparo electoral se alega la vulneración de los derechos a la tutela judicial efectiva (art. 24.1 CE) y a un proceso con todas las garantías (art. 24.2 CE) como consecuencia de que el proceso contencioso-electoral se ha seguido inaudita parte, ya que la primera noticia que la demandante ha tenido de su existencia se produjo el 5 de mayo cuando el Juzgado de lo Contencioso-Administrativo núm. 3 de A Coruña remitió un fax mediante el que se notificaba la Sentencia que se recurre en amparo. </w:t>
      </w:r>
    </w:p>
    <w:p w:rsidR="00DE14C9" w:rsidRDefault="00DE14C9" w:rsidP="00DE14C9">
      <w:pPr>
        <w:pStyle w:val="TextoNormal"/>
      </w:pPr>
      <w:r>
        <w:t>De otro lado se aduce la vulneración del principio de igualdad (art. 14 CE) en relación con el derecho a acceder a los cargos públicos en condiciones de igualdad (art. 23.2 CE), a causa de que en otros casos semejantes el órgano judicial correspondiente permitió la subsanación de la irregularidad apreciada. Alega la formación política demandante de amparo que dada la premura de la presentación del recurso no ha podido obtener las correspondientes resoluciones judiciales, pero afirma que el hecho es público y notorio.</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4</w:t>
      </w:r>
      <w:r>
        <w:t>. Por diligencia de ordenación de 9 de mayo de 2007 el Secretario de Justicia de la Sección Segunda de este Tribunal acordó, en conformidad con lo dispuesto en el art. 49 LOREG y en el Acuerdo del Pleno de 20 de enero de 2000, tener por interpuesto el recurso de amparo y recabar del Juzgado de lo Contencioso-Administrativo núm. 3 de A Coruña el envío de las actuaciones correspondientes a su proceso contencioso-electoral núm. 130-2007, incluidas las seguidas ante la Junta electoral, interesando al propio tiempo que se emplazara a quienes fueron parte en el procedimiento, a excepción de la formación política recurrente en amparo, que aparece ya personada, para que en el plazo de dos días pudieran comparecer y formular alegaciones en este proceso constitucional. Igualmente se acordó dar vista al Ministerio Fiscal para que en el plazo de un día formulase las alegaciones pertinentes.</w:t>
      </w:r>
    </w:p>
    <w:p w:rsidR="00DE14C9" w:rsidRDefault="00DE14C9" w:rsidP="00DE14C9">
      <w:pPr>
        <w:pStyle w:val="TextoNormal"/>
      </w:pPr>
    </w:p>
    <w:p w:rsidR="00DE14C9" w:rsidRDefault="00DE14C9" w:rsidP="00DE14C9">
      <w:pPr>
        <w:pStyle w:val="TextoNormal"/>
      </w:pPr>
      <w:r w:rsidRPr="00DE14C9">
        <w:rPr>
          <w:rStyle w:val="NumeroAFNegritaCaracter"/>
        </w:rPr>
        <w:t>5</w:t>
      </w:r>
      <w:r>
        <w:t>. La Fiscalía ante este Tribunal Constitucional presentó el 9 de mayo su escrito de alegaciones, en el que, tras recordar lo dispuesto en el art. 47.2 LOREG y la doctrina de este Tribunal en materia de subsanación de irregularidades en la presentación de candidaturas (con cita de las SSTC 24/1989, 95/1991, 113/1991 y 84/2003), concluye señalando que procedería otorgar el amparo solicitado por vulneración de los arts. 23.2 y 24.1 CE si se confirma, a la vista de las actuaciones, que el partido recurrente ha sido efectivamente privado del trámite de subsanación.</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 demanda de amparo electoral se dirige contra la Sentencia de 4 de mayo de 2007 del Juzgado de lo Contencioso-Administrativo núm. 3 de A Coruña, que estimó el recurso contencioso-electoral núm. 130-2007, interpuesto por el representante de las candidaturas presentadas por el Partido Popular en la provincia de A Coruña contra el Acuerdo de la Junta electoral de zona de Betanzos —publicado en el “Boletín Oficial de la Provincia de A Coruña” el 1 de mayo de 2007— de proclamación de la candidatura del partido político Terra Galega en la circunscripción electoral de Miño para participar en las elecciones municipales convocadas por Real Decreto 444/2007, de 2 de abril.</w:t>
      </w:r>
    </w:p>
    <w:p w:rsidR="00DE14C9" w:rsidRDefault="00DE14C9" w:rsidP="00DE14C9">
      <w:pPr>
        <w:pStyle w:val="TextoNormal"/>
      </w:pPr>
      <w:r>
        <w:t>La formación política demandante de amparo denuncia la lesión del principio de igualdad (art. 14 CE) en relación con el derecho de acceder a los cargos públicos en condiciones de igualdad (art. 23.2 CE) por lo que respecta a la actuación del órgano judicial, en cuanto que no se advirtió de oficio al representante de la candidatura acerca de la irregularidad posteriormente apreciada, sin concederle ocasión para su subsanación, como posibilita el art. 47.2 de la Ley Orgánica del régimen electoral general (LOREG); se añade que tal subsanación ha sido permitida por los órganos judiciales a otras candidaturas en similar situación. En segundo lugar, se alega la vulneración del derecho a la tutela judicial efectiva (art. 24.1 CE) puesto que el Juzgado de lo Contencioso-Administrativo núm. 3 de A Coruña tramitó el proceso contencioso-electoral seguido a instancia del Partido Popular sin que el partido político demandante de amparo tuviera conocimiento de su existencia hasta que le fue notificada la Sentencia que se recurre en amparo.</w:t>
      </w:r>
    </w:p>
    <w:p w:rsidR="00DE14C9" w:rsidRDefault="00DE14C9" w:rsidP="00DE14C9">
      <w:pPr>
        <w:pStyle w:val="TextoNormal"/>
      </w:pPr>
      <w:r>
        <w:t>El Ministerio Fiscal interesa el otorgamiento del amparo —por vulneración de los arts. 23.2 y 24.1 CE— para el caso de confirmarse, a la vista de las actuaciones, que el partido recurrente ha sido efectivamente privado del trámite de subsanación de defectos en la candidatura.</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2</w:t>
      </w:r>
      <w:r>
        <w:t>. En primer lugar, procede rechazar la queja sobre infracción del principio de igualdad (art. 14 CE) que la entidad política demandante de amparo imputa al Juzgado de lo Contencioso-Administrativo interviniente y que sustenta en que en otros casos semejantes se permitió la subsanación de la irregularidad apreciada. Tal alegación de violación del art. 14 CE ha de entenderse referida al art. 23.2 CE, puesto que, como este Tribunal ha indicado ya reiteradamente, cuando la queja por discriminación se plantea respecto de los supuestos contenidos en el art. 23.2 CE, y siempre que la diferenciación impugnada no se deba a alguno de los criterios explícitamente impedidos en el art. 14 CE, será aquel precepto el que habrá de ser considerado de modo directo para apreciar si el acto impugnado ha desconocido el principio de igualdad (STC 50/1986, de 23 de abril, FJ 4).</w:t>
      </w:r>
    </w:p>
    <w:p w:rsidR="00DE14C9" w:rsidRDefault="00DE14C9" w:rsidP="00DE14C9">
      <w:pPr>
        <w:pStyle w:val="TextoNormal"/>
      </w:pPr>
      <w:r>
        <w:t>Pues bien, la alegación no puede ser atendida, ya que no se acredita en ninguna forma la existencia de aceptaciones de otras candidaturas en similar situación. Lo cierto es que la doctrina de este Tribunal exige, para apreciar la vulneración del derecho a la igualdad (art. 14 CE), la concurrencia de varios presupuestos, el primero de los cuales es el de acreditarse por el recurrente en amparo la existencia de un término de comparación, dado que el juicio de igualdad sólo puede realizarse comparando la resolución judicial que se impugna y el precedente del mismo órgano judicial en casos sustancialmente iguales (SSTC 81/1997, de 22 de abril, FJ 2; 186/2000, de 10 de julio, FJ 11; 37/2001, de 12 de febrero, FJ 3 y 111/2001, de 7 de mayo, FJ 2). En el presente caso, la generalidad con que se invoca la desigualdad dejaría en manos de este Tribunal indagar el término idóneo para realizar el contraste, y es doctrina constante que la carga de señalar el término de comparación corresponde exclusivamente a los demandantes de amparo (entre otras, SSTC 281/2000, de 27 de noviembre, FJ 5; 174/2003, de 29 de septiembre, FJ 8; y 33/2007, de 12 de febrero, FJ 1).</w:t>
      </w:r>
    </w:p>
    <w:p w:rsidR="00DE14C9" w:rsidRDefault="00DE14C9" w:rsidP="00DE14C9">
      <w:pPr>
        <w:pStyle w:val="TextoNormal"/>
      </w:pPr>
    </w:p>
    <w:p w:rsidR="00DE14C9" w:rsidRDefault="00DE14C9" w:rsidP="00DE14C9">
      <w:pPr>
        <w:pStyle w:val="TextoNormal"/>
      </w:pPr>
      <w:r w:rsidRPr="00DE14C9">
        <w:rPr>
          <w:rStyle w:val="NumeroAFNegritaCaracter"/>
        </w:rPr>
        <w:t>3</w:t>
      </w:r>
      <w:r>
        <w:t>. Continuando con el examen de las quejas dirigidas contra la actuación del órgano judicial, se denuncia la vulneración del derecho a la tutela judicial efectiva (art. 24.1 CE) en la medida en que se tramitó y resolvió el recurso contencioso-electoral sin emplazar a la representación de la candidatura cuya proclamación se impugnaba. Al respecto debemos recordar una vez más la constante doctrina de este Tribunal (por todas, la STC 52/1984, de 2 de mayo), según la cual del derecho fundamental reconocido en el art. 24.1 CE se deriva, para los órganos judiciales, el deber de promover la defensa de todas cuantas personas pudieran resultar directamente afectadas en sus derechos e intereses a resultas de la impugnación deducida ante esos mismos órganos judiciales, exigencia ésta que, para el ámbito del recurso contencioso-administrativo, se traduce en la necesidad de llamar personalmente al proceso a quienes así pudieran ostentar en él, por su interés en el mantenimiento del acto impugnado, la condición de demandados y siempre que tales personas, como es obvio, sean identificables a partir de los datos expuestos en la demanda o en el expediente administrativo. El deber que así nace del precepto constitucional no deja de pesar, como es evidente, sobre los órganos judiciales llamados a resolver el especial proceso contencioso que aquí se interpuso y sustanció, pues, aunque tal proceso se singulariza por una tramitación concentrada y abreviada (apartados 2 y 3 del art. 49 LOREG), ello no podría justificar nunca la omisión de trámite de tanta relevancia para su regularidad constitucional como es el del debido llamamiento al procedimiento de quienes, por la impugnación, ven directamente comprometido su derecho de sufragio pasivo (STC 85/1987, de 29 de mayo, FJ 2).</w:t>
      </w:r>
    </w:p>
    <w:p w:rsidR="00DE14C9" w:rsidRDefault="00DE14C9" w:rsidP="00DE14C9">
      <w:pPr>
        <w:pStyle w:val="TextoNormal"/>
      </w:pPr>
      <w:r>
        <w:t xml:space="preserve">En el presente caso, según resulta de las actuaciones judiciales, no se hizo emplazamiento alguno a la representación de la candidatura cuya proclamación se cuestionaba ni consta que hubiera sido conocida la interposición y pendencia del recurso contencioso-electoral en tiempo hábil para personarse en el procedimiento por el partido político ahora solicitante de </w:t>
      </w:r>
      <w:r>
        <w:lastRenderedPageBreak/>
        <w:t>amparo. De este modo el órgano judicial impidió la defensa de sus derechos a quienes pudieran tener entonces la condición de demandados.  Por ello, al resolver no respetando la contradicción, se vulneró el derecho fundamental reconocido en el art. 24.1 CE, produciendo la indefensión de los directamente afectados por la decisión. Pues aun cuando la función primaria que cumple este amparo consista en garantizar los derechos fundamentales comprometidos en la contienda electoral, siendo el del art. 23 CE el afectado cuando se trata, como ahora, de la proclamación de candidaturas, no cabe soslayar que, por su naturaleza instrumental, también puede ser objeto del mismo proceso el derecho a la tutela judicial (art. 24.1 CE) si fuere desconocido o conculcado en la vía judicial configurada precisamente para la protección y garantía de los derivados del art. 23 CE (STC 71/1995, de 11 de mayo, FJ 2).</w:t>
      </w:r>
    </w:p>
    <w:p w:rsidR="00DE14C9" w:rsidRDefault="00DE14C9" w:rsidP="00DE14C9">
      <w:pPr>
        <w:pStyle w:val="TextoNormal"/>
      </w:pPr>
    </w:p>
    <w:p w:rsidR="00DE14C9" w:rsidRDefault="00DE14C9" w:rsidP="00DE14C9">
      <w:pPr>
        <w:pStyle w:val="TextoNormal"/>
      </w:pPr>
      <w:r w:rsidRPr="00DE14C9">
        <w:rPr>
          <w:rStyle w:val="NumeroAFNegritaCaracter"/>
        </w:rPr>
        <w:t>4</w:t>
      </w:r>
      <w:r>
        <w:t>. Ahora bien, constatada la lesión del derecho a obtener tutela judicial efectiva y sin indefensión (art. 24.1 CE), no podemos sin embargo detener aquí nuestro enjuiciamiento. La perentoriedad de los plazos del proceso electoral no permite la mera retroacción de actuaciones al momento procesal oportuno para que la representación del partido político solicitante de amparo sea citada al proceso y el Juzgado pueda dictar nueva sentencia sin ocasionar indefensión (STC 71/1995, de 11 de mayo, FJ 2), a lo que cabe añadir que, además, este Tribunal tiene el necesario conocimiento de los hechos para enjuiciar las cuestiones planteadas y, en definitiva, su objeto fundamental: si la anulación judicial de la proclamación de la candidatura presentada en la circunscripción electoral de Miño por el partido político Terra Galega vulnera su derecho de sufragio pasivo (art. 23.2 CE).</w:t>
      </w:r>
    </w:p>
    <w:p w:rsidR="00DE14C9" w:rsidRDefault="00DE14C9" w:rsidP="00DE14C9">
      <w:pPr>
        <w:pStyle w:val="TextoNormal"/>
      </w:pPr>
      <w:r>
        <w:t>Antes debemos señalar que no corresponde a este Tribunal pronunciarse acerca de si en este concreto caso la candidatura presentada cumple las exigencias impuestas por el art. 44 bis LOREG, al no ser ese el objeto del presente recurso de amparo electoral, sino exclusivamente dilucidar si, una vez apreciada por el órgano judicial que la candidatura no podía ser válidamente proclamada por la razón antedicha, de ello debía derivarse la consecuencia de que la candidatura no pudiera participar en las elecciones locales convocadas o si, por el contrario, en aplicación del art. 47.2 LOREG debió permitirse la subsanación de la irregularidad apreciada.</w:t>
      </w:r>
    </w:p>
    <w:p w:rsidR="00DE14C9" w:rsidRDefault="00DE14C9" w:rsidP="00DE14C9">
      <w:pPr>
        <w:pStyle w:val="TextoNormal"/>
      </w:pPr>
      <w:r>
        <w:t>Nuestra doctrina en materia de subsanación de irregularidades sufridas en la presentación de candidaturas ante la Administración electoral puede resumirse en la afirmación de que, por principio, los errores e irregularidades cometidos en la presentación de aquéllas son subsanables y que, en consecuencia, las Juntas Electorales han de ofrecer la oportunidad de que las candidaturas en las que se han detectado lo hagan. Busca con ello la Ley Orgánica del régimen electoral general,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w:t>
      </w:r>
    </w:p>
    <w:p w:rsidR="00DE14C9" w:rsidRDefault="00DE14C9" w:rsidP="00DE14C9">
      <w:pPr>
        <w:pStyle w:val="TextoNormal"/>
      </w:pPr>
      <w:r>
        <w:t xml:space="preserve">Deriva de lo expuesto el que si por la Administración electoral se incumple este deber legal en orden al examen de los escritos de presentación de candidaturas, no dándose así ocasión a los interesados para la reparación de unos defectos que después llevan al rechazo </w:t>
      </w:r>
      <w:r>
        <w:lastRenderedPageBreak/>
        <w:t>de aquéllas, se habrá ignorado, con ello, una garantía dispuesta por la Ley Orgánica del régimen electoral general para la efectividad, como queda dicho, del derecho de sufragio pasivo, que resultará así afectado negativamente en la medida en que se desconozca por una Junta electoral, o se atienda sólo imperfectamente la exigencia legal de la que aquí se trata. En modo alguno empaña esta conclusión, ni la consideración general que se acaba de hacer sobre la afectación del derecho reconocido en el art. 23.2 CE, el hecho de que, en estos casos, el resultado finalmente gravoso para candidaturas y candidatos —la denegación de su proclamación como tales— se llegue a producir por no haberse reparado un defecto fruto de la ignorancia o de la negligencia de quienes presentaron la candidatura sin cumplir, en todos sus extremos, las prevenciones legales, sin perjuicio, como es obvio, del deber de diligencia y de colaboración con la Administración electoral que pesa sobre los candidatos y las formaciones políticas que les avalan (SSTC 67/1987, de 21 de mayo, FJ 3; 73/1995, de 12 de mayo, FJ 3; y 80/2002, de 8 de abril, FJ 7).</w:t>
      </w:r>
    </w:p>
    <w:p w:rsidR="00DE14C9" w:rsidRDefault="00DE14C9" w:rsidP="00DE14C9">
      <w:pPr>
        <w:pStyle w:val="TextoNormal"/>
      </w:pPr>
      <w:r>
        <w:t>En efecto, en este específico procedimiento no ha querido la Ley Orgánica del régimen electoral general dejar la suerte de las candidaturas a merced de la sola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Orgánica del régimen electoral general que tal irregularidad depare aquella sanción sin que antes se haga posible, mediante su identificación y advertencia de oficio, la oportuna subsanación, siempre, claro ésta, que ello sea materialmente factible (SSTC 73/1986, de 3 de junio, FJ 1; 59/1987, de 19 de mayo, FJ 3; 86/1987, de 1 de junio, FJ 4; 24/1989, de 2 de febrero, FJ 95/1991, de 7 de mayo, FJ 2; 113/1991, de 20 de mayo, FJ 3; 175/1991, de 16 de septiembre, FJ 2; y 84/2003, de 8 de mayo, FJ 3).</w:t>
      </w:r>
    </w:p>
    <w:p w:rsidR="00DE14C9" w:rsidRDefault="00DE14C9" w:rsidP="00DE14C9">
      <w:pPr>
        <w:pStyle w:val="TextoNormal"/>
      </w:pPr>
      <w:r>
        <w:t>Lo cierto es que si el órgano judicial apreció, como lo hizo, una irregularidad en la actuación de la Junta electoral al proclamar la candidatura sin reparos, la apreciación de dicha irregularidad administrativa no debió llevar a la anulación de la proclamación misma; pues, esta decisión, a la vista del sistema legal aquí aplicable, entrañó, pese a lo que tuvo de formal restablecimiento de la legalidad quebrada, un desconocimiento de las garantías subjetivas previstas por el legislador en el citado art. 47.2 LOREG, en cuya virtud las irregularidades que puedan mostrar las candidaturas presentadas, apreciadas por la Administración electoral, habrán de dar siempre lugar a su posible subsanación.</w:t>
      </w:r>
    </w:p>
    <w:p w:rsidR="00DE14C9" w:rsidRDefault="00DE14C9" w:rsidP="00DE14C9">
      <w:pPr>
        <w:pStyle w:val="TextoNormal"/>
      </w:pPr>
      <w:r>
        <w:t>El hecho notorio de que la Ley no prevea dicho trámite de subsanación, sino con carácter previo a la proclamación de las candidaturas, no puede en modo alguno llevar a la conclusión de que los defectos subsanables devengan definitivos e irreparables tan sólo por el irregular funcionamiento de la Administración electoral, que —según la resolución judicial— debió advertirlos y no lo hizo, en el momento que la Ley prevé para ello, ya que no puede pesar sobre los ciudadanos un resultado, gravoso para sus derechos fundamentales, que se originó en la falta de la diligencia debida por los poderes públicos en la garantía de su plena efectividad. Se debió, pues, constatando la irregularidad, reconocer el derecho de la candidatura para disponer del plazo de subsanación que antes no tuvo, poniendo así fin, en su caso, ante la Junta electoral, al impedimento legal apreciado y logrando, de este modo, que el ejercicio del derecho fundamental no quedase contrariado como, sin embargo, ha ocurrido a resultas de una aplicación de la Ley contraria a su espíritu garantizador.</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5</w:t>
      </w:r>
      <w:r>
        <w:t>. En consideración a cuanto antecede el amparo debe ser concedido aunque no corresponde a este Tribunal proclamar candidaturas sino, sólo y exclusivamente, pronunciamos sobre la existencia o no de lesiones de derechos fundamentales en las decisiones adoptadas al respecto por los órganos legalmente competentes y de acuerdo con lo planteado ante los mismos (STC 103/1991, de 13 de mayo, FJ 3).</w:t>
      </w:r>
    </w:p>
    <w:p w:rsidR="00DE14C9" w:rsidRDefault="00DE14C9" w:rsidP="00DE14C9">
      <w:pPr>
        <w:pStyle w:val="TextoNormal"/>
      </w:pPr>
      <w:r>
        <w:t>La circunstancia de que obre en las actuaciones copia del escrito dirigido por la formación política demandante de amparo a la Junta electoral de zona de Betanzos pidiendo se tuviera en cuenta la rectificación en la composición de la candidatura electoral permite concluir el presente procedimiento declarando, por lo expuesto, la nulidad de la Sentencia impugnada, así como el derecho de la entidad política demandante de amparo a que la Junta electoral de zona indicada tenga por subsanado el defecto en su día no advertido, de conformidad con lo dispuesto en el último inciso del art. 47.2 de la Ley Orgánica 5/1985.</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el partido político Terra Galega y, en consecuencia:</w:t>
      </w:r>
    </w:p>
    <w:p w:rsidR="00DE14C9" w:rsidRDefault="00DE14C9" w:rsidP="00DE14C9">
      <w:pPr>
        <w:pStyle w:val="TextoNormal"/>
      </w:pPr>
      <w:r>
        <w:t>1° Reconocer sus derechos a acceder en condiciones de igualdad a las funciones y cargos públicos (art. 23.2 CE) y a la tutela judicial efectiva sin indefensión (art. 24.1 CE).</w:t>
      </w:r>
    </w:p>
    <w:p w:rsidR="00DE14C9" w:rsidRDefault="00DE14C9" w:rsidP="00DE14C9">
      <w:pPr>
        <w:pStyle w:val="TextoNormal"/>
      </w:pPr>
      <w:r>
        <w:t>2º Declarar la nulidad de la Sentencia de 4 de mayo de 2007, dictada por el Juzgado de lo Contencioso-Administrativo núm. 3 de A Coruña en el recurso contencioso-electoral núm. 130-2007.</w:t>
      </w:r>
    </w:p>
    <w:p w:rsidR="00DE14C9" w:rsidRDefault="00DE14C9" w:rsidP="00DE14C9">
      <w:pPr>
        <w:pStyle w:val="TextoNormal"/>
      </w:pPr>
      <w:r>
        <w:t>3º Retrotraer las actuaciones al momento anterior al Acuerdo de la Junta electoral de zona de Betanzos de proclamación de la candidatura del partido político Terra Galega, para que por dicha Junta electoral se permita la subsanación de la irregularidad apreciada.</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diez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27" w:name="SENTENCIA_2007_114"/>
      <w:r>
        <w:lastRenderedPageBreak/>
        <w:t>SENTENCIA 114/2007, de 10 de mayo de 2007</w:t>
      </w:r>
    </w:p>
    <w:bookmarkEnd w:id="27"/>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137, de 8 de junio de 2007)</w:t>
      </w:r>
    </w:p>
    <w:p w:rsidR="00DE14C9" w:rsidRDefault="00DE14C9" w:rsidP="00DE14C9">
      <w:pPr>
        <w:pStyle w:val="TtuloBOE"/>
      </w:pPr>
    </w:p>
    <w:p w:rsidR="00DE14C9" w:rsidRDefault="00DE14C9" w:rsidP="00DE14C9">
      <w:pPr>
        <w:pStyle w:val="SntesisDescriptiva"/>
      </w:pPr>
      <w:r>
        <w:t>ECLI:ES:TC:2007:114</w:t>
      </w:r>
    </w:p>
    <w:p w:rsidR="00DE14C9" w:rsidRDefault="00DE14C9" w:rsidP="00DE14C9">
      <w:pPr>
        <w:pStyle w:val="SntesisDescriptiva"/>
      </w:pPr>
    </w:p>
    <w:p w:rsidR="00DE14C9" w:rsidRDefault="00DE14C9" w:rsidP="00DE14C9">
      <w:pPr>
        <w:pStyle w:val="SntesisDescriptiva"/>
      </w:pPr>
      <w:r>
        <w:t>Recurso de amparo electoral 4220-2007. Interpuesto por el partido político Independientes de Porto do Son frente a la Sentencia del Juzgado de lo Contencioso-Administrativo núm. 1 de A Coruña que anuló la proclamación de su candidatura en las elecciones locales por la circunscripción de Porto do Son.</w:t>
      </w:r>
    </w:p>
    <w:p w:rsidR="00DE14C9" w:rsidRDefault="00DE14C9" w:rsidP="00DE14C9">
      <w:pPr>
        <w:pStyle w:val="SntesisDescriptiva"/>
      </w:pPr>
    </w:p>
    <w:p w:rsidR="00DE14C9" w:rsidRDefault="00DE14C9" w:rsidP="00DE14C9">
      <w:pPr>
        <w:pStyle w:val="SntesisAnaltica"/>
      </w:pPr>
      <w:r>
        <w:t>Vulneración del derecho a acceder a los cargos representativos: STC 96/2007.</w:t>
      </w:r>
    </w:p>
    <w:p w:rsidR="00DE14C9" w:rsidRDefault="00DE14C9" w:rsidP="00DE14C9">
      <w:pPr>
        <w:pStyle w:val="SntesisAnaltica"/>
      </w:pPr>
    </w:p>
    <w:p w:rsidR="00DE14C9" w:rsidRDefault="00DE14C9" w:rsidP="00DE14C9">
      <w:pPr>
        <w:pStyle w:val="Extracto"/>
      </w:pPr>
      <w:r>
        <w:t>1.</w:t>
      </w:r>
      <w:r>
        <w:tab/>
        <w:t xml:space="preserve">Reitera la STC 96/2007. </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electoral núm. 4220-2007, promovido por el partido Independientes de Porto do Son, representado por el Procurador de los Tribunales don Argimiro Vázquez Guillén y asistido por el Letrado don Óscar Ramón Rodríguez Insua, contra la Sentencia de 7 de mayo de 2007 del Juzgado de lo Contencioso-Administrativo núm. 1 de A Coruña, que estima el recurso contencioso-electoral núm. 124-2007, interpuesto por el representante de las candidaturas presentadas por el Partido Popular (PP) en la provincia de A Coruña contra el Acuerdo de la Junta electoral de zona de Noia de proclamación de la candidatura de Independientes de Porto do Son en la circunscripción electoral de Porto do Son. Ha intervenido el Ministerio Fiscal. Ha sido Ponente la Presidenta doña María Emilia Casas Baamonde,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xml:space="preserve">. Mediante escrito presentado en el Registro General de este Tribunal el 8 de mayo de 2007, la Procuradora de los Tribunales don Argimiro Vázquez Guillén, en nombre y representación del partido Independientes de Porto do Son, interpuso recurso de amparo contra </w:t>
      </w:r>
      <w:r>
        <w:lastRenderedPageBreak/>
        <w:t>la resolución judicial referida en el encabezamiento, por vulneración del derecho al sufragio pasivo (art. 23 CE).</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en que se fundamenta la demanda de amparo electoral, relevantes para la resolución del caso, son los que se expresan a continuación:   a) La formación política Independientes de Porto do Son presentó ante la Junta electoral de zona de Noia una candidatura en la circunscripción electoral de Porto do Son para las elecciones municipales convocadas por Real Decreto 444/2007, de 2 de abril, candidatura que fue proclamada por Acuerdo de la referida Junta electoral de zona publicado en el “Boletín Oficial de la Provincia de A Coruña” de 1 de mayo de 2007. </w:t>
      </w:r>
    </w:p>
    <w:p w:rsidR="00DE14C9" w:rsidRDefault="00DE14C9" w:rsidP="00DE14C9">
      <w:pPr>
        <w:pStyle w:val="TextoNormal"/>
      </w:pPr>
      <w:r>
        <w:t>b) El 3 de mayo de 2007 el representante de las candidaturas presentadas por el Partido Popular (PP) en la provincia de A Coruña presentó recurso contencioso-electoral frente al Acuerdo de la Junta electoral de zona de Noia por el que se proclamó la candidatura presentada por el Independientes de Porto do Son en la circunscripción electoral de Porto do Son , interesando que se anulase dicha candidatura por incumplir lo dispuesto en el art. 44 bis de la Ley Orgánica del régimen electoral general (LOREG), introducido por la Ley Orgánica 3/2007, de 22 de marzo, para la igualdad efectiva de mujeres y hombres, toda vez que el número de mujeres de dicha candidatura no alcanzan el mínimo porcentual del cuarenta por ciento que dicho precepto establece, siendo esta exigencia legal aplicable al municipio de Porto do Son, por contar con más de 5.000 habitantes, de conformidad con lo dispuesto en la disposición transitoria séptima LOREG, añadida también por la Ley Orgánica 3/2007.   c) El Juzgado de lo Contencioso-Administrativo núm. 1 de A Coruña admitió a trámite el recurso, dando traslado del mismo al partido ahora recurrente en amparo y el Ministerio Fiscal, que comparecieron debidamente. Mediante Sentencia de 7 de mayo de 2007 lo estimó, procediendo a anular dicho Acuerdo y la candidatura proclamada, al apreciar que la misma incumple la exigencia de composición equilibrada entre hombres y mujeres contenida en el art. 44 bis LOREG, pues, valorada en su conjunto la candidadura presentada por el Independientes de Porto do Son para las elecciones locales en el municipio de Porto do Son, resulta que no alcanza el mínimo del cuarenta por ciento legalmente establecido, que exigiría un mínimo de seis personas de cada sexo en la lista.</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En la demanda de amparo electoral se alega la vulneración del derecho de sufragio pasivo garantizado por el art. 23.2 CE, por cuanto en el presente supuesto la Administración electoral no cumplió con su obligación, conforme al art. 47.2 LOREG, de poner en conocimiento del Independientes de Porto do Son las posibles irregularidades cometidas en la candidatura presentada, al objeto de permitir su subsanación. </w:t>
      </w:r>
    </w:p>
    <w:p w:rsidR="00DE14C9" w:rsidRDefault="00DE14C9" w:rsidP="00DE14C9">
      <w:pPr>
        <w:pStyle w:val="TextoNormal"/>
      </w:pPr>
      <w:r>
        <w:t xml:space="preserve">La Sentencia objeto de recurso de amparo no tuvo en cuenta que la legalidad aplicable ha de ser entendida en los términos más favorables a la plena efectividad del derecho fundamental de sufragio pasivo, de conformidad con la reiterada doctrina sentada al respecto por el Tribunal Constitucional. Así, en el momento en que consideró que existía alguna irregularidad habría debido, a su entender, retrotraer las actuaciones al momento anterior al que la Junta electoral de zona de Noia validó la lista con objeto de subsanar las irregularidades que ésta pudiera tener. Al no hacerlo ha lesionado el art. 23 CE conforme a lo afirmado en la STC 73/1986. </w:t>
      </w:r>
    </w:p>
    <w:p w:rsidR="00DE14C9" w:rsidRDefault="00DE14C9" w:rsidP="00DE14C9">
      <w:pPr>
        <w:pStyle w:val="TextoNormal"/>
      </w:pPr>
      <w:r>
        <w:t xml:space="preserve">El defecto cometido por la formación política solicitante de amparo en la presentación de la candidatura al municipio de Porto do Son no puede tener la trascendencia fatal para el derecho fundamental a acceder en condiciones de igualdad a las funciones y cargos públicos que ha apreciado el órgano judicial. </w:t>
      </w:r>
    </w:p>
    <w:p w:rsidR="00DE14C9" w:rsidRDefault="00DE14C9" w:rsidP="00DE14C9">
      <w:pPr>
        <w:pStyle w:val="TextoNormal"/>
      </w:pPr>
      <w:r>
        <w:lastRenderedPageBreak/>
        <w:t>Por todo ello el recurrente concluye interesando que se le otorgue el amparo solicitado, dejando sin efecto la Sentencia impugnada y ordenando que se otorgue plazo para subsanar el defecto retrotrayendo las actuaciones al momento anterior al del acto de validación de las candidaturas por la Junta electoral de zona.</w:t>
      </w:r>
    </w:p>
    <w:p w:rsidR="00DE14C9" w:rsidRDefault="00DE14C9" w:rsidP="00DE14C9">
      <w:pPr>
        <w:pStyle w:val="TextoNormal"/>
      </w:pPr>
    </w:p>
    <w:p w:rsidR="00DE14C9" w:rsidRDefault="00DE14C9" w:rsidP="00DE14C9">
      <w:pPr>
        <w:pStyle w:val="TextoNormal"/>
      </w:pPr>
      <w:r w:rsidRPr="00DE14C9">
        <w:rPr>
          <w:rStyle w:val="NumeroAFNegritaCaracter"/>
        </w:rPr>
        <w:t>4</w:t>
      </w:r>
      <w:r>
        <w:t>. Mediante diligencia de ordenación de 9 de mayo de 2007, el Secretario de Justicia de la Sala Primera de este Tribunal acordó, en conformidad con lo dispuesto en el Acuerdo del Pleno de 20 de enero de 2000, recabar del Juzgado de lo Contencioso-Administrativo núm. 1 de A Coruña las actuaciones correspondientes, así como la acreditación de emplazamiento de las partes, que fueron remitidas a este Tribunal. Igualmente se acordó dar vista al Ministerio Fiscal para que en el plazo de un día natural formulase las alegaciones pertinentes.</w:t>
      </w:r>
    </w:p>
    <w:p w:rsidR="00DE14C9" w:rsidRDefault="00DE14C9" w:rsidP="00DE14C9">
      <w:pPr>
        <w:pStyle w:val="TextoNormal"/>
      </w:pPr>
    </w:p>
    <w:p w:rsidR="00DE14C9" w:rsidRDefault="00DE14C9" w:rsidP="00DE14C9">
      <w:pPr>
        <w:pStyle w:val="TextoNormal"/>
      </w:pPr>
      <w:r w:rsidRPr="00DE14C9">
        <w:rPr>
          <w:rStyle w:val="NumeroAFNegritaCaracter"/>
        </w:rPr>
        <w:t>5</w:t>
      </w:r>
      <w:r>
        <w:t>. El Ministerio Fiscal presentó sus alegaciones el 10 de mayo de 2007, en las que, tras recordar lo dispuesto en el art. 47.2 LOREG y la doctrina de este Tribunal en materia de subsanación de irregularidades en la presentación de candidaturas, en especial la Sentencia dictada en el recurso de amparo núm. 3983-2007, concluye señalando que procede otorgar el amparo solicitado por vulneración del art. 23.2 CE, retrotrayendo las actuaciones al momento anterior al acuerdo de la Junta electoral de zona para que por dicha Junta se proceda a otorgar trámite de subsanación.</w:t>
      </w:r>
    </w:p>
    <w:p w:rsidR="00DE14C9" w:rsidRDefault="00DE14C9" w:rsidP="00DE14C9">
      <w:pPr>
        <w:pStyle w:val="TextoNormal"/>
      </w:pPr>
    </w:p>
    <w:p w:rsidR="00DE14C9" w:rsidRDefault="00DE14C9" w:rsidP="00DE14C9">
      <w:pPr>
        <w:pStyle w:val="TextoNormal"/>
      </w:pPr>
      <w:r w:rsidRPr="00DE14C9">
        <w:rPr>
          <w:rStyle w:val="NumeroAFNegritaCaracter"/>
        </w:rPr>
        <w:t>6</w:t>
      </w:r>
      <w:r>
        <w:t xml:space="preserve">. Mediante escrito ingresado en el registro general de este Tribunal el 10 de mayo de 2007, la Procuradora de los Tribunales doña Concepción Montero Rubiato, en nombre y representación del Partido Galeguista comparece en el presente proceso y se adhiere a las alegaciones contenidas en el escrito de interposición de la demanda de amparo. </w:t>
      </w:r>
    </w:p>
    <w:p w:rsidR="00DE14C9" w:rsidRDefault="00DE14C9" w:rsidP="00DE14C9">
      <w:pPr>
        <w:pStyle w:val="TextoNormal"/>
      </w:pPr>
      <w:r>
        <w:t>No se personaron más partes dentro del plazo legalmente establecido, pese a la acreditación de emplazamientos a que se ha hecho referencia.</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Se impugna en el presente recurso de amparo electoral la Sentencia de 7 de mayo de 2007 del Juzgado de lo Contencioso-Administrativo núm. 1 de A Coruña, que estimó el recurso contencioso-electoral núm. 124-2007, interpuesto por el representante de las candidaturas presentadas por el PP en la provincia de A Coruña contra el Acuerdo de la Junta electoral de zona de Noia de proclamación de la candidatura del Independientes de Porto do Son en la circunscripción electoral de Porto do Son, publicado en el “Boletín Oficial de la Provincia de A Coruña” el 1 de mayo de 2007, para las elecciones municipales convocadas por Real Decreto 444/2007, de 2 de abril. El partido solicitante de amparo se queja de que se ha vulnerado su derecho a acceder en condiciones de igualdad a los cargos públicos (art. 23.2 CE). El Ministerio Fiscal interesa asimismo el otorgamiento del amparo.</w:t>
      </w:r>
    </w:p>
    <w:p w:rsidR="00DE14C9" w:rsidRDefault="00DE14C9" w:rsidP="00DE14C9">
      <w:pPr>
        <w:pStyle w:val="TextoNormal"/>
      </w:pPr>
    </w:p>
    <w:p w:rsidR="00DE14C9" w:rsidRDefault="00DE14C9" w:rsidP="00DE14C9">
      <w:pPr>
        <w:pStyle w:val="TextoNormal"/>
      </w:pPr>
      <w:r w:rsidRPr="00DE14C9">
        <w:rPr>
          <w:rStyle w:val="NumeroAFNegritaCaracter"/>
        </w:rPr>
        <w:t>2</w:t>
      </w:r>
      <w:r>
        <w:t>. El partido recurrente entiende que no resultan constitucionalmente admisibles interpretaciones desproporcionadas de la legislación electoral, como la que ha realizado la Sentencia impugnada en amparo, que conduzcan a la anulación de candidaturas electorales por defectos subsanables que no fueron puestos de manifiesto en ningún momento por la Administración electoral.</w:t>
      </w:r>
    </w:p>
    <w:p w:rsidR="00DE14C9" w:rsidRDefault="00DE14C9" w:rsidP="00DE14C9">
      <w:pPr>
        <w:pStyle w:val="TextoNormal"/>
      </w:pPr>
      <w:r>
        <w:lastRenderedPageBreak/>
        <w:t>Con cita de doctrina constitucional sobre la subsanación de irregularidades, defectos y errores en las candidaturas presentadas y sobre el deber de las Juntas electorales competentes de advertir y permitir dicha subsanación, sostiene el partido recurrente en amparo que la Junta electoral de zona de Noia debió advertirle del defecto en la composición, a efectos del art. 44 bis de la Ley Orgánica del régimen electoral general (LOREG), de la candidatura presentada a las elecciones locales en el municipio de Porto do Son, a fin de que pudiera subsanar el defecto que finalmente ha apreciado el Juzgado en el número de mujeres de la lista, con el resultado de anular la candidatura. Al no hacerlo así, procediendo la Administración electoral a proclamar la candidatura presentada sin formular reparo alguno, no cabe que, con ocasión de la impugnación por otro partido ex art. 49 LOREG de la candidatura proclamada, el órgano judicial acuerde la nulidad de la candidatura por incumplimiento de lo dispuesto en el citado art. 44 bis LOREG, sin dar oportunidad a la formación política de corregir el defecto padecido, presentando una lista ajustada a la composición equilibrada de mujeres y hombres establecida por dicho precepto, añadido por la reciente Ley Orgánica 3/2007, de 22 de marzo, para la igualdad efectiva de mujeres y hombres.</w:t>
      </w:r>
    </w:p>
    <w:p w:rsidR="00DE14C9" w:rsidRDefault="00DE14C9" w:rsidP="00DE14C9">
      <w:pPr>
        <w:pStyle w:val="TextoNormal"/>
      </w:pPr>
      <w:r>
        <w:t>El partido solicitante de amparo recuerda, además, que la propia Administración electoral ha reconocido expresamente, y de manera general, el carácter subsanable de los defectos que puedan presentar las candidaturas presentadas por las formaciones políticas en cuanto a la exigencia establecida por el citado art. 44 bis LOREG, conforme al cual (apartado 1, párrafo primero) las candidaturas “deberán tener una composición equilibrada de mujeres y hombres, de forma que en el conjunto de la lista los candidatos de cada uno de los sexos supongan como mínimo el cuarenta por ciento”, proporción que deberá mantenerse también en cada tramo de cinco puestos, de suerte que si el número de candidatos o el último tramo de la lista no alcanzase los cinco puestos, la proporción de mujeres y hombres será lo más cercano posible al equilibrio numérico, manteniendo la proporción respecto del conjunto de la lista (apartados 1 y 2 del art. 44 bis LOREG), reglas éstas igualmente aplicables a las listas de suplentes (apartado 3 del art. 44 bis LOREG).</w:t>
      </w:r>
    </w:p>
    <w:p w:rsidR="00DE14C9" w:rsidRDefault="00DE14C9" w:rsidP="00DE14C9">
      <w:pPr>
        <w:pStyle w:val="TextoNormal"/>
      </w:pPr>
      <w:r>
        <w:t>Y así, en efecto, el punto primero de la Instrucción 8/2007, de 19 de abril, de la Junta Electoral Central, sobre interpretación del trámite de subsanación de irregularidades previsto en el art. 48.1 LOREG por incumplimiento de los requisitos de los arts.  44 bis y 187.2 LOREG, en la redacción dada por la Ley Orgánica 3/2007, de 22 de marzo, para la igualdad efectiva de mujeres y hombres, establece que “Durante el plazo de subsanación de las irregularidades advertidas por las Juntas Electorales competentes en las candidaturas presentadas, cuando la causa sea el incumplimiento de lo dispuesto en el artículo 44 bis de la LOREG o en la legislación autonómica aplicable sobre candidaturas paritarias, podrá modificarse el orden de los candidatos, o incluir o excluir algún candidato, siempre que con ello se trate estrictamente de subsanar la irregularidad apreciada, de conformidad con lo dispuesto en el último inciso del artículo 48.1 de la LOREG”.</w:t>
      </w:r>
    </w:p>
    <w:p w:rsidR="00DE14C9" w:rsidRDefault="00DE14C9" w:rsidP="00DE14C9">
      <w:pPr>
        <w:pStyle w:val="TextoNormal"/>
      </w:pPr>
      <w:r>
        <w:t>Sin embargo, del examen de actuaciones resulta que la Junta electoral de zona de Noia procedió a proclamar la candidatura presentada por el Independientes de Porto do Son en la circunscripción electoral de Porto do Son, para las elecciones municipales convocadas por Real Decreto 444/2007, de 2 de abril, sin advertir que dicha candidatura incumplía, como se razona en la Sentencia impugnada, la exigencia de composición equilibrada entre hombres y mujeres contenida en el art. 44 bis LOREG (exigencia aplicable al municipio de Porto do Son, conforme a la disposición transitoria séptima LOREG, añadida también por la Ley Orgánica 3/2007).</w:t>
      </w:r>
    </w:p>
    <w:p w:rsidR="00DE14C9" w:rsidRDefault="00DE14C9" w:rsidP="00DE14C9">
      <w:pPr>
        <w:pStyle w:val="TextoNormal"/>
      </w:pPr>
      <w:r>
        <w:t xml:space="preserve">Y se constata igualmente, lo que resulta determinante para el otorgamiento del amparo por vulneración del derecho al sufragio pasivo garantizado por el art. 23.2 CE, que la Junta </w:t>
      </w:r>
      <w:r>
        <w:lastRenderedPageBreak/>
        <w:t>electoral de zona de Noia, al no advertir defecto alguno en la candidatura presentada por el Independientes de Porto do Son en la circunscripción electoral de Porto do Son, no dio oportunidad a esta formación política de subsanar el defecto en la composición equilibrada entre hombres y mujeres de la candidatura que exige el art.  44 bis LOREG.</w:t>
      </w:r>
    </w:p>
    <w:p w:rsidR="00DE14C9" w:rsidRDefault="00DE14C9" w:rsidP="00DE14C9">
      <w:pPr>
        <w:pStyle w:val="TextoNormal"/>
      </w:pPr>
    </w:p>
    <w:p w:rsidR="00DE14C9" w:rsidRDefault="00DE14C9" w:rsidP="00DE14C9">
      <w:pPr>
        <w:pStyle w:val="TextoNormal"/>
      </w:pPr>
      <w:r w:rsidRPr="00DE14C9">
        <w:rPr>
          <w:rStyle w:val="NumeroAFNegritaCaracter"/>
        </w:rPr>
        <w:t>3</w:t>
      </w:r>
      <w:r>
        <w:t>. Nuestra doctrina en materia de subsanación de irregularidades sufridas en la presentación de candidaturas ante la Administración electoral puede resumirse en la afirmación de que, por principio, los errores e irregularidades cometidos en la presentación de éstas son subsanables y que, en consecuencia, las Juntas Electorales han de ofrecer la oportunidad de que las candidaturas en las que se han detectado lo hagan. Busca con ello la Ley Orgánica del régimen electoral general,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w:t>
      </w:r>
    </w:p>
    <w:p w:rsidR="00DE14C9" w:rsidRDefault="00DE14C9" w:rsidP="00DE14C9">
      <w:pPr>
        <w:pStyle w:val="TextoNormal"/>
      </w:pPr>
      <w:r>
        <w:t>Deriva de lo expuesto el que si por la Administración electoral se incumple este deber legal en orden al examen de los escritos de presentación de candidaturas, no dándose así ocasión a los interesados para la reparación de unos defectos que después llevan al rechazo de aquéllas, se habrá ignorado, con ello, una garantía dispuesta por la Ley Orgánica del régimen electoral general para la efectividad, como queda dicho, del derecho de sufragio pasivo, que resultará así afectado negativamente en la medida en que se desconozca por una Junta Electoral, o se atienda sólo imperfectamente la exigencia legal de la que aquí se trata. En modo alguno empaña esta conclusión, ni la consideración general que se acaba de hacer sobre la afectación del derecho reconocido en el art. 23.2 CE, el hecho de que, en estos casos, el resultado finalmente gravoso para candidaturas y candidatos —la denegación de su proclamación como tales— se llegue a producir por no haberse reparado un defecto fruto de la ignorancia o de la negligencia de quienes presentaron la candidatura sin cumplir, en todos sus extremos, las prevenciones legales, sin perjuicio, como es obvio, del deber de diligencia y de colaboración con la Administración electoral que pesa sobre los candidatos y las formaciones políticas que les avalan (SSTC 67/1987, de 21 de mayo, FJ 3; 73/1995, de 12 de mayo, FJ 3; y 80/2002, de 8 de abril, FJ 7).</w:t>
      </w:r>
    </w:p>
    <w:p w:rsidR="00DE14C9" w:rsidRDefault="00DE14C9" w:rsidP="00DE14C9">
      <w:pPr>
        <w:pStyle w:val="TextoNormal"/>
      </w:pPr>
      <w:r>
        <w:t xml:space="preserve">En efecto, en este específico procedimiento no ha querido la Ley Orgánica del régimen electoral general dejar la suerte de las candidaturas a merced de la sola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Orgánica del régimen electoral general que tal irregularidad depare aquella sanción sin que antes se haga posible, mediante su identificación y advertencia de oficio, la oportuna subsanación, siempre, claro ésta, que ello sea materialmente posible (SSTC 73/1986, de 3 de junio, FJ 1; 59/1987, de 19 de mayo, FJ 3; 86/1987, de 1 de junio, FJ 4; 24/1989, de 2 de febrero, FJ 95/1991, de 7 de mayo, FJ </w:t>
      </w:r>
      <w:r>
        <w:lastRenderedPageBreak/>
        <w:t>2; 113/1991, de 20 de mayo, FJ 3; 175/1991, de 16 de septiembre, FJ 2; y 84/2003, de 8 de mayo, FJ 3).</w:t>
      </w:r>
    </w:p>
    <w:p w:rsidR="00DE14C9" w:rsidRDefault="00DE14C9" w:rsidP="00DE14C9">
      <w:pPr>
        <w:pStyle w:val="TextoNormal"/>
      </w:pPr>
    </w:p>
    <w:p w:rsidR="00DE14C9" w:rsidRDefault="00DE14C9" w:rsidP="00DE14C9">
      <w:pPr>
        <w:pStyle w:val="TextoNormal"/>
      </w:pPr>
      <w:r w:rsidRPr="00DE14C9">
        <w:rPr>
          <w:rStyle w:val="NumeroAFNegritaCaracter"/>
        </w:rPr>
        <w:t>4</w:t>
      </w:r>
      <w:r>
        <w:t>. La Sentencia impugnada considera que la candidatura presentada por Independientes de Porto do Son en la circunscripción electoral de Porto do Son incluye menos candidatas del número mínimo que resulta exigible para dar cumplimiento a la exigencia de composición equilibrada entre hombres y mujeres que exige el art. 44 bis LOREG. Pero la irregularidad cometida por el partido solicitante de amparo en la presentación de dicha candidatura no puede tener la trascendencia fatal para el derecho fundamental a acceder en condiciones de igualdad a las funciones y cargos públicos (art. 23.2 CE) que ha apreciado el órgano judicial, pues se trata de una irregularidad subsanable, conforme a la doctrina constitucional expuesta, y no advertida por la Junta electoral de zona de Noia, lo que dio lugar a que no se diese ocasión a la representación de Independientes de Porto do Son para su subsanación, conforme a lo dispuesto en el art. 47.2 LOREG.</w:t>
      </w:r>
    </w:p>
    <w:p w:rsidR="00DE14C9" w:rsidRDefault="00DE14C9" w:rsidP="00DE14C9">
      <w:pPr>
        <w:pStyle w:val="TextoNormal"/>
      </w:pPr>
      <w:r>
        <w:t>En definitiva, la interpretación de la legalidad aplicable del modo más favorable al derecho fundamental garantizado por el art. 23.2 CE, exigía que el órgano judicial, una vez apreciado el incumplimiento de lo dispuesto en el art. 44 bis LOREG, no se hubiese limitado a anular el Acuerdo de la Junta electoral de zona de Noia de proclamación de la candidatura de Independientes de Porto do Son en la circunscripción electoral de Porto do Son, sino que, en aras de preservar el derecho de sufragio pasivo, era preciso que modulase los efectos de dicha declaración de nulidad, requiriendo a la referida Junta electoral para que otorgase a dicha candidatura el plazo de subsanación previsto en el art. 47.2 LOREG, a fin de adecuar la misma a la proporción de candidatos de ambos sexos exigida por el art. 44 bis LOREG.</w:t>
      </w:r>
    </w:p>
    <w:p w:rsidR="00DE14C9" w:rsidRDefault="00DE14C9" w:rsidP="00DE14C9">
      <w:pPr>
        <w:pStyle w:val="TextoNormal"/>
      </w:pPr>
      <w:r>
        <w:t>Al no haberlo hecho así, el órgano judicial ha ocasionado al partido recurrente en amparo la denunciada vulneración de su derecho al sufragio pasivo, lo que conduce al otorgamiento del amparo solicitado, precisamente para que la Junta electoral de zona de Noia otorgue el trámite de subsanación omitido, procediendo, en caso de que se subsanase el defecto en la composición equilibrada entre hombres y mujeres que exige el art. 44 bis LOREG, a proclamar la candidatura, o a la no proclamación de la misma, en caso contrario.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la candidatura de Independientes de Porto do Son y, su virtud:</w:t>
      </w:r>
    </w:p>
    <w:p w:rsidR="00DE14C9" w:rsidRDefault="00DE14C9" w:rsidP="00DE14C9">
      <w:pPr>
        <w:pStyle w:val="TextoNormal"/>
      </w:pPr>
      <w:r>
        <w:t>1º Reconocer su derecho a acceder en condiciones de igualdad a las funciones y cargos públicos (art. 23.2 CE).</w:t>
      </w:r>
    </w:p>
    <w:p w:rsidR="00DE14C9" w:rsidRDefault="00DE14C9" w:rsidP="00DE14C9">
      <w:pPr>
        <w:pStyle w:val="TextoNormal"/>
      </w:pPr>
      <w:r>
        <w:t>2º Declarar la nulidad de la Sentencia de 7 de mayo de 2007 del Juzgado de lo Contencioso-Administrativo núm. 1 de A Coruña, dictada en el recurso contencioso-electoral núm. 124-2007.</w:t>
      </w:r>
    </w:p>
    <w:p w:rsidR="00DE14C9" w:rsidRDefault="00DE14C9" w:rsidP="00DE14C9">
      <w:pPr>
        <w:pStyle w:val="TextoNormal"/>
      </w:pPr>
      <w:r>
        <w:t xml:space="preserve">3º Retrotraer las actuaciones al momento anterior al Acuerdo de la Junta electoral de zona de Noia de proclamación de la candidatura de Independientes de Porto do Son en la circunscripción electoral de Porto do Son, para que por dicha Junta electoral se proceda a </w:t>
      </w:r>
      <w:r>
        <w:lastRenderedPageBreak/>
        <w:t>otorgar trámite de subsanación, en los términos expresados en el fundamento jurídico 4 de esta Sentencia.</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diez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28" w:name="SENTENCIA_2007_115"/>
      <w:r>
        <w:lastRenderedPageBreak/>
        <w:t>SENTENCIA 115/2007, de 10 de mayo de 2007</w:t>
      </w:r>
    </w:p>
    <w:bookmarkEnd w:id="28"/>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137, de 8 de junio de 2007)</w:t>
      </w:r>
    </w:p>
    <w:p w:rsidR="00DE14C9" w:rsidRDefault="00DE14C9" w:rsidP="00DE14C9">
      <w:pPr>
        <w:pStyle w:val="TtuloBOE"/>
      </w:pPr>
    </w:p>
    <w:p w:rsidR="00DE14C9" w:rsidRDefault="00DE14C9" w:rsidP="00DE14C9">
      <w:pPr>
        <w:pStyle w:val="SntesisDescriptiva"/>
      </w:pPr>
      <w:r>
        <w:t>ECLI:ES:TC:2007:115</w:t>
      </w:r>
    </w:p>
    <w:p w:rsidR="00DE14C9" w:rsidRDefault="00DE14C9" w:rsidP="00DE14C9">
      <w:pPr>
        <w:pStyle w:val="SntesisDescriptiva"/>
      </w:pPr>
    </w:p>
    <w:p w:rsidR="00DE14C9" w:rsidRDefault="00DE14C9" w:rsidP="00DE14C9">
      <w:pPr>
        <w:pStyle w:val="SntesisDescriptiva"/>
      </w:pPr>
      <w:r>
        <w:t>Recurso de amparo electoral 4266-2007. Promovido por el Partido Galeguista frente a la Sentencia del Juzgado de lo Contencioso-Administrativo núm. 1 de A Coruña que anulo la proclamación de su candidatura en las elecciones locales por la circunscripción de Porto do Son.</w:t>
      </w:r>
    </w:p>
    <w:p w:rsidR="00DE14C9" w:rsidRDefault="00DE14C9" w:rsidP="00DE14C9">
      <w:pPr>
        <w:pStyle w:val="SntesisDescriptiva"/>
      </w:pPr>
    </w:p>
    <w:p w:rsidR="00DE14C9" w:rsidRDefault="00DE14C9" w:rsidP="00DE14C9">
      <w:pPr>
        <w:pStyle w:val="SntesisAnaltica"/>
      </w:pPr>
      <w:r>
        <w:t>Vulneración del derecho a acceder a los cargos representativos: STC 96/2007.</w:t>
      </w:r>
    </w:p>
    <w:p w:rsidR="00DE14C9" w:rsidRDefault="00DE14C9" w:rsidP="00DE14C9">
      <w:pPr>
        <w:pStyle w:val="SntesisAnaltica"/>
      </w:pPr>
    </w:p>
    <w:p w:rsidR="00DE14C9" w:rsidRDefault="00DE14C9" w:rsidP="00DE14C9">
      <w:pPr>
        <w:pStyle w:val="Extracto"/>
      </w:pPr>
      <w:r>
        <w:t>1.</w:t>
      </w:r>
      <w:r>
        <w:tab/>
        <w:t xml:space="preserve">Reitera la STC 96/2007. </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electoral núm. 4266-2007, promovido por el Partido Galeguista, representado por la Procuradora de los Tribunales doña María Concepción Montero Rubiato y asistido por la Letrada doña Lucía Vázquez López, contra la Sentencia de 7 de mayo de 2007 del Juzgado de lo Contencioso-Administrativo núm. 1 de A Coruña, que estima el recurso contencioso-electoral núm. 124-2007, interpuesto por el representante de las candidaturas presentadas por el Partido Popular (PP) en la provincia de A Coruña contra el Acuerdo de la Junta Electoral de Zona de Noia de proclamación de las candidaturas del Partido Galeguista y de Independientes de Porto do Son en la circunscripción electoral de Porto do Son. Ha intervenido el Ministerio Fiscal. Ha sido Ponente el Magistrado don Manuel Aragón Reyes,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xml:space="preserve">. Mediante escrito presentado en el Juzgado de guardia el 9 de mayo de 2007, que tuvo entrada al día siguiente en el Registro General de este Tribunal, la Procuradora de los Tribunales doña María Concepción Montero Rubiato, en nombre y representación del Partido </w:t>
      </w:r>
      <w:r>
        <w:lastRenderedPageBreak/>
        <w:t>Galeguista, interpuso recurso de amparo electoral contra la resolución judicial referida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en que se fundamenta la demanda de amparo electoral, relevantes para la resolución del caso, son los que se expresan a continuación:   a) El Partido Galeguista presentó ante la Junta electoral de zona de Noia una candidatura en la circunscripción electoral de Porto do Son para las elecciones municipales convocadas por Real Decreto 444/2007, de 2 de abril, candidatura que fue proclamada por Acuerdo de la referida Junta Electoral de Zona publicado en el “Boletín Oficial de la Provincia de A Coruña” de 1 de mayo de 2007. </w:t>
      </w:r>
    </w:p>
    <w:p w:rsidR="00DE14C9" w:rsidRDefault="00DE14C9" w:rsidP="00DE14C9">
      <w:pPr>
        <w:pStyle w:val="TextoNormal"/>
      </w:pPr>
      <w:r>
        <w:t>b) El 3 de mayo de 2007 el representante de las candidaturas presentadas por el Partido Popular (PP) en la provincia de A Coruña impugnó el Acuerdo de la Junta electoral de zona de Noia por el que se proclamaron las candidaturas presentadas por el Partido Galeguista y por Independientes de Porto do Son en la circunscripción electoral de Porto do Son, interesando que se anulasen dichas candidaturas por incumplir lo dispuesto en el art. 44 bis de la Ley Orgánica del régimen electoral general (LOREG), introducido por la Ley Orgánica 3/2007, de 22 de marzo, para la igualdad efectiva de mujeres y hombres, siendo esta exigencia legal aplicable al municipio de Porto do Son, por contar con más de 5.000 habitantes, de conformidad con lo dispuesto en la disposición transitoria séptima de la LOREG, añadida también por la Ley Orgánica 3/2007.   c) El Juzgado de lo Contencioso-Administrativo núm. 1 de A Coruña estimó el recurso contencioso-electoral (núm. 124-2007) interpuesto por el representante del PP contra el referido Acuerdo de la Junta Electoral de Zona de Noia, procediendo a anular dicho Acuerdo y la candidatura proclamada del Partido Galeguista para las elecciones municipales en Porto do Son (al igual que la candidatura de Independientes de Porto do Son, extremo éste de la Sentencia impugnada que no es objeto del presente recurso de amparo), al apreciar que la misma incumple la exigencia de composición equilibrada entre hombres y mujeres contenida en el art. 44 bis LOREG, por las razones que se expresan en la Sentencia.</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En la demanda de amparo electoral se alega, en primer lugar, la vulneración del derecho a la tutela judicial efectiva sin indefensión (art. 24.1 CE), por cuanto en el presente supuesto la Administración electoral no cumplió con su obligación de poner en conocimiento del PSdG-PSOE las posibles irregularidades cometidas en la candidatura presentada, al objeto de permitir su subsanación, por lo que no tuvo en cuenta que la legalidad aplicable ha de ser entendida en los términos más favorables a la plena efectividad del derecho fundamental de sufragio pasivo, de conformidad con la reiterada doctrina sentada al respecto por el Tribunal Constitucional (SSTC 73/1986, 59/1987, y 86/1987). </w:t>
      </w:r>
    </w:p>
    <w:p w:rsidR="00DE14C9" w:rsidRDefault="00DE14C9" w:rsidP="00DE14C9">
      <w:pPr>
        <w:pStyle w:val="TextoNormal"/>
      </w:pPr>
      <w:r>
        <w:t xml:space="preserve">Alega asimismo la representación procesal del Partido Galeguista la vulneración de su derecho de sufragio pasivo, garantizado por el art. 23.2 CE, pues no caben interpretaciones desproporcionadas, como la que lleva a cabo la Sentencia impugnada, que conduzcan a la anulación de candidaturas electorales por defectos que debieron ser puestos de manifiesto por la Administración electoral para su oportuna subsanación. Con cita de las SSTC 113/1991, 24/1989, 84/2003, 85/2003, y 26/2004, sostiene la formación política recurrente en amparo que la Junta electoral de zona de Noia debió advertirle del defecto en la composición de la candidatura presentada a las elecciones locales en el municipio de Porto do Son, a fin de que pudiera subsanar el defecto o irregularidad que finalmente ha declarado el Juzgado en el número de mujeres de la lista. El defecto cometido por la formación política solicitante de amparo en la presentación de la candidatura al municipio de Porto do Son no puede tener, de conformidad con la referida jurisprudencia constitucional, la trascendencia </w:t>
      </w:r>
      <w:r>
        <w:lastRenderedPageBreak/>
        <w:t xml:space="preserve">fatal para el derecho fundamental a acceder en condiciones de igualdad a las funciones y cargos públicos que ha apreciado el órgano judicial. </w:t>
      </w:r>
    </w:p>
    <w:p w:rsidR="00DE14C9" w:rsidRDefault="00DE14C9" w:rsidP="00DE14C9">
      <w:pPr>
        <w:pStyle w:val="TextoNormal"/>
      </w:pPr>
      <w:r>
        <w:t>Por todo ello el partido recurrente concluye interesando que se le otorgue el amparo solicitado, dejando sin efecto la Sentencia impugnada y ordenando que se otorgue plazo para subsanar el defecto apreciado por el órgano judicial en cuanto al cumplimiento del art. 44 bis LOREG por la candidatura del Partido Galeguista a las elecciones municipales en Porto de Son.</w:t>
      </w:r>
    </w:p>
    <w:p w:rsidR="00DE14C9" w:rsidRDefault="00DE14C9" w:rsidP="00DE14C9">
      <w:pPr>
        <w:pStyle w:val="TextoNormal"/>
      </w:pPr>
    </w:p>
    <w:p w:rsidR="00DE14C9" w:rsidRDefault="00DE14C9" w:rsidP="00DE14C9">
      <w:pPr>
        <w:pStyle w:val="TextoNormal"/>
      </w:pPr>
      <w:r w:rsidRPr="00DE14C9">
        <w:rPr>
          <w:rStyle w:val="NumeroAFNegritaCaracter"/>
        </w:rPr>
        <w:t>4</w:t>
      </w:r>
      <w:r>
        <w:t>. Mediante diligencia de ordenación de 10 de mayo de 2007, el Secretario de Justicia de la Sala Primera de este Tribunal acordó, en conformidad con lo dispuesto en el Acuerdo del Pleno de 20 de enero de 2000, y obrando ya en este Tribunal las actuaciones correspondientes, recabar del Juzgado de lo Contencioso-Administrativo núm. 1 de A Coruña la acreditación de emplazamiento de las partes. Igualmente se acordó dar vista al Ministerio Fiscal y a las partes interesadas para que en el término de las 15 horas pudieran personarse en el presente proceso constitucional y formular las alegaciones pertinentes.</w:t>
      </w:r>
    </w:p>
    <w:p w:rsidR="00DE14C9" w:rsidRDefault="00DE14C9" w:rsidP="00DE14C9">
      <w:pPr>
        <w:pStyle w:val="TextoNormal"/>
      </w:pPr>
    </w:p>
    <w:p w:rsidR="00DE14C9" w:rsidRDefault="00DE14C9" w:rsidP="00DE14C9">
      <w:pPr>
        <w:pStyle w:val="TextoNormal"/>
      </w:pPr>
      <w:r w:rsidRPr="00DE14C9">
        <w:rPr>
          <w:rStyle w:val="NumeroAFNegritaCaracter"/>
        </w:rPr>
        <w:t>5</w:t>
      </w:r>
      <w:r>
        <w:t>. El Ministerio Fiscal presentó escrito de alegaciones, en el que, tras recordar lo dispuesto en el art. 47.2 LOREG y la doctrina del Tribunal Constitucional en materia de subsanación de irregularidades en la presentación de candidaturas, y en particular la Sentencia de 8 de mayo de 2007, dictada en un supuesto similar al presente, concluye señalando que procede otorgar el amparo solicitado por vulneración de los arts. 23.2 y 24.1 CE, declarando la nulidad de la Sentencia impugnada y ordenando retrotraer las actuaciones para que por la Junta electoral de zona de Noia se proceda a otorgar al recurrente trámite de subsanación, en la forma señalada en el fundamento jurídico 6 de la citada Sentencia de este Tribunal de 8 de mayo de 2007.</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Se impugna en el presente recurso de amparo electoral la Sentencia de 7 de mayo de 2007 del Juzgado de lo Contencioso-Administrativo núm. 1 de A Coruña, que estimó el recurso contencioso-electoral núm. 124-2007, interpuesto por el representante de las candidaturas presentadas por el PP en la provincia de A Coruña contra el Acuerdo de la Junta electoral de zona de Noia de proclamación de la candidatura del Partido Galeguista en la circunscripción electoral de Porto do Son, publicado en el “Boletín Oficial de la Provincia de A Coruña” el 1 de mayo de 2007, para las elecciones municipales convocadas por Real Decreto 444/2007, de 2 de abril.</w:t>
      </w:r>
    </w:p>
    <w:p w:rsidR="00DE14C9" w:rsidRDefault="00DE14C9" w:rsidP="00DE14C9">
      <w:pPr>
        <w:pStyle w:val="TextoNormal"/>
      </w:pPr>
      <w:r>
        <w:t>El partido solicitante de amparo se queja de que se han vulnerado sus derechos fundamentales a la tutela judicial efectiva sin indefensión (art. 24.1 CE) y acceder en condiciones de igualdad a los cargos públicos (art. 23.2 CE). El Ministerio Fiscal interesa asimismo el otorgamiento del amparo.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Con el fin de precisar el objeto del presente recurso de amparo electoral y cómo debe ser abordado su examen, es pertinente poner de relieve que en el asunto que nos ocupa el partido político solicitante de amparo denuncia en primer término la lesión del derecho a la tutela judicial efectiva sin indefensión (art. 24.1 CE), lesión que imputa a la Junta electoral de zona de Noia, y que se fundamenta en que ésta no cumplió con su obligación de poner </w:t>
      </w:r>
      <w:r>
        <w:lastRenderedPageBreak/>
        <w:t>en conocimiento del Partido Galeguista la posible irregularidad en que incurrió la candidatura presentada, en cuanto a lo dispuesto en el art. 44 bis de la Ley Orgánica del régimen electoral general (LOREG), al objeto de permitir la subsanación del defecto, obviando que, conforme a reiterada doctrina constitucional, la legalidad aplicable al caso ha de ser interpretada en los términos más favorables a la plena efectividad del derecho fundamental garantizado en el art. 23.2 CE. Falta de diligencia de la Administración electoral que, a la postre, dio lugar a la anulación en vía judicial de la candidatura proclamada.</w:t>
      </w:r>
    </w:p>
    <w:p w:rsidR="00DE14C9" w:rsidRDefault="00DE14C9" w:rsidP="00DE14C9">
      <w:pPr>
        <w:pStyle w:val="TextoNormal"/>
      </w:pPr>
      <w:r>
        <w:t>Pues bien, así planteada la queja, esta pretendida lesión del derecho fundamental a la tutela judicial efectiva sin indefensión que el PSOE imputa a la Administración electoral ha de ser reconducida a la queja relativa a la vulneración del derecho al sufragio pasivo, garantizado por el derecho fundamental a acceder a los cargos representativos (art. 23.2 CE), queja a la que luego nos referiremos, sin que pueda apreciarse en el presente caso una lesión autónoma del art. 24.1 CE, toda vez no estamos ante un supuesto en el que el acuerdo adoptado por una determinada Junta Electoral no pueda ser sometido a un control judicial independiente (por todas, SSTC 103/1996, de 11 de junio, FJ 4.c; 46/1997, de 11 de marzo, FJ 1; 48/1997, de 11 de marzo; 149/2000, de 1 de junio, FJ 3; y 36/2003, de 25 de febrero, FJ 5).</w:t>
      </w:r>
    </w:p>
    <w:p w:rsidR="00DE14C9" w:rsidRDefault="00DE14C9" w:rsidP="00DE14C9">
      <w:pPr>
        <w:pStyle w:val="TextoNormal"/>
      </w:pPr>
    </w:p>
    <w:p w:rsidR="00DE14C9" w:rsidRDefault="00DE14C9" w:rsidP="00DE14C9">
      <w:pPr>
        <w:pStyle w:val="TextoNormal"/>
      </w:pPr>
      <w:r w:rsidRPr="00DE14C9">
        <w:rPr>
          <w:rStyle w:val="NumeroAFNegritaCaracter"/>
        </w:rPr>
        <w:t>3</w:t>
      </w:r>
      <w:r>
        <w:t>. Como ha quedado expuesto, el partido político solicitante de amparo denuncia como queja principal la vulneración de su derecho de sufragio pasivo, garantizado por el art. 23.2 CE, pues entiende que no resultan constitucionalmente admisibles interpretaciones desproporcionadas de la legislación electoral, como la que ha realizado la Sentencia impugnada en amparo, que conduzcan a la anulación de candidaturas electorales por defectos subsanables que no fueron puestos de manifiesto en ningún momento por la Administración electoral.</w:t>
      </w:r>
    </w:p>
    <w:p w:rsidR="00DE14C9" w:rsidRDefault="00DE14C9" w:rsidP="00DE14C9">
      <w:pPr>
        <w:pStyle w:val="TextoNormal"/>
      </w:pPr>
      <w:r>
        <w:t>Con cita de doctrina constitucional sobre la subsanación de irregularidades, defectos y errores en las candidaturas presentadas y sobre el deber de las Juntas Electorales competentes de advertir y permitir dicha subsanación, sostiene el partido recurrente en amparo que la Junta electoral de zona de Noia debió advertirle del defecto en la composición, a efectos del art. 44 bis LOREG, de la candidatura presentada a las elecciones locales en el municipio de Porto do Son, a fin de que pudiera subsanar el defecto que finalmente ha apreciado el Juzgado en la composición de candidatos de uno y otro sexo en la lista electoral, con el resultado de anular la candidatura. Al no hacerlo así, procediendo la Administración electoral a proclamar la candidatura presentada sin formular reparo alguno, no cabe que, con ocasión de la impugnación por otro partido ex art. 49 LOREG de la candidatura proclamada, el órgano judicial acuerde la nulidad de la candidatura por incumplimiento de lo dispuesto en el citado art.  44 bis LOREG, sin dar oportunidad a la formación política de corregir el defecto padecido, presentando una lista ajustada a la composición equilibrada de mujeres y hombres establecida por dicho precepto, añadido por la reciente Ley Orgánica 3/2007, de 22 de marzo, para la igualdad efectiva de mujeres y hombres.</w:t>
      </w:r>
    </w:p>
    <w:p w:rsidR="00DE14C9" w:rsidRDefault="00DE14C9" w:rsidP="00DE14C9">
      <w:pPr>
        <w:pStyle w:val="TextoNormal"/>
      </w:pPr>
      <w:r>
        <w:t xml:space="preserve">El partido solicitante de amparo recuerda, además, que la propia Administración electoral ha reconocido expresamente, y de manera general, el carácter subsanable de los defectos que puedan presentar las candidaturas presentadas por las formaciones políticas en cuanto a la exigencia establecida por el citado art. 44 bis LOREG, conforme al cual (apartado 1, párrafo primero) las candidaturas “deberán tener una composición equilibrada de mujeres y hombres, de forma que en el conjunto de la lista los candidatos de cada uno de los sexos supongan como mínimo el cuarenta por ciento”, proporción que deberá mantenerse también en cada tramo de cinco puestos, de suerte que si el número de candidatos o el último tramo de la lista no alcanzase los cinco puestos, la proporción de mujeres y hombres será lo más </w:t>
      </w:r>
      <w:r>
        <w:lastRenderedPageBreak/>
        <w:t>cercano posible al equilibrio numérico, manteniendo la proporción respecto del conjunto de la lista (apartados 1 y 2 del art. 44 bis LOREG), reglas éstas igualmente aplicables a las listas de suplentes (apartado 3 del art. 44 bis LOREG).</w:t>
      </w:r>
    </w:p>
    <w:p w:rsidR="00DE14C9" w:rsidRDefault="00DE14C9" w:rsidP="00DE14C9">
      <w:pPr>
        <w:pStyle w:val="TextoNormal"/>
      </w:pPr>
      <w:r>
        <w:t>Y así, en efecto, el punto primero de la Instrucción 8/2007, de 19 de abril, de la Junta Electoral Central, sobre interpretación del trámite de subsanación de irregularidades previsto en el art. 48.1 LOREG por incumplimiento de los requisitos de los arts.  44 bis y 187.2 LOREG, en la redacción dada por la Ley Orgánica 3/2007, de 22 de marzo, para la igualdad efectiva de mujeres y hombres, establece que “Durante el plazo de subsanación de las irregularidades advertidas por las Juntas Electorales competentes en las candidaturas presentadas, cuando la causa sea el incumplimiento de lo dispuesto en el artículo 44 bis de la LOREG o en la legislación autonómica aplicable sobre candidaturas paritarias, podrá modificarse el orden de los candidatos, o incluir o excluir algún candidato, siempre que con ello se trate estrictamente de subsanar la irregularidad apreciada, de conformidad con lo dispuesto en el último inciso del artículo 48.1 de la LOREG”.</w:t>
      </w:r>
    </w:p>
    <w:p w:rsidR="00DE14C9" w:rsidRDefault="00DE14C9" w:rsidP="00DE14C9">
      <w:pPr>
        <w:pStyle w:val="TextoNormal"/>
      </w:pPr>
      <w:r>
        <w:t>Sin embargo, del examen de actuaciones resulta que la Junta electoral de zona de Noia procedió a proclamar la candidatura presentada por el Partido Galeguista en la circunscripción electoral de Porto do Son, para las elecciones municipales convocadas por Real Decreto 444/2007, de 2 de abril, sin advertir que dicha candidatura incumpliese la exigencia de composición equilibrada entre hombres y mujeres contenida en el art. 44 bis LOREG (exigencia aplicable al municipio de de Porto do Son, conforme a la disposición transitoria séptima LOREG, añadida también por la Ley Orgánica 3/2007, por contar con un número de residentes superior a los 5.000 habitantes) que ha apreciado el órgano judicial en la Sentencia impugnada en amparo.</w:t>
      </w:r>
    </w:p>
    <w:p w:rsidR="00DE14C9" w:rsidRDefault="00DE14C9" w:rsidP="00DE14C9">
      <w:pPr>
        <w:pStyle w:val="TextoNormal"/>
      </w:pPr>
      <w:r>
        <w:t>Y se constata igualmente, lo que resulta determinante para el otorgamiento del amparo por vulneración del derecho al sufragio pasivo garantizado por el art. 23.2 CE, que la Junta electoral de zona de Noia, al no advertir defecto alguno en la candidatura presentada por el Partido Galeguista en la circunscripción electoral de Porto do Son, no dio oportunidad a esta formación política de subsanar el defecto en la composición equilibrada entre hombres y mujeres de la candidatura que exige el art. 44 bis LOREG que finalmente apreció la Sentencia impugnada.</w:t>
      </w:r>
    </w:p>
    <w:p w:rsidR="00DE14C9" w:rsidRDefault="00DE14C9" w:rsidP="00DE14C9">
      <w:pPr>
        <w:pStyle w:val="TextoNormal"/>
      </w:pPr>
    </w:p>
    <w:p w:rsidR="00DE14C9" w:rsidRDefault="00DE14C9" w:rsidP="00DE14C9">
      <w:pPr>
        <w:pStyle w:val="TextoNormal"/>
      </w:pPr>
      <w:r w:rsidRPr="00DE14C9">
        <w:rPr>
          <w:rStyle w:val="NumeroAFNegritaCaracter"/>
        </w:rPr>
        <w:t>4</w:t>
      </w:r>
      <w:r>
        <w:t>. Nuestra doctrina en materia de subsanación de irregularidades sufridas en la presentación de candidaturas ante la Administración electoral puede resumirse en la afirmación de que, por principio, los errores e irregularidades cometidos en la presentación de éstas son subsanables y que, en consecuencia, las Juntas Electorales han de ofrecer la oportunidad de que las candidaturas en las que se han detectado lo hagan. Busca con ello la Ley Orgánica del régimen electoral general,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w:t>
      </w:r>
    </w:p>
    <w:p w:rsidR="00DE14C9" w:rsidRDefault="00DE14C9" w:rsidP="00DE14C9">
      <w:pPr>
        <w:pStyle w:val="TextoNormal"/>
      </w:pPr>
      <w:r>
        <w:t xml:space="preserve">Deriva de lo expuesto el que si por la Administración electoral se incumple este deber legal en orden al examen de los escritos de presentación de candidaturas, no dándose así </w:t>
      </w:r>
      <w:r>
        <w:lastRenderedPageBreak/>
        <w:t>ocasión a los interesados para la reparación de unos defectos que después llevan al rechazo de aquéllas, se habrá ignorado, con ello, una garantía dispuesta por la Ley Orgánica del régimen electoral general para la efectividad, como queda dicho, del derecho de sufragio pasivo, que resultará así afectado negativamente en la medida en que se desconozca por una Junta Electoral, o se atienda sólo imperfectamente la exigencia legal de la que aquí se trata. En modo alguno empaña esta conclusión, ni la consideración general que se acaba de hacer sobre la afectación del derecho reconocido en el art. 23.2 CE, el hecho de que, en estos casos, el resultado finalmente gravoso para candidaturas y candidatos —la denegación de su proclamación como tales— se llegue a producir por no haberse reparado un defecto fruto de la ignorancia o de la negligencia de quienes presentaron la candidatura sin cumplir, en todos sus extremos, las prevenciones legales, sin perjuicio, como es obvio, del deber de diligencia y de colaboración con la Administración electoral que pesa sobre los candidatos y las formaciones políticas que les avalan (SSTC 67/1987, de 21 de mayo, FJ 3; 73/1995, de 12 de mayo, FJ 3; y 80/2002, de 8 de abril, FJ 7).</w:t>
      </w:r>
    </w:p>
    <w:p w:rsidR="00DE14C9" w:rsidRDefault="00DE14C9" w:rsidP="00DE14C9">
      <w:pPr>
        <w:pStyle w:val="TextoNormal"/>
      </w:pPr>
      <w:r>
        <w:t>En efecto, en este específico procedimiento no ha querido la Ley Orgánica del régimen electoral general dejar la suerte de las candidaturas a merced de la sola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Orgánica del régimen electoral general que tal irregularidad depare aquella sanción sin que antes se haga posible, mediante su identificación y advertencia de oficio, la oportuna subsanación, siempre, claro ésta, que ello sea materialmente factible (SSTC 73/1986, de 3 de junio, FJ 1; 59/1987, de 19 de mayo, FJ 3; 86/1987, de 1 de junio, FJ 4; 24/1989, de 2 de febrero, FJ 95/1991, de 7 de mayo, FJ 2; 113/1991, de 20 de mayo, FJ 3; 175/1991, de 16 de septiembre, FJ 2; y 84/2003, de 8 de mayo, FJ 3).</w:t>
      </w:r>
    </w:p>
    <w:p w:rsidR="00DE14C9" w:rsidRDefault="00DE14C9" w:rsidP="00DE14C9">
      <w:pPr>
        <w:pStyle w:val="TextoNormal"/>
      </w:pPr>
    </w:p>
    <w:p w:rsidR="00DE14C9" w:rsidRDefault="00DE14C9" w:rsidP="00DE14C9">
      <w:pPr>
        <w:pStyle w:val="TextoNormal"/>
      </w:pPr>
      <w:r w:rsidRPr="00DE14C9">
        <w:rPr>
          <w:rStyle w:val="NumeroAFNegritaCaracter"/>
        </w:rPr>
        <w:t>5</w:t>
      </w:r>
      <w:r>
        <w:t>. Por lo expuesto, el defecto en la presentación de la candidatura del partido solicitante de amparo a la circunscripción electoral de Porto do Son en cuanto a la exigencia de composición equilibrada entre hombres y mujeres que exige el art. 44 bis LOREG no puede tener la trascendencia fatal para el derecho fundamental a acceder en condiciones de igualdad a las funciones y cargos públicos (art. 23.2 CE) que ha apreciado el órgano judicial, pues se trata de una irregularidad subsanable, conforme a la doctrina constitucional expuesta, y no advertida por la Junta electoral de zona de Noia, lo que dio lugar a que no se diese ocasión a la representación del Partido Galeguista para su subsanación, conforme a lo dispuesto en el art. 47.2 LOREG.</w:t>
      </w:r>
    </w:p>
    <w:p w:rsidR="00DE14C9" w:rsidRDefault="00DE14C9" w:rsidP="00DE14C9">
      <w:pPr>
        <w:pStyle w:val="TextoNormal"/>
      </w:pPr>
      <w:r>
        <w:t>En definitiva, la interpretación de la legalidad aplicable del modo más favorable al derecho fundamental garantizado por el art. 23.2 CE, exigía que el órgano judicial, una vez apreciado el incumplimiento de lo dispuesto en el art. 44 bis LOREG, no se hubiese limitado a anular el Acuerdo de la Junta electoral de zona de Noia de proclamación de la candidatura del Partido Galeguista en la circunscripción electoral de Porto do Son, sino que, en aras de preservar el derecho de sufragio pasivo, era preciso que modulase los efectos de dicha declaración de nulidad, requiriendo a la referida Junta electoral para que otorgase a dicha candidatura el plazo de subsanación previsto en el art. 47.2 LOREG, a fin de adecuar la misma a la proporción de candidatos de ambos sexos exigida por el art. 44 bis LOREG.</w:t>
      </w:r>
    </w:p>
    <w:p w:rsidR="00DE14C9" w:rsidRDefault="00DE14C9" w:rsidP="00DE14C9">
      <w:pPr>
        <w:pStyle w:val="TextoNormal"/>
      </w:pPr>
      <w:r>
        <w:t xml:space="preserve">Al no haberlo hecho así, el órgano judicial ha ocasionado al partido recurrente en amparo la denunciada vulneración de su derecho al sufragio pasivo, lo que conduce al otorgamiento </w:t>
      </w:r>
      <w:r>
        <w:lastRenderedPageBreak/>
        <w:t>del amparo solicitado, precisamente para que la Junta electoral de zona de Noia otorgue el trámite de subsanación omitido, procediendo, en caso de que se subsanase el defecto en la composición equilibrada entre hombres y mujeres que exige el art. 44 bis LOREG, a proclamar la candidatura, o a la no proclamación de la misma, en caso contrario.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el Partido Galeguista y, en su virtud:</w:t>
      </w:r>
    </w:p>
    <w:p w:rsidR="00DE14C9" w:rsidRDefault="00DE14C9" w:rsidP="00DE14C9">
      <w:pPr>
        <w:pStyle w:val="TextoNormal"/>
      </w:pPr>
      <w:r>
        <w:t>1º Reconocer su derecho a acceder en condiciones de igualdad a las funciones y cargos públicos (art. 23.2 CE).</w:t>
      </w:r>
    </w:p>
    <w:p w:rsidR="00DE14C9" w:rsidRDefault="00DE14C9" w:rsidP="00DE14C9">
      <w:pPr>
        <w:pStyle w:val="TextoNormal"/>
      </w:pPr>
      <w:r>
        <w:t>2º Declarar la nulidad de la Sentencia de 7 de mayo de 2007 del Juzgado de lo Contencioso-Administrativo núm. 1 de A Coruña, dictada en el recurso contencioso-electoral núm. 124-2007, en cuanto a la declaración de nulidad del Acuerdo de la Junta electoral de zona de Noia de proclamación de la candidatura del Partido Galeguista en la circunscripción electoral de Porto do Son.</w:t>
      </w:r>
    </w:p>
    <w:p w:rsidR="00DE14C9" w:rsidRDefault="00DE14C9" w:rsidP="00DE14C9">
      <w:pPr>
        <w:pStyle w:val="TextoNormal"/>
      </w:pPr>
      <w:r>
        <w:t>3º Retrotraer las actuaciones al momento anterior al Acuerdo de la Junta electoral de zona de Noia de proclamación de la candidatura del Partido Galeguista en la circunscripción electoral de Porto do Son, para que por dicha Junta electoral se proceda a otorgar trámite de subsanación, en los términos expresados en el fundamento jurídico 5 de esta Sentencia.</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diez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29" w:name="SENTENCIA_2007_116"/>
      <w:r>
        <w:lastRenderedPageBreak/>
        <w:t>SENTENCIA 116/2007, de 21 de mayo de 2007</w:t>
      </w:r>
    </w:p>
    <w:bookmarkEnd w:id="29"/>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149, de 22 de junio de 2007)</w:t>
      </w:r>
    </w:p>
    <w:p w:rsidR="00DE14C9" w:rsidRDefault="00DE14C9" w:rsidP="00DE14C9">
      <w:pPr>
        <w:pStyle w:val="TtuloBOE"/>
      </w:pPr>
    </w:p>
    <w:p w:rsidR="00DE14C9" w:rsidRDefault="00DE14C9" w:rsidP="00DE14C9">
      <w:pPr>
        <w:pStyle w:val="SntesisDescriptiva"/>
      </w:pPr>
      <w:r>
        <w:t>ECLI:ES:TC:2007:116</w:t>
      </w:r>
    </w:p>
    <w:p w:rsidR="00DE14C9" w:rsidRDefault="00DE14C9" w:rsidP="00DE14C9">
      <w:pPr>
        <w:pStyle w:val="SntesisDescriptiva"/>
      </w:pPr>
    </w:p>
    <w:p w:rsidR="00DE14C9" w:rsidRDefault="00DE14C9" w:rsidP="00DE14C9">
      <w:pPr>
        <w:pStyle w:val="SntesisDescriptiva"/>
      </w:pPr>
      <w:r>
        <w:t>Recurso de amparo 2805-2002. Promovido por doña María del Pilar Ramírez Balboteo frente a la Sentencia de la Sala de lo Contencioso-Administrativo del Tribunal Supremo que estimó parcialmente su demanda contra el Consejo General del Poder Judicial sobre sanciones disciplinarias por incompatibilidad y no abstención.</w:t>
      </w:r>
    </w:p>
    <w:p w:rsidR="00DE14C9" w:rsidRDefault="00DE14C9" w:rsidP="00DE14C9">
      <w:pPr>
        <w:pStyle w:val="SntesisDescriptiva"/>
      </w:pPr>
    </w:p>
    <w:p w:rsidR="00DE14C9" w:rsidRDefault="00DE14C9" w:rsidP="00DE14C9">
      <w:pPr>
        <w:pStyle w:val="SntesisAnaltica"/>
      </w:pPr>
      <w:r>
        <w:t>Supuesta vulneración de los derechos a la tutela judicial sin indefensión, a la presunción de inocencia y a la legalidad penal: garantías del procedimiento administrativo sancionador; prueba de cargo sobre el interés indirecto de una juez en un proceso; sanciones administrativas con cobertura legal, motivadas, que no incurren en bis in idem ni son retroactivas.</w:t>
      </w:r>
    </w:p>
    <w:p w:rsidR="00DE14C9" w:rsidRDefault="00DE14C9" w:rsidP="00DE14C9">
      <w:pPr>
        <w:pStyle w:val="SntesisAnaltica"/>
      </w:pPr>
    </w:p>
    <w:p w:rsidR="00DE14C9" w:rsidRDefault="00DE14C9" w:rsidP="00DE14C9">
      <w:pPr>
        <w:pStyle w:val="Extracto"/>
      </w:pPr>
      <w:r>
        <w:t>1.</w:t>
      </w:r>
      <w:r>
        <w:tab/>
        <w:t>No se vulnera el derecho a no padecer indefensión si en el pliego de cargo aparece una pormenorizada relación de los hechos imputados y además se concretan posteriormente los hechos en la propuesta de resolución, existiendo también la posibilidad de alegar [FJ 2].</w:t>
      </w:r>
    </w:p>
    <w:p w:rsidR="00DE14C9" w:rsidRDefault="00DE14C9" w:rsidP="00DE14C9">
      <w:pPr>
        <w:pStyle w:val="Extracto"/>
      </w:pPr>
    </w:p>
    <w:p w:rsidR="00DE14C9" w:rsidRDefault="00DE14C9" w:rsidP="00DE14C9">
      <w:pPr>
        <w:pStyle w:val="Extracto"/>
      </w:pPr>
      <w:r>
        <w:t>2.</w:t>
      </w:r>
      <w:r>
        <w:tab/>
        <w:t>No se vulnera el derecho a la tutela judicial efectiva sin indefensión si queda debidamente acreditado que el Pleno del Consejo General del Poder Judicial tuvo posibilidad efectiva de tomar conocimiento de las alegaciones de la recurrente, no sólo por estar a su disposición la totalidad de la documentación del expediente, sino porque incluso la existencia de alegaciones por parte de la recurrente fue específicamente mencionada en el acuerdo de la comisión disciplinaria [FJ 3].</w:t>
      </w:r>
    </w:p>
    <w:p w:rsidR="00DE14C9" w:rsidRDefault="00DE14C9" w:rsidP="00DE14C9">
      <w:pPr>
        <w:pStyle w:val="Extracto"/>
      </w:pPr>
    </w:p>
    <w:p w:rsidR="00DE14C9" w:rsidRDefault="00DE14C9" w:rsidP="00DE14C9">
      <w:pPr>
        <w:pStyle w:val="Extracto"/>
      </w:pPr>
      <w:r>
        <w:t>3.</w:t>
      </w:r>
      <w:r>
        <w:tab/>
        <w:t>No se vulnera el derecho a la presunción de inocencia si la resolución sancionadora ha hecho explícito el proceso argumental para inferir, a partir de hechos objetivos perfectamente acreditados, la existencia de un interés indirecto y el conocimiento del deber de abstención [FFJJ 4, 5].</w:t>
      </w:r>
    </w:p>
    <w:p w:rsidR="00DE14C9" w:rsidRDefault="00DE14C9" w:rsidP="00DE14C9">
      <w:pPr>
        <w:pStyle w:val="Extracto"/>
      </w:pPr>
    </w:p>
    <w:p w:rsidR="00DE14C9" w:rsidRDefault="00DE14C9" w:rsidP="00DE14C9">
      <w:pPr>
        <w:pStyle w:val="Extracto"/>
      </w:pPr>
      <w:r>
        <w:t>4.</w:t>
      </w:r>
      <w:r>
        <w:tab/>
        <w:t>No se vulnera el art. 25.1 CE si no se aprecian argumentaciones extravagantes a las normalmente utilizadas en la comunidad jurídica, ni bases valorativas ajenas a los criterios constitucionales para llegar a soluciones opuestas a la orientación material de las normas y, en esa medida, imprevisibles para la recurrente [FJ 6].</w:t>
      </w:r>
    </w:p>
    <w:p w:rsidR="00DE14C9" w:rsidRDefault="00DE14C9" w:rsidP="00DE14C9">
      <w:pPr>
        <w:pStyle w:val="Extracto"/>
      </w:pPr>
    </w:p>
    <w:p w:rsidR="00DE14C9" w:rsidRDefault="00DE14C9" w:rsidP="00DE14C9">
      <w:pPr>
        <w:pStyle w:val="Extracto"/>
      </w:pPr>
      <w:r>
        <w:t>5.</w:t>
      </w:r>
      <w:r>
        <w:tab/>
        <w:t>No se vulnera el art. 25.1 CE si se motiva debidamente la individuación de las sanciones impuestas y las mismas resultan proporcionadas a la infracción cometida [FJ 7].</w:t>
      </w:r>
    </w:p>
    <w:p w:rsidR="00DE14C9" w:rsidRDefault="00DE14C9" w:rsidP="00DE14C9">
      <w:pPr>
        <w:pStyle w:val="Extracto"/>
      </w:pPr>
    </w:p>
    <w:p w:rsidR="00DE14C9" w:rsidRDefault="00DE14C9" w:rsidP="00DE14C9">
      <w:pPr>
        <w:pStyle w:val="Extracto"/>
      </w:pPr>
      <w:r>
        <w:t>6.</w:t>
      </w:r>
      <w:r>
        <w:tab/>
        <w:t>No resulta infringido el principio non bis in idem si no concurre la necesaria identidad fáctica entre los hechos que fueron objeto de la resolución impugnada y los de un expediente sancionador precedente [FJ 8].</w:t>
      </w:r>
    </w:p>
    <w:p w:rsidR="00DE14C9" w:rsidRDefault="00DE14C9" w:rsidP="00DE14C9">
      <w:pPr>
        <w:pStyle w:val="Extracto"/>
      </w:pPr>
    </w:p>
    <w:p w:rsidR="00DE14C9" w:rsidRDefault="00DE14C9" w:rsidP="00DE14C9">
      <w:pPr>
        <w:pStyle w:val="Extracto"/>
      </w:pPr>
      <w:r>
        <w:lastRenderedPageBreak/>
        <w:t>7.</w:t>
      </w:r>
      <w:r>
        <w:tab/>
        <w:t>Habida cuenta de que la conducta sancionada por incumplimiento del deber de abstención ha sido mantenida por la recurrente durante años con posterioridad a la entrada en vigor de la nueva redacción del art. 417.8 LOPJ, debe concluirse que la normativa sancionadora aplicada estaba plenamente vigente en el momento en que estaba llevando a cabo su conducta infractora [FJ 9].</w:t>
      </w:r>
    </w:p>
    <w:p w:rsidR="00DE14C9" w:rsidRDefault="00DE14C9" w:rsidP="00DE14C9">
      <w:pPr>
        <w:pStyle w:val="Extracto"/>
      </w:pPr>
    </w:p>
    <w:p w:rsidR="00DE14C9" w:rsidRDefault="00DE14C9" w:rsidP="00DE14C9">
      <w:pPr>
        <w:pStyle w:val="Extracto"/>
      </w:pPr>
      <w:r>
        <w:t>8.</w:t>
      </w:r>
      <w:r>
        <w:tab/>
        <w:t>El derecho a ser informado de la acusación en el derecho administrativo sancionador implica que la imputación puede ir precisándose de forma gradual al desarrollo del procedimiento, siempre que se dé ocasión de defenderse de la acusación de forma plena desde el momento en que la conoce (STC 129/2006) [FJ 2].</w:t>
      </w:r>
    </w:p>
    <w:p w:rsidR="00DE14C9" w:rsidRDefault="00DE14C9" w:rsidP="00DE14C9">
      <w:pPr>
        <w:pStyle w:val="Extracto"/>
      </w:pPr>
    </w:p>
    <w:p w:rsidR="00DE14C9" w:rsidRDefault="00DE14C9" w:rsidP="00DE14C9">
      <w:pPr>
        <w:pStyle w:val="Extracto"/>
      </w:pPr>
      <w:r>
        <w:t>9.</w:t>
      </w:r>
      <w:r>
        <w:tab/>
        <w:t>La imposibilidad de tomar en consideración las alegaciones oportunamente deducidas por las partes puede implicar una quiebra del principio de contradicción causante de indefensión (STC 307/2005) [FJ 3].</w:t>
      </w:r>
    </w:p>
    <w:p w:rsidR="00DE14C9" w:rsidRDefault="00DE14C9" w:rsidP="00DE14C9">
      <w:pPr>
        <w:pStyle w:val="Extracto"/>
      </w:pPr>
    </w:p>
    <w:p w:rsidR="00DE14C9" w:rsidRDefault="00DE14C9" w:rsidP="00DE14C9">
      <w:pPr>
        <w:pStyle w:val="Extracto"/>
      </w:pPr>
      <w:r>
        <w:t>10.</w:t>
      </w:r>
      <w:r>
        <w:tab/>
        <w:t>Doctrina sobre la valoración de la prueba [FJ 4].</w:t>
      </w:r>
    </w:p>
    <w:p w:rsidR="00DE14C9" w:rsidRDefault="00DE14C9" w:rsidP="00DE14C9">
      <w:pPr>
        <w:pStyle w:val="Extracto"/>
      </w:pPr>
    </w:p>
    <w:p w:rsidR="00DE14C9" w:rsidRDefault="00DE14C9" w:rsidP="00DE14C9">
      <w:pPr>
        <w:pStyle w:val="Extracto"/>
      </w:pPr>
      <w:r>
        <w:t>11.</w:t>
      </w:r>
      <w:r>
        <w:tab/>
        <w:t>Doctrina sobre la legalidad sancionadora [FFJJ 6 a 10].</w:t>
      </w:r>
    </w:p>
    <w:p w:rsidR="00DE14C9" w:rsidRDefault="00DE14C9" w:rsidP="00DE14C9">
      <w:pPr>
        <w:pStyle w:val="Extracto"/>
      </w:pPr>
    </w:p>
    <w:p w:rsidR="00DE14C9" w:rsidRDefault="00DE14C9" w:rsidP="00DE14C9">
      <w:pPr>
        <w:pStyle w:val="Extracto"/>
      </w:pPr>
      <w:r>
        <w:t>12.</w:t>
      </w:r>
      <w:r>
        <w:tab/>
        <w:t>El carácter subsidiario de la jurisdicción de amparo impide a este Tribunal pronunciarse per saltum respecto de alegaciones para cuyo pronunciamiento en la vía judicial existan remedios procesales idóneos (STC 25/2005) [FJ 10].</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2805-2002, promovido por doña María del Pilar Ramírez Balboteo, representada por el Procurador de los Tribunales don Evencio Conde de Gregorio y bajo la dirección del Letrado don Luis Fernando Martínez Ruiz, contra el Acuerdo del Pleno del Consejo General del Poder Judicial de 9 de febrero de 2000, dictado en el expediente disciplinario núm. 32-1999, parcialmente confirmado por la Sentencia de la Sección Séptima de la Sala de lo Contencioso-Administrativo del Tribunal Supremo de 17 de abril de 2002, dictada en el recurso núm. 171-2000. Ha comparecido el Abogado del Estado. Ha intervenido el Ministerio Fiscal. Ha sido Ponente el Magistrado don Pablo Pérez Tremps, quien expresa el parecer de la Sala.</w:t>
      </w:r>
    </w:p>
    <w:p w:rsidR="00DE14C9" w:rsidRDefault="00DE14C9" w:rsidP="00DE14C9">
      <w:pPr>
        <w:pStyle w:val="TextoNormal"/>
      </w:pPr>
    </w:p>
    <w:p w:rsidR="00DE14C9" w:rsidRDefault="00DE14C9" w:rsidP="00DE14C9">
      <w:pPr>
        <w:pStyle w:val="TextoNormalNegritaCentrado"/>
        <w:keepNext/>
      </w:pPr>
      <w:r>
        <w:lastRenderedPageBreak/>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registrado en este Tribunal el 7 de mayo de 2002, el Procurador de los Tribunales don Evencio Conde de Gregorio, en nombre y representación de doña María del Pilar Ramírez Balboteo, y bajo la dirección del Letrado don Luis Fernando Martínez Ruiz, interpuso demanda de amparo contra la resolución administrativa que se menciona en el encabezamiento de esta Sentencia.</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El recurso tiene su origen en los siguientes antecedentes: </w:t>
      </w:r>
    </w:p>
    <w:p w:rsidR="00DE14C9" w:rsidRDefault="00DE14C9" w:rsidP="00DE14C9">
      <w:pPr>
        <w:pStyle w:val="TextoNormal"/>
      </w:pPr>
      <w:r>
        <w:t xml:space="preserve">a) El Fiscal Jefe de la Fiscalía Especial para la represión de los delitos económicos relacionados con la corrupción, mediante escrito de 22 de junio de 1999, ampliado en sendos escritos de 6 y 14 de julio de 1999, dirigió denuncia al Servicio de Inspección del Consejo General de Poder Judicial contra la recurrente, entonces Magistrada-Juez titular del Juzgado de Instrucción y Primera Instancia núm. 3 de Marbella y Magistrada Decana de dicha circunscripción judicial, al considerar que podía ser responsable de dos faltas muy graves previstas en el art. 417.7 y 8 LOPJ, dando lugar a que se incoara el expediente disciplinario núm. 32-1999 a la recurrente por supuesta comisión de dos faltas muy graves del art. 417.7 LOPJ, “por mantenerse en el desempeño del cargo sin poner en conocimiento del Consejo General del Poder Judicial las circunstancias necesarias para proceder al traslado forzoso, por incurrir en la incompatibilidad prevista en el apartado 2 del art. 393 de la LOPJ, al ostentar su padre, hermano y primo, intereses económicos de tal arraigo que obstaculizan el imparcial ejercicio de su función jurisdiccional en la ciudad de Marbella, cuya cifra oficial de población se declaró por Real Decreto 480/1999, de 18 de marzo, en 98.377 habitantes” y del art. 417.8 LOPJ “por la inobservancia del deber de abstención al concurrir la causa prevista en el art. 219.9 de la mencionada ley en el contenido de las resoluciones dictadas en las diligencias previas 643/94 y en el curso de las diligencias previas 1832/97 en las que, pese a haberse abstenido, retuvo en su poder documentación de la Agencia Tributaria relativa a su hermano ... y en los demás procedimientos judiciales que se recogen en el Informe del Servicio de Inspección de 14 de julio de 1999”. </w:t>
      </w:r>
    </w:p>
    <w:p w:rsidR="00DE14C9" w:rsidRDefault="00DE14C9" w:rsidP="00DE14C9">
      <w:pPr>
        <w:pStyle w:val="TextoNormal"/>
      </w:pPr>
      <w:r>
        <w:t xml:space="preserve">b) El Instructor del expediente formuló el 10 de noviembre de 1999 pliego de cargo en que se establecían como hechos resultantes de lo actuado, en cuanto a la incompatibilidad, que la Magistrada había venido desempeñando su función judicial a pesar de que su padre y hermano poseen en la localidad de Marbella, población inferior a cien mil habitantes, intereses económicos que por su arraigo pueden obstaculizar su imparcial ejercicio de la función jurisdiccional, ya que ambos han intervenido en los últimos años como socios constituyentes, accionistas, administradores o representantes en muy diversas sociedades que tienen su domicilio social en el mismo lugar en el que tuvo o tiene su despacho profesional su hermano y han realizado operaciones de gran importancia económico en gran medida con el Ayuntamiento de Marbella, como se acredita con diversos convenios urbanísticos adoptados. Igualmente se destaca que en el momento de la investigación se seguía manteniendo dicha situación en tanto que el hermano era administrador único de diversas sociedades con actividades inmobiliarias de importancia económica en Marbella. Además, se pone de manifiesto, a los efectos de prueba de los intereses económicos de la familia, el amplio patrimonio inmobiliario en Marbella de los padres, incompatible con el volumen de ingresos declarados como funcionario jubilado de la Administración de Justicia. </w:t>
      </w:r>
    </w:p>
    <w:p w:rsidR="00DE14C9" w:rsidRDefault="00DE14C9" w:rsidP="00DE14C9">
      <w:pPr>
        <w:pStyle w:val="TextoNormal"/>
      </w:pPr>
      <w:r>
        <w:t xml:space="preserve">En cuanto al deber de abstención, se consignan, como hechos resultantes de lo actuado, la existencia de determinadas relaciones comerciales entre las sociedades vinculadas con </w:t>
      </w:r>
      <w:r>
        <w:lastRenderedPageBreak/>
        <w:t xml:space="preserve">los familiares de la recurrente y el Ayuntamiento de Marbella a partir de la suscripción de diversos convenios urbanísticos, algunos de ellos de un importante montante económico, así como que dichos familiares han tenido muy variadas relaciones económicas societarias con personas que de una u otra forma, debido a los intereses inmobiliarios mantenidos en la zona, han otorgado convenios urbanísticos con el Ayuntamiento de Marbella y que también se han puesto de manifiesto en diversos procedimientos judiciales. Igualmente se destaca la amistad reconocida públicamente entre el padre de la recurrente y el Alcalde de Marbella y como ello ha generado un malestar social, constatable por los medios de comunicación, por la posible vinculación de la propia recurrente con este entramado. En esta situación la recurrente instruyó las diligencias previas núm. 643-1994, tramitadas por delitos de falsedad, estafa y alzamiento en relación con la quiebra necesaria de la Sociedad Banus Andalucía la Nueva, S.A., y en las que fue parte el Ayuntamiento de Marbella, dictándose diversas resoluciones judiciales respecto de la administración judicial de la empresa y el nombramientos de interventores a solicitud de dicho Ayuntamiento que fueron recurridas por el Abogado del Estado y el Ministerio Fiscal y revocadas en apelación. </w:t>
      </w:r>
    </w:p>
    <w:p w:rsidR="00DE14C9" w:rsidRDefault="00DE14C9" w:rsidP="00DE14C9">
      <w:pPr>
        <w:pStyle w:val="TextoNormal"/>
      </w:pPr>
      <w:r>
        <w:t xml:space="preserve">c) La recurrente, por escrito registrado el 19 de noviembre de 1999, realizó las alegaciones que estimó pertinentes respecto del pliego de cargo, proponiendo diversas pruebas. El Ministerio Fiscal, por su parte, interesó que se elevara propuesta de resolución en el sentido de que los hechos eran constitutivos de sendas infracciones del art. 417.7 y 8 LOPJ, estimando procedente que fuera sancionada, respectivamente, con dos años de suspensión y con separación de la carrera. Finalmente, el Instructor del expediente, por escrito de 15 de diciembre de 1999, elevó propuesta de resolución en la que, al considerar que habían quedado acreditados los hechos puestos de manifiesto en el pliego de cargo, tanto en lo relativo a la incompatibilidad como al deber de abstención en las diligencias previas 643-1994, propuso sancionar a la recurrente con un año de suspensión y la separación por la comisión de dos faltas muy graves del art. 417.7 y 8 LOPJ. Dicha propuesta fue notificada a la recurrente, quien realizó alegaciones por escrito de 22 de diciembre de 1999, y fue asumida por la comisión disciplinaria del Consejo General del Poder Judicial, que en el punto quince de su reunión de 18 de enero de 2000 acordó elevarla al Pleno. </w:t>
      </w:r>
    </w:p>
    <w:p w:rsidR="00DE14C9" w:rsidRDefault="00DE14C9" w:rsidP="00DE14C9">
      <w:pPr>
        <w:pStyle w:val="TextoNormal"/>
      </w:pPr>
      <w:r>
        <w:t xml:space="preserve">d) El Pleno del Consejo General del Poder Judicial, en el punto decimocuarto de su reunión del día 26 de enero de 2000, acordó imponer a la recurrente la sanción de suspensión de un año como autora de una falta muy grave prevista en el art. 417.7 LOPJ y la separación de la carrera judicial, como autora de una falta muy grave prevista en el art. 417.8 LOPJ, así como designar a una de sus miembros como Ponente para la redacción definitiva de la resolución sancionadora. Finalmente, el Pleno de dicho Consejo, en el punto quinto de su reunión de 9 de febrero de 2000, acordó aprobar la redacción definitiva de la resolución sancionadora, adjuntando diversos votos particulares. En esta resolución, tras exponerse de manera prolija los antecedentes de hecho del expediente sancionador, se establecen como hechos probados, en primer lugar, las fechas de toma de posesión como titular del Juzgado de Primera Instancia e Instrucción núm. 3 de Marbella y como Jueza Decana de dicha demarcación. En segundo lugar, la existencia de dos expedientes disciplinarios previos, los números 35-1993 y 19-1997, instruidos contra la recurrente por la supuesta comisión de faltas graves del art. 417.7 LOPJ, que fueron archivados por la comisión disciplinaria por sendos Acuerdos de 7 de noviembre de 1994 y 17 de noviembre de 1998. En tercer lugar, que la población de Marbella nunca ha superado la cifra de población de cien mil habitantes, ya que el Real Decreto 1645/1997, de 31 de octubre, estableció una cifra de 98.823 habitantes a 1 de mayo de 1996 y el Real Decreto 480/1999, de 18 de marzo, la fijó en 98.377 </w:t>
      </w:r>
      <w:r>
        <w:lastRenderedPageBreak/>
        <w:t xml:space="preserve">habitantes a 1 de enero de 1998, sin que nunca hubiera sido aceptada por el Instituto Nacional de Estadística la revisión del padrón a 1 de enero de 1998 aprobada por el Ayuntamiento de Marbella, al detectarse duplicados dentro del propio fichero y con los padrones de otros municipios, así como defunciones que no habían sido dadas de baja. En cuarto lugar, se expone como hecho probado que el padre y el hermano de la recurrente han intervenido en los últimos años como socios constituyentes, accionistas, administradores o representantes en muy diversas sociedades —hasta treinta— y operaciones negociales que se pormenorizan, concretándose los cargos ostentados por cada uno de ellos, el periodo de tiempo en que se produjo y las operaciones inmobiliarias desarrolladas, con sus montantes económicos. En quinto lugar, que a partir de 17 de noviembre de 1998, fecha en que se archivó el expediente disciplinario núm. 19-1997, y hasta el 14 de septiembre de 1999, se han realizado hasta once operaciones mercantiles distintas en las que ha participado el entramado de sociedades vinculadas con la familia de la recurrente, haciéndose una descripción pormenorizada de las mismas. En sexto lugar, se especifican las sociedades que tienen el domicilio social en Marbella, algunas de ellas en el lugar donde tuvo su despacho profesional como Abogado el hermano de la recurrente, que sigue siendo utilizado por el mismo, y las que tienen su domicilio en Estepona, coincidiendo también con su despacho profesional como Abogado en dicha localidad. En séptimo y octavo lugar, se detallan los diversos convenios urbanísticos suscritos por las citadas sociedades con el Ayuntamiento de Marbella y las distintas fincas de Marbella que en ese momento figuran inscritas a nombre de los padres de la recurrente. En el hecho noveno se relatan los dos procedimientos penales por supuestos delitos de estafa y falsedad que se mantienen abiertos contra el padre de la recurrente y cómo ésta debió abstenerse en uno de ellos. </w:t>
      </w:r>
    </w:p>
    <w:p w:rsidR="00DE14C9" w:rsidRDefault="00DE14C9" w:rsidP="00DE14C9">
      <w:pPr>
        <w:pStyle w:val="TextoNormal"/>
      </w:pPr>
      <w:r>
        <w:t xml:space="preserve">e) En la resolución sancionadora también se establecen como hechos probados, en décimo lugar, las diversas vicisitudes procesales acaecidas en las diligencias previas núm. 643-1994 instruidas en el Juzgado titularidad de la recurrente, tramitadas por delitos de falsedad, estafa y alzamiento en relación con la quiebra de la Sociedad Banús Andalucía la Nueva, S.A., instada, entre otros, por el Ayuntamiento de Marbella. Así, se destaca la decisión de prohibir la enajenación de propiedades de titularidad de los imputados, embargos de todos los bienes de uno de ellos, ampliada posteriormente a la cantidad de cuatro mil millones de pesetas. Igualmente se relata la solicitud reiterada del Ayuntamiento de Marbella de embargo de las acciones de la sociedad en quiebra y el nombramiento de un concreto administrador judicial para la misma y cómo la recurrente dictó Auto de 5 de agosto de 1997 decretando, de oficio, la administración judicial de la sociedad y el nombramiento de un interventor, lo que fue recurrido en apelación por el Abogado del Estado y el Ministerio Fiscal, poniendo de manifiesto el primero que el interventor designado fue concejal de Marbella por el grupo político liderado por el Alcalde de Marbella y que en tal concepto estaba formalmente acusado de los delitos de prevaricación y daños por la propia Abogacía del Estado. Los recursos fueron estimados por la Audiencia Provincial dejándose sin efecto la administración judicial con el nombramiento de uno o varios interventores. Por último, en el hecho undécimo se destaca que ya desde el año 1993, en que fue detenido el padre de la recurrente, se despertó el interés de numerosos artículos de prensa que relacionaban a su familia con intereses del Ayuntamiento de Marbella, que el Alcalde de Marbella ha reconocido en medios de comunicación la amistad con el padre de la recurrente y que se ha sucedido la publicación de informaciones en medios de comunicación sobre una posible vinculación de la recurrente, a través de sus familiares, con las personas y sociedades descritas, y especialmente con el Alcalde de Marbella. </w:t>
      </w:r>
    </w:p>
    <w:p w:rsidR="00DE14C9" w:rsidRDefault="00DE14C9" w:rsidP="00DE14C9">
      <w:pPr>
        <w:pStyle w:val="TextoNormal"/>
      </w:pPr>
      <w:r>
        <w:lastRenderedPageBreak/>
        <w:t xml:space="preserve">f) En la resolución sancionadora se argumenta que los hechos expuestos son constitutivos de una falta muy grave del art. 417.7 LOPJ de “mantenerse en el ejercicio del cargo en Juzgados y Tribunales sin poner en conocimiento del Consejo General de Poder Judicial las circunstancias necesarias para proceder al traslado forzoso previsto en el artículo 394 del mismo texto legal”, en tanto que en este último precepto se establece que cuando un nombramiento dé lugar a situación de incompatibilidad prevista legalmente quedará sin efecto destinándose con carácter forzoso al Juez o Magistrado y en el art. 393.2 LOPJ se establece que “no podrán los Jueces y Magistrados desempeñar su cargo en una Audiencia o Juzgado que comprenda dentro de su circunscripción territorial una población en la que, por poseer él mismo, su cónyuge o parientes de segundo grado de consanguinidad intereses económicos, tengan arraigo que pueda obstaculizarles el imparcial ejercicio de la función jurisdiccional. Se exceptúan las poblaciones superiores a cien mil habitantes en las que radique la sede del órgano jurisdiccional”. </w:t>
      </w:r>
    </w:p>
    <w:p w:rsidR="00DE14C9" w:rsidRDefault="00DE14C9" w:rsidP="00DE14C9">
      <w:pPr>
        <w:pStyle w:val="TextoNormal"/>
      </w:pPr>
      <w:r>
        <w:t xml:space="preserve">A estos efectos, en primer lugar, se desestima que concurra la prescripción aducida, así como la objeción de cosa juzgada. Respecto de esta última se argumenta que no hay identidad de hechos con el expediente sancionador archivado el 17 de noviembre de 1998, en tanto que el objeto del presente expediente ha sido la permanencia en el destino desde dicha fecha y hasta que cesó en el mismo el 15 de octubre de 1999. A partir de ello, en cuanto a la población de Marbella se insiste en que nunca alcanzó los cien mil habitantes, conforme a los datos censales aprobados en los Reales Decretos 1654/1997, de 31 de octubre, y 480/1999, de 18 de marzo, argumentando que la obtención de las cifras oficiales correspondientes a la revisión padronal a 1 de enero aparecen reguladas en el Real Decreto Legislativo 781/1986, de 18 de abril, y en los arts. 81 y 82 del Real Decreto 2621/1996 y que, conforme a dicha legislación y de acuerdo con lo reiterado por la Sala Tercera del Tribunal Supremo, nunca puede prevalecer la cifra del padrón de habitantes aprobada por el Ayuntamiento sobre el censo. En cuanto a la existencia de intereses económicos de los familiares determinantes de arraigo en el partido judicial, se argumenta que a partir de los hechos probados quedaba acreditado que el padre, la madre y el hermano de la recurrente forman parte de un entramado empresarial de gran complejidad en el que hay numerosas empresas, con domicilio social en dicha localidad, entre las que resulta frecuente la cesión de acciones y el cambio entre ellas de la titularidad dominical de diversas fincas registrales, realizando sus operaciones dentro del ámbito territorial de Marbella, incluyendo la firma de convenios urbanísticos con el Ayuntamiento de Marbella, de elevado interés económicos. Por último, en lo que se refiere al conocimiento de la recurrente de la existencia de todos estos intereses económicos, se argumenta que queda acreditado a partir de la buenas relaciones familiares; el hecho de que la vivienda en la que reside la recurrente fuera prioritariamente abonada por el padre; la apertura de dos procedimientos penales contra el padre derivados de su actividad societaria y mercantil, en uno de los cuales la recurrente hubo de abstenerse; la reconocida amistad mantenida con uno de los activos participantes en el entramado societario de la familia, que llevó a la recurrente a abstenerse en un procedimiento en que dicha persona fue parte, y la propia notoriedad pública que ha llegado a alcanzar la actividad económica desarrollada por sus familiares directos en el partido judicial de Marbella. En cuanto a la sanción a imponer se argumenta que, pudiendo consistir en traslado forzoso, suspensión de hasta tres años y separación, resulta adecuada la sanción de un año de suspensión, ya que, a pesar de la envergadura de los intereses económicos atinentes a sus familiares directos, la cifra oficial de la población de Marbella es muy cercana a los cien mil habitantes. </w:t>
      </w:r>
    </w:p>
    <w:p w:rsidR="00DE14C9" w:rsidRDefault="00DE14C9" w:rsidP="00DE14C9">
      <w:pPr>
        <w:pStyle w:val="TextoNormal"/>
      </w:pPr>
      <w:r>
        <w:t xml:space="preserve">g) En la resolución sancionadora se argumenta que los hechos expuestos también son constitutivos de una falta muy grave del art. 417.8 LOPJ por no haber observado el deber </w:t>
      </w:r>
      <w:r>
        <w:lastRenderedPageBreak/>
        <w:t xml:space="preserve">de abstención en las diligencias previas núm. 643-1994, a sabiendas de que tenía un interés indirecto. A esos efectos, se afirma que la existencia de un interés indirecto en dicha causa penal se deriva de que, al ser parte el Ayuntamiento de Marbella, su concreto desarrollo repercutiría en la esfera de intereses económicos de sus familiares directos, ya que en su actividad empresarial resultaba una pieza clave este Ayuntamiento. Así, partiendo de que ha quedado acreditado que el entramado societario en el que participaban los familiares de la recurrente tenía como objeto prioritario el tráfico inmobiliario, constituyendo un elemento de indudable relevancia sus relaciones inmobiliarias con el Ayuntamiento de Marbella, por ser uno de los aspectos esenciales del conjunto de la actividad societaria la concertación bien directa por el padre o hermano de la recurrente, bien a través de terceras personas integrantes de las sociedades a las que estos estaban estrechamente vinculados, de convenios urbanísticos con el Ayuntamiento de Marbella de gran envergadura económica, la conclusión que se deriva es que los eventuales beneficios que pudieran derivarse del resultado de las diligencias judiciales redundarían de manera directa en la esfera patrimonial de los familiares de la recurrente e indirectamente en ella, como queda demostrado a partir del hecho, ya citado, de que el abono de la vivienda de la recurrente se llevó a cabo por su padre. Igualmente se destaca como un elemento más acreditativo de dicho interés indirecto el que la resolución del proceso contribuiría a reforzar la buena relación comercial existente entre el Ayuntamiento y los familiares de la recurrente. En cuanto a la constatación de la concurrencia del elemento subjetivo de la infracción de que la inobservancia del deber de abstención se llevó a cabo a sabiendas de tener un interés indirecto en la causa, se argumenta que cabe derivarlo, no sólo del evidente conocimiento del entramado de intereses económicos ligados al tráfico inmobiliario de sus familiares y la relación mantenida para ello con el Ayuntamiento de Marbella, sino también de que el proceso versaba sobre una cuestión inmobiliaria atinente a Puerto Banús, en que se encontraba afectado el propio Ayuntamiento de Marbella. Por último se exponen las razones para concretar que la sanción a imponer es la de separación de la carrera. </w:t>
      </w:r>
    </w:p>
    <w:p w:rsidR="00DE14C9" w:rsidRDefault="00DE14C9" w:rsidP="00DE14C9">
      <w:pPr>
        <w:pStyle w:val="TextoNormal"/>
      </w:pPr>
      <w:r>
        <w:t xml:space="preserve">h) La recurrente interpuso demanda contencioso-administrativa, por la vía de protección de los derechos fundamentales, dando lugar al recurso núm. 171-2002, que se tramitó por la Sección Séptima de la Sala de lo Contencioso-Administrativo del Tribunal Supremo. La demanda se fundamentó en la vulneración del derecho a la legalidad sancionadora, en cuanto a la aplicación del art. 417.8 LOPJ, por haberse dado efecto retroactivo a una norma sancionadora, ya que las diligencias previas fueron incoadas el 13 de julio de 1994 y se la condena en virtud de la redacción dada al art. 417.8 LOPJ que entró en vigor el 29 de diciembre de 1994, y por falta de proporcionalidad, al no adecuarse la gravedad de la sanción de separación con la conducta de la recurrente. En cuanto a la aplicación del art. 417.7 LOPJ, por infracción del principio del non bis in idem, ya que se le ha sancionado en virtud de hechos objeto de un anterior procedimiento disciplinario ya archivado por no ser considerados sancionables. Igualmente se invocó este derecho, en este caso respecto de ambas sanciones, por haberse hecho una aplicación analógica in malam partem, imprevisible para la recurrente, de ambos preceptos sancionadores, tanto en lo relativo al numero de habitantes de Marbella, los intereses económicos y las actividades de los familiares y el conocimiento de dichas circunstancias para subsumir la infracción del art. 417.7 LOPJ, como en lo relativo a la existencia de interés indirecto y conocimiento de dicha causa de abstención para subsumir la infracción del art. 417.8 LOPJ. También se alegó en la demanda la vulneración del derecho a la presunción de inocencia respecto del número de habitantes de Marbella, los intereses económicos y las actividades de los familiares y el elemento subjetivo de la infracción del art. 417.7 LOPJ y de la concurrencia del elemento subjetivo del injusto del art. </w:t>
      </w:r>
      <w:r>
        <w:lastRenderedPageBreak/>
        <w:t xml:space="preserve">417.8 LOPJ. Por último, se adujeron las vulneraciones de los derechos a un proceso con todas las garantías y a no padecer indefensión, con fundamento en que en el pliego de cargo no se precisaron de modo suficiente los hechos relativos al incumplimiento del deber de abstención, en que la resolución sancionadora no se dio respuesta a sus alegaciones defensivas y en que se le sancionó sin haber tomado conocimiento directo de sus alegaciones. La recurrente, por ulterior escrito, adjuntó fotocopia del Real Decreto 3491/2000, en el que se aprobaba el censo de Marbella, estableciendo una población de 101.144 habitantes, argumentando que ello “evidenciaba el error de la resolución recurrida” al establecer la población de Marbella a fecha 30 de junio de 1999. </w:t>
      </w:r>
    </w:p>
    <w:p w:rsidR="00DE14C9" w:rsidRDefault="00DE14C9" w:rsidP="00DE14C9">
      <w:pPr>
        <w:pStyle w:val="TextoNormal"/>
      </w:pPr>
      <w:r>
        <w:t>i) La Sección Séptima de la Sala de lo Contencioso-Administrativo del Tribunal Supremo, por Sentencia de 17 de abril de 2002, estimó parcialmente el recurso en lo relativo a la proporcionalidad de la sanción impuesta por la infracción del art. 417.8 LOPJ, rebajándola de la separación de la carrera a la de suspensión del cargo por tres años. A estos efectos se argumenta que si bien debe valorarse la contumacia de la recurrente en continuar en Marbella, a pesar de ser ostensible lo comprometida que resultaba su imagen de imparcialidad, debe tomarse también en consideración que a los efectos del juicio de reprochabilidad no revela la misma gravedad la concurrencia de intereses indirectos, que eran los presentes en este caso, que los directos. El resto de motivos fueron desestimados sin que se hiciera pronunciamiento ni valoración alguna respecto de la eventual incidencia del Real Decreto 3491/2000.</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La recurrente aduce en su demanda de amparo que se han vulnerado sus derechos a la legalidad sancionadora (art. 25.1 CE), a la presunción de inocencia (art. 24.2 CE) y a no sufrir indefensión (art. 24.1 CE), en relación con las sanciones impuestas por ocultación de incompatibilidad (art. 417.7 LOPJ) y por incumplimiento del deber de abstención (art. 417.8 LOPJ). </w:t>
      </w:r>
    </w:p>
    <w:p w:rsidR="00DE14C9" w:rsidRDefault="00DE14C9" w:rsidP="00DE14C9">
      <w:pPr>
        <w:pStyle w:val="TextoNormal"/>
      </w:pPr>
      <w:r>
        <w:t xml:space="preserve">En cuanto a la sanción impuesta por ocultación de incompatibilidad se aduce la vulneración del derecho a la legalidad sancionadora (art. 25.1 CE) desde distintas perspectivas. Así, esta invocación se fundamenta, por un lado, en que se ha hecho una aplicación extensiva in mala partem del art. 417.7, que ha provocado que la sanción resultara imprevisible, en tanto que se desempeñaba el cargo judicial en una población superior a los cien mil habitantes, los intereses económicos de sus familiares directos no producían una arraigo obstaculizador de la función judicial y no existía malicia en su conducta. Por otro lado, también se alega la infracción del principio del non bis in idem, ya que se ha sancionado en virtud de una situación de incompatibilidad de la que ya había sido absuelta con anterioridad, sin que se hubiera producido ninguna alteración significativa. Además, se considera que la sanción de un año de suspensión resulta desproporcionada, habiendo sido más idónea, en su caso, la sanción de traslado forzoso. Por último, se afirma que no se ha hecho una aplicación retroactiva de una norma que le favorecía como era el Real Decreto 3491/2000, en virtud del cual se establecía que a fecha de 1 de enero de 1999 la población de donde se ejercía la función judicial era ya superior a los cien mil habitantes, por lo que desde dicha fecha no cabía la posibilidad de aplicar el precepto sancionador. Igualmente, se aducen, en relación con esta concreta sanción, las vulneraciones del derecho a la presunción de inocencia (art. 24.2 CE), con fundamento en que no existe prueba sobre el carácter doloso de la conducta, y del derecho a no sufrir indefensión (art. 24.1 CE), con fundamento en que no han sido valoradas las alegaciones de la defensa, que no fueron conocidas por el Pleno del Consejo General del Poder Judicial. </w:t>
      </w:r>
    </w:p>
    <w:p w:rsidR="00DE14C9" w:rsidRDefault="00DE14C9" w:rsidP="00DE14C9">
      <w:pPr>
        <w:pStyle w:val="TextoNormal"/>
      </w:pPr>
      <w:r>
        <w:lastRenderedPageBreak/>
        <w:t>En cuanto a la sanción impuesta por incumplimiento del deber de abstención se aduce también la vulneración del derecho a la legalidad sancionadora (art. 25.1 CE) desde distintas perspectivas. Así, por un lado, se alega que se ha hecho una aplicación extensiva in mala partem del art. 417.8 LOPJ, que ha provocado que la sanción resultara imprevisible, en tanto que no concurre un interés propio en las diligencias previas 634-1994. Por otro lado, también se afirma que se ha hecho una aplicación retroactiva de una norma sancionadora, ya que las diligencias se incoaron el 13 de julio de 1994 y el tipo sancionador aplicado entró en vigor el 29 de diciembre de 1994. Por último, se alega que la sanción de tres años de suspensión resulta desproporcionada, habiendo sido más idónea, en su caso, la suspensión de seis meses. Igualmente, se aducen, en relación con esta concreta sanción, las vulneraciones del derecho a la presunción de inocencia (art. 24.2 CE), con fundamento en que no existe prueba sobre la existencia de interés propio ni sobre el carácter doloso de la conducta, habiéndose empleado un iter discursivo ilógico e irrazonable, y del derecho a no sufrir indefensión (art. 24.1 CE), con fundamento, por un lado, en que no se dio a conocer adecuadamente en el pliego de cargo los concretos hechos en que se fundamentó esta acusación y, por otro, en que no han sido valoradas las alegaciones de la defensa, que no fueron conocidas por el Pleno del Consejo General del Poder Judicial.</w:t>
      </w:r>
    </w:p>
    <w:p w:rsidR="00DE14C9" w:rsidRDefault="00DE14C9" w:rsidP="00DE14C9">
      <w:pPr>
        <w:pStyle w:val="TextoNormal"/>
      </w:pPr>
    </w:p>
    <w:p w:rsidR="00DE14C9" w:rsidRDefault="00DE14C9" w:rsidP="00DE14C9">
      <w:pPr>
        <w:pStyle w:val="TextoNormal"/>
      </w:pPr>
      <w:r w:rsidRPr="00DE14C9">
        <w:rPr>
          <w:rStyle w:val="NumeroAFNegritaCaracter"/>
        </w:rPr>
        <w:t>4</w:t>
      </w:r>
      <w:r>
        <w:t>. La Sección Segunda de este Tribunal, por providencia de 11 de diciembre de 2003, acordó, conforme a lo previsto en el art. 50.3 LOTC, conceder un plazo común de diez días al Ministerio Fiscal y a la solicitante de amparo, para que dentro de dicho término alegasen lo que estimasen pertinente en relación con la posible carencia de contenido de la demanda de conformidad con el art. 50.1 c) LOTC. Evacuado dicho trámite, por providencia de 10 de febrero de 2004 se acordó su admisión a trámite, dirigir comunicación a los órganos judicial y administrativo competentes para la remisión de copia testimoniada de las actuaciones y el emplazamiento a quienes hubieran sido parte en este procedimiento para que pudieran comparecer en el mismo.</w:t>
      </w:r>
    </w:p>
    <w:p w:rsidR="00DE14C9" w:rsidRDefault="00DE14C9" w:rsidP="00DE14C9">
      <w:pPr>
        <w:pStyle w:val="TextoNormal"/>
      </w:pPr>
    </w:p>
    <w:p w:rsidR="00DE14C9" w:rsidRDefault="00DE14C9" w:rsidP="00DE14C9">
      <w:pPr>
        <w:pStyle w:val="TextoNormal"/>
      </w:pPr>
      <w:r w:rsidRPr="00DE14C9">
        <w:rPr>
          <w:rStyle w:val="NumeroAFNegritaCaracter"/>
        </w:rPr>
        <w:t>5</w:t>
      </w:r>
      <w:r>
        <w:t>. Por diligencia de ordenación de la Secretaría de Justicia de la Sala Primera de este Tribunal de 18 de marzo de 2004 se acordó tener por recibido el testimonio de las actuaciones, por personado al Abogado del Estado en la representación que ostenta y, de conformidad con el art. 52 LOTC, dar vista de las actuaciones al Ministerio Fiscal y a las partes personadas por plazo común de veinte días para presentar las alegaciones que estimasen pertinentes.</w:t>
      </w:r>
    </w:p>
    <w:p w:rsidR="00DE14C9" w:rsidRDefault="00DE14C9" w:rsidP="00DE14C9">
      <w:pPr>
        <w:pStyle w:val="TextoNormal"/>
      </w:pPr>
    </w:p>
    <w:p w:rsidR="00DE14C9" w:rsidRDefault="00DE14C9" w:rsidP="00DE14C9">
      <w:pPr>
        <w:pStyle w:val="TextoNormal"/>
      </w:pPr>
      <w:r w:rsidRPr="00DE14C9">
        <w:rPr>
          <w:rStyle w:val="NumeroAFNegritaCaracter"/>
        </w:rPr>
        <w:t>6</w:t>
      </w:r>
      <w:r>
        <w:t xml:space="preserve">. El Abogado del Estado, por escrito registrado el 20 de abril de 2004, presentó alegaciones solicitando la denegación del amparo. En relación con la sanción por la infracción del art. 417.7 LOPJ, se argumenta que no concurre la vulneración aducida del art. 25.1 CE. En primer lugar, se niega que haya existido una interpretación analógica in malam partem, ya que, a partir de los hechos probados, hubo una correcta subsunción de la concurrencia de intereses económicos de los familiares directos de la recurrente, de la omisión consciente de su obligación de comunicación y de la determinación de que la población donde se ejercía el cargo judicial era inferior a cien mil habitantes cuando sucedieron los hechos, ya que el Real Decreto 3491/2000 sólo surtía efectos a partir del 31 de diciembre de 2000. Del mismo modo, se niega que haya infracción del non bis in idem, argumentándose que el archivo de un anterior procedimiento no puede asimilarse a un resolución sobre el fondo con efecto de </w:t>
      </w:r>
      <w:r>
        <w:lastRenderedPageBreak/>
        <w:t xml:space="preserve">cosa juzgada, concurriendo, además, nuevas circunstancias sobrevenidas como es la continuidad de las actividades económicas de los familiares directos. Igualmente, se afirma que la sanción impuesta no es desproporcionada, al haber sido debidamente razonada su individualización. Por último, respecto de no haberse dado efecto retroactivo a una norma favorable, se argumenta, por un lado, que concurriría la causa de inadmisión de falta de agotamiento de la vía judicial previa, ya que, no habiéndose recibido una respuesta expresa en vía judicial sobre este motivo de impugnación, no fue denunciada dicha incongruencia omisiva a través del incidente de nulidad de actuaciones. Por otro lado, sostiene que la aplicación retroactiva de normas favorables no es contenido esencial del art. 25.1 CE y, además, que el Real Decreto 3491/2000 establece que las cifras recogidas en el mismo sólo tienen efectos a partir del 31 de diciembre de 2000. También niega que en esta sanción se haya incurrido en vulneración del derecho a la presunción de inocencia (art. 24.2 CE), ya que la concurrencia del dolo en la conducta de la recurrente se ha inferido razonadamente a partir de diversos indicios que se han hecho expresos en la resolución administrativa, y en vulneración del derecho a no sufrir indefensión (art. 24.1 CE), ya que en la resolución impugnada se da respuesta cumplida a las alegaciones de la recurrente. </w:t>
      </w:r>
    </w:p>
    <w:p w:rsidR="00DE14C9" w:rsidRDefault="00DE14C9" w:rsidP="00DE14C9">
      <w:pPr>
        <w:pStyle w:val="TextoNormal"/>
      </w:pPr>
      <w:r>
        <w:t>En relación con la sanción por la infracción del art. 417.8 LOPJ, se afirma que tampoco concurre ninguna de las vulneraciones aducidas. En cuanto a la invocación del art. 25.1 CE, se argumenta que no hubo una aplicación analógica in malam partem en la subsunción de la concurrencia de interés indirecto en las diligencias previas 643-1994 ni en la verificación del carácter intencional de la conducta de la recurrente. También se niega que haya existido una aplicación retroactiva del precepto sancionador, ya que la conducta de la recurrente se prolongó con posterioridad a la entrada en vigor del art. 417.8 LOPJ, o que la sanción fuera desproporcionada, ya que en la resolución judicial se expusieron motivadamente las razones para sustituir la inicial sanción por la de suspensión por tres años. Por último, en cuanto a la invocación del derecho a la presunción de inocencia (art. 24.2 CE), se argumenta que no cabe objetar las inferencias realizadas para afirmar la concurrencia del dolo en la conducta de la recurrente y, en lo relativo al derecho a no sufrir indefensión (art. 24.1 CE), se reitera la existencia de una respuesta motivada a las alegaciones de descargo y se señala que el derecho a ser informado de la acusación se satisface con dar traslado del pliego de cargos.</w:t>
      </w:r>
    </w:p>
    <w:p w:rsidR="00DE14C9" w:rsidRDefault="00DE14C9" w:rsidP="00DE14C9">
      <w:pPr>
        <w:pStyle w:val="TextoNormal"/>
      </w:pPr>
    </w:p>
    <w:p w:rsidR="00DE14C9" w:rsidRDefault="00DE14C9" w:rsidP="00DE14C9">
      <w:pPr>
        <w:pStyle w:val="TextoNormal"/>
      </w:pPr>
      <w:r w:rsidRPr="00DE14C9">
        <w:rPr>
          <w:rStyle w:val="NumeroAFNegritaCaracter"/>
        </w:rPr>
        <w:t>7</w:t>
      </w:r>
      <w:r>
        <w:t xml:space="preserve">. El Ministerio Fiscal, en escrito registrado el 27 de abril de 2004, interesó el otorgamiento del amparo exclusivamente en lo referido a la invocación del derecho a la presunción de inocencia por la infracción del art. 417.8 LOPJ, con la anulación de la sanción impuesta por dicha infracción, y su desestimación en todo lo demás. </w:t>
      </w:r>
    </w:p>
    <w:p w:rsidR="00DE14C9" w:rsidRDefault="00DE14C9" w:rsidP="00DE14C9">
      <w:pPr>
        <w:pStyle w:val="TextoNormal"/>
      </w:pPr>
      <w:r>
        <w:t xml:space="preserve">En primer lugar, se niega que concurra la vulneración aducida del art. 24.1 CE, ya que si bien es cierto que se da la peculiaridad de que el Pleno del Consejo General del Poder Judicial adoptó la pertinente decisión y después se procedió a su redacción, en ella se recoge literalmente lo alegado por la recurrente tanto en la contestación al pliego de cargo como a la propuesta de resolución, teniendo, además, efectivo conocimiento de los hechos que se le imputaban. </w:t>
      </w:r>
    </w:p>
    <w:p w:rsidR="00DE14C9" w:rsidRDefault="00DE14C9" w:rsidP="00DE14C9">
      <w:pPr>
        <w:pStyle w:val="TextoNormal"/>
      </w:pPr>
      <w:r>
        <w:t xml:space="preserve">Respecto de la sanción por infracción del art. 417.7 LOPJ, se niega que concurra ninguna de las vulneraciones aducidas. Así, en cuanto a la invocación del derecho a la presunción de inocencia se argumenta que tanto la consideración de que la población era inferior a los cien mil habitantes cuando se produjeron los hechos como la existencia de arraigo de familiares próximos han sido razonadamente apreciadas a partir de las diversas pruebas practicadas. Igualmente se afirma que no concurre la vulneración aducida del derecho a la legalidad sancionadora, ya que dicho derecho no garantiza la eficacia retroactiva de las normas más </w:t>
      </w:r>
      <w:r>
        <w:lastRenderedPageBreak/>
        <w:t xml:space="preserve">favorables y, en el presente caso, además, ha existido una motivación suficiente sobre las razones para considerar que en el momento en que se produjo la conducta sancionada la población era inferior a los cien mil habitantes. Sin perjuicio de ello también se destaca que la recurrente no agotó la vía judicial previa al no denunciar mediante el incidente de nulidad de actuaciones la omisión de una respuesta judicial a esta concreta cuestión. </w:t>
      </w:r>
    </w:p>
    <w:p w:rsidR="00DE14C9" w:rsidRDefault="00DE14C9" w:rsidP="00DE14C9">
      <w:pPr>
        <w:pStyle w:val="TextoNormal"/>
      </w:pPr>
      <w:r>
        <w:t>Por el contrario, respecto de la sanción por infracción del art. 417.8 LOPJ, se argumenta que la inferencia utilizada para concluir la existencia de interés indirecto en la recurrente en el resultado del proceso que instruyó es excesivamente abierta “pues permite otras conclusiones distintas e incluso contrapuestas”.</w:t>
      </w:r>
    </w:p>
    <w:p w:rsidR="00DE14C9" w:rsidRDefault="00DE14C9" w:rsidP="00DE14C9">
      <w:pPr>
        <w:pStyle w:val="TextoNormal"/>
      </w:pPr>
    </w:p>
    <w:p w:rsidR="00DE14C9" w:rsidRDefault="00DE14C9" w:rsidP="00DE14C9">
      <w:pPr>
        <w:pStyle w:val="TextoNormal"/>
      </w:pPr>
      <w:r w:rsidRPr="00DE14C9">
        <w:rPr>
          <w:rStyle w:val="NumeroAFNegritaCaracter"/>
        </w:rPr>
        <w:t>8</w:t>
      </w:r>
      <w:r>
        <w:t>. La recurrente, en escrito registrado el 2 de abril de 2004, presentó alegaciones ratificándose en lo expuesto en su demanda de amparo.</w:t>
      </w:r>
    </w:p>
    <w:p w:rsidR="00DE14C9" w:rsidRDefault="00DE14C9" w:rsidP="00DE14C9">
      <w:pPr>
        <w:pStyle w:val="TextoNormal"/>
      </w:pPr>
    </w:p>
    <w:p w:rsidR="00DE14C9" w:rsidRDefault="00DE14C9" w:rsidP="00DE14C9">
      <w:pPr>
        <w:pStyle w:val="TextoNormal"/>
      </w:pPr>
      <w:r w:rsidRPr="00DE14C9">
        <w:rPr>
          <w:rStyle w:val="NumeroAFNegritaCaracter"/>
        </w:rPr>
        <w:t>9</w:t>
      </w:r>
      <w:r>
        <w:t>. Mediante escrito de 8 de marzo de 2007, el Magistrado de esta Sala don Javier Delgado Barrio manifestó su voluntad de abstenerse en el conocimiento del presente recurso de amparo por entender que concurría en su persona la causa 13 del art. 219 LOPJ. La Sala Primera de este Tribunal por ATC 179/2007, de 12 de marzo, acordó estimar justificada la abstención formulada y apartar al citado Magistrado definitivamente del conocimiento del referido recurso y de todas sus incidencias.</w:t>
      </w:r>
    </w:p>
    <w:p w:rsidR="00DE14C9" w:rsidRDefault="00DE14C9" w:rsidP="00DE14C9">
      <w:pPr>
        <w:pStyle w:val="TextoNormal"/>
      </w:pPr>
    </w:p>
    <w:p w:rsidR="00DE14C9" w:rsidRDefault="00DE14C9" w:rsidP="00DE14C9">
      <w:pPr>
        <w:pStyle w:val="TextoNormal"/>
      </w:pPr>
      <w:r w:rsidRPr="00DE14C9">
        <w:rPr>
          <w:rStyle w:val="NumeroAFNegritaCaracter"/>
        </w:rPr>
        <w:t>10</w:t>
      </w:r>
      <w:r>
        <w:t>. Por providencia de fecha 8 de marzo de 2007 se señaló para deliberación y fallo de la Sentencia el día 12 del mismo mes y año, trámite que ha finalizado en el día de la fecha.</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El objeto de este recurso, interpuesto exclusivamente por la vía del art. 43 LOTC contra el Acuerdo del Consejo General del Poder Judicial por el que se sanciona a la recurrente, es determinar si se han vulnerado sus derechos a la legalidad sancionadora (art. 25.1 CE), a la presunción de inocencia (art. 24.2 CE) y a no sufrir indefensión (art. 24.1 CE), en relación con las sanciones disciplinarias impuestas por ocultación de incompatibilidad (art. 417.7 de la Ley Orgánica del Poder Judicial: LOPJ) y por incumplimiento del deber de abstención (art. 417.8 LOPJ).</w:t>
      </w:r>
    </w:p>
    <w:p w:rsidR="00DE14C9" w:rsidRDefault="00DE14C9" w:rsidP="00DE14C9">
      <w:pPr>
        <w:pStyle w:val="TextoNormal"/>
      </w:pPr>
    </w:p>
    <w:p w:rsidR="00DE14C9" w:rsidRDefault="00DE14C9" w:rsidP="00DE14C9">
      <w:pPr>
        <w:pStyle w:val="TextoNormal"/>
      </w:pPr>
      <w:r w:rsidRPr="00DE14C9">
        <w:rPr>
          <w:rStyle w:val="NumeroAFNegritaCaracter"/>
        </w:rPr>
        <w:t>2</w:t>
      </w:r>
      <w:r>
        <w:t>. Comenzando por la denuncia de vulneración del derecho a no padecer indefensión (art. 24.1 CE), la recurrente aduce que dicho derecho se ha vulnerado en el expediente disciplinario con fundamento, por un lado, y en lo que se refiere a la sanción impuesta por infracción del art. 417.8 LOPJ, en que no se dio a conocer adecuadamente en el pliego de cargo los concretos hechos en que se fundamentó esta imputación, por lo que no pudo desarrollar eficazmente su derecho de defensa y, por otro, y ya en relación con ambas sanciones, en que no han sido valoradas las alegaciones de la defensa, que no fueron conocidas por el Pleno del Consejo General del Poder Judicial.</w:t>
      </w:r>
    </w:p>
    <w:p w:rsidR="00DE14C9" w:rsidRDefault="00DE14C9" w:rsidP="00DE14C9">
      <w:pPr>
        <w:pStyle w:val="TextoNormal"/>
      </w:pPr>
      <w:r>
        <w:t xml:space="preserve">En cuanto a la primera cuestión, este Tribunal ha reiterado que el derecho a ser informado de la acusación implica la necesidad de dar a conocer al sometido a procedimiento la imputación formulada de forma expresa y en términos que no sean absolutamente vagos o indeterminados, con el fin de posibilitar el ejercicio del derecho de defensa, pues mal puede defenderse de algo quien no sabe qué hechos en concreto se le imputan (por todas, STC </w:t>
      </w:r>
      <w:r>
        <w:lastRenderedPageBreak/>
        <w:t>299/2006, de 23 de octubre, FJ 2). Igualmente, se ha destacado que este derecho, en su proyección en el ámbito administrativo sancionador, no implica que en la fase de inicio del procedimiento disciplinario exista obligación de precisar de forma absoluta los hechos y la calificación jurídica correspondiente, sino que la imputación puede ir precisándose de forma gradual al desarrollo del procedimiento siempre que se dé “ocasión de defenderse de la acusación de forma plena desde el momento en que la conoce de forma plena” (por todas, STC 129/2006, de 24 de abril, FJ 7).</w:t>
      </w:r>
    </w:p>
    <w:p w:rsidR="00DE14C9" w:rsidRDefault="00DE14C9" w:rsidP="00DE14C9">
      <w:pPr>
        <w:pStyle w:val="TextoNormal"/>
      </w:pPr>
      <w:r>
        <w:t>En el presente caso, como se pone de manifiesto en las actuaciones y se ha expuesto con más detenimiento en los antecedentes, en el pliego de cargo formulado contra la recurrente no sólo se hizo expresa la imputación por una supuesta infracción del art.  417.8 LOPJ, por incumplimiento del deber de abstención, sino que, además, de manera prolija, se pormenorizaron los hechos en virtud de los cuales se sustentaba dicha afirmación. Así, en dicho pliego se consignan como hechos resultantes de lo actuado y bajo el epígrafe “deber de abstención” la existencia de determinadas relaciones comerciales entre las sociedades vinculadas con los familiares de la recurrente y el Ayuntamiento de Marbella a partir de la suscripción de diversos convenios urbanísticos, algunos de ellos de un importante montante económico, así como que dichos familiares han tenido muy variadas relaciones económicas societarias con personas que de una u otra forma, debido a los intereses inmobiliarios mantenidos en la zona, han otorgado convenios urbanísticos con el Ayuntamiento de Marbella y que también se han puesto de manifiesto en diversos procedimientos judiciales. Igualmente se destaca la amistad reconocida públicamente entre el padre de la recurrente y el Alcalde de Marbella y como ello ha generado un malestar social, constatable por los medios de comunicación, por la posible vinculación de la propia recurrente con este entramado. Por último, se relata como en esta situación la recurrente instruyó las diligencias previas núm.  643-1994, tramitadas por delitos de falsedad, estafa y alzamiento en relación con la quiebra necesaria de la Sociedad Banus Andalucía la Nueva, S.A., y en las que fue parte el Ayuntamiento de Marbella, dictándose diversas resoluciones judiciales, algunas transcritas literalmente, respecto de la administración judicial de la empresa y el nombramiento de interventores a solicitud de dicho Ayuntamiento, que fueron recurridas por el Abogado del Estado y el Ministerio Fiscal y revocadas en apelación.  También se constata en las actuaciones que la recurrente, en su extenso escrito de contestación al pliego de cargo, desarrolló un pormenorizado análisis de dichos hechos, alegando lo que estimó pertinente y proponiendo diversas pruebas. Además, también se constata que los hechos imputados fueron reiterados en la propuesta de resolución, frente a la que nuevamente la recurrente tuvo la plena posibilidad de realizar alegaciones.</w:t>
      </w:r>
    </w:p>
    <w:p w:rsidR="00DE14C9" w:rsidRDefault="00DE14C9" w:rsidP="00DE14C9">
      <w:pPr>
        <w:pStyle w:val="TextoNormal"/>
      </w:pPr>
      <w:r>
        <w:t>En atención a lo expuesto, y con independencia de la cuestión de si es aplicable, y en qué medida, esta específica garantía del proceso penal al ámbito sancionador-disciplinario (al respecto, STC 129/2006, de 24 de abril, FJ 7), no cabe afirmar que en el presente caso se haya producido esta concreta vulneración, ya que, como ha quedado constatado, no sólo es que en el pliego de cargo hubiera una pormenorizada relación de los hechos imputados en relación con la infracción del art. 417.8 LOPJ, sino que, además, dichos hechos fueron posteriormente concretados en la propuesta de resolución, frente a la que también existió la plena posibilidad de alegar. En consecuencia, no ha padecido indefensión alguna la recurrente desde esta primera perspectiva.</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La segunda cuestión planteada por la recurrente bajo la invocación del derecho a no sufrir indefensión es que el Pleno del Consejo General del Poder Judicial no tuvo la posibilidad de valorar las alegaciones defensivas contenidas en su respuesta a la propuesta de </w:t>
      </w:r>
      <w:r>
        <w:lastRenderedPageBreak/>
        <w:t>resolución, por no haber tenido conocimiento de las mismas. A esos efectos, debe recordarse que este Tribunal ha reiterado que la imposibilidad de tomar en consideración las alegaciones oportunamente deducidas por las partes puede implicar una quiebra del principio de contradicción causante de indefensión (art. 24.1 CE), siempre que se verifique que la decisión fue efectivamente adoptada inaudita parte y que ello no ocurrió por voluntad expresa o tácita o negligencia imputable a la parte (por todas, STC 307/2005, de 12 de diciembre, FJ 2).</w:t>
      </w:r>
    </w:p>
    <w:p w:rsidR="00DE14C9" w:rsidRDefault="00DE14C9" w:rsidP="00DE14C9">
      <w:pPr>
        <w:pStyle w:val="TextoNormal"/>
      </w:pPr>
      <w:r>
        <w:t>En el presente caso, se deduce manifiestamente de las actuaciones y así ha sido expuesto en los antecedentes, en primer lugar, que la recurrente presentó el 22 de diciembre de 1999 escrito de alegaciones en relación con la propuesta de resolución del instructor del expediente. En segundo lugar, que la comisión disciplinaria del Consejo General del Poder Judicial, mediante acuerdo aprobado como punto quince de su reunión de 18 de enero de 2000, en el que se hacía mención expresa a que la recurrente había presentado dichas alegaciones, elevó al Pleno el expediente disciplinario instruido a la recurrente con propuesta de sanción. En tercer lugar, que el Pleno del Consejo General del Poder Judicial, en el punto decimocuarto de su reunión del día 26 de enero de 2000, acordó imponer a la recurrente la sanción de suspensión de un año como autora de una falta muy grave prevista en el art. 417.7 LOPJ y la separación de la carrera judicial, como autora de una falta muy grave prevista en el art. 417.8 LOPJ, así como designar a una de sus miembros como Ponente para la redacción definitiva de la resolución sancionadora. Y, finalmente, que el Pleno de dicho Consejo, en el punto quinto de su reunión de 9 de febrero de 2000, acordó aprobar la redacción definitiva de la resolución sancionadora, en la que nuevamente se hace mención expresa a que la recurrente presentó escrito de alegaciones respecto de la propuesta de resolución.</w:t>
      </w:r>
    </w:p>
    <w:p w:rsidR="00DE14C9" w:rsidRDefault="00DE14C9" w:rsidP="00DE14C9">
      <w:pPr>
        <w:pStyle w:val="TextoNormal"/>
      </w:pPr>
      <w:r>
        <w:t>A partir de lo expuesto, debe concluirse que carece de cualquier fundamento fáctico la afirmación en que se basa este concreto motivo de amparo de que el Pleno del Consejo General del Poder Judicial resolvió el presente expediente sin haber tenido la posibilidad de tomar conocimiento del contenido del escrito de alegaciones de la recurrente frente a la propuesta de resolución del instructor del expediente. En efecto, ha quedado debidamente acreditado que el Pleno tuvo posibilidad efectiva de tomar conocimiento de dichas alegaciones tanto en la reunión de 26 de enero de 2000, en que se acordó la imposición de las sanciones, como en la ulterior reunión de 9 de febrero de 2000, en que se aprobó la redacción definitiva del acuerdo, no sólo por estar a su disposición la totalidad de la documentación del expediente, sino, especialmente, porque, incluso fue específicamente mencionada su existencia tanto en el acuerdo de la comisión disciplinaria por el que se elevó propuesta de sanción al Pleno, que fue objeto de deliberación en la reunión de 26 de enero, como en la propia resolución sancionadora, que fue objeto de deliberación en la reunión de 9 de febrero. Todo ello determina que este concreto motivo de amparo deba desestimarse.</w:t>
      </w:r>
    </w:p>
    <w:p w:rsidR="00DE14C9" w:rsidRDefault="00DE14C9" w:rsidP="00DE14C9">
      <w:pPr>
        <w:pStyle w:val="TextoNormal"/>
      </w:pPr>
    </w:p>
    <w:p w:rsidR="00DE14C9" w:rsidRDefault="00DE14C9" w:rsidP="00DE14C9">
      <w:pPr>
        <w:pStyle w:val="TextoNormal"/>
      </w:pPr>
      <w:r w:rsidRPr="00DE14C9">
        <w:rPr>
          <w:rStyle w:val="NumeroAFNegritaCaracter"/>
        </w:rPr>
        <w:t>4</w:t>
      </w:r>
      <w:r>
        <w:t>. La recurrente también aduce que se ha vulnerado su derecho a la presunción de inocencia (art. 24.2 CE) en relación con ambas sanciones. En concreto, respecto de la sanción por la infracción del art. 417.7 LOPJ, afirma que no existe prueba sobre el carácter doloso de la conducta, y, respecto de la sanción por la infracción del art. 417.8 LOPJ, que no existe prueba sobre la existencia de interés propio ni sobre el carácter doloso de la conducta, habiéndose empleado un iter discursivo ilógico para concluir la concurrencia de ambos elementos.</w:t>
      </w:r>
    </w:p>
    <w:p w:rsidR="00DE14C9" w:rsidRDefault="00DE14C9" w:rsidP="00DE14C9">
      <w:pPr>
        <w:pStyle w:val="TextoNormal"/>
      </w:pPr>
      <w:r>
        <w:t xml:space="preserve">Este Tribunal ha reiterado que no le corresponde revisar la valoración de las pruebas a través de las cuales el órgano sancionador alcanza su íntima convicción, sino únicamente controlar la razonabilidad del discurso que une la actividad probatoria y el relato fáctico que </w:t>
      </w:r>
      <w:r>
        <w:lastRenderedPageBreak/>
        <w:t>de ella resulta. Igualmente se ha destacado que, a falta de prueba directa, la prueba de cargo puede ser indiciaria, siempre que se parta de hechos plenamente probados y que los hechos constitutivos de delito se deduzcan de esos indicios a través de un proceso mental razonado y acorde con las reglas del criterio humano, puesto de manifiesto en la Sentencia, y que el control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(por todas, STC 123/2006, de 24 de abril, FJ 5).</w:t>
      </w:r>
    </w:p>
    <w:p w:rsidR="00DE14C9" w:rsidRDefault="00DE14C9" w:rsidP="00DE14C9">
      <w:pPr>
        <w:pStyle w:val="TextoNormal"/>
      </w:pPr>
      <w:r>
        <w:t>En el presente caso, como queda acreditado en las actuaciones y se ha expuesto en los antecedentes con más detalle, la resolución impugnada hizo expreso, en relación con la infracción del art. 417.7 LOPJ, que el conocimiento por la recurrente de la existencia de los amplios intereses económicos que ostentaban sus familiares directos en su demarcación judicial se infería a partir de la buenas relaciones familiares, el hecho de que la vivienda en la que reside la recurrente fuera prioritariamente abonado por el padre, la apertura de dos procedimientos penales contra el padre derivados de su actividad societaria y mercantil, en uno de los cuales la recurrente hubo de abstenerse, la reconocida amistad mantenida con uno de los activos participantes en el entramado societario de la familia, que llevó a la recurrente a abstenerse en un procedimiento en que dicha persona fue parte, y la propia notoriedad pública que ha llegado a alcanzar la actividad económica desarrollada por sus familiares directos en el partido judicial de Marbella.</w:t>
      </w:r>
    </w:p>
    <w:p w:rsidR="00DE14C9" w:rsidRDefault="00DE14C9" w:rsidP="00DE14C9">
      <w:pPr>
        <w:pStyle w:val="TextoNormal"/>
      </w:pPr>
      <w:r>
        <w:t>De ese modo, se constata, por un lado, que la resolución sancionadora ha hecho explícito el proceso argumental para inferir, a partir de hechos objetivos perfectamente acreditados, el conocimiento que la recurrente tenía de los amplios intereses económicos de sus familiares en la demarcación judicial en la que desarrollaba su función y, por tanto, del deber que tenía de poner dicha circunstancia en conocimiento del Consejo General del Poder Judicial. Y, por otro, que dicho proceso argumental no puede ser calificado de irrazonable ni desde el punto de vista de su lógica o coherencia, ni desde la óptica del grado de solidez requerido. Ello es determinante para la desestimación de este concreto motivo de amparo. En efecto, como también se concluyó en la Sentencia del Tribunal Supremo, no cabe afirmar que resulte excesivamente abierta la inferencia de que la recurrente era conocedora de dichos intereses partiendo de la base no sólo de la propia notoriedad pública que a través de los medios de comunicación había llegado a alcanzar la actividad económica desarrollada por sus familiares directos en el partido judicial de Marbella, sino de la existencia de dos procedimientos penales abiertos contra su padre derivados de su actividad societaria y mercantil, en uno de los cuales incluso la recurrente hubo de abstenerse al haber correspondido su conocimiento al Juzgado del que era titular, y de que en otro procedimiento se abstuvo por la amistad manifiesta mantenida con uno de los activos participantes en el entramado societario de la familia.</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En cuanto a la invocación del derecho a la presunción de inocencia, en relación con la infracción del art. 417.8 LOPJ, también se hizo expreso en la resolución impugnada que la existencia de un interés indirecto de la recurrente en las diligencias previas 643-1994 se derivaba de que, al ser parte el Ayuntamiento de Marbella, su concreto desarrollo repercutía en la esfera de intereses económicos de sus familiares directos, ya que en su actividad empresarial resultaba una pieza clave este Ayuntamiento. Así, se argumentaba que, habiendo quedado acreditado que el entramado societario en el que participaban los familiares de la recurrente tenía como objeto prioritario el tráfico inmobiliario, constituyendo un elemento </w:t>
      </w:r>
      <w:r>
        <w:lastRenderedPageBreak/>
        <w:t>de indudable relevancia sus relaciones inmobiliarias con el Ayuntamiento de Marbella por ser uno de los aspectos esenciales del conjunto de la actividad societaria la concertación, bien directa por el padre o hermano de la recurrente, bien a través de terceras personas integrantes de las sociedades a las que estos estaban estrechamente vinculados, de convenios urbanísticos con el Ayuntamiento de Marbella de gran envergadura económica, la conclusión que cabía inferir es que los eventuales beneficios que pudieran derivarse del resultado de las diligencias judiciales redundarían de manera directa en la esfera patrimonial de los familiares de la recurrente e indirectamente en ella, como queda demostrado a partir del hecho, también acreditado, de que el abono de la vivienda de la recurrente se llevó a cabo por su padre. Igualmente se destaca como un elemento más acreditativo de dicho interés indirecto el que la resolución del proceso contribuiría a reforzar la buena relación comercial existente entre el Ayuntamiento y los familiares de la recurrente. Por otra parte, en cuanto a la constatación de la concurrencia del elemento subjetivo de la infracción de que la inobservancia del deber de abstención se llevó a cabo a sabiendas de tener un interés indirecto en la causa, se argumenta que cabe derivarlo, no sólo del evidente conocimiento del entramado de intereses económicos ligados al tráfico inmobiliario de sus familiares y la relación mantenida para ello con el Ayuntamiento de Marbella, sino también de que el proceso versaba sobre una cuestión inmobiliaria atinente a Puerto Banús en que se encontraba afectado el propio Ayuntamiento de Marbella.</w:t>
      </w:r>
    </w:p>
    <w:p w:rsidR="00DE14C9" w:rsidRDefault="00DE14C9" w:rsidP="00DE14C9">
      <w:pPr>
        <w:pStyle w:val="TextoNormal"/>
      </w:pPr>
      <w:r>
        <w:t>Así, se constata, por un lado, que la resolución sancionadora ha hecho explícito el proceso argumental para inferir, a partir de hechos objetivos perfectamente acreditados, tanto la existencia de un interés indirecto en las diligencias previas núm.  643-1994, como el conocimiento del deber de abstención que dicha circunstancia generaba. Y, por otro, que dicho proceso argumental no puede ser calificado de irrazonable ni desde el punto de vista de su lógica o coherencia ni desde la óptica del grado de solidez requerido. Ello es determinante para la desestimación de este concreto motivo de amparo. En efecto, no cabe considerar, desde el estricto control externo que corresponde efectuar a este Tribunal, y como ya se argumentó en la Sentencia del Tribunal Supremo que confirmó las sanciones parcialmente, que resulte excesivamente abierta la inferencia de que la existencia del interés indirecto en la recurrente se concluye a partir de la base acreditada, en primer lugar, de los muy significadísimos intereses inmobiliarios de sus familiares directos con el Ayuntamiento de Marbella, constatados por los diversos convenios urbanísticos suscritos; en segundo lugar, del hecho no sólo de que el Ayuntamiento de Marbella era parte personada en aquellas diligencias previas, sino que, además, tenía una activa participación en la adopción de medidas cautelares de naturaleza real para garantizar responsabilidades civiles de elevadísimas cuantías de las que podría resultar beneficiaria; y, en tercer lugar, que el objeto de dicho procedimiento versaba, precisamente, sobre cuestiones inmobiliarias, que eran los concretos intereses en que se movía la estrecha relación entre los familiares de la recurrente y el Ayuntamiento de Marbella. Igualmente, tampoco cabe concluir que la inferencia relativa a la concurrencia del elemento subjetivo de esta infracción resulte contraria a los parámetros constitucionales de valoración de pruebas indiciarias, partiendo de la base, explícitamente recogida en la resolución sancionadora, de la objetividad y notoriedad pública de la existencia de los citados intereses inmobiliarios y de la esencial importancia que para los mismos tenía el Ayuntamiento de Marbella.</w:t>
      </w:r>
    </w:p>
    <w:p w:rsidR="00DE14C9" w:rsidRDefault="00DE14C9" w:rsidP="00DE14C9">
      <w:pPr>
        <w:pStyle w:val="TextoNormal"/>
      </w:pPr>
    </w:p>
    <w:p w:rsidR="00DE14C9" w:rsidRDefault="00DE14C9" w:rsidP="00DE14C9">
      <w:pPr>
        <w:pStyle w:val="TextoNormal"/>
      </w:pPr>
      <w:r w:rsidRPr="00DE14C9">
        <w:rPr>
          <w:rStyle w:val="NumeroAFNegritaCaracter"/>
        </w:rPr>
        <w:t>6</w:t>
      </w:r>
      <w:r>
        <w:t xml:space="preserve">. La recurrente aduce, por último, que se ha vulnerado su derecho a la legalidad sancionadora (art. 25.1 CE), desde distintas perspectivas. Así, esta invocación se fundamenta, en primer lugar y en relación con ambas sanciones, en que se ha hecho una aplicación extensiva </w:t>
      </w:r>
      <w:r>
        <w:lastRenderedPageBreak/>
        <w:t>in mala partem de la normativa sancionadora que ha provocado que las sanciones resultaran imprevisibles, ya que, en cuanto al art. 417.7 LOPJ, se desempeñaba el cargo judicial en una población superior a los cien mil habitantes, los intereses económicos de sus familiares directos no producían una arraigo obstaculizador de la función judicial y no existía malicia en su conducta; y en cuanto al art. 417.8 LOPJ, en la subsunción de la concurrencia de un interés indirecto en las diligencias previas 634-1994.</w:t>
      </w:r>
    </w:p>
    <w:p w:rsidR="00DE14C9" w:rsidRDefault="00DE14C9" w:rsidP="00DE14C9">
      <w:pPr>
        <w:pStyle w:val="TextoNormal"/>
      </w:pPr>
      <w:r>
        <w:t>Este Tribunal ha reiterado que resulta contrario a las exigencias derivadas del principio de legalidad consagrado en el art. 25.1 CE aquellas aplicaciones de las normas sancionadoras que conduzcan a soluciones que se aparten del tenor literal del precepto o que resulten esencialmente opuestas a la orientación material de la norma y, por ello, imprevisibles para sus destinatarios, sea por su soporte metodológico, al derivar de una argumentación ilógica o indiscutiblemente extravagante, o axiológico, al partir de una base valorativa ajena a los criterios que informan nuestro ordenamiento constitucional (por todas, STC 6/2006, de 16 de enero, FJ 4).</w:t>
      </w:r>
    </w:p>
    <w:p w:rsidR="00DE14C9" w:rsidRDefault="00DE14C9" w:rsidP="00DE14C9">
      <w:pPr>
        <w:pStyle w:val="TextoNormal"/>
      </w:pPr>
      <w:r>
        <w:t>En el presente caso, por lo que se refiere a la sanción impuesta por infracción del art. 417.7 LOPJ, la resolución impugnada hizo expreso, en cuanto a la población de Marbella, que nunca alcanzó los cien mil habitantes, tomando como base los datos censales aprobados en los Reales Decretos 1654/1997, de 31 de octubre, y 480/1999, de 18 de marzo, argumentando que la obtención de las cifras oficiales correspondientes a la revisión padronal a 1 de enero aparecen reguladas en el Real Decreto Legislativo 781/1986, de 18 de abril, y en los arts. 81 y 82 del Real Decreto 2621/1996 y que, conforme a dicha legislación y de acuerdo con lo reiterado por la Sala Tercera del Tribunal Supremo, nunca puede prevalecer la cifra del padrón de habitantes aprobada por el Ayuntamiento sobre el censo.</w:t>
      </w:r>
    </w:p>
    <w:p w:rsidR="00DE14C9" w:rsidRDefault="00DE14C9" w:rsidP="00DE14C9">
      <w:pPr>
        <w:pStyle w:val="TextoNormal"/>
      </w:pPr>
      <w:r>
        <w:t>En cuanto a la existencia de intereses económicos de los familiares determinantes de arraigo en el partido judicial, se argumenta que a partir de los hechos probados quedaba acreditado que el padre, la madre y el hermano de la recurrente forman parte de un entramado empresarial de gran complejidad en el que hay numerosas empresas, con domicilio social en Marbella, entre las que resulta frecuente la cesión de acciones y el cambio entre ellas de la titularidad dominical de diversas fincas registrales, realizando sus operaciones dentro del ámbito territorial de dicha localidad, incluyendo la firma de convenios urbanísticos con el Ayuntamiento de Marbella de elevado interés económico. Por último, como ya se señaló al analizar la invocación del derecho a la presunción de inocencia, también en la resolución impugnada se exponen detalladamente las razones para considerar que en la conducta de la recurrente concurren los necesarios elementos subjetivos para hacerla responsable de la infracción imputada de haber ocultado una situación determinante de su incompatibilidad.</w:t>
      </w:r>
    </w:p>
    <w:p w:rsidR="00DE14C9" w:rsidRDefault="00DE14C9" w:rsidP="00DE14C9">
      <w:pPr>
        <w:pStyle w:val="TextoNormal"/>
      </w:pPr>
      <w:r>
        <w:t>Por lo que se refiere a la infracción del art. 417.8 LOPJ, en la resolución sancionadora se hace explícito, por un lado, que la existencia de interés indirecto en la tramitación de una causa cabe predicarse de la eventual repercusión que pueda tener su desarrollo en la esfera de intereses económicos de sus familiares directos y, por otro, como ya se ha expuesto extensamente al analizar la invocación del derecho a la presunción de inocencia, cuáles han sido los argumentos para inferir, a partir del entramado de intereses inmobiliarios entre los familiares directos de la recurrente y el Ayuntamiento de Marbella y del Ayuntamiento de Marbella en relación con el procedimiento que se estaba instruyendo, los eventuales beneficios que podían obtener los familiares de la recurrente en virtud del devenir procedimental.</w:t>
      </w:r>
    </w:p>
    <w:p w:rsidR="00DE14C9" w:rsidRDefault="00DE14C9" w:rsidP="00DE14C9">
      <w:pPr>
        <w:pStyle w:val="TextoNormal"/>
      </w:pPr>
      <w:r>
        <w:t xml:space="preserve">Por tanto, debe concluirse que en el presente caso ni la interpretación ni la concreta subsunción de los hechos en los preceptos sancionadores aplicados efectuadas en la resolución sancionadora resultan contrarias a las exigencias derivadas del art.  25.1 CE, pues no cabe </w:t>
      </w:r>
      <w:r>
        <w:lastRenderedPageBreak/>
        <w:t>apreciar que se haya acudido a argumentaciones extravagantes a las normalmente utilizadas en la comunidad jurídica ni que se haya partido de bases valorativas ajenas a los criterios constitucionales para llegar a soluciones esencialmente opuestas a la orientación material de estas norman y, en esa medida, imprevisibles para la recurrente. Ello determina que también deba desestimarse este concreto motivo de amparo.</w:t>
      </w:r>
    </w:p>
    <w:p w:rsidR="00DE14C9" w:rsidRDefault="00DE14C9" w:rsidP="00DE14C9">
      <w:pPr>
        <w:pStyle w:val="TextoNormal"/>
      </w:pPr>
    </w:p>
    <w:p w:rsidR="00DE14C9" w:rsidRDefault="00DE14C9" w:rsidP="00DE14C9">
      <w:pPr>
        <w:pStyle w:val="TextoNormal"/>
      </w:pPr>
      <w:r w:rsidRPr="00DE14C9">
        <w:rPr>
          <w:rStyle w:val="NumeroAFNegritaCaracter"/>
        </w:rPr>
        <w:t>7</w:t>
      </w:r>
      <w:r>
        <w:t>. La invocación del derecho a la legalidad sancionadora ha sido fundamentada por la recurrente, en segundo lugar, y también en relación con ambas infracciones, en que las sanciones impuestas han sido desproporcionadas, ya que respecto de la sanción de un año de suspensión impuesta por la infracción del art. 417.7 LOPJ hubiera sido más idónea, en su caso, la sanción de traslado forzoso, y respecto de la sanción de tres años de suspensión impuesta por la infracción del art. 417.8 LOPJ hubiera sido más idónea, en su caso, la suspensión de seis meses.</w:t>
      </w:r>
    </w:p>
    <w:p w:rsidR="00DE14C9" w:rsidRDefault="00DE14C9" w:rsidP="00DE14C9">
      <w:pPr>
        <w:pStyle w:val="TextoNormal"/>
      </w:pPr>
      <w:r>
        <w:t>La presente queja no aparece dirigida en abstracto a las sanciones previstas legalmente en los preceptos infringidos, sino a la individualización que de las mismas se realizó en relación con la conducta desarrollada por la recurrente. Por tanto, el control a desarrollar por este Tribunal, habida cuenta de que la individualización de la sanción corresponde a la Administración sancionadora, debe quedar limitado, como ya ha reiterado este Tribunal, a verificar la corrección constitucional de la motivación desarrollada para justificar la concreción de la sanción atendidas las circunstancias concurrentes en el caso (por todas, STC 64/2001, de 17 de marzo, FJ 4). A esos efectos, debe destacarse, en primer lugar, que en la resolución impugnada, y por lo que se refiere a la sanción por la infracción del art. 417.7 LOPJ, se hizo expreso que, pudiendo consistir en traslado forzoso, suspensión de hasta tres años y separación de la carrera, resultaba adecuada la sanción de un año de suspensión, ya que, a pesar de la envergadura de los intereses económicos atinentes a sus familiares directos, la cifra oficial de la población de Marbella es muy cercana a los cien mil habitantes. Pues bien, con esta argumentación se pone de manifiesto no sólo que se tuvieron en cuenta las concretas circunstancias concurrentes en el caso para efectuar la individualización de la sanción, sino que, además, fueron debidamente ponderadas en relación con los derechos de la recurrente que pudieran verse afectados para establecer cualitativa y cuantitativamente una sanción proporcionada a la infracción cometida, toda vez que, teniendo prevista esta infracción una consecuencia jurídica que podía ir desde el traslado forzoso hasta la separación de carrera, pasando por la suspensión de hasta tres años, se optó cualitativamente por la sanción de mediana gravedad —la suspensión— impuesta, cuantitativamente, en el tercio inferior —un año.</w:t>
      </w:r>
    </w:p>
    <w:p w:rsidR="00DE14C9" w:rsidRDefault="00DE14C9" w:rsidP="00DE14C9">
      <w:pPr>
        <w:pStyle w:val="TextoNormal"/>
      </w:pPr>
      <w:r>
        <w:t xml:space="preserve">En segundo lugar, y por lo que se refiere a la sanción por infracción del art. 417.8 LOPJ, en las actuaciones se evidencia que habiendo sido impuesta en la resolución administrativa impugnada la sanción de separación de la carrera judicial, sin embargo, fue rebajada en vía judicial a la de suspensión del cargo por tres años, valorándose la contumacia de la recurrente en continuar en Marbella, a pesar de ser ostensible lo comprometida que resultaba su imagen de imparcialidad, y el hecho de no revelar la misma gravedad el concurrir intereses indirectos en el procedimiento y no intereses directos. Pues bien, con esta argumentación se pone de manifiesto, también respecto de esta concreta sanción, que para su individualización se tuvieron en cuenta las circunstancias concurrentes en el caso y que fueron debidamente ponderadas en relación con los derechos de la recurrente que pudieran verse afectados para establecer cualitativa y cuantitativamente una sanción proporcionada a la infracción cometida, toda vez que, teniendo prevista esta infracción las mismas consecuencia jurídicas de traslado forzoso, suspensión de hasta tres años y separación de carrera, finamente en vía </w:t>
      </w:r>
      <w:r>
        <w:lastRenderedPageBreak/>
        <w:t>judicial se optó, por razones de proporcionalidad, por considerar más adecuada cualitativamente la sanción de suspensión y no la de separación, si bien impuesta en su grado máximo.</w:t>
      </w:r>
    </w:p>
    <w:p w:rsidR="00DE14C9" w:rsidRDefault="00DE14C9" w:rsidP="00DE14C9">
      <w:pPr>
        <w:pStyle w:val="TextoNormal"/>
      </w:pPr>
      <w:r>
        <w:t>En conclusión, tomando en consideración la ponderación efectuada para la individualización y concreción de las sanciones en relación con las circunstancias concurrentes en los hechos sancionados y que en ningún caso las sanciones impuestas, ni desde una perspectiva cualitativa ni tan siquiera cuantitativa, se han acercado al máximo de gravedad permitido por la norma, debe afirmarse que no concurre la vulneración denunciada por la recurrente en tanto que ha sido debidamente motivada la individualización de las sanciones impuestas y las mismas resultan proporcionadas a la infracción cometida. Por tanto, este concreto motivo ha de ser desestimado.</w:t>
      </w:r>
    </w:p>
    <w:p w:rsidR="00DE14C9" w:rsidRDefault="00DE14C9" w:rsidP="00DE14C9">
      <w:pPr>
        <w:pStyle w:val="TextoNormal"/>
      </w:pPr>
    </w:p>
    <w:p w:rsidR="00DE14C9" w:rsidRDefault="00DE14C9" w:rsidP="00DE14C9">
      <w:pPr>
        <w:pStyle w:val="TextoNormal"/>
      </w:pPr>
      <w:r w:rsidRPr="00DE14C9">
        <w:rPr>
          <w:rStyle w:val="NumeroAFNegritaCaracter"/>
        </w:rPr>
        <w:t>8</w:t>
      </w:r>
      <w:r>
        <w:t>. La invocación del derecho a la legalidad sancionadora ha sido fundamentada, en tercer lugar, y en relación con la aplicación del art. 417.7 LOPJ, en la infracción del principio non bis in idem, argumentando la recurrente que se la ha sancionado en virtud de una situación de incompatibilidad de la que ya había sido absuelta con anterioridad, sin que se hubiera producido ninguna alteración significativa. En relación con ello, es preciso reiterar que este Tribunal ha afirmado que es presupuesto necesario para apreciar la existencia de una vulneración del principio non bis in idem que concurra la triple identidad de sujeto, hecho y fundamento (por todas, STC 2/2003, de 16 de enero, FJ 5).</w:t>
      </w:r>
    </w:p>
    <w:p w:rsidR="00DE14C9" w:rsidRDefault="00DE14C9" w:rsidP="00DE14C9">
      <w:pPr>
        <w:pStyle w:val="TextoNormal"/>
      </w:pPr>
      <w:r>
        <w:t>En el presente caso, como ya se ha expuesto más detenidamente en los antecedentes, en la resolución impugnada se puso de manifiesto que el objeto del expediente sancionador del que trae causa este recurso de amparo, en cuanto a la infracción del art.  417.7 LOPJ, ha sido la permanencia de la recurrente en el destino judicial desde el 17 de noviembre de 1998, fecha en que se archivó el expediente disciplinario núm. 19-1997, y hasta que cesó en el mismo el 15 de octubre de 1999. En coherencia con ello, en la resolución sancionadora se especifica en su hecho probado quinto que a partir del 17 de noviembre de 1998 y hasta el 14 de septiembre de 1999 se habían realizado hasta once operaciones mercantiles distintas en las que había participado el entramado de sociedades vinculadas con la familia de la recurrente, haciéndose una descripción pormenorizada de las mismas. Así pues, no cabe sino concluir que, al no concurrir la necesaria identidad fáctica entre los hechos que fueron objeto de enjuiciamiento en el expediente sancionador núm. 19-1997 con los que lo han sido en el presente, debe desestimarse este concreto motivo de amparo.</w:t>
      </w:r>
    </w:p>
    <w:p w:rsidR="00DE14C9" w:rsidRDefault="00DE14C9" w:rsidP="00DE14C9">
      <w:pPr>
        <w:pStyle w:val="TextoNormal"/>
      </w:pPr>
    </w:p>
    <w:p w:rsidR="00DE14C9" w:rsidRDefault="00DE14C9" w:rsidP="00DE14C9">
      <w:pPr>
        <w:pStyle w:val="TextoNormal"/>
      </w:pPr>
      <w:r w:rsidRPr="00DE14C9">
        <w:rPr>
          <w:rStyle w:val="NumeroAFNegritaCaracter"/>
        </w:rPr>
        <w:t>9</w:t>
      </w:r>
      <w:r>
        <w:t>. La invocación del derecho a la legalidad sancionadora ha sido fundamentada, en cuarto lugar, y en relación con el art. 417.8 LOPJ, en que dicho precepto, siendo una norma sancionadora, ha sido aplicado retroactivamente, ya que las diligencias previas en que se afirma concurría el deber de abstención se incoaron el 13 de julio de 1994 y el tipo sancionador aplicado entró en vigor el 29 de diciembre de 1994.</w:t>
      </w:r>
    </w:p>
    <w:p w:rsidR="00DE14C9" w:rsidRDefault="00DE14C9" w:rsidP="00DE14C9">
      <w:pPr>
        <w:pStyle w:val="TextoNormal"/>
      </w:pPr>
      <w:r>
        <w:t xml:space="preserve">Este motivo de amparo debe ser desestimado. En efecto, si bien este Tribunal ha reiterado que el art. 25.1 CE consagra el principio de irretroactividad de la normativa sancionadora como “la garantía del ciudadano de que no será sorprendido a posteriori con una calificación de delito o con una pena no prevista o más grave que la señalada al tiempo del hecho” (STC 21/1993, de 18 de enero, FJ 5), sin embargo, en el presente caso, habida cuenta de que la conducta sancionada por la infracción de este precepto —incumplimiento del deber de abstención— ha sido mantenida por la recurrente en el tiempo durante años con posterioridad a la entrada en vigor de la nueva redacción dada al art. 417.8 LOPJ en fecha 29 de diciembre de 1994, debe concluirse que la normativa sancionadora aplicada estaba plenamente vigente en el momento en que la recurrente estaba llevando a cabo su conducta infractora, por lo </w:t>
      </w:r>
      <w:r>
        <w:lastRenderedPageBreak/>
        <w:t>que tuvo la posibilidad efectiva de conocer y la obligación de adaptar su conducta a la nueva previsión normativa.</w:t>
      </w:r>
    </w:p>
    <w:p w:rsidR="00DE14C9" w:rsidRDefault="00DE14C9" w:rsidP="00DE14C9">
      <w:pPr>
        <w:pStyle w:val="TextoNormal"/>
      </w:pPr>
    </w:p>
    <w:p w:rsidR="00DE14C9" w:rsidRDefault="00DE14C9" w:rsidP="00DE14C9">
      <w:pPr>
        <w:pStyle w:val="TextoNormal"/>
      </w:pPr>
      <w:r w:rsidRPr="00DE14C9">
        <w:rPr>
          <w:rStyle w:val="NumeroAFNegritaCaracter"/>
        </w:rPr>
        <w:t>10</w:t>
      </w:r>
      <w:r>
        <w:t>. Por último, se ha aducido también la vulneración del derecho a la legalidad sancionadora en relación con el art. 417.7 LOPJ, con fundamento en que no se ha hecho una aplicación retroactiva de una norma que favorecía a la recurrente como era el Real Decreto 3491/2000, en virtud del cual se establecía que a fecha de 1 de enero de 1999 la población de Marbella era ya superior a los cien mil habitantes, por lo que desde dicha fecha no cabía la posibilidad de aplicar el precepto sancionador.</w:t>
      </w:r>
    </w:p>
    <w:p w:rsidR="00DE14C9" w:rsidRDefault="00DE14C9" w:rsidP="00DE14C9">
      <w:pPr>
        <w:pStyle w:val="TextoNormal"/>
      </w:pPr>
      <w:r>
        <w:t>Pues bien, este concreto motivo de amparo también debe rechazarse, ya que, como han señalado tanto el Ministerio Fiscal como el Abogado del Estado, está incurso en las causas de inadmisión de falta de agotamiento de la vía judicial previa [art.  50.1 a), en relación con el art. 44.1 a) LOTC] y de deducirse respecto de derechos que no son susceptibles de amparo constitucional [art. 50.1 b) LOTC]. En efecto, como ya se ha expuesto en los antecedentes, la resolución judicial impugnada no hizo pronunciamiento ni valoración alguna respecto de la alegación de la recurrente sobre la eventual aplicación retroactiva del Real Decreto 3491/2000. Ahora bien, frente a la omisión de pronunciamiento sobre esta particular, la demandante de amparo no interpuso el incidente de nulidad de actuaciones, como remedio procesal apto y necesario, a los efectos de un correcto agotamiento de la vía judicial previa, para que este Tribunal pueda entrar al fondo de dicha alegación, toda vez que, como ha sido reiterado en numerosas ocasiones, el carácter subsidiario de la jurisdicción de amparo impide a este Tribunal pronunciarse per saltum respecto de alegaciones para cuyo pronunciamiento en la vía judicial existan remedios procesales idóneos (por todas, STC 25/2005, de 14 de febrero, FJ 3). Del mismo modo, habida cuenta de que este Tribunal ha reiterado que el principio de retroactividad de las disposiciones favorables en materia sancionadora, si bien pude considerarse incluido, a sensu contrario, en el art. 9.3 CE, queda fuera de los márgenes de la jurisdicción de amparo, al no resultar una garantía reconocida como derecho en los arts. 14 a 29 CE y, específicamente, en el art. 25.1 CE (por todas, STC 85/2006, de 27 de marzo, FJ 4), este concreto motivo de amparo estaría incurso en la causa de inadmisión del art. 50.1 b) LOTC.</w:t>
      </w:r>
    </w:p>
    <w:p w:rsidR="00DE14C9" w:rsidRDefault="00DE14C9" w:rsidP="00DE14C9">
      <w:pPr>
        <w:pStyle w:val="TextoNormal"/>
      </w:pPr>
      <w:r>
        <w:t>Sin perjuicio de lo anterior, además, como también destacan el Ministerio Fiscal y el Abogado del Estado, en el presente caso no cabría considerar siquiera la posibilidad de plantear una aplicación retroactiva en favor de la demandada del Real Decreto 3491/2000, toda vez que, apareciendo referida la infracción del art. 417.7 LOPJ a hechos cometidos entre el 17 de noviembre de 1998 y el 15 de octubre de 1999, sin embargo, expresamente, en el art. 1 del citado Real Decreto 3491/2000 se establece que se declaran oficiales las cifras de población resultantes con efectos 31 de diciembre de 2000 y, por tanto, con posterioridad a los hechos sancionados.</w:t>
      </w:r>
    </w:p>
    <w:p w:rsidR="00DE14C9" w:rsidRDefault="00DE14C9" w:rsidP="00DE14C9">
      <w:pPr>
        <w:pStyle w:val="TextoNormal"/>
      </w:pPr>
      <w:r>
        <w:t>La inadmisión de este motivo de amparo, unido a la desestimación del resto de motivos, implica la completa denegación del amparo.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lastRenderedPageBreak/>
        <w:t>Ha decidido</w:t>
      </w:r>
    </w:p>
    <w:p w:rsidR="00DE14C9" w:rsidRDefault="00DE14C9" w:rsidP="00DE14C9">
      <w:pPr>
        <w:pStyle w:val="TextoNormalCentrado"/>
        <w:keepNext/>
      </w:pPr>
    </w:p>
    <w:p w:rsidR="00DE14C9" w:rsidRDefault="00DE14C9" w:rsidP="00DE14C9">
      <w:pPr>
        <w:pStyle w:val="TextoNormal"/>
      </w:pPr>
      <w:r>
        <w:t>Denegar el amparo solicitado a doña María del Pilar Ramírez Balboteo.</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veintiuno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30" w:name="SENTENCIA_2007_117"/>
      <w:r>
        <w:lastRenderedPageBreak/>
        <w:t>SENTENCIA 117/2007, de 21 de mayo de 2007</w:t>
      </w:r>
    </w:p>
    <w:bookmarkEnd w:id="30"/>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149, de 22 de junio de 2007)</w:t>
      </w:r>
    </w:p>
    <w:p w:rsidR="00DE14C9" w:rsidRDefault="00DE14C9" w:rsidP="00DE14C9">
      <w:pPr>
        <w:pStyle w:val="TtuloBOE"/>
      </w:pPr>
    </w:p>
    <w:p w:rsidR="00DE14C9" w:rsidRDefault="00DE14C9" w:rsidP="00DE14C9">
      <w:pPr>
        <w:pStyle w:val="SntesisDescriptiva"/>
      </w:pPr>
      <w:r>
        <w:t>ECLI:ES:TC:2007:117</w:t>
      </w:r>
    </w:p>
    <w:p w:rsidR="00DE14C9" w:rsidRDefault="00DE14C9" w:rsidP="00DE14C9">
      <w:pPr>
        <w:pStyle w:val="SntesisDescriptiva"/>
      </w:pPr>
    </w:p>
    <w:p w:rsidR="00DE14C9" w:rsidRDefault="00DE14C9" w:rsidP="00DE14C9">
      <w:pPr>
        <w:pStyle w:val="SntesisDescriptiva"/>
      </w:pPr>
      <w:r>
        <w:t>Recursos de amparo 5625-2002, 5757-2002 y 5761-2002 (acumulados). Promovidos por don Tomás Grigaliunas y otros respecto a las Sentencias de la Audiencia Provincial de Alicante y de un Juzgado de lo Penal de Orihuela que les condenó por delitos de asociación ilícita, favorecimiento de la inmigración ilegal, amenazas y daños.</w:t>
      </w:r>
    </w:p>
    <w:p w:rsidR="00DE14C9" w:rsidRDefault="00DE14C9" w:rsidP="00DE14C9">
      <w:pPr>
        <w:pStyle w:val="SntesisDescriptiva"/>
      </w:pPr>
    </w:p>
    <w:p w:rsidR="00DE14C9" w:rsidRDefault="00DE14C9" w:rsidP="00DE14C9">
      <w:pPr>
        <w:pStyle w:val="SntesisAnaltica"/>
      </w:pPr>
      <w:r>
        <w:t>Supuesta vulneración del derecho a la presunción de inocencia: condenas penales fundadas en testimonio directo y no de referencia y en prueba indiciaria válida.</w:t>
      </w:r>
    </w:p>
    <w:p w:rsidR="00DE14C9" w:rsidRDefault="00DE14C9" w:rsidP="00DE14C9">
      <w:pPr>
        <w:pStyle w:val="SntesisAnaltica"/>
      </w:pPr>
    </w:p>
    <w:p w:rsidR="00DE14C9" w:rsidRDefault="00DE14C9" w:rsidP="00DE14C9">
      <w:pPr>
        <w:pStyle w:val="Extracto"/>
      </w:pPr>
      <w:r>
        <w:t>1.</w:t>
      </w:r>
      <w:r>
        <w:tab/>
        <w:t>No se vulnera el derecho a la presunción de inocencia cuando la condena se basa en que los órganos judiciales consideran acreditados los hechos a partir de diversas pruebas testificales y una pluralidad de pruebas [FFJJ 4 a 8].</w:t>
      </w:r>
    </w:p>
    <w:p w:rsidR="00DE14C9" w:rsidRDefault="00DE14C9" w:rsidP="00DE14C9">
      <w:pPr>
        <w:pStyle w:val="Extracto"/>
      </w:pPr>
    </w:p>
    <w:p w:rsidR="00DE14C9" w:rsidRDefault="00DE14C9" w:rsidP="00DE14C9">
      <w:pPr>
        <w:pStyle w:val="Extracto"/>
      </w:pPr>
      <w:r>
        <w:t>2.</w:t>
      </w:r>
      <w:r>
        <w:tab/>
        <w:t>No procede declarar nula la declaración del testigo protegido al ser este un testigo directo y haber declarado en la vista oral con la debida inmediación y posibilidad efectiva de contradicción sobre experiencias personales, y ello sin perjuicio de que además el testimonio concurrió con otras testificales directas sobre las actividades desarrolladas y con diferentes pruebas indiciarias [FJ 5].</w:t>
      </w:r>
    </w:p>
    <w:p w:rsidR="00DE14C9" w:rsidRDefault="00DE14C9" w:rsidP="00DE14C9">
      <w:pPr>
        <w:pStyle w:val="Extracto"/>
      </w:pPr>
    </w:p>
    <w:p w:rsidR="00DE14C9" w:rsidRDefault="00DE14C9" w:rsidP="00DE14C9">
      <w:pPr>
        <w:pStyle w:val="Extracto"/>
      </w:pPr>
      <w:r>
        <w:t>3.</w:t>
      </w:r>
      <w:r>
        <w:tab/>
        <w:t>El recurso al testigo de referencia ha de quedar limitado a aquellas situaciones excepcionales de imposibilidad real y efectiva de obtener la declaración del testigo directo y principal, lo que se ha apreciado en aquellos casos en los que el testigo directo se encuentra en ignorado paradero o en los que la citación del testigo resulta extraordinariamente dificultosa (STC 146/2003) [FJ 3].</w:t>
      </w:r>
    </w:p>
    <w:p w:rsidR="00DE14C9" w:rsidRDefault="00DE14C9" w:rsidP="00DE14C9">
      <w:pPr>
        <w:pStyle w:val="Extracto"/>
      </w:pPr>
    </w:p>
    <w:p w:rsidR="00DE14C9" w:rsidRDefault="00DE14C9" w:rsidP="00DE14C9">
      <w:pPr>
        <w:pStyle w:val="Extracto"/>
      </w:pPr>
      <w:r>
        <w:t>4.</w:t>
      </w:r>
      <w:r>
        <w:tab/>
        <w:t>No es obstáculo para un pronunciamiento de inadmisión en relación con una concreta invocación el hecho de la inicial admisión de la demanda ya que, incluso de oficio, el Tribunal puede abordar o reconsiderar en Sentencia la concurrencia de los requisitos procesales (STC 171/2006) [FJ 1].</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lastRenderedPageBreak/>
        <w:t>SENTENCIA</w:t>
      </w:r>
    </w:p>
    <w:p w:rsidR="00DE14C9" w:rsidRDefault="00DE14C9" w:rsidP="00DE14C9">
      <w:pPr>
        <w:pStyle w:val="TextoNormalCentrado"/>
        <w:keepNext/>
      </w:pPr>
    </w:p>
    <w:p w:rsidR="00DE14C9" w:rsidRDefault="00DE14C9" w:rsidP="00DE14C9">
      <w:pPr>
        <w:pStyle w:val="TextoNormal"/>
      </w:pPr>
      <w:r>
        <w:t>En los recursos de amparo núms. 5625-2002, 5757-2002 y 5761-2002, promovidos, el primero, por don Tomás Grigaliunas, el segundo, por don Darius Baranauskas, y el tercero por don Arturas Vysniauskas y don Vidmantas Vysniauskas, representados, respectivamente, por las Procuradoras de los Tribunales doña Matilde Carmen Tello Borrell, doña Isabel Campillo García y doña Asunción Saldaña Redondo, posteriormente sustituida por el Procurador de los Tribunales don Argimiro Vázquez Guillén, y bajo la dirección de los Letrados don Luis Carlos Párraga Sánchez, don José Manuel Robles Hernández y don Francisco Alfonso Espinosa Albacete, contra la Sentencia de la Sección Séptima de la Audiencia Provincial de Alicante de 18 de septiembre de 2002, dictada en el rollo núm. 105-2002, por la que se estima parcialmente el recurso de apelación interpuesto contra la Sentencia del Juzgado de lo Penal núm. 1 de Orihuela de 30 de marzo de 2002, dictada en el juicio oral núm. 580-2001, por delitos de asociación ilícita, favorecimiento de la inmigración ilegal, amenazas y daños y por una falta de lesiones. Ha intervenido el Ministerio Fiscal. Ha sido Ponente el Magistrado don Pablo Pérez Tremps,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sendos escritos registrados en este Tribunal el 11 de octubre de 2002, la Procuradora de los Tribunales doña Matilde Carmen Tello Borrell, en nombre y representación de don Tomás Grigaliunas, y bajo la dirección del Letrado don Luis Carlos Párraga Sánchez, la Procuradora de los Tribunales doña Isabel Campillo García, en nombre y representación de don Darius Baranauskas, y bajo la dirección del Letrado don José Manuel Robles Hernández, y la Procuradora de los Tribunales doña Asunción Saldaña Redondo, en nombre y representación de don Arturas Vysniauskas, don Vidmantas Vysniauskas y don Aurelius Dagys, y bajo la dirección del Letrado don Francisco Alfonso Espinosa Albacete, formularon sendas demandas de amparo, que fue turnadas, respectivamente, con los núms. 5625-2002, 5757-2002 y 5761-2002, contra las Sentencias que se mencionan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Las demandas de amparo tienen su origen en los siguientes antecedentes: </w:t>
      </w:r>
    </w:p>
    <w:p w:rsidR="00DE14C9" w:rsidRDefault="00DE14C9" w:rsidP="00DE14C9">
      <w:pPr>
        <w:pStyle w:val="TextoNormal"/>
      </w:pPr>
      <w:r>
        <w:t xml:space="preserve">a) El Juzgado de lo Penal núm. 1 de Orihuela, por Sentencia de 30 de marzo de 2002, dictada en el juicio oral núm. 580-2001, condenó, entre otros, a los recurrentes como autores de un delito de asociación ilícita a las penas de dos años de prisión y dieciocho meses de multa con una cuota diaria de seis euros a don Vidmantas Vysniauskas, un año y seis meses de prisión y dieciocho meses de multa con una cuota diaria de seis euros a don Tomás Grigaliunas y don Darius Baranauskas, y un año de prisión y doce meses de multa con una cuota diaria de seis euros a don Arturas Vysniauskas; de un delito de favorecimiento de la inmigración ilegal a la pena de veintiún meses de prisión; de un delito de amenazas a la pena de tres años de prisión; de un delito de daños a la pena de doce meses de multas con una cuota diaria de seis euros; de otros dos delitos de amenazas a las penas de tres años de prisión por cada una de ellas; y de una falta de lesiones a la pena de un mes de multa con una cuota diaria de seis euros, accesorias y costas. </w:t>
      </w:r>
    </w:p>
    <w:p w:rsidR="00DE14C9" w:rsidRDefault="00DE14C9" w:rsidP="00DE14C9">
      <w:pPr>
        <w:pStyle w:val="TextoNormal"/>
      </w:pPr>
      <w:r>
        <w:t xml:space="preserve">b) En dicha Sentencia se consideran como hechos probados, relevantes para este amparo, que los recurrentes, entre otros, integraban una organización conocida como “Panevezhis”, asentada en España desde marzo de 2000, y dedicada, por un lado, a contactar en Lituania </w:t>
      </w:r>
      <w:r>
        <w:lastRenderedPageBreak/>
        <w:t xml:space="preserve">con personas de origen lituano ofreciéndoles trabajo y alojamiento en España, exigiéndoles a cambio un porcentaje de su salario de entre el 5 y el 18 por 100 y, por otro, a contactar en España con personas del mismo origen, exigiéndoles el mismo porcentaje para vivir con tranquilidad. La dirección de la organización la ostentaba Vidmantas Vysniauskas, teniendo funciones de jefatura para cuestiones menores Tomás Grigaliunas y Darius Baranauskas, siendo éste, además, jefe de otra asociación denominada “Kaunas”, y siendo miembros activos para labores concretas Arturas Vysniauskas junto con otras personas. En el marco de la actividad de esa organización, en el mes de marzo o abril de 2000, Darius Baranauskas ofreció al subcontratista de una obra que se realizaba en Orihuela la contratación de trabajadores lituanos, debiendo él recibir el salario de dichos trabajadores, a cuyos efectos cada quince días Darius Baranauskas, Arturas Vysniauskas y otros, en un vehículo BMW, titularidad del último, acudían a hacerse con el cobro de los salarios, obteniendo una cantidad de 700.000 pesetas. El subcontratista se negó a seguir realizando así los pagos al enterarse de que los trabajadores no percibían dinero alguno, lo que motivó que Darius Baranauskas le amenazara con cortarle el cuello. A partir de estos hechos, determinados trabajadores lituanos abandonaron la obra escondiéndose en un domicilio al que el 2 de octubre de 2000 acudieron los acusados u otras personas de origen lituano por ellos mandados, provistos de bates de béisbol, golpeando a las personas que allí se encontraban, cinco de los cuales fueron a la policía local, que evacuó a los heridos por medio de ambulancias, causando también daños en la vivienda por valor de 39.400 pesetas y en un vehículo furgoneta que usaban para trasladarse al trabajo por valor de 173.594 pesetas. Asimismo se consideró probado que los acusados exigieron al testigo protegido, quien había conseguido trabajo en España por sí mismo, el 10 por 100 de su salario para dejarle vivir tranquilo, lo que le obligó a cambiar continuamente de domicilio, a pesar de lo cual fue localizado y agredido por Tomas Grigaluinas, causándole lesiones que precisaron una primera asistencia facultativa. El día 13 de noviembre de 2000 fueron detenidos, entre otros, los acusados Vidmantas Vysniauskas, Arturas Vysniauskas y Tomás Grigaliunas, tras ser observados por la Guardia Civil que salían de las inmediaciones de su domicilio y a bordo de un vehículo pararon en una obra donde se pusieron en contacto con trabajadores lituanos, encontrándose en las inmediaciones del domicilio hasta 12 vehículos que eran normalmente utilizados por los acusados. </w:t>
      </w:r>
    </w:p>
    <w:p w:rsidR="00DE14C9" w:rsidRDefault="00DE14C9" w:rsidP="00DE14C9">
      <w:pPr>
        <w:pStyle w:val="TextoNormal"/>
      </w:pPr>
      <w:r>
        <w:t xml:space="preserve">c) En la Sentencia se argumenta que la actividad probatoria desarrollada para considerar acreditados los hechos ha sido, en relación con el delito de asociación ilícita y la integración en ella de los recurrentes, como prueba directa, diversas testificales, a las que hay que unir una pluralidad de pruebas indiciarias. A esos efectos se destaca que el testigo protegido puso de relieve en la vista oral la existencia de las dos organizaciones criminales, la pertenencia de los acusados a las mismas y su estructura jerarquizada, tanto por su propia experiencia, en cuanto fue objeto de amenazas y exigencias de la organización, llegando a ser agredido, como por haber sido testigo directo de dichas exigencias a otros compatriotas, con los que compartía domicilio, y de referencia en otros casos, declarando que fue Vidmantas Vysniauskas la persona que contactó con él en marzo de 2000 para exigirle el pago de un porcentaje de su sueldo. Igualmente se destaca la testifical del subcontratista de una de las obras, quien declaró en la vista oral que Darius Baranauskas, Vidmantas Vysniauskas y otra persona contactaron con él ofreciéndole trabajadores lituanos, presentándose cada quince días tanto éstos como Arturas Vysniauskas para recoger el sueldo de dichos trabajadores, y que Darius Baranauskas le amenazó de muerte tras la negativa a seguir realizando de ese modo el pago y despedir a dichos trabajadores. Del mismo modo se hace referencia a la declaración sumarial de otro testigo, que se dio por reproducida al estar en paradero desconocido, en el sentido de que Darius Baranauskas y Vidmantas Vysniauskas, junto con otro, </w:t>
      </w:r>
      <w:r>
        <w:lastRenderedPageBreak/>
        <w:t xml:space="preserve">eran jefes de una banda organizada y que se pagaba al primero los sueldos de los trabajadores lituanos; así como a la de otro testigo que manifiesta haber visto en varias ocasiones a Darius Baranauskas en la obra a la que se dirigía indistintamente en diversos vehículos, lo que reconoció este acusado, si bien afirmando que iba a la obra a cobrar el sueldo de un amigo al que no se pagaba. También se destaca el contenido de declaraciones sumariales preconstituidas de tres testigos, uno de los cuales fue directamente amenazado. Como pruebas indiciarias se señalan en la Sentencia, en primer lugar, las propias declaraciones de los acusados, que están incursas en muchas contradicciones en cuanto a si se conocían entre ellos y cuál era su modo de ganarse la vida. En segundo lugar, el hecho de que en diferentes momentos habían compartido domicilio y que también lo hacían cuando fueron detenidos. En tercer lugar, que a pesar de reconocer que no tenían trabajo ni otros medios de vida conocidos, poseían una gran cantidad de vehículos a su disposición que se intercambiaban entre ellos. En la Sentencia se concluye que de todo lo expuesto se infiere la pertenencia de todos los acusados a la organización “Panevezhis” y la existencia de acuerdos previos para realizar determinadas actividades y su distribución entre ellos. </w:t>
      </w:r>
    </w:p>
    <w:p w:rsidR="00DE14C9" w:rsidRDefault="00DE14C9" w:rsidP="00DE14C9">
      <w:pPr>
        <w:pStyle w:val="TextoNormal"/>
      </w:pPr>
      <w:r>
        <w:t xml:space="preserve">d) En cuanto a la actividad probatoria desarrollada para considerar acreditado el delito de favorecimiento ilegal de inmigración ilegal, la Sentencia menciona no sólo las pruebas anteriores, sino, además, el hecho de que se anunciara en los periódicos lituanos la oferta de encontrar trabajo en España, el que Arturas Vysniauskas y Tomás Grigaliunas viajaran a Lituania al menos en dos ocasiones entre marzo y octubre de 2000, y la declaración del testigo protegido respecto de la entrada en España de contingentes de lituanos cada quince días que eran mantenidos en situación de clandestinidad, viviendo algunos de ellos en las mismas obras en las que eran contratados. Por lo que se refiere a los tres delitos de amenazas se señala la declaración de las víctimas en cuanto a los autores directos y participantes en las mismas y se destaca el hecho de la pertenencia a la organización y su responsabilidad con independencia de los actos concretos. En cuanto al delito de daños causados en la vivienda y en la furgoneta se afirma la existencia de prueba indiciaria respecto de la responsabilidad de los recurrentes, consistente en que los trabajadores lituanos que habitaban aquélla y usaban la furgoneta dañada eran los que habían sido ofrecidos al subcontratista, y los que en fechas inmediatamente anteriores habían sido despedidos, para no pagar las exigencias, habiéndose escondido en dicho vivienda, destacándose también que si bien todos los recurrentes manifestaron no saber nada del asunto y Darius Baranauskas dijo en la vista oral que vio la noticia en el periódico y se la enseñó a los demás, sin embargo, conociera perfectamente a las víctimas, pues en sus declaraciones en la instrucción dijo que estos trabajadores habían sido suministrados al subcontratista y que él mismo los acompañó el primer día y, además, conocía perfectamente la furgoneta que utilizaban pues al serle concedida la última palabra manifestó que la habían vendido a otros lituanos. Por último, en lo referente a la falta de lesiones sufrida por el testigo protegido se indica que si bien la agresión vino directamente de Tomás Grigaliunas, al que acompañó como conductor del vehículo otro miembro de la organización, “se ha de dictar sentencia condenatoria por dicho principio de solidaridad de pertenencia a la organización, habiendo resultado acreditado que dicha agresión fue consecuencia de las amenazas no atendidas por parte de dicho testigo y provenientes de Vidmantas”. Finalmente se concluye que de los delitos expresados son responsables criminalmente en concepto de autores los acusados por realización voluntaria y directa de los elementos de la infracción “y ello porque, conforme a reiterada jurisprudencia, los miembros de una organización criminal como la que nos ocupa, son responsables solidarios de los actos concretos que la misma realiza, ya que los mismos surgen de un concierto o unidad de voluntades, que les hace responsables en el mismo grado cualquiera que sea la parte que </w:t>
      </w:r>
      <w:r>
        <w:lastRenderedPageBreak/>
        <w:t xml:space="preserve">cada uno tome, ya que todos ellos coadyuvan de modo eficaz y directo a la persecución del fin propuesto así como perseguido por la organización, y al que dieron su beneplácito inicial, fin que se realiza con independencia de los actos que individualmente realice cada uno de ellos (SSTS 30-4-1990; 22 y 17-6-91 entre otras), ya que se establece entre ellos un vínculo de solidaridad que hace que todos ellos sean responsables en el mismo grado cualquiera que sea la parte que cada uno tome (SSTS 25-5-98; 27-11-87 entre otras)”. </w:t>
      </w:r>
    </w:p>
    <w:p w:rsidR="00DE14C9" w:rsidRDefault="00DE14C9" w:rsidP="00DE14C9">
      <w:pPr>
        <w:pStyle w:val="TextoNormal"/>
      </w:pPr>
      <w:r>
        <w:t xml:space="preserve">e) Los recurrentes interpusieron sendos recursos de apelación alegando la vulneración del derecho a la presunción de inocencia por haberse utilizado como prueba de cargo un atestado policial que no fue ratificado en la vista oral, determinadas declaraciones testificales preconstituidas y la declaración del testigo protegido que era de referencia, destacando, además, la existencia de vacío probatorio al basarse las condenas en meras conjeturas. Los recursos fueron parcialmente estimados por Sentencia de la Sección Séptima de la Audiencia Provincial de Alicante de 31 de julio de 2002, absolviéndoles respecto de uno de los delitos de amenazas, al haberse fundamentado en pruebas testificales preconstituidas, que no fueron practicadas en presencia de los imputados. El resto de las condenas fueron confirmadas, argumentándose que, si bien el atestado policial carecía de validez, por no haber sido ratificado en la vista oral, sin embargo existía prueba de cargo bastante para considerar acreditados los hechos imputados. </w:t>
      </w:r>
    </w:p>
    <w:p w:rsidR="00DE14C9" w:rsidRDefault="00DE14C9" w:rsidP="00DE14C9">
      <w:pPr>
        <w:pStyle w:val="TextoNormal"/>
      </w:pPr>
      <w:r>
        <w:t>A esos efectos se destaca la existencia de prueba directa consistente, en primer lugar, en la declaración del testigo protegido, que manifestó, por un lado, que “Panevezhis” es una organización que trae trabajadores lituanos a España a cambio de un porcentaje por buscarles trabajo y alojamiento de la que forman parte Vidmantas Vysniauskas, Arturas Vysniauskas y Tomás Grigaliunas, y que a Darius Baranauskas lo conoce pero no sabe si forma parte de esa organización; por otro, que estuvo viviendo con las personas que traía la organización, que las traían cada semana, tanto hombres como mujeres que trabajaban en fincas y en la construcción, y que a todos se les exigía un 10 por 100 de su salario y, además, que a él mismo se le pedía un porcentaje de sus ingresos, siendo directamente amenazado por Vidmantas Vysniauskas y agredido por Tomás Grigaliunas, a los que reconoció en rueda de reconocimiento. En segundo lugar, en la declaración del subcontratista, quien señaló que Vidmantas Vysniauskas y Darius Baranauskas, junto con otro le ofrecieron los trabajadores lituanos y pasaban cada quince días a cobrar; que Darius Baranauskas fue quien le amenazó porque empezó a pagar directamente a los trabajadores, que vio como amenazaban también a los trabajadores y que entre los contratados figuraba un grupo de jóvenes que usaba la furgoneta que sufrió los daños. En tercer lugar, en la declaración de otro testigo que ratificó su declaración sumarial en la que afirmó que Vidmantas Vysniauskas y Darius Baranauskas iban a la obra a cobrar el dinero; y, por ultimo, otra testifical del encargado de la empresa constructora sobre la constante presencia de estos mismos acusados en la obra, sobre la actitud atemorizadora hacia los trabajadores y las amenazas al subcontratista y sobre el hecho de que algunos de los trabajadores dormían en la obra en la furgoneta que fue dañada. Se destaca en la Sentencia que, en contraposición a ello, los acusados declararon que no conocían al subcontratista, si bien Darius Baranauskas reconoció haber ido a la obra a pedir dinero de un trabajador, pero que nunca lo amenazó. Por último, también se señala la existencia de pruebas indiciarias como son que todos los acusados se conocieran entre sí, que, pese a reconocer que carecían de trabajo u otros medios de vida, no lo buscaban, que mantenían gran cantidad de vehículos y, en relación con los daños causados, que éstos se produjeron inmediatamente después de haber sido despedidos los trabajadores en la casa y la furgoneta en la que dormían.</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3</w:t>
      </w:r>
      <w:r>
        <w:t xml:space="preserve">. Los recurrentes aducen en sus demandas de amparo la vulneración del derecho a la presunción de inocencia (art. 24.2 CE), con fundamento en que no ha existido prueba de cargo en relación con los delitos de asociación ilícita y favorecimiento de la inmigración ilegal por los que han sido condenados, ya que el atestado de la guardia civil no fue ratificado en el acto del juicio oral por los agentes que lo redactaron. Además, la declaración del testigo protegido fue de referencia, habiendo también un vacío probatorio respecto de los delitos imputados en tanto que la inferencia a partir de pruebas indiciarias sobre su participación resulta excesivamente abierta, no quedando tampoco acreditadas las bases de la responsabilidad compartida por pertenencia a la misma organización en defecto de prueba respecto de la autoría directa. </w:t>
      </w:r>
    </w:p>
    <w:p w:rsidR="00DE14C9" w:rsidRDefault="00DE14C9" w:rsidP="00DE14C9">
      <w:pPr>
        <w:pStyle w:val="TextoNormal"/>
      </w:pPr>
      <w:r>
        <w:t>Por su parte, los recurrentes en el amparo núm. 5761-2002 también alegan las vulneraciones de los derechos a la tutela judicial efectiva (art. 24.1 CE) y a la igualdad (art. 14 CE). La primera con fundamento, por un lado, en que durante la instrucción de la causa se le imputan finalmente delitos por los que no fueron denunciados, por otro, en que las resoluciones impugnadas incurren en evidentes errores y contradicciones en la valoración judicial de la actividad probatoria indiciaria y, además, en que las penas por los delitos de amenazas no resultan motivadas y son desproporcionadas. La segunda vulneración se funda en que en la denuncia inicial no existen menciones respecto de estos recurrentes y el Ministerio Fiscal se limita en su escrito de acusación a establecer un mero dato fáctico ayuno de connotaciones delictuales al no atribuirles de modo implícito ni explícito connivencia con el resto de denunciados.</w:t>
      </w:r>
    </w:p>
    <w:p w:rsidR="00DE14C9" w:rsidRDefault="00DE14C9" w:rsidP="00DE14C9">
      <w:pPr>
        <w:pStyle w:val="TextoNormal"/>
      </w:pPr>
    </w:p>
    <w:p w:rsidR="00DE14C9" w:rsidRDefault="00DE14C9" w:rsidP="00DE14C9">
      <w:pPr>
        <w:pStyle w:val="TextoNormal"/>
      </w:pPr>
      <w:r w:rsidRPr="00DE14C9">
        <w:rPr>
          <w:rStyle w:val="NumeroAFNegritaCaracter"/>
        </w:rPr>
        <w:t>4</w:t>
      </w:r>
      <w:r>
        <w:t>. La Sección Segunda de este Tribunal, por providencia de 15 de julio de 2004, respecto del recurso de amparo núm. 5625-2002, y por sendas providencias de 20 de julio de 2004, respecto de los recursos de amparo núms. 5761-2002 y 5757-2002, acordó su admisión a trámite y, en aplicación de lo dispuesto en el art. 51 LOTC, dirigir atentas comunicaciones a los órganos judiciales competentes para la remisión de testimonio de las actuaciones y el emplazamiento a quienes hubieran sido parte en este procedimiento para comparecer en el mismo. Igualmente se acordó formar las correspondientes piezas separadas de suspensión, en las que, tras los trámites oportunos, se dictaron por la Sala Primera de este Tribunal los AATC 347/2004, 348/2004 y 349/2004, de 20 de septiembre, acordando denegar las suspensiones solicitadas.</w:t>
      </w:r>
    </w:p>
    <w:p w:rsidR="00DE14C9" w:rsidRDefault="00DE14C9" w:rsidP="00DE14C9">
      <w:pPr>
        <w:pStyle w:val="TextoNormal"/>
      </w:pPr>
    </w:p>
    <w:p w:rsidR="00DE14C9" w:rsidRDefault="00DE14C9" w:rsidP="00DE14C9">
      <w:pPr>
        <w:pStyle w:val="TextoNormal"/>
      </w:pPr>
      <w:r w:rsidRPr="00DE14C9">
        <w:rPr>
          <w:rStyle w:val="NumeroAFNegritaCaracter"/>
        </w:rPr>
        <w:t>5</w:t>
      </w:r>
      <w:r>
        <w:t>. Por sendas diligencias de ordenación de la Secretaría de Justicia de la Sala Primera de 24 de mayo de 2005 se acordó dar vista de las actuaciones al Ministerio Fiscal y a las partes personadas por plazo común de veinte días, para que pudieran presentar las alegaciones que estimasen pertinentes, de conformidad con el art. 52 LOTC.</w:t>
      </w:r>
    </w:p>
    <w:p w:rsidR="00DE14C9" w:rsidRDefault="00DE14C9" w:rsidP="00DE14C9">
      <w:pPr>
        <w:pStyle w:val="TextoNormal"/>
      </w:pPr>
    </w:p>
    <w:p w:rsidR="00DE14C9" w:rsidRDefault="00DE14C9" w:rsidP="00DE14C9">
      <w:pPr>
        <w:pStyle w:val="TextoNormal"/>
      </w:pPr>
      <w:r w:rsidRPr="00DE14C9">
        <w:rPr>
          <w:rStyle w:val="NumeroAFNegritaCaracter"/>
        </w:rPr>
        <w:t>6</w:t>
      </w:r>
      <w:r>
        <w:t>. En el recurso de amparo núm. 5761-2002, por diligencias de ordenación de la Secretaría de Justicia de la Sala Primera de 21 de septiembre de 2005 se acordó tener por personado y parte al Procurador de los Tribunales don Argimiro Vázquez Guillén, en representación de los recurrentes, en sustitución de doña Asunción Saldaña Redondo, quien había renunciado a la misma. Por diligencia de ordenación de 25 de mayo de 2006, conforme a lo establecido en el art. 50.5 LOTC, se requirió la presentación de escritura de poder original que acreditara la representación del citado Procurador respecto del recurrente don Aurelius Dagys. Al no verificarse, por providencia de 25 de septiembre de 2006, se acordó archivar el presente recurso respecto de este recurrente.</w:t>
      </w:r>
    </w:p>
    <w:p w:rsidR="00DE14C9" w:rsidRDefault="00DE14C9" w:rsidP="00DE14C9">
      <w:pPr>
        <w:pStyle w:val="TextoNormal"/>
      </w:pPr>
    </w:p>
    <w:p w:rsidR="00DE14C9" w:rsidRDefault="00DE14C9" w:rsidP="00DE14C9">
      <w:pPr>
        <w:pStyle w:val="TextoNormal"/>
      </w:pPr>
      <w:r w:rsidRPr="00DE14C9">
        <w:rPr>
          <w:rStyle w:val="NumeroAFNegritaCaracter"/>
        </w:rPr>
        <w:t>7</w:t>
      </w:r>
      <w:r>
        <w:t>. El Ministerio Fiscal, en el recurso de amparo núm. 5625-2002, por escrito registrado el 30 de junio de 2005, interesó el otorgamiento del amparo por vulneración del derecho a la presunción de inocencia (art. 24.2 CE) exclusivamente respecto de la condena por delito de daños, con anulación de dicho pronunciamiento. A esos efectos argumenta que, partiéndose de la validez constitucional de la existencia de testigos protegidos y de los testimonios de referencia, la responsabilidad penal de este recurrente respecto de los delitos de asociación ilícita, favorecimiento de la inmigración ilegal, amenazas y la falta de lesiones se ha basado en actividad probatoria de cargo válida y suficiente para enervar la presunción de inocencia, como es la declaración de diversos testigos presenciales y otras pruebas indiciarias respecto de su participación directa en los mismos. Por el contrario, en relación con el delito de daños, destaca que ni la prueba directa ni la indiciaria proporcionan elemento incriminatorio alguno de la participación del recurrente en la comisión de este delito.</w:t>
      </w:r>
    </w:p>
    <w:p w:rsidR="00DE14C9" w:rsidRDefault="00DE14C9" w:rsidP="00DE14C9">
      <w:pPr>
        <w:pStyle w:val="TextoNormal"/>
      </w:pPr>
    </w:p>
    <w:p w:rsidR="00DE14C9" w:rsidRDefault="00DE14C9" w:rsidP="00DE14C9">
      <w:pPr>
        <w:pStyle w:val="TextoNormal"/>
      </w:pPr>
      <w:r w:rsidRPr="00DE14C9">
        <w:rPr>
          <w:rStyle w:val="NumeroAFNegritaCaracter"/>
        </w:rPr>
        <w:t>8</w:t>
      </w:r>
      <w:r>
        <w:t>. El Ministerio Fiscal, en el recurso de amparo núm. 5757-2002, por escrito registrado el 29 de junio de 2005, interesó el otorgamiento del amparo por vulneración del derecho a la presunción de inocencia (art. 24.2 CE) respecto de las condenas por delitos de asociación ilícita, amenazas, daños y por la falta de lesiones, con anulación de dichos pronunciamientos. A esos efectos pone de manifiesto que, partiéndose de la validez constitucional de la existencia de testigos protegidos y de los testimonios de referencia, la responsabilidad penal de este recurrente respecto de los delitos de asociación ilícita no resulta acreditada a partir de la prueba practicada, toda vez que no resultan suficientes para enervar la presunción de inocencia del recurrente respecto de su integración en una asociación ilícita ni la declaración testifical relativa a las visitas en varias ocasiones a la obra para que le abonaran salarios, ni el hecho de que agrediera a uno de los trabajadores con la culata de una pistola, ni tampoco las otras pruebas indiciarias citadas en la Sentencia impugnada como son las contradicciones en que se suponen habrían incurrido en su declaración, la identidad del modus operandi y el hecho de que conviviera en el mismo domicilio con el resto de los condenados o la utilización indistinta de los diversos vehículos que tenían a su disposición. Igualmente, en relación con los delitos de amenazas y daños y la falta de lesiones, afirma que la prueba directa y la indiciaria sólo aportan elementos probatorios respecto de otros acusados, pero no proporcionan elemento incriminatorio alguno acerca de la participación del recurrente en la comisión de estos delitos, sin que quepa justificar su condena en el principio de solidaridad de pertenencia a una organización. Por el contrario, en relación con el delito de favorecimiento de la inmigración ilegal, señala que existe prueba testifical directa respecto de su intervención activa en este delito, al haber sido señalado como una de las personas que había ofrecido trabajadores, exigiendo al tiempo que fuera a él y a otros de los acusados a quien se abonaran los salarios devengados.</w:t>
      </w:r>
    </w:p>
    <w:p w:rsidR="00DE14C9" w:rsidRDefault="00DE14C9" w:rsidP="00DE14C9">
      <w:pPr>
        <w:pStyle w:val="TextoNormal"/>
      </w:pPr>
    </w:p>
    <w:p w:rsidR="00DE14C9" w:rsidRDefault="00DE14C9" w:rsidP="00DE14C9">
      <w:pPr>
        <w:pStyle w:val="TextoNormal"/>
      </w:pPr>
      <w:r w:rsidRPr="00DE14C9">
        <w:rPr>
          <w:rStyle w:val="NumeroAFNegritaCaracter"/>
        </w:rPr>
        <w:t>9</w:t>
      </w:r>
      <w:r>
        <w:t xml:space="preserve">. El Ministerio Fiscal, en el recurso de amparo núm. 5761-2005, por escrito registrado el 29 de junio de 2005, interesó el otorgamiento del amparo: en primer lugar, por vulneración del derecho a la presunción de inocencia (art. 24.2 CE) para ambos recurrentes, respecto de las condenas por el delito de daños y la falta de lesiones, y, para don Arturas Vysniauskas, además, respecto de los dos delitos de amenazas, con anulación de dichos pronunciamientos y, en segundo lugar, por vulneración del derecho a la tutela judicial efectiva (art. 24.2 CE), respecto de las condenas por delitos de amenazas, al no haberse motivado la determinación de la pena, con anulación en este concreto pronunciamiento y retroacción de </w:t>
      </w:r>
      <w:r>
        <w:lastRenderedPageBreak/>
        <w:t>actuaciones. A estos efectos, el Ministerio Fiscal argumenta, en relación con la invocación del derecho a la tutela judicial efectiva (art. 24.1 CE), por un lado, que no cabe apreciar indefensión por la alegada modificación del titulo de imputación en el escrito de acusación respecto de la denuncia, ya que los recurrentes han podido defenderse plenamente en el juicio oral de los delitos por los que eran acusados y, por otro, que no cabe apreciar falta de justificación en relación con la participación de los recurrentes en los hechos imputados, ni se incurre en error al justificar dicha participación, ni existen contradicciones internas en la Sentencia impugnada. Por el contrario, afirma que se ha vulnerado el art. 24.1 CE al no haberse motivado la concreta pena a imponer, toda vez que, si bien se ha remitido a la solicitada por el Ministerio Fiscal, éste en su escrito no había justificado la determinación de la pena. En relación con la vulneración aducida del derecho a la presunción de inocencia (art. 24.2 CE), destaca que, partiéndose de la validez constitucional de la existencia de testigos protegidos y de los testimonios de referencia, la responsabilidad penal de ambos recurrentes respecto de los delitos de asociación ilícita y favorecimiento de la inmigración ilegal y, además, de don Vidmantas Vysniauskas en relación con los delitos de amenazas se han basado en actividad probatoria de cargo válida y suficiente para enervar la presunción de inocencia, como es la declaración de diversos testigos presenciales y otras pruebas indiciarias respecto de su participación directa en los mismos. Por el contrario, en relación con los delitos de amenazas (por lo que se refiere a la participación en el mismo del recurrente don Arturas Vysniauskas) de daños y la falta de lesiones pone de manifiesto que ni la prueba directa ni la indiciaria proporcionan elemento incriminatorio alguno de la participación en la comisión de estos ilícitos y sin que quepa justificar su condena en el principio de solidaridad de pertenencia a una organización.</w:t>
      </w:r>
    </w:p>
    <w:p w:rsidR="00DE14C9" w:rsidRDefault="00DE14C9" w:rsidP="00DE14C9">
      <w:pPr>
        <w:pStyle w:val="TextoNormal"/>
      </w:pPr>
    </w:p>
    <w:p w:rsidR="00DE14C9" w:rsidRDefault="00DE14C9" w:rsidP="00DE14C9">
      <w:pPr>
        <w:pStyle w:val="TextoNormal"/>
      </w:pPr>
      <w:r w:rsidRPr="00DE14C9">
        <w:rPr>
          <w:rStyle w:val="NumeroAFNegritaCaracter"/>
        </w:rPr>
        <w:t>10</w:t>
      </w:r>
      <w:r>
        <w:t>. Los recurrentes, en escritos registrados el 9, 28 de junio y 26 de septiembre de 2005, presentaron alegaciones dando por reproducido lo expuesto en sus respectivas demandas de amparo.</w:t>
      </w:r>
    </w:p>
    <w:p w:rsidR="00DE14C9" w:rsidRDefault="00DE14C9" w:rsidP="00DE14C9">
      <w:pPr>
        <w:pStyle w:val="TextoNormal"/>
      </w:pPr>
    </w:p>
    <w:p w:rsidR="00DE14C9" w:rsidRDefault="00DE14C9" w:rsidP="00DE14C9">
      <w:pPr>
        <w:pStyle w:val="TextoNormal"/>
      </w:pPr>
      <w:r w:rsidRPr="00DE14C9">
        <w:rPr>
          <w:rStyle w:val="NumeroAFNegritaCaracter"/>
        </w:rPr>
        <w:t>11</w:t>
      </w:r>
      <w:r>
        <w:t>. Por diligencia de ordenación de 25 de mayo de 2006 se concedió un plazo de diez días para que, de acuerdo con el art. 83 LOTC, se pronunciaran el Ministerio Fiscal y las partes personadas en relación con la posible acumulación de los recursos, lo que fue, vistas las alegaciones, acordado por la Sala Primera de este Tribunal por ATC 307/2006, de 25 de septiembre.</w:t>
      </w:r>
    </w:p>
    <w:p w:rsidR="00DE14C9" w:rsidRDefault="00DE14C9" w:rsidP="00DE14C9">
      <w:pPr>
        <w:pStyle w:val="TextoNormal"/>
      </w:pPr>
    </w:p>
    <w:p w:rsidR="00DE14C9" w:rsidRDefault="00DE14C9" w:rsidP="00DE14C9">
      <w:pPr>
        <w:pStyle w:val="TextoNormal"/>
      </w:pPr>
      <w:r w:rsidRPr="00DE14C9">
        <w:rPr>
          <w:rStyle w:val="NumeroAFNegritaCaracter"/>
        </w:rPr>
        <w:t>12</w:t>
      </w:r>
      <w:r>
        <w:t>. Por providencia de 3 de mayo de 2007 se señaló para la deliberación y votación de la presente Sentencia el día 7 del mismo mes y año, trámite que ha finalizado en el día de la fecha.</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xml:space="preserve">. El objeto de este recurso queda limitado a determinar si las resoluciones impugnadas han vulnerado el derecho a la presunción de inocencia (art. 24.2 CE) de los recurrentes al haber sido condenados como autores de los delitos de asociación ilícita, favorecimiento de la inmigración ilegal, amenazas, daños y una falta de lesiones en virtud de una actividad probatoria que, según se afirma, no era apta para enervar la presunción de inocencia en tanto que se ha fundamentado en el atestado de la Guardia Civil, que no fue ratificado en el acto </w:t>
      </w:r>
      <w:r>
        <w:lastRenderedPageBreak/>
        <w:t>del juicio oral por los agentes que lo redactaron, en la declaración de un testigo de referencia y en inferencias excesivamente abiertas a partir de pruebas meramente indiciarias.</w:t>
      </w:r>
    </w:p>
    <w:p w:rsidR="00DE14C9" w:rsidRDefault="00DE14C9" w:rsidP="00DE14C9">
      <w:pPr>
        <w:pStyle w:val="TextoNormal"/>
      </w:pPr>
      <w:r>
        <w:t>Por el contrario, ninguna de las invocaciones que en el recurso de amparo núm. 5761-2002 se refieren al derecho a la tutela judicial efectiva (art. 24.1 CE) y al derecho a la igualdad (art. 14 CE), incluyendo la falta de motivación de la determinación de la pena de los delitos de amenazas, por la que el Ministerio Fiscal interesa el otorgamiento del amparo, pueden ser objeto de un pronunciamiento sobre el fondo por parte de este Tribunal, ya que están incursas en la causa de inadmisión de falta de invocación en la vía judicial previa [art. 50.1 a) en relación con el art. 44.1 c) LOTC]. En efecto, como se ha expuesto en los antecedentes, en ninguno de los recursos de apelación, incluyendo los interpuestos por los recurrentes en el recurso de amparo núm. 5761-2002, se hizo mención alguna a eventuales defectos durante la instrucción del procedimiento o a la falta de motivación en la determinación concreta de la pena de los delitos de amenazas en los que en la demanda de amparo se fundamenta la invocación de los arts. 14 y 24.1 CE, sino que se limitaron a alegar infracciones de garantías procesales en relación con determinadas pruebas, errónea apreciación de la actividad probatoria desarrollada y vulneración de la presunción de inocencia por insuficiencia de los elementos probatorios de cargo. No es obstáculo para este pronunciamiento de inadmisión en relación con estas concretas invocaciones el hecho de la inicial admisión de la demanda, toda vez que, como ha reiterado este Tribunal, incluso de oficio, puede abordarse o reconsiderarse en Sentencia la concurrencia de los requisitos procesales (por todas, STC 171/2006, de 5 de junio, FJ 1). De ese modo, como se ha señalado, esta resolución debe quedar limitada a un pronunciamiento sobre el fondo de la invocación del derecho a la presunción de inocencia (art. 24.2 CE).</w:t>
      </w:r>
    </w:p>
    <w:p w:rsidR="00DE14C9" w:rsidRDefault="00DE14C9" w:rsidP="00DE14C9">
      <w:pPr>
        <w:pStyle w:val="TextoNormal"/>
      </w:pPr>
    </w:p>
    <w:p w:rsidR="00DE14C9" w:rsidRDefault="00DE14C9" w:rsidP="00DE14C9">
      <w:pPr>
        <w:pStyle w:val="TextoNormal"/>
      </w:pPr>
      <w:r w:rsidRPr="00DE14C9">
        <w:rPr>
          <w:rStyle w:val="NumeroAFNegritaCaracter"/>
        </w:rPr>
        <w:t>2</w:t>
      </w:r>
      <w:r>
        <w:t>. A los efectos de la más correcta delimitación del objeto de este amparo, deben hacerse otras tres precisiones. La primera es que, si bien todos los recurrentes han fundamentado la invocación del derecho a la presunción de inocencia (art. 24.2 CE) en que se haya utilizado como prueba de cargo el atestado de la Guardia Civil, que no fue ratificado en la vista oral por los agentes que lo redactaron, lo cierto es que, como se ha expuesto en los antecedentes, la Sentencia de apelación ya excluyó del acervo probatorio de cargo el contenido de dicho atestado por falta de contradicción, a pesar de lo cual se confirmaron las condenas definitivamente impuestas al considerarse suficientes para enervar la presunción de inocencia respecto de estos delitos las diversas pruebas testificales practicadas, así como la prueba indiciaria. Por tanto, al haberse anulado ya en vía judicial dicha prueba y, con ello, haberse reestablecido el derecho vulnerado en esta concreta cuestión, ningún pronunciamiento procede hacer sobre el particular.</w:t>
      </w:r>
    </w:p>
    <w:p w:rsidR="00DE14C9" w:rsidRDefault="00DE14C9" w:rsidP="00DE14C9">
      <w:pPr>
        <w:pStyle w:val="TextoNormal"/>
      </w:pPr>
      <w:r>
        <w:t>La segunda precisión está vinculada al hecho de que ninguno de los recurrentes en sus demandas de amparo ha formulado queja alguna en relación con que se haya tomado en consideración como actividad probatoria de cargo la declaración de un testigo protegido, habiéndose limitado a impugnar que la declaración de este testigo sea de referencia y no directa, sin que se hubiera intentado la comparecencia de los testigos directos. De ese modo, tampoco puede ser objeto de pronunciamiento en esta resolución la cuestión de la validez constitucional de los testigos protegidos, al no haber sido planteada como tal en el amparo, sino exclusivamente la de los testigos de referencia. En todo caso, este Tribunal ha confirmado dicha validez en la STC 64/1994, de 28 de febrero, FJ 3.</w:t>
      </w:r>
    </w:p>
    <w:p w:rsidR="00DE14C9" w:rsidRDefault="00DE14C9" w:rsidP="00DE14C9">
      <w:pPr>
        <w:pStyle w:val="TextoNormal"/>
      </w:pPr>
      <w:r>
        <w:t xml:space="preserve">Como última precisión previa, hay que poner de manifiesto, según también se ha destacado en los antecedentes, que, en relación con la coautoría de los recurrentes respecto de los delitos por los que han sido condenados, en la Sentencia de instancia se hace expreso que </w:t>
      </w:r>
      <w:r>
        <w:lastRenderedPageBreak/>
        <w:t>“conforme a reiterada jurisprudencia, los miembros de una organización criminal como la que nos ocupa, son responsables solidarios de los actos concretos que la misma realiza, ya que los mismos surgen de un concierto o unidad de voluntades, que les hace responsables en el mismo grado cualquiera que sea la parte que cada uno tome, ya que todos ellos coadyuvan de modo eficaz y directo a la persecución del fin propuesto así como perseguido por la organización, y al que dieron su beneplácito inicial, fin que se realiza con independencia de los actos que individualmente realice cada uno de ellos (SSTS 30-4-1990; 22 y 17-6-91 entre otras), ya que se establece entre ellos un vínculo de solidaridad que hace que todos ellos sean responsables en el mismo grado cualquiera que sea la parte que cada uno tome (SSTS 25-5- 98; 27-11-87 entre otras)”. Pues bien, habida cuenta de que, habiéndose expuesto en la Sentencia de instancia los requisitos para considerar concurrente la coautoría, esta interpretación no ha sido impugnada en el presente amparo, como tampoco lo fue en su día en el recurso de apelación, este Tribunal no sólo no puede entrar a analizar su corrección constitucional, lo que sólo podría haber hecho bajo la invocación no realizada del derecho a la legalidad penal (art. 25.1 CE), sino que, además, debe necesariamente partir de la misma en el análisis de la aducida vulneración del derecho a la presunción de inocencia (art. 24.2 CE). En efecto, a pesar de que el Ministerio Fiscal interesa la estimación de amparo por vulneración de la presunción de inocencia en relación con todos aquellos delitos en los que no ha quedado acreditada la intervención directa y material de cada uno de los recurrentes, con el argumento de la interdicción constitucional de la responsabilidad solidaria, sin embargo, en atención a la concreta fundamentación jurídica y fáctica desarrollada por los recurrentes en sus respectivas demandas de amparo y a las concretas cuestiones que fueron objeto de impugnación en la vía judicial previa, este Tribunal debe limitarse a analizar, partiendo de las concretas exigencias que según las resoluciones impugnadas resultan necesarias para imputar los distintos delitos a título de coautoría a los recurrentes, si ha existido suficiente prueba de cargo para considerar acreditada la concurrencia de dichas exigencias.</w:t>
      </w:r>
    </w:p>
    <w:p w:rsidR="00DE14C9" w:rsidRDefault="00DE14C9" w:rsidP="00DE14C9">
      <w:pPr>
        <w:pStyle w:val="TextoNormal"/>
      </w:pPr>
    </w:p>
    <w:p w:rsidR="00DE14C9" w:rsidRDefault="00DE14C9" w:rsidP="00DE14C9">
      <w:pPr>
        <w:pStyle w:val="TextoNormal"/>
      </w:pPr>
      <w:r w:rsidRPr="00DE14C9">
        <w:rPr>
          <w:rStyle w:val="NumeroAFNegritaCaracter"/>
        </w:rPr>
        <w:t>3</w:t>
      </w:r>
      <w:r>
        <w:t>. Entrando ya en el fondo de la invocación del derecho a la presunción de inocencia (art.  24.2 CE) es preciso recordar que este Tribunal ha reiterado que no le corresponde revisar la valoración de las pruebas a través de las cuales el órgano sancionador alcanza su íntima convicción, sino únicamente controlar la razonabilidad del discurso que une la actividad probatoria y el relato fáctico que de ella resulta. Igualmente se ha destacado que, a falta de prueba directa, la prueba de cargo puede ser indiciaria, siempre que se parta de hechos plenamente probados y que los hechos constitutivos de delito se deduzcan de esos indicios a través de un proceso mental razonado y acorde con las reglas del criterio humano, puesto de manifiesto en la Sentencia, y que el control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(por todas, STC 123/2006, de 24 de abril, FJ 5).</w:t>
      </w:r>
    </w:p>
    <w:p w:rsidR="00DE14C9" w:rsidRDefault="00DE14C9" w:rsidP="00DE14C9">
      <w:pPr>
        <w:pStyle w:val="TextoNormal"/>
      </w:pPr>
      <w:r>
        <w:t xml:space="preserve">En cuanto a la aptitud constitucional de los testigos de referencia como prueba de cargo apta para enervar la presunción de inocencia, este Tribunal ya ha reiterado que puede ser uno de los elementos de prueba en los que fundar una decisión condenatoria, aunque condicionada por la plenitud del derecho de defensa, de modo que, en la medida en que el recurso al testigo de referencia impidiese el examen contradictorio del testigo directo, resultaría constitucionalmente inadmisible, pues en muchos casos supone eludir el oportuno debate sobre la realidad misma de los hechos, además de conllevar una limitación obvia de las </w:t>
      </w:r>
      <w:r>
        <w:lastRenderedPageBreak/>
        <w:t>garantías de inmediación y contradicción en la práctica de la prueba. El recurso al testigo de referencia ha de quedar limitado, por tanto, a aquellas situaciones excepcionales de imposibilidad real y efectiva de obtener la declaración del testigo directo y principal, lo que se ha apreciado en aquellos casos en los que el testigo directo se encuentra en ignorado paradero, por lo que es imposible su citación, o en los que la citación del testigo resultaba resulta extraordinariamente dificultosa (por todas, STC 146/2003, de 14 de julio, FJ 6).</w:t>
      </w:r>
    </w:p>
    <w:p w:rsidR="00DE14C9" w:rsidRDefault="00DE14C9" w:rsidP="00DE14C9">
      <w:pPr>
        <w:pStyle w:val="TextoNormal"/>
      </w:pPr>
    </w:p>
    <w:p w:rsidR="00DE14C9" w:rsidRDefault="00DE14C9" w:rsidP="00DE14C9">
      <w:pPr>
        <w:pStyle w:val="TextoNormal"/>
      </w:pPr>
      <w:r w:rsidRPr="00DE14C9">
        <w:rPr>
          <w:rStyle w:val="NumeroAFNegritaCaracter"/>
        </w:rPr>
        <w:t>4</w:t>
      </w:r>
      <w:r>
        <w:t>. En el presente caso, como ya ha sido expuesto en los antecedentes, los órganos judiciales consideraron acreditado, a partir de diversas pruebas testificales y una pluralidad de pruebas indiciarias, que los recurrentes formaron una asociación dedicada a contactar en Lituania con personas de origen lituano ofreciéndoles trabajo y alojamiento en España, exigiéndoles a cambio un porcentaje de su salario, y a contactar en España con personas del mismo origen, exigiéndoles también un porcentaje “para vivir con tranquilidad”. Igualmente se consideró probado que en el desarrollo de dicha actividad se produjo el ofrecimiento directo de trabajadores extranjeros, de cuyos sueldos se hacían directamente cobro, de dos concretas amenazas, daños en un domicilio y una furgoneta y de las lesiones causadas a una persona.</w:t>
      </w:r>
    </w:p>
    <w:p w:rsidR="00DE14C9" w:rsidRDefault="00DE14C9" w:rsidP="00DE14C9">
      <w:pPr>
        <w:pStyle w:val="TextoNormal"/>
      </w:pPr>
      <w:r>
        <w:t>A esos efectos y como elementos probatorios de cargo se destaca en las resoluciones impugnadas, en primer lugar, la declaración en la vista oral de un testigo protegido que puso de relieve la existencia de dicha organización, la pertenencia de los acusados a la misma, su estructura y su forma de actuación. Dicho testigo tomó conocimiento de los hechos relatados en su declaración a partir de su consideración como víctima, en cuanto que, a pesar de haber conseguido por sí mismo trabajo en España, fue objeto de amenazas y exigencias por la organización de un porcentaje de su sueldo, llegando a ser agredido por no someterse a dichas exigencias, y asimismo al haber sido testigo directo de dichas exigencias a otros compatriotas con los que compartía domicilio. Igualmente, relata hechos referidos por algunos de sus compatriotas con los que convivía. Así, se hace expresa mención en las resoluciones impugnadas a que dicho testigo afirmó, por un lado, que “Panevezhis” es una organización que trae trabajadores lituanos a España a cambio de un porcentaje por buscarles trabajo y alojamiento de la que forman parte don Vidmantas Vysniauskas, don Arturas Vysniauskas y don Tomás Grigaliunas, y que a don Darius Baranauskas lo conoce pero no sabe si forma parte de esa organización. Por otro, señaló que estuvo viviendo con las personas que traía la organización, que las traían cada semana tanto hombres como mujeres que trabajaban en fincas y en la construcción y que a todos se les exigía un 10 por 100 de su salario. Y, además, puso de manifiesto que fue don Vidmantas Vysniauskas la persona que contactó con él en marzo de 2000 para exigirle también el pago de un porcentaje de su sueldo y que quien le agredió por no cumplir dicha exigencia fue don Tomás Grigaliunas, al que acompañó como conductor del vehículo otro miembro de la organización.</w:t>
      </w:r>
    </w:p>
    <w:p w:rsidR="00DE14C9" w:rsidRDefault="00DE14C9" w:rsidP="00DE14C9">
      <w:pPr>
        <w:pStyle w:val="TextoNormal"/>
      </w:pPr>
      <w:r>
        <w:t xml:space="preserve">En segundo lugar, se hace también referencia expresa en las resoluciones impugnadas a la declaración prestada en la vista oral por el subcontratista de la obra, quien declaró que don Darius Baranauskas, don Vidmantas Vysniauskas y otra persona contactaron con él ofreciéndole trabajadores lituanos, presentándose cada quince días tanto éstos como don Arturas Vysniauskas para recoger el sueldo de dichos trabajadores, y como don Darius Baranauskas le amenazó de muerte tras la negativa a seguir realizando de ese modo el pago y despedir a dichos trabajadores, siendo también testigo de cómo amenazaba a los trabajadores y que entre los contratados figuraba un grupo de jóvenes que usaba la furgoneta que sufrió los daños. Igualmente se destaca la declaración de otro testigo en la vista oral, que ratificó su declaración sumarial, en la que afirmó que don Vidmantas Vysniauskas y don </w:t>
      </w:r>
      <w:r>
        <w:lastRenderedPageBreak/>
        <w:t>Darius Baranauskas iban a la obra a cobrar el dinero. Y, por último, se acude a la testifical del encargado de la empresa constructora sobre la constante presencia de estos mismos acusados en la obra, sobre la actitud atemorizadora hacia los trabajadores y las amenazas al subcontratista y sobre el hecho de que algunos de los trabajadores dormían en la obra en la furgoneta que posteriormente fue dañada.</w:t>
      </w:r>
    </w:p>
    <w:p w:rsidR="00DE14C9" w:rsidRDefault="00DE14C9" w:rsidP="00DE14C9">
      <w:pPr>
        <w:pStyle w:val="TextoNormal"/>
      </w:pPr>
      <w:r>
        <w:t>Como pruebas indiciarias en las resoluciones impugnadas se destaca que, en contraposición con las declaraciones testificales, los recurrentes declararon que no conocían al subcontratista, si bien don Darius Baranauskas reconoció haber ido a la obra a pedir dinero de un trabajador, pero que nunca amenazó a nadie, y que dichas declaraciones estaban incursas en muchas contradicciones en cuanto a si se conocían entre ellos y cuál era su modo de ganarse la vida. También se pone de relieve el hecho de que todos los acusados se conocieran entre sí, habiendo compartido domicilio en diferentes momentos, lo que también hacían en el momento en que fueron detenidos, que cuando fueron detenidos estaban juntos en un vehículo don Vidmantas Vysniauskas, don Arturas Vysniauskas y don Tomás Grigaliunas, y que, pese a reconocer que carecían de trabajo u otros medios de vida, no lo buscaban, manteniendo una gran cantidad de vehículos a su disposición, hasta dieciocho, que se intercambiaban entre ellos.</w:t>
      </w:r>
    </w:p>
    <w:p w:rsidR="00DE14C9" w:rsidRDefault="00DE14C9" w:rsidP="00DE14C9">
      <w:pPr>
        <w:pStyle w:val="TextoNormal"/>
      </w:pPr>
      <w:r>
        <w:t>En concreto, y en relación con los daños causados el 2 de octubre de 2000 en un determinado domicilio y en un vehículo furgoneta, se señala que la participación de los recurrentes u otras personas por ellos mandados se infiere de los siguientes elementos indiciarios: en primer lugar, el domicilio en el que se provocaron los daños fue en el que se escondieron determinados trabajadores lituanos del cobro de cuyos salarios se encargaba la organización, y la furgoneta dañada es la que utilizaban para desplazarse e incluso para pernoctar dichos trabajadores. En segundo lugar, los hechos se produjeron pocos días después de que dichos trabajadores hubieran sido despedidos. En tercer lugar, la actitud amenazante que desarrollaron sobre estos trabajadores don Vidmantas Vysniauskas y don Darius Baranauskas cuando estaban empleados en la obra. Y, por último, el hecho de que, si bien todos los recurrentes manifestaron no saber nada del asunto y don Darius Baranauskas dijo en la vista oral que vio la noticia en el periódico y se la enseñó a los demás, sin embargo, conocía perfectamente a las víctimas, pues en sus declaraciones en la instrucción dijo que los mismos habían sido suministrados al subcontratista y que él mismo los acompañó el primer día y, además, conocía perfectamente la furgoneta que utilizaban, pues al serle concedida la última palabra manifestó que había sido vendida a otros lituanos.</w:t>
      </w:r>
    </w:p>
    <w:p w:rsidR="00DE14C9" w:rsidRDefault="00DE14C9" w:rsidP="00DE14C9">
      <w:pPr>
        <w:pStyle w:val="TextoNormal"/>
      </w:pPr>
      <w:r>
        <w:t>A partir de esta actividad probatoria se concluye en las resoluciones impugnadas la pertenencia de todos los recurrentes acusados a una asociación ilícita y la existencia de acuerdos previos entre ellos para desarrollar las actividades descritas y su distribución de las mismas.</w:t>
      </w:r>
    </w:p>
    <w:p w:rsidR="00DE14C9" w:rsidRDefault="00DE14C9" w:rsidP="00DE14C9">
      <w:pPr>
        <w:pStyle w:val="TextoNormal"/>
      </w:pPr>
    </w:p>
    <w:p w:rsidR="00DE14C9" w:rsidRDefault="00DE14C9" w:rsidP="00DE14C9">
      <w:pPr>
        <w:pStyle w:val="TextoNormal"/>
      </w:pPr>
      <w:r w:rsidRPr="00DE14C9">
        <w:rPr>
          <w:rStyle w:val="NumeroAFNegritaCaracter"/>
        </w:rPr>
        <w:t>5</w:t>
      </w:r>
      <w:r>
        <w:t>. En atención a todo lo expuesto, y en relación con la queja referida a que la declaración del testigo protegido es de referencia, ha quedado acreditado en las resoluciones judiciales que el testigo protegido era un testigo directo y que el contenido de su declaración respondía a su propia experiencia derivada tanto del hecho de haber sido él mismo objeto de amenazas por parte de don Vidmantas Vysniauskas y de una agresión por parte de don Tomás Grigaliunas, como del hecho de haber sido testigo directo de las amenazas recibidas por sus compañeros de piso por parte de la organización y de la entrada cada semana de compatriotas que iban a trabajar luego en fincas o en la construcción. Sólo tangencialmente se hace refe</w:t>
      </w:r>
      <w:r>
        <w:lastRenderedPageBreak/>
        <w:t>rencia expresa en la Sentencia de instancia a que el testigo protegido también tuvo conocimiento de las actividades de la organización por comentarios de otros compatriotas que se veían sometidos a la misma situación.</w:t>
      </w:r>
    </w:p>
    <w:p w:rsidR="00DE14C9" w:rsidRDefault="00DE14C9" w:rsidP="00DE14C9">
      <w:pPr>
        <w:pStyle w:val="TextoNormal"/>
      </w:pPr>
      <w:r>
        <w:t>Así pues, habida cuenta de que el contenido de la declaración de este testigo no sólo es de carácter referencial, por la experiencia de otros compatriotas, sino principalmente de carácter directo por su condición de víctima y testigo directo de lo que acontecía a otros compañeros, no puede afirmarse que concurra respecto del contenido de dicha declaración la nulidad pretendida por los recurrentes. En efecto, partiendo de la base, ya señalada, de que las cautelas sobre la validez constitucional de las declaraciones de los testigos de referencia se han de residenciar en las eventuales limitaciones de las garantías de inmediación y contradicción y del derecho de defensa, en la medida en que se impida el examen contradictorio del testigo directo y el oportuno debate sobre la realidad misma de los hechos, en el presente caso, sin embargo, al ser el testigo protegido un testigo directo y haber declarado en la vista oral con la debida inmediación y posibilidad efectiva de contradicción sobre experiencias personales, no cabe sino desestimar esta concreta queja. Y ello, sin perjuicio de que, además, el testimonio de este concreto testigo no fue, ni muchos menos, el único que fue tomado en consideración por las Sentencias impugnadas respecto de la integración de los recurrentes en una asociación ilícita y las conductas de favorecimiento de la inmigración ilegal, sino que concurrió con otras testificales directas sobre las actividades desarrolladas y con diferentes pruebas indiciarias.</w:t>
      </w:r>
    </w:p>
    <w:p w:rsidR="00DE14C9" w:rsidRDefault="00DE14C9" w:rsidP="00DE14C9">
      <w:pPr>
        <w:pStyle w:val="TextoNormal"/>
      </w:pPr>
    </w:p>
    <w:p w:rsidR="00DE14C9" w:rsidRDefault="00DE14C9" w:rsidP="00DE14C9">
      <w:pPr>
        <w:pStyle w:val="TextoNormal"/>
      </w:pPr>
      <w:r w:rsidRPr="00DE14C9">
        <w:rPr>
          <w:rStyle w:val="NumeroAFNegritaCaracter"/>
        </w:rPr>
        <w:t>6</w:t>
      </w:r>
      <w:r>
        <w:t>. A partir de lo anterior, también debe desestimarse que concurra la aducida vulneración del derecho a la presunción de inocencia de cualquiera de los recurrentes respecto de los delitos por los que han sido condenados, derivada tanto de una eventual insuficiencia de la actividad probatoria de cargo desarrollada como de la utilización de inferencias excesivamente abiertas a partir de pruebas indiciarias.</w:t>
      </w:r>
    </w:p>
    <w:p w:rsidR="00DE14C9" w:rsidRDefault="00DE14C9" w:rsidP="00DE14C9">
      <w:pPr>
        <w:pStyle w:val="TextoNormal"/>
      </w:pPr>
      <w:r>
        <w:t>Por lo que se refiere a la integración de los cuatro recurrentes en una asociación ilícita y de su participación en la conducta de favorecimiento de la inmigración ilegal, hay que destacar, como ya se hiciera en la resoluciones impugnadas y ha sido expuesto con anterioridad, la existencia no sólo de prueba indiciaria, sino de verdadera prueba directa a partir de las diferentes testificales. Así, la intervención directa de los recurrentes don Vidmantas Vysniauskas, don Arturas Vysniauskas y don Tomás Grigaliunas en las labores de contacto para la contratación de los lituanos, el cobro directo de sus salarios, las exigencias de porcentajes y eventuales acciones de represalia por los incumplimientos de las exigencias, aparece destacada de diferentes maneras por todos los testigos, lo que determina, como también señala el Ministerio Fiscal, que respecto de este particular deba desestimarse la vulneración aducida.</w:t>
      </w:r>
    </w:p>
    <w:p w:rsidR="00DE14C9" w:rsidRDefault="00DE14C9" w:rsidP="00DE14C9">
      <w:pPr>
        <w:pStyle w:val="TextoNormal"/>
      </w:pPr>
      <w:r>
        <w:t xml:space="preserve">A la misma conclusión debe llegarse en relación con el recurrente don Darius Baranauskas, a pesar de que el Ministerio Fiscal haya interesado respecto del mismo y por el delito de asociación ilícita el otorgamiento del amparo. En efecto, y desde la perspectiva de control externo que debe ejercer este Tribunal cuando se invoca el derecho a la presunción de inocencia, no cabe considerar la ausencia de prueba de cargo suficiente respecto de este recurrente por el delito de asociación ilícita y de favorecimiento de la inmigración ilegal cuando en las resoluciones judiciales impugnadas se hace expreso que su participación en los hechos se deriva no sólo de la declaración del subcontratista en cuanto a que es una de las personas que acude a cobrar los salarios de los trabajadores lituanos, junto con otros de los condenados, siendo él quién directamente le amenazó con cortarle el cuello, sino también de las declaraciones de hasta dos testigos más que refieren su presencia en la obra para </w:t>
      </w:r>
      <w:r>
        <w:lastRenderedPageBreak/>
        <w:t>cobrar, su actitud atemorizadora hacia los trabajadores y las amenazas que vertió al subcontratista. Si a ello se une el hecho, también señalado en las Sentencias, de que reconoció haber acudido a la obra a cobrar el salario de un amigo, aunque afirmara que era porque no le pagaban, y toda una serie de elementos indiciarios más, ya reiterados anteriormente, se evidencia que se ha desarrollado prueba de cargo bastante como para denegar también el amparo respecto de este concreto particular.</w:t>
      </w:r>
    </w:p>
    <w:p w:rsidR="00DE14C9" w:rsidRDefault="00DE14C9" w:rsidP="00DE14C9">
      <w:pPr>
        <w:pStyle w:val="TextoNormal"/>
      </w:pPr>
    </w:p>
    <w:p w:rsidR="00DE14C9" w:rsidRDefault="00DE14C9" w:rsidP="00DE14C9">
      <w:pPr>
        <w:pStyle w:val="TextoNormal"/>
      </w:pPr>
      <w:r w:rsidRPr="00DE14C9">
        <w:rPr>
          <w:rStyle w:val="NumeroAFNegritaCaracter"/>
        </w:rPr>
        <w:t>7</w:t>
      </w:r>
      <w:r>
        <w:t>. Por lo que se refiere a la condena de los cuatro recurrentes por los delitos de amenazas al testigo protegido y al subcontratista, y la falta de lesiones al testigo protegido, la conclusión también ha de ser la denegación del amparo, al no poder apreciarse la vulneración aducida del derecho a la presunción de inocencia.</w:t>
      </w:r>
    </w:p>
    <w:p w:rsidR="00DE14C9" w:rsidRDefault="00DE14C9" w:rsidP="00DE14C9">
      <w:pPr>
        <w:pStyle w:val="TextoNormal"/>
      </w:pPr>
      <w:r>
        <w:t>Como ya se ha expuesto con detalle, en las Sentencias impugnadas se destacó en referencia a estos delitos y a la participación en los mismos de los recurrentes, por un lado, que el testigo protegido declaró en la vista oral que fue don Vidmantas Vysniauskas quien contactó con él para amenazarle si no hacia frente al pago de un determinado porcentaje de su salario, y que fue don Tomás Grigaliunas quien, ante su negativa a cumplir dicha exigencia, le agredió causándole lesiones, estando acompañado por otro miembro de la asociación al volante de un vehículo. Por otro lado, que el subcontratista declaró que en el marco de sus relaciones con esta organización y una vez que don Vidmantas Vysniauskas y don Darius Baranauskas contactaran con él para ofrecerle trabajadores lituanos, presentándose cada quince días tanto éstos como don Arturas Vysniauskas para recoger el sueldo de dichos trabajadores, fue don Darius Baranauskas el que le amenazó una vez que decidió dar por rotas las relaciones con éstos, lo que también corroboran otros dos testigos presenciales. Y a ello debe añadirse que en las resoluciones impugnadas también se puso de manifiesto que, al margen de quiénes hayan sido los que ejecutaron materialmente estos hechos, la responsabilidad alcanza a todos los integrantes de la asociación habida cuenta de que resultaba acreditado que estas conductas formaban parte consustancial de la actividad ilícita que aquélla tenía por objeto desarrollar, surgiendo de un concierto o unidad de voluntades, lo que implicaba que todos ellos coadyuvaban de modo eficaz y directo a la persecución del fin propuesto con independencia de los actos que individualmente realizase cada uno.</w:t>
      </w:r>
    </w:p>
    <w:p w:rsidR="00DE14C9" w:rsidRDefault="00DE14C9" w:rsidP="00DE14C9">
      <w:pPr>
        <w:pStyle w:val="TextoNormal"/>
      </w:pPr>
      <w:r>
        <w:t>Pues bien, en atención a este razonamiento, acreditado que ha existido actividad probatoria de cargo bastante, referida, en unos casos, a la ejecución material y directa de alguno de los recurrentes y, en otros, a los requisitos y presupuestos que los órganos judiciales han argumentado que eran necesarios para establecer la coautoría de los restantes por haber coadyuvado eficazmente a su ejecución, debe concluirse no sólo en la denegación del amparo respecto de aquellos recurrentes que ejecutaron materialmente estos hechos, como solicita el Ministerio Fiscal, sino también, y en contraposición con lo sostenido por el Ministerio Fiscal, respecto de aquellos otros que, sin haber intervenido materialmente en su ejecución, ha quedado acreditado que, en virtud del concierto de voluntades sobre la consecución de determinados fines ilícitos a partir de su integración en dicha organización, coadyuvaron a su consecución cumpliendo los requisitos objetivos y subjetivos para ser considerados coautores de los mismos, en función de la interpretación que de dicha institución ha sido realizada por las Sentencias impugnadas.</w:t>
      </w:r>
    </w:p>
    <w:p w:rsidR="00DE14C9" w:rsidRDefault="00DE14C9" w:rsidP="00DE14C9">
      <w:pPr>
        <w:pStyle w:val="TextoNormal"/>
      </w:pPr>
    </w:p>
    <w:p w:rsidR="00DE14C9" w:rsidRDefault="00DE14C9" w:rsidP="00DE14C9">
      <w:pPr>
        <w:pStyle w:val="TextoNormal"/>
      </w:pPr>
      <w:r w:rsidRPr="00DE14C9">
        <w:rPr>
          <w:rStyle w:val="NumeroAFNegritaCaracter"/>
        </w:rPr>
        <w:t>8</w:t>
      </w:r>
      <w:r>
        <w:t>. Por último, también debe ser denegado el amparo en relación con la condena a los cuatro recurrentes del delito de daños, al no poder apreciarse tampoco la vulneración aducida del derecho a la presunción de inocencia.</w:t>
      </w:r>
    </w:p>
    <w:p w:rsidR="00DE14C9" w:rsidRDefault="00DE14C9" w:rsidP="00DE14C9">
      <w:pPr>
        <w:pStyle w:val="TextoNormal"/>
      </w:pPr>
      <w:r>
        <w:lastRenderedPageBreak/>
        <w:t>Los recurrentes, con apoyo del Ministerio Fiscal, solicitan respecto de este delito en particular el otorgamiento del amparo, al considerar que su participación en el mismo se ha concluido a partir de pruebas indiciarias mediante inferencias excesivamente abiertas. Como ha sido expuesto con anterioridad, la conclusión judicial de que fueron los recurrentes, directamente o a través de otros miembros de la organización, los que provocaron los daños en la vivienda y en la furgoneta se ha derivado de los siguientes hechos indiciarios que habían quedado acreditados a partir de la actividad probatoria desarrollada: en primer lugar, que el domicilio en el que se provocaron los daños fue en el que se escondieron determinados trabajadores lituanos del cobro de cuyos salarios se encargaba la organización y que la furgoneta dañada es la que utilizaban para desplazarse e incluso para pernoctar dichos trabajadores. En segundo lugar, que los hechos se produjeron pocos días después de que dichos trabajadores hubieran sido despedidos. En tercer lugar, la actitud amenazante que desarrollaron sobre estos trabajadores don Vidmantas Vysniauskas y don Darius Baranauskas cuando estaban empleados en la obra. Y, por último, el hecho de que si bien todos los recurrentes manifestaron no saber nada del asunto y don Darius Baranauskas dijo en la vista oral que vio la noticia en el periódico y se la enseñó a los demás, sin embargo, conociera perfectamente a las víctimas, pues en sus declaraciones en la instrucción dijo que los mismos habían sido suministrados al subcontratista y que él mismo los acompañó el primer día y, además, conocía perfectamente la furgoneta que utilizaban, pues al serle concedida la última palabra manifestó que había sido vendida a otros lituanos.</w:t>
      </w:r>
    </w:p>
    <w:p w:rsidR="00DE14C9" w:rsidRDefault="00DE14C9" w:rsidP="00DE14C9">
      <w:pPr>
        <w:pStyle w:val="TextoNormal"/>
      </w:pPr>
      <w:r>
        <w:t>A partir de esta relación de elementos indiciarios y habida cuenta del limitado control que corresponde desarrollar a este Tribunal sobre la razonabilidad de la inferencia, sólo puede afirmarse que la conclusión extraída por las resoluciones judiciales de que la autoría corresponde a la organización de los recurrentes como represalia frente los trabajadores lituanos que se escondían en el domicilio asaltado y que eran también los propietarios de la furgoneta dañada, una vez acreditado la inmediatez temporal y la previas existencia de amenazas, responde a criterios lógicos y resulta suficientemente concluyente para excluir que resulte una inferencia excesivamente abierta o débil.</w:t>
      </w:r>
    </w:p>
    <w:p w:rsidR="00DE14C9" w:rsidRDefault="00DE14C9" w:rsidP="00DE14C9">
      <w:pPr>
        <w:pStyle w:val="TextoNormal"/>
      </w:pPr>
      <w:r>
        <w:t>La desestimación de este concreto motivo, unida al rechazo del resto de las cuestiones planteadas por los recurrentes en sus demandas de amparo, determina la completa denegación del amparo solicitado.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Denegar el amparo solicitado por don Tomás Grigaliunas, don Darius Baranauskas, don Arturas Vysniauskas y don Vidmantas Vysniauskas.</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veintiuno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31" w:name="SENTENCIA_2007_118"/>
      <w:r>
        <w:lastRenderedPageBreak/>
        <w:t>SENTENCIA 118/2007, de 21 de mayo de 2007</w:t>
      </w:r>
    </w:p>
    <w:bookmarkEnd w:id="31"/>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149, de 22 de junio de 2007)</w:t>
      </w:r>
    </w:p>
    <w:p w:rsidR="00DE14C9" w:rsidRDefault="00DE14C9" w:rsidP="00DE14C9">
      <w:pPr>
        <w:pStyle w:val="TtuloBOE"/>
      </w:pPr>
    </w:p>
    <w:p w:rsidR="00DE14C9" w:rsidRDefault="00DE14C9" w:rsidP="00DE14C9">
      <w:pPr>
        <w:pStyle w:val="SntesisDescriptiva"/>
      </w:pPr>
      <w:r>
        <w:t>ECLI:ES:TC:2007:118</w:t>
      </w:r>
    </w:p>
    <w:p w:rsidR="00DE14C9" w:rsidRDefault="00DE14C9" w:rsidP="00DE14C9">
      <w:pPr>
        <w:pStyle w:val="SntesisDescriptiva"/>
      </w:pPr>
    </w:p>
    <w:p w:rsidR="00DE14C9" w:rsidRDefault="00DE14C9" w:rsidP="00DE14C9">
      <w:pPr>
        <w:pStyle w:val="SntesisDescriptiva"/>
      </w:pPr>
      <w:r>
        <w:t>Recurso de amparo 3265-2003. Promovido por don Juan Carlos Guillén García frente a la Sentencia de la Sala de lo Contencioso-Administrativo de la Audiencia Nacional  en litigio sobre declaración de inutilidad para el servicio como militar profesional.</w:t>
      </w:r>
    </w:p>
    <w:p w:rsidR="00DE14C9" w:rsidRDefault="00DE14C9" w:rsidP="00DE14C9">
      <w:pPr>
        <w:pStyle w:val="SntesisDescriptiva"/>
      </w:pPr>
    </w:p>
    <w:p w:rsidR="00DE14C9" w:rsidRDefault="00DE14C9" w:rsidP="00DE14C9">
      <w:pPr>
        <w:pStyle w:val="SntesisAnaltica"/>
      </w:pPr>
      <w:r>
        <w:t>Alegada vulneración del derecho a la tutela judicial efectiva: extinción del proceso de amparo por satisfacción extraprocesal en relación con la inadmisión de un recurso contencioso-administrativo sobre silencio administrativo negativo (STC 118/2005).</w:t>
      </w:r>
    </w:p>
    <w:p w:rsidR="00DE14C9" w:rsidRDefault="00DE14C9" w:rsidP="00DE14C9">
      <w:pPr>
        <w:pStyle w:val="SntesisAnaltica"/>
      </w:pPr>
    </w:p>
    <w:p w:rsidR="00DE14C9" w:rsidRDefault="00DE14C9" w:rsidP="00DE14C9">
      <w:pPr>
        <w:pStyle w:val="Extracto"/>
      </w:pPr>
      <w:r>
        <w:t>1.</w:t>
      </w:r>
      <w:r>
        <w:tab/>
        <w:t>La función del recurso de amparo es la de la reparación de lesiones singulares y efectivas de los derechos fundamentales, por lo que cuando tal reparación se produce fuera del proceso de amparo no cabe sino concluir que éste carece desde ese momento de objeto, salvo que a pesar de haber desaparecido formalmente el acto lesivo nuestra respuesta siguiera siendo necesaria teniendo en cuenta otros elementos de juicio [FJ 2].</w:t>
      </w:r>
    </w:p>
    <w:p w:rsidR="00DE14C9" w:rsidRDefault="00DE14C9" w:rsidP="00DE14C9">
      <w:pPr>
        <w:pStyle w:val="Extracto"/>
      </w:pPr>
    </w:p>
    <w:p w:rsidR="00DE14C9" w:rsidRDefault="00DE14C9" w:rsidP="00DE14C9">
      <w:pPr>
        <w:pStyle w:val="Extracto"/>
      </w:pPr>
      <w:r>
        <w:t>2.</w:t>
      </w:r>
      <w:r>
        <w:tab/>
        <w:t>No estamos ante una demanda de amparo prematura sino ante una desaparición sobrevenida del objeto del recurso, ya que, en este momento, no existe una lesión singular y efectiva de los derechos fundamentales del recurrente (STC 118/2005) [FJ 2].</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3265-2003, promovido por don Juan Carlos Guillén García, representado por la Procuradora de los Tribunales doña Susana Hernández del Muro y asistido por el Abogado don Juan Antonio Melguizo Ginerés, contra la Sentencia de 16 de abril de 2003 de la Sección Quinta de la Sala de lo Contencioso-Administrativo de la Audiencia Nacional recaída en el recurso de apelación núm. 264-2002. Ha sido parte el Abogado del Estado en la representación que ostenta. Ha intervenido el Ministerio Fiscal. Ha sido Ponente el Magistrado don Javier Delgado Barrio,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el Registro General de este Tribunal el día 20 mayo de 2003, la Procuradora de los Tribunales doña Susana Hernández del Muro, en nombre y representación de don Juan Carlos Guillén García, interpuso recurso de amparo contra la resolución judicial que se cita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en los que tiene su origen el presente recurso y relevantes para su resolución son, sucintamente expuestos, los siguientes: </w:t>
      </w:r>
    </w:p>
    <w:p w:rsidR="00DE14C9" w:rsidRDefault="00DE14C9" w:rsidP="00DE14C9">
      <w:pPr>
        <w:pStyle w:val="TextoNormal"/>
      </w:pPr>
      <w:r>
        <w:t xml:space="preserve">a) El recurrente solicitó ser reconocido por el Tribunal Médico Militar Regional por entender que las patologías que sufría le impedían realizar las funciones propias de su puesto de trabajo como Brigada del Ejército de Tierra, dictaminando aquél el 28 de mayo de 2001 que, efectivamente, estaba imposibilitado de forma permanente para el servicio. </w:t>
      </w:r>
    </w:p>
    <w:p w:rsidR="00DE14C9" w:rsidRDefault="00DE14C9" w:rsidP="00DE14C9">
      <w:pPr>
        <w:pStyle w:val="TextoNormal"/>
      </w:pPr>
      <w:r>
        <w:t xml:space="preserve">b) Incoado el expediente administrativo de insuficiencia de condiciones psicofísicas el 20 de junio de 2001, esta iniciación se notificó el demandante el 9 de julio de 2001, comunicándole que el plazo máximo de resolución del mismo era de tres meses a contar desde el 20 de junio de 2001, fecha en la que se adoptó el acuerdo de iniciación. En la notificación se le indicaba, además, la suspensión del plazo para resolver desde el día de la fecha (9 julio de 2001) por un periodo máximo de tres meses o bien hasta la recepción del acta definitiva del Tribunal Médico Militar Regional. </w:t>
      </w:r>
    </w:p>
    <w:p w:rsidR="00DE14C9" w:rsidRDefault="00DE14C9" w:rsidP="00DE14C9">
      <w:pPr>
        <w:pStyle w:val="TextoNormal"/>
      </w:pPr>
      <w:r>
        <w:t xml:space="preserve">c) El acta del Tribunal Médico Militar Regional de 28 de mayo de 2001 fue completada y notificada al recurrente el 23 de noviembre de 2001, proponiendo su “pase ... a la situación de retiro”. </w:t>
      </w:r>
    </w:p>
    <w:p w:rsidR="00DE14C9" w:rsidRDefault="00DE14C9" w:rsidP="00DE14C9">
      <w:pPr>
        <w:pStyle w:val="TextoNormal"/>
      </w:pPr>
      <w:r>
        <w:t xml:space="preserve">d) El interesado no tuvo ninguna otra noticia de la tramitación de su expediente hasta el 11 de marzo de 2002, cuando el Tribunal Médico Militar Central le citó para ser sometido a una nueva exploración clínica en los servicios de oftalmología del Hospital Militar Central “Gómez Ulla”. </w:t>
      </w:r>
    </w:p>
    <w:p w:rsidR="00DE14C9" w:rsidRDefault="00DE14C9" w:rsidP="00DE14C9">
      <w:pPr>
        <w:pStyle w:val="TextoNormal"/>
      </w:pPr>
      <w:r>
        <w:t xml:space="preserve">e) Al no comunicársele los resultados de la nueva exploración el recurrente interpuso recurso contencioso-administrativo, el 17 de mayo de 2002 en el registro del Decanato de los Juzgados Centrales de lo Contencioso-Administrativo (el 20 de mayo de 2002 correspondió al Juzgado Central de lo Contencioso-Administrativo núm. 6), contra lo que entendía que era la desestimación de su pretensión por silencio administrativo, ya que el acta definitiva del Tribunal Médico Militar Regional se completó el 23 de noviembre de 2001. El Abogado del Estado alegó la extemporaneidad del recurso. </w:t>
      </w:r>
    </w:p>
    <w:p w:rsidR="00DE14C9" w:rsidRDefault="00DE14C9" w:rsidP="00DE14C9">
      <w:pPr>
        <w:pStyle w:val="TextoNormal"/>
      </w:pPr>
      <w:r>
        <w:t xml:space="preserve">f) Es de advertir que consta en el expediente administrativo que, con posterioridad a la interposición del recurso contencioso-administrativo, el 24 de septiembre de 2002, el Tribunal Médico Central del Ejército dictaminó que el recurrente tenía una patología estabilizada e irreversible (miopía) que, al contrario de lo dictaminado por el Tribunal Médico Militar Regional, no le imposibilitaba totalmente para el desempeño de las funciones propias de su cuerpo, escala, plaza o carrera, pudiendo cubrir destinos que no requiriesen una buena función visual. </w:t>
      </w:r>
    </w:p>
    <w:p w:rsidR="00DE14C9" w:rsidRDefault="00DE14C9" w:rsidP="00DE14C9">
      <w:pPr>
        <w:pStyle w:val="TextoNormal"/>
      </w:pPr>
      <w:r>
        <w:t xml:space="preserve">g) La Sentencia de 23 de septiembre de 2002 del Juzgado Central de lo Contencioso-Administrativo núm. 6 desestimó la causa de extemporaneidad al considerar que el silencio de la Administración debía considerarse como una notificación defectuosa, cuyo plazo de impugnación empezó a correr con la interposición del recurso contencioso-administrativo por aplicación del art. 58.3 de la Ley 30/1992, de 26 de noviembre. La Sentencia entró a </w:t>
      </w:r>
      <w:r>
        <w:lastRenderedPageBreak/>
        <w:t xml:space="preserve">conocer del fondo del asunto estimando el recurso contencioso-administrativo y afirmando el derecho del recurrente a la declaración de inutilidad para el servicio por insuficiencia de las condiciones psicofísicas (miopía irreversible) y su pase a la situación de retiro. </w:t>
      </w:r>
    </w:p>
    <w:p w:rsidR="00DE14C9" w:rsidRDefault="00DE14C9" w:rsidP="00DE14C9">
      <w:pPr>
        <w:pStyle w:val="TextoNormal"/>
      </w:pPr>
      <w:r>
        <w:t xml:space="preserve">h) El Abogado del Estado recurrió en apelación y la Sentencia de 16 de abril de 2003 de la Audiencia Nacional estimó el recurso anulando la Sentencia de instancia con una interpretación literal del plazo previsto en el art. 46.1 de la Ley 29/1998, de 13 de julio, reguladora de la jurisdicción contencioso-administrativa, fijando el dies ad quem del recurso contencioso-administrativo el 20 de marzo de 2002 y, en consecuencia, inadmitiéndolo por extemporáneo. </w:t>
      </w:r>
    </w:p>
    <w:p w:rsidR="00DE14C9" w:rsidRDefault="00DE14C9" w:rsidP="00DE14C9">
      <w:pPr>
        <w:pStyle w:val="TextoNormal"/>
      </w:pPr>
      <w:r>
        <w:t xml:space="preserve">i) El recurrente formuló el 20 de mayo de 2003 recurso de amparo contra la Sentencia de 16 de abril de 2003 de la Audiencia Nacional, con el contenido que después se indicará. </w:t>
      </w:r>
    </w:p>
    <w:p w:rsidR="00DE14C9" w:rsidRDefault="00DE14C9" w:rsidP="00DE14C9">
      <w:pPr>
        <w:pStyle w:val="TextoNormal"/>
      </w:pPr>
      <w:r>
        <w:t xml:space="preserve">j) Y ya en este punto, importa recoger los acontecimientos que se han producido con posterioridad a la formulación de la demanda de amparo: </w:t>
      </w:r>
    </w:p>
    <w:p w:rsidR="00DE14C9" w:rsidRDefault="00DE14C9" w:rsidP="00DE14C9">
      <w:pPr>
        <w:pStyle w:val="TextoNormal"/>
      </w:pPr>
      <w:r>
        <w:t xml:space="preserve">1) La Administración tuvo noticia de que la Sentencia de 16 de abril de 2003 de la Audiencia Nacional había anulado la Sentencia de instancia por considerar extemporáneo el recurso contencioso-administrativo por lo que continuó instruyendo el procedimiento administrativo sobre las condiciones psicofísicas del recurrente, con el fin de dar cumplimiento a lo dispuesto en el art. 42 de la Ley 30/1992, de 26 de diciembre, que establece la obligación de la Administración de dictar resolución expresa. El expediente finalizó por Acuerdo del Ministro de Defensa de 28 de agosto de 2003 que declaró la “utilidad para el servicio del recurrente con limitación para ocupar destinos que requieran una buena función visual”. El Acuerdo fue notificado al recurrente el 14 de octubre de 2003. </w:t>
      </w:r>
    </w:p>
    <w:p w:rsidR="00DE14C9" w:rsidRDefault="00DE14C9" w:rsidP="00DE14C9">
      <w:pPr>
        <w:pStyle w:val="TextoNormal"/>
      </w:pPr>
      <w:r>
        <w:t>2) El Acuerdo del Ministro de Defensa de 28 de agosto de 2003 fue confirmado por las Sentencias de 23 de enero de 2004 del Juzgado Central de lo Contencioso-Administrativo núm. 4, que desestimó el recurso contencioso-administrativo formulado por el recurrente, y de 22 de julio de 2004 de la Sección Quinta de la Sala de lo Contencioso-Administrativo de la Audiencia Nacional que, a su vez, desestimó el recurso de apelación formulado contra la anterior Sentencia por el recurrente.</w:t>
      </w:r>
    </w:p>
    <w:p w:rsidR="00DE14C9" w:rsidRDefault="00DE14C9" w:rsidP="00DE14C9">
      <w:pPr>
        <w:pStyle w:val="TextoNormal"/>
      </w:pPr>
    </w:p>
    <w:p w:rsidR="00DE14C9" w:rsidRDefault="00DE14C9" w:rsidP="00DE14C9">
      <w:pPr>
        <w:pStyle w:val="TextoNormal"/>
      </w:pPr>
      <w:r w:rsidRPr="00DE14C9">
        <w:rPr>
          <w:rStyle w:val="NumeroAFNegritaCaracter"/>
        </w:rPr>
        <w:t>3</w:t>
      </w:r>
      <w:r>
        <w:t>. La demanda de amparo se funda en la vulneración de su derecho fundamental a la tutela judicial efectiva sin indefensión (art. 24.1 CE), desde la perspectiva de acceso a la jurisdicción, producida por la Sentencia impugnada que anuló la del Juzgado Central inadmitiendo el recurso contencioso-administrativo por extemporáneo. Se aduce que la Sentencia de la Sección Quinta de la Audiencia Nacional de 16 de abril de 2003 incurrió en un error al interpretar de forma rigorista el plazo previsto para la interposición del recurso contencioso-administrativo en el art. 46.1 LJCA, sin tener en cuenta que en la notificación del inicio de expediente el 20 de junio de 2001 se decía que el plazo para resolverlo quedaba en suspenso por un plazo máximo de tres meses o bien hasta la recepción del acta definitiva del Tribunal Médico Militar Regional, que no se produjo hasta el 23 de noviembre de 2001, con lo que el día final para resolver, con exclusión del mes de agosto, era el 20 de enero de 2002, fecha a partir de la cual debía computarse el plazo de seis meses para recurrir (art. 46.1 LJCA). En consecuencia, se aduce en la demanda de amparo que el plazo para formular el recurso contencioso-administrativo vencía el 20 de julio de 2002, por lo que no puede tacharse de extemporáneo el recurso contencioso-administrativo presentado por el demandante de amparo el 20 de mayo de 2002 (en realidad, el recurso contencioso-administrativo fue presentado el 17 de mayo de 2002 ante el registro del Decanato de los Juzgados Centrales de lo Contencioso-Administrativo, tal como consta en las actuaciones).</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4</w:t>
      </w:r>
      <w:r>
        <w:t>. Por providencia de 27 de abril de 2005 la Sección Primera de este Tribunal acordó la admisión a trámite de la demanda de amparo y, a tenor de lo dispuesto en el art. 51 LOTC, requerir a la Sección Quinta de la Sala de lo Contencioso-Administrativo de la Audiencia Nacional y al Juzgado Central de lo Contencioso-Administrativo núm. 6, para que el plazo de diez días remitieran, respectivamente, testimonio del recurso de apelación núm. 264-2002 y del procedimiento abreviado núm. 67-2002, interesándose al tiempo que se emplazara a quienes fueron parte en el procedimiento, a excepción del recurrente en amparo, para que en el plazo de diez días pudieran comparecer en este proceso constitucional.</w:t>
      </w:r>
    </w:p>
    <w:p w:rsidR="00DE14C9" w:rsidRDefault="00DE14C9" w:rsidP="00DE14C9">
      <w:pPr>
        <w:pStyle w:val="TextoNormal"/>
      </w:pPr>
    </w:p>
    <w:p w:rsidR="00DE14C9" w:rsidRDefault="00DE14C9" w:rsidP="00DE14C9">
      <w:pPr>
        <w:pStyle w:val="TextoNormal"/>
      </w:pPr>
      <w:r w:rsidRPr="00DE14C9">
        <w:rPr>
          <w:rStyle w:val="NumeroAFNegritaCaracter"/>
        </w:rPr>
        <w:t>5</w:t>
      </w:r>
      <w:r>
        <w:t>. Por diligencia de ordenación de 14 de junio de 2005 se tuvieron por recibidos los testimonios de las actuaciones y por personado y parte al Abogado del Estado en la representación que ostenta. A tenor de lo dispuesto en el art. 52.1 LOTC se dio vista de las actuaciones a la parte recurrente, al Abogado del Estado y al Ministerio público por término de veinte días, dentro de los cuales podrían presentar las alegaciones que estimasen pertinentes.</w:t>
      </w:r>
    </w:p>
    <w:p w:rsidR="00DE14C9" w:rsidRDefault="00DE14C9" w:rsidP="00DE14C9">
      <w:pPr>
        <w:pStyle w:val="TextoNormal"/>
      </w:pPr>
    </w:p>
    <w:p w:rsidR="00DE14C9" w:rsidRDefault="00DE14C9" w:rsidP="00DE14C9">
      <w:pPr>
        <w:pStyle w:val="TextoNormal"/>
      </w:pPr>
      <w:r w:rsidRPr="00DE14C9">
        <w:rPr>
          <w:rStyle w:val="NumeroAFNegritaCaracter"/>
        </w:rPr>
        <w:t>6</w:t>
      </w:r>
      <w:r>
        <w:t>. Por escrito presentado en el Registro General de este Tribunal el 22 de junio de 2005 el Ministerio Fiscal solicitó, con suspensión del trámite del art. 52.1 LOTC, que el Tribunal reclamase el expediente administrativo de insuficiencia de las condiciones psicofísicas núm. 138-2001 del recurrente, para que una vez recibido se le otorgase nuevo plazo para formular las alegaciones pertinentes.</w:t>
      </w:r>
    </w:p>
    <w:p w:rsidR="00DE14C9" w:rsidRDefault="00DE14C9" w:rsidP="00DE14C9">
      <w:pPr>
        <w:pStyle w:val="TextoNormal"/>
      </w:pPr>
    </w:p>
    <w:p w:rsidR="00DE14C9" w:rsidRDefault="00DE14C9" w:rsidP="00DE14C9">
      <w:pPr>
        <w:pStyle w:val="TextoNormal"/>
      </w:pPr>
      <w:r w:rsidRPr="00DE14C9">
        <w:rPr>
          <w:rStyle w:val="NumeroAFNegritaCaracter"/>
        </w:rPr>
        <w:t>7</w:t>
      </w:r>
      <w:r>
        <w:t>. Mediante escrito que tuvo entrada en el Registro General de este Tribunal el día 30 de junio de 2005 presentó alegaciones el Abogado del Estado interesando que, si el Tribunal consideraba que el recurso contencioso-administrativo fue interpuesto en plazo, anulase el pronunciamiento de inadmisibilidad de la Sentencia impugnada dejando a salvo la plenitud de jurisdicción de la Sala ad quem para la resolución del fondo o, subsidiariamente, que el Tribunal confirmase la Sentencia impugnada en todos sus extremos si considera, por el contrario, que el recurso contencioso-administrativo era extemporáneo. En sus alegaciones el Abogado del Estado sostiene que el recurso contencioso-administrativo formulado por el recurrente no era extemporáneo, como declaró la Sentencia impugnada, pero tampoco considera ajustado a Derecho el cómputo del plazo realizado por la Sentencia de instancia. Según alega el Abogado del Estado, el plazo para resolver el expediente administrativo estaba suspendido hasta que se produjese la recepción del acta definitiva del Tribunal Médico Militar Regional, tal como se le notificó al interesado, que no tuvo lugar hasta el 23 de noviembre de 2001 cuando se realizó un nuevo examen médico al demandante de amparo, por lo que el plazo para resolver expresamente terminó el 23 de febrero de 2001, fecha desde la que se debían computar los seis meses que otorga el art. 46.1 LJCA para la interposición del recurso contencioso-administrativo. De ahí que, según alega el Abogado del Estado, el recurso contencioso-administrativo formulado el 17 de mayo de 2002 estuviese dentro de plazo pero sin que eso signifique que deba anularse la Sentencia impugnada confirmando la Sentencia de instancia, sino que, en su caso, procedería la retroacción de las actuaciones para que la Audiencia Nacional se pronunciase sobre el fondo del asunto.</w:t>
      </w:r>
    </w:p>
    <w:p w:rsidR="00DE14C9" w:rsidRDefault="00DE14C9" w:rsidP="00DE14C9">
      <w:pPr>
        <w:pStyle w:val="TextoNormal"/>
      </w:pPr>
    </w:p>
    <w:p w:rsidR="00DE14C9" w:rsidRDefault="00DE14C9" w:rsidP="00DE14C9">
      <w:pPr>
        <w:pStyle w:val="TextoNormal"/>
      </w:pPr>
      <w:r w:rsidRPr="00DE14C9">
        <w:rPr>
          <w:rStyle w:val="NumeroAFNegritaCaracter"/>
        </w:rPr>
        <w:t>8</w:t>
      </w:r>
      <w:r>
        <w:t>. Por diligencia de ordenación de 6 de julio de 2005 la Sección Primera de este Tribunal tuvo por recibido el escrito del Ministerio Fiscal y acordó la suspensión del plazo para for</w:t>
      </w:r>
      <w:r>
        <w:lastRenderedPageBreak/>
        <w:t>mular alegaciones del art. 52.1 LOTC, acordando asimismo requerir a la Comandancia Militar de Pontevedra para que en el plazo de diez días remitiese testimonio del expediente de insuficiencia de condiciones psicofísicas núm. 138-2001 del recurrente.</w:t>
      </w:r>
    </w:p>
    <w:p w:rsidR="00DE14C9" w:rsidRDefault="00DE14C9" w:rsidP="00DE14C9">
      <w:pPr>
        <w:pStyle w:val="TextoNormal"/>
      </w:pPr>
    </w:p>
    <w:p w:rsidR="00DE14C9" w:rsidRDefault="00DE14C9" w:rsidP="00DE14C9">
      <w:pPr>
        <w:pStyle w:val="TextoNormal"/>
      </w:pPr>
      <w:r w:rsidRPr="00DE14C9">
        <w:rPr>
          <w:rStyle w:val="NumeroAFNegritaCaracter"/>
        </w:rPr>
        <w:t>9</w:t>
      </w:r>
      <w:r>
        <w:t>. Por diligencia de ordenación de 5 de septiembre de 2005 la Sección Primera de este Tribunal tuvo por recibido el escrito de alegaciones del Abogado del Estado y testimonio del expediente administrativo. A tenor de lo dispuesto en el art. 52 LOTC se acordó dar vista de las actuaciones por un nuevo plazo común de veinte días al Ministerio Fiscal, al Abogado del Estado y al demandante de amparo, para que dentro de dicho término presentasen las alegaciones que estimasen oportunas o ampliasen las ya presentadas.</w:t>
      </w:r>
    </w:p>
    <w:p w:rsidR="00DE14C9" w:rsidRDefault="00DE14C9" w:rsidP="00DE14C9">
      <w:pPr>
        <w:pStyle w:val="TextoNormal"/>
      </w:pPr>
    </w:p>
    <w:p w:rsidR="00DE14C9" w:rsidRDefault="00DE14C9" w:rsidP="00DE14C9">
      <w:pPr>
        <w:pStyle w:val="TextoNormal"/>
      </w:pPr>
      <w:r w:rsidRPr="00DE14C9">
        <w:rPr>
          <w:rStyle w:val="NumeroAFNegritaCaracter"/>
        </w:rPr>
        <w:t>10</w:t>
      </w:r>
      <w:r>
        <w:t>. A la vista del expediente administrativo el Abogado del Estado, mediante escrito registrado el 22 de septiembre de 2005, presentó de nuevo alegaciones interesando la inadmisión de la demanda de amparo o, subsidiariamente, la denegación del amparo solicitado. Y ello porque en el expediente administrativo se constata que el acta del Tribunal Médico Militar Regional fue modificada posteriormente a la fecha declarada por el recurrente, finalizando el expediente administrativo por resolución expresa, concretamente, con el Acuerdo del Ministro de Defensa de 28 de agosto de 2003 que declaró la utilidad del recurrente para el servicio con determinadas limitaciones. Contra esa resolución administrativa expresa se interpuso por el demandante de amparo recurso contencioso-administrativo que fue desestimado por motivos de fondo por la Sentencia de 23 de enero de 2004 del Juzgado Central de lo Contencioso-Administrativo núm. 4, a su vez confirmada por la Sentencia de la Audiencia Nacional de 22 de julio de 2004. En consecuencia, a juicio del Abogado del Estado resulta de aplicación la doctrina de la STC 118/2005, de 9 de mayo, donde se inadmitió la demanda de amparo por lesión del derecho fundamental a la tutela judicial efectiva (art. 24.1 CE) al considerarla prematura porque, previamente a la interposición del recurso de amparo, la Administración había dictado resolución expresa que no fue impugnada en la vía judicial ordinaria.</w:t>
      </w:r>
    </w:p>
    <w:p w:rsidR="00DE14C9" w:rsidRDefault="00DE14C9" w:rsidP="00DE14C9">
      <w:pPr>
        <w:pStyle w:val="TextoNormal"/>
      </w:pPr>
    </w:p>
    <w:p w:rsidR="00DE14C9" w:rsidRDefault="00DE14C9" w:rsidP="00DE14C9">
      <w:pPr>
        <w:pStyle w:val="TextoNormal"/>
      </w:pPr>
      <w:r w:rsidRPr="00DE14C9">
        <w:rPr>
          <w:rStyle w:val="NumeroAFNegritaCaracter"/>
        </w:rPr>
        <w:t>11</w:t>
      </w:r>
      <w:r>
        <w:t>. El 3 de octubre de 2005 presentó sus alegaciones el Ministerio Fiscal interesando que se dicte sentencia declarando la desaparición sobrevenida de objeto del recurso de amparo interpuesto por el recurrente. Alega el Ministerio Fiscal que, a la vista del expediente administrativo, resulta de aplicación, en parte, la doctrina de la STC 118/2005, de 9 de mayo. En el caso de autos se advierte que, después de presentada la demanda de amparo en la que se solicitaba que se dejase sin efecto la Sentencia que apreció una causa de inadmisión (extemporaneidad en la interposición del recurso contencioso-administrativo) y que se entrase a resolver sobre el fondo del asunto, la Administración dictó acto expreso de resolución del expediente (Acuerdo del Ministro de Defensa de 28 de agosto de 2003 que declaró la utilidad para el servicio del recurrente con limitación). Este acto expreso fue revisado por la Sentencia de 23 de enero de 2004 del Juzgado Central núm. 4 que, entrando a conocer del fondo del asunto, lo confirmó, así como también hizo la Sentencia de 22 de julio de 2004 de la Audiencia Nacional al desestimar el recurso de apelación. En consecuencia, el recurso de amparo ha perdido su objeto porque ya existe resolución judicial sobre el fondo del asunto.</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12</w:t>
      </w:r>
      <w:r>
        <w:t>. Por providencia de 3 de mayo de 2007 se señaló para deliberación y votación de la presente Sentencia el día 7 del mismo mes y año, trámite que ha finalizado en el día de la fecha.</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Con este recurso se impugna la Sentencia de 16 de abril de 2003 de la Audiencia Nacional que revocó la de instancia declarando la inadmisión del recurso contencioso-administrativo por ser extemporáneo, ya que fue formulado una vez que, de acuerdo con el cómputo del plazo efectuado por la Sala, habían transcurrido los seis meses que otorga el art. 46.1 de la Ley de la jurisdicción contencioso-administrativa (LJCA) para recurrir contra la desestimación de las pretensiones por silencio administrativo.  El demandante de amparo aduce la vulneración de su derecho fundamental a la tutela judicial efectiva desde la perspectiva de acceso a la jurisdicción (art. 24.1 CE) producida por la Sentencia impugnada, que habría incurrido en un error al computar el plazo que otorga el art. 46.1 LJCA.</w:t>
      </w:r>
    </w:p>
    <w:p w:rsidR="00DE14C9" w:rsidRDefault="00DE14C9" w:rsidP="00DE14C9">
      <w:pPr>
        <w:pStyle w:val="TextoNormal"/>
      </w:pPr>
      <w:r>
        <w:t>El Abogado del Estado interesa la inadmisión de la demanda de amparo o, subsidiariamente, la denegación del amparo solicitado por aplicación de la doctrina de la STC 118/2005, de 9 de mayo, porque del expediente administrativo se deduce que, una vez dictada la Sentencia de 16 de abril de 2003 y formulada la demanda de amparo contra ella, la Administración siguió tramitando el expediente sobre la pérdida de capacidad psicofísica del recurrente con el fin de adoptar una resolución expresa. El expediente finalizó con el Acuerdo de 28 de agosto de 2003 del Ministro de Defensa, que fue confirmado por las Sentencias de 23 de enero de 2004 del Juzgado Central de lo Contencioso-Administrativo núm. 4 y de 22 de julio de 2004 de la Audiencia Nacional, que entraron a conocer el fondo de la pretensión del actor, subsanando la supuesta lesión de su derecho fundamental que habría producido la Sentencia impugnada.</w:t>
      </w:r>
    </w:p>
    <w:p w:rsidR="00DE14C9" w:rsidRDefault="00DE14C9" w:rsidP="00DE14C9">
      <w:pPr>
        <w:pStyle w:val="TextoNormal"/>
      </w:pPr>
      <w:r>
        <w:t>El Ministerio Fiscal interesa que el Tribunal declare la desaparición sobrevenida del objeto del recurso de amparo por aplicación parcial de la doctrina de la STC 118/2005, de 9 de mayo, porque la Administración aprobó una resolución expresa que fue confirmada por Sentencias posteriores con subsanación de la lesión aducida del derecho fundamental del recurrente a la tutela judicial efectiva (art. 24.1 CE).</w:t>
      </w:r>
    </w:p>
    <w:p w:rsidR="00DE14C9" w:rsidRDefault="00DE14C9" w:rsidP="00DE14C9">
      <w:pPr>
        <w:pStyle w:val="TextoNormal"/>
      </w:pPr>
    </w:p>
    <w:p w:rsidR="00DE14C9" w:rsidRDefault="00DE14C9" w:rsidP="00DE14C9">
      <w:pPr>
        <w:pStyle w:val="TextoNormal"/>
      </w:pPr>
      <w:r w:rsidRPr="00DE14C9">
        <w:rPr>
          <w:rStyle w:val="NumeroAFNegritaCaracter"/>
        </w:rPr>
        <w:t>2</w:t>
      </w:r>
      <w:r>
        <w:t>. Con carácter previo al enjuiciamiento de la queja formulada por el demandante de amparo debemos analizar si concurren los óbices procesales alegados por el Abogado del Estado y por el Ministerio Fiscal.</w:t>
      </w:r>
    </w:p>
    <w:p w:rsidR="00DE14C9" w:rsidRDefault="00DE14C9" w:rsidP="00DE14C9">
      <w:pPr>
        <w:pStyle w:val="TextoNormal"/>
      </w:pPr>
      <w:r>
        <w:t xml:space="preserve">La desaparición sobrevenida del objeto ha sido admitida por este Tribunal como forma de terminación del proceso constitucional de amparo cuando en el procedimiento que dio origen al recurso de amparo la lesión aducida fue reparada o bien por los propios órganos judiciales, o bien como consecuencia de la desaparición de la causa o acto que inició el procedimiento (SSTC 151/1990, de 4 de octubre, FJ 4; 139/1992, de 13 de octubre, FJ 2; 57/1993, de 15 de febrero, FJ único; 257/2000, de 30 de octubre, FJ 2; 10/2001, de 29 de enero, FJ 2; y 13/2005, de 31 de enero, FJ 2). Este Tribunal ha declarado en reiteradas ocasiones que la función que cumple el recurso de amparo es la de la reparación de lesiones singulares y efectivas de los derechos fundamentales, por lo que cuando tal reparación se produce fuera del proceso de amparo no cabe sino concluir que éste carece desde ese momento de objeto, salvo que a pesar de haber desaparecido formalmente el acto lesivo nuestra respuesta siguiera siendo necesaria teniendo en cuenta otros elementos de juicio (SSTC </w:t>
      </w:r>
      <w:r>
        <w:lastRenderedPageBreak/>
        <w:t>13/2005, de 31 de enero, FJ 2; 84/2006, de 27 de marzo, FJ 2; 128/2006, de 24 de abril, FJ 2; y 332/2006, de 20 de noviembre, FJ 2).</w:t>
      </w:r>
    </w:p>
    <w:p w:rsidR="00DE14C9" w:rsidRDefault="00DE14C9" w:rsidP="00DE14C9">
      <w:pPr>
        <w:pStyle w:val="TextoNormal"/>
      </w:pPr>
      <w:r>
        <w:t>En el caso de autos el recurrente formuló recurso contencioso-administrativo el 17 de mayo de 2002 contra la desestimación por silencio administrativo de su pretensión teniendo en cuenta que en la notificación del inicio de expediente sobre la pérdida de las condiciones psicofísicas se le comunicaba la suspensión del plazo para resolverlo desde la fecha de inicio (20 de junio de 2001) hasta un máximo de tres meses, o bien hasta la recepción del acta definitiva del Tribunal Médico Militar Regional, que tuvo lugar el 23 de noviembre de 2001. En la demanda contencioso-administrativa el recurrente indicaba que había sido citado por la Secretaría General del Mando de Personal del Ejército de Tierra para ser reconocido por el Tribunal Médico Militar Central del Ejército el 11 de marzo de 2002 pero que no le habían notificado los resultados de dicha exploración. Con la interposición del recurso contencioso-administrativo el 17 de mayo de 2002 el recurrente reaccionó frente a lo que implicaba una desestimación por silencio administrativo de su pretensión.</w:t>
      </w:r>
    </w:p>
    <w:p w:rsidR="00DE14C9" w:rsidRDefault="00DE14C9" w:rsidP="00DE14C9">
      <w:pPr>
        <w:pStyle w:val="TextoNormal"/>
      </w:pPr>
      <w:r>
        <w:t>Ahora bien, la lesión del derecho fundamental del recurrente a la tutela judicial efectiva desde la perspectiva de acceso a la jurisdicción (art. 24.1 CE), supuestamente producida por la Sentencia de 16 de abril de 2003 de la Audiencia Nacional, ha sido reparada por las Sentencias de 23 de enero de 2004 del Juzgado Central de lo Contencioso-Administrativo núm. 4 y de 22 de julio de 2004 de la Audiencia Nacional, que entraron a enjuiciar el fondo del asunto confirmando el Acuerdo del Ministro de Defensa, dictado con posterioridad a la presentación de la demanda de amparo, el 28 de agosto de 2003.</w:t>
      </w:r>
    </w:p>
    <w:p w:rsidR="00DE14C9" w:rsidRDefault="00DE14C9" w:rsidP="00DE14C9">
      <w:pPr>
        <w:pStyle w:val="TextoNormal"/>
      </w:pPr>
      <w:r>
        <w:t>La exposición del iter procedimental del expediente administrativo sobre la pérdida de las condiciones psicofísicas del recurrente —antecedente 2 i)— pone de manifiesto que no estamos ante una demanda de amparo prematura, a diferencia de lo que ocurría en el caso de la STC 118/2005, de 9 de mayo, en el que “cuando se interpuso la demanda de amparo hacía meses que se había dictado y notificado la resolución expresa con que se decidía el expediente y el acto denegatorio presunto había desaparecido jurídicamente” (FJ 3), quedando por tanto expedita la vía contencioso-administrativa. Por el contrario, lo ocurrido en estos autos ha de ser calificado como una desaparición sobrevenida del objeto del recurso de amparo, ante la inexistencia en este momento, pero no en el de la interposición de aquél, de una lesión singular y efectiva de los derechos fundamentales del recurrente: la resolución expresa de la Administración se produjo con posterioridad a la presentación de la demanda de amparo y al ser recurrida aquélla en vía contencioso-administrativa, los órganos judiciales, entrando a conocer del fondo de la pretensión del demandante, repararon la lesión aducida, después de la formulación de la demanda de amparo y con anterioridad a que este Tribunal se pudiese pronunciar. La pretensión dirigida al restablecimiento del derecho fundamental vulnerado (art. 41.3 LOTC) se ha visto satisfecha fuera del propio proceso de amparo con posterioridad a la iniciación de éste, por lo que debemos concluir que tal proceso carece ya de objeto sobre el que deba pronunciarse el Tribunal (SSTC 13/2005, de 31 de enero, FJ 2, y 84/2006, de 27 de marzo, FJ 3).</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lastRenderedPageBreak/>
        <w:t>Ha decidido</w:t>
      </w:r>
    </w:p>
    <w:p w:rsidR="00DE14C9" w:rsidRDefault="00DE14C9" w:rsidP="00DE14C9">
      <w:pPr>
        <w:pStyle w:val="TextoNormalCentrado"/>
        <w:keepNext/>
      </w:pPr>
    </w:p>
    <w:p w:rsidR="00DE14C9" w:rsidRDefault="00DE14C9" w:rsidP="00DE14C9">
      <w:pPr>
        <w:pStyle w:val="TextoNormal"/>
      </w:pPr>
      <w:r>
        <w:t>Declarar extinguido el recurso de amparo interpuesto por don Juan Carlos Guillén García por desaparición sobrevenida de objeto al haberse producido la satisfacción extraprocesal de la pretensión.</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veintiuno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32" w:name="SENTENCIA_2007_119"/>
      <w:r>
        <w:lastRenderedPageBreak/>
        <w:t>SENTENCIA 119/2007, de 21 de mayo de 2007</w:t>
      </w:r>
    </w:p>
    <w:bookmarkEnd w:id="32"/>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149, de 22 de junio de 2007)</w:t>
      </w:r>
    </w:p>
    <w:p w:rsidR="00DE14C9" w:rsidRDefault="00DE14C9" w:rsidP="00DE14C9">
      <w:pPr>
        <w:pStyle w:val="TtuloBOE"/>
      </w:pPr>
    </w:p>
    <w:p w:rsidR="00DE14C9" w:rsidRDefault="00DE14C9" w:rsidP="00DE14C9">
      <w:pPr>
        <w:pStyle w:val="SntesisDescriptiva"/>
      </w:pPr>
      <w:r>
        <w:t>ECLI:ES:TC:2007:119</w:t>
      </w:r>
    </w:p>
    <w:p w:rsidR="00DE14C9" w:rsidRDefault="00DE14C9" w:rsidP="00DE14C9">
      <w:pPr>
        <w:pStyle w:val="SntesisDescriptiva"/>
      </w:pPr>
    </w:p>
    <w:p w:rsidR="00DE14C9" w:rsidRDefault="00DE14C9" w:rsidP="00DE14C9">
      <w:pPr>
        <w:pStyle w:val="SntesisDescriptiva"/>
      </w:pPr>
      <w:r>
        <w:t>Recurso de amparo 2518-2004. Promovido por doña Inmaculada Romera Bernal respecto a las resoluciones de un Juzgado de lo Social de Sevilla que archivaron su demanda contra Atento Teleservicios España, S.A., por despido.</w:t>
      </w:r>
    </w:p>
    <w:p w:rsidR="00DE14C9" w:rsidRDefault="00DE14C9" w:rsidP="00DE14C9">
      <w:pPr>
        <w:pStyle w:val="SntesisDescriptiva"/>
      </w:pPr>
    </w:p>
    <w:p w:rsidR="00DE14C9" w:rsidRDefault="00DE14C9" w:rsidP="00DE14C9">
      <w:pPr>
        <w:pStyle w:val="SntesisAnaltica"/>
      </w:pPr>
      <w:r>
        <w:t>Vulneración del derecho a la tutela judicial efectiva (acceso a la justicia): inadmisión de demanda social por no haber subsanado un defecto, relativo a la acreditación de la conciliación previa y apreciado en la vista del juicio, que es desproporcionada.</w:t>
      </w:r>
    </w:p>
    <w:p w:rsidR="00DE14C9" w:rsidRDefault="00DE14C9" w:rsidP="00DE14C9">
      <w:pPr>
        <w:pStyle w:val="SntesisAnaltica"/>
      </w:pPr>
    </w:p>
    <w:p w:rsidR="00DE14C9" w:rsidRDefault="00DE14C9" w:rsidP="00DE14C9">
      <w:pPr>
        <w:pStyle w:val="Extracto"/>
      </w:pPr>
      <w:r>
        <w:t>1.</w:t>
      </w:r>
      <w:r>
        <w:tab/>
        <w:t>La indeterminación del mandato judicial, junto con la inactividad del órgano judicial, a pesar de que la parte le solicitó su directa intervención, es contraria al derecho de acceso al proceso integrado en el derecho fundamental a la tutela judicial efectiva [FFJJ 6, 7].</w:t>
      </w:r>
    </w:p>
    <w:p w:rsidR="00DE14C9" w:rsidRDefault="00DE14C9" w:rsidP="00DE14C9">
      <w:pPr>
        <w:pStyle w:val="Extracto"/>
      </w:pPr>
    </w:p>
    <w:p w:rsidR="00DE14C9" w:rsidRDefault="00DE14C9" w:rsidP="00DE14C9">
      <w:pPr>
        <w:pStyle w:val="Extracto"/>
      </w:pPr>
      <w:r>
        <w:t>2.</w:t>
      </w:r>
      <w:r>
        <w:tab/>
        <w:t>Resulta contrario al principio pro actione el negar validez a los intentos de cumplimiento del requisito de aportación de certificación acreditativa del acto de conciliación por parte de la representación legal de la trabajadora, que adjuntó a la demanda fotocopia del acta de conciliación y se personó para satisfacer el trámite de subsanación en el órgano judicial donde obraba el original de la certificación solicitando testimonio del mismo [FJ 6].</w:t>
      </w:r>
    </w:p>
    <w:p w:rsidR="00DE14C9" w:rsidRDefault="00DE14C9" w:rsidP="00DE14C9">
      <w:pPr>
        <w:pStyle w:val="Extracto"/>
      </w:pPr>
    </w:p>
    <w:p w:rsidR="00DE14C9" w:rsidRDefault="00DE14C9" w:rsidP="00DE14C9">
      <w:pPr>
        <w:pStyle w:val="Extracto"/>
      </w:pPr>
      <w:r>
        <w:t>3.</w:t>
      </w:r>
      <w:r>
        <w:tab/>
        <w:t>Si está en juego la obtención de una primera resolución judicial sobre la pretensión deducida en el proceso, los cánones de control de constitucionalidad se amplían por la proyección del principio pro actione, con el objeto de evitar que determinadas aplicaciones o interpretaciones de los presupuestos procesales eliminen u obstaculicen injustificadamente el derecho a que un órgano judicial conozca y resuelva sobre la pretensión a él sometida (SSTC 207/1998, 79/2005) [FJ 3].</w:t>
      </w:r>
    </w:p>
    <w:p w:rsidR="00DE14C9" w:rsidRDefault="00DE14C9" w:rsidP="00DE14C9">
      <w:pPr>
        <w:pStyle w:val="Extracto"/>
      </w:pPr>
    </w:p>
    <w:p w:rsidR="00DE14C9" w:rsidRDefault="00DE14C9" w:rsidP="00DE14C9">
      <w:pPr>
        <w:pStyle w:val="Extracto"/>
      </w:pPr>
      <w:r>
        <w:t>4.</w:t>
      </w:r>
      <w:r>
        <w:tab/>
        <w:t>Es una exigencia constitucional que el órgano judicial favorezca la corrección de los defectos que puedan ser reparados, garantizando en lo posible su subsanación [FJ 5].</w:t>
      </w:r>
    </w:p>
    <w:p w:rsidR="00DE14C9" w:rsidRDefault="00DE14C9" w:rsidP="00DE14C9">
      <w:pPr>
        <w:pStyle w:val="Extracto"/>
      </w:pPr>
    </w:p>
    <w:p w:rsidR="00DE14C9" w:rsidRDefault="00DE14C9" w:rsidP="00DE14C9">
      <w:pPr>
        <w:pStyle w:val="Extracto"/>
      </w:pPr>
      <w:r>
        <w:t>5.</w:t>
      </w:r>
      <w:r>
        <w:tab/>
        <w:t>La obligación legal del órgano judicial contenida en el art. 81.1 de la Ley de procedimiento laboral no puede confundirse con una facultad ilimitada del juzgador (STC 127/2006) [FJ 3].</w:t>
      </w:r>
    </w:p>
    <w:p w:rsidR="00DE14C9" w:rsidRDefault="00DE14C9" w:rsidP="00DE14C9">
      <w:pPr>
        <w:pStyle w:val="Extracto"/>
      </w:pPr>
    </w:p>
    <w:p w:rsidR="00DE14C9" w:rsidRDefault="00DE14C9" w:rsidP="00DE14C9">
      <w:pPr>
        <w:pStyle w:val="Extracto"/>
      </w:pPr>
      <w:r>
        <w:t>6.</w:t>
      </w:r>
      <w:r>
        <w:tab/>
        <w:t>La finalidad que inspira la conciliación previa es la de evitación del proceso [FJ 3].</w:t>
      </w:r>
    </w:p>
    <w:p w:rsidR="00DE14C9" w:rsidRDefault="00DE14C9" w:rsidP="00DE14C9">
      <w:pPr>
        <w:pStyle w:val="Extracto"/>
      </w:pPr>
    </w:p>
    <w:p w:rsidR="00DE14C9" w:rsidRDefault="00DE14C9" w:rsidP="00DE14C9">
      <w:pPr>
        <w:pStyle w:val="Extracto"/>
      </w:pPr>
      <w:r>
        <w:t>7.</w:t>
      </w:r>
      <w:r>
        <w:tab/>
        <w:t xml:space="preserve">No cabe acoger el obstáculo procesal de falta de agotamiento de la vía judicial previa porque, una vez dictada la providencia en la que se declaraba la improcedencia del recurso y en la que se explicitaba el motivo de su inviabilidad, la defensa </w:t>
      </w:r>
      <w:r>
        <w:lastRenderedPageBreak/>
        <w:t>de la demandante pudo razonablemente entender que no era sostenible la vía de la suplicación laboral para reparar las lesiones que denuncia, y que únicamente cabía ya acudir al amparo constitucional (STC 10/1998) [FJ 2].</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2518-2004, interpuesto por doña Inmaculada Romera Bernal, representada por la Procuradora de los Tribunales doña Rosina Montes Agustí y asistida por la Abogada doña María Jacinta Chercoles Cejudo, contra los Autos del Juzgado de lo Social núm. 10 de Sevilla de 14 de noviembre de 2003 y 6 de febrero de 2004, dictados en las actuaciones núm. 696-2003, que, respectivamente, procedieron a acordar y confirmar en reposición el archivo de su demanda de despido, así como frente a la providencia de 15 de marzo de 2004 que tuvo por no anunciado el recurso de suplicación contra el último de los Autos citados. Han intervenido el Ministerio Fiscal y la entidad mercantil Atento Teleservicios España, S.A., representada por la Procuradora doña Blanca Berriatua Horta y asistida por la Letrada doña Isabel Cid-Harguindey Romero. Ha sido Ponente la Presidenta doña María Emilia Casas Baamonde,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demanda que tuvo entrada en el Registro General de este Tribunal el día 20 de abril de 2004, la Procuradora de los Tribunales doña Rosina Montes Agustí interpuso recurso de amparo en nombre y representación de doña Inmaculada Romera Bernal contra las resoluciones judiciales citadas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de que trae causa la demanda de amparo son, en síntesis, los siguientes: </w:t>
      </w:r>
    </w:p>
    <w:p w:rsidR="00DE14C9" w:rsidRDefault="00DE14C9" w:rsidP="00DE14C9">
      <w:pPr>
        <w:pStyle w:val="TextoNormal"/>
      </w:pPr>
      <w:r>
        <w:t xml:space="preserve">a) El día 2 de septiembre de 2003 la recurrente en amparo presentó demanda por despido. Para justificar haber cumplido con el requisito del intento de conciliación previa, adjuntó a la demanda fotocopia del acta de conciliación celebrada el 26 de agosto de 2003, instada por la recurrente y otra trabajadora (doña Noelia Salvador López) contra Atento Teleservicios España, S.A., y Telefónica Móviles, S.A., a cuyo acto sólo compareció la segunda de las empresas mencionadas. Según consta en el acta levantada al efecto, el acto concluyó con el resultado de “sin avenencia” respecto de la empresa compareciente e “intentado sin efecto” respecto de la no compareciente al acto. </w:t>
      </w:r>
    </w:p>
    <w:p w:rsidR="00DE14C9" w:rsidRDefault="00DE14C9" w:rsidP="00DE14C9">
      <w:pPr>
        <w:pStyle w:val="TextoNormal"/>
      </w:pPr>
      <w:r>
        <w:lastRenderedPageBreak/>
        <w:t xml:space="preserve">b) La compañera de trabajo de la Sra. Romera Bernal, doña Noelia Salvador López, había interpuesto demanda por despido en fecha anterior a la recurrente, turnada en el Juzgado de lo Social de Sevilla núm. 2 y que dio lugar a los autos 692-2003. Su expediente de conciliación había sido unificado al de doña Inmaculada Romera Bernal, levantándose un acta de conciliación común para las dos trabajadoras. </w:t>
      </w:r>
    </w:p>
    <w:p w:rsidR="00DE14C9" w:rsidRDefault="00DE14C9" w:rsidP="00DE14C9">
      <w:pPr>
        <w:pStyle w:val="TextoNormal"/>
      </w:pPr>
      <w:r>
        <w:t xml:space="preserve">c) El Juzgado de lo Social núm. 10 de Sevilla admitió a trámite la demanda de la Sra. Romera Bernal el día 4 de septiembre de 2003, señalando la fecha de 4 de noviembre para la celebración del juicio. Llegada ésta se acordó la suspensión del juicio, requiriendo el juzgador verbalmente a la actora, además de la indicación de otros datos, la aportación en el plazo de cuatro días del original [o una copia certificada, dice la recurrente en amparo] del acta de conciliación de 26 de agosto de 2003. </w:t>
      </w:r>
    </w:p>
    <w:p w:rsidR="00DE14C9" w:rsidRDefault="00DE14C9" w:rsidP="00DE14C9">
      <w:pPr>
        <w:pStyle w:val="TextoNormal"/>
      </w:pPr>
      <w:r>
        <w:t xml:space="preserve">d) A través de su representante, por medio de escrito de 6 de noviembre de 2003 se dirigió la recurrente en amparo al Juzgado de lo Social núm. 2 de Sevilla (en el que su compañera deducía su demanda) con el objeto de que se le expidiera copia certificada del acta de conciliación de 26 de agosto de 2003, cuyo original obraba en ese Juzgado —pues se afirma que se entregó una única certificación, que fue aportada con dicha demanda—, para poderla presentar ante el Juzgado de lo Social núm. 10 de Sevilla en los autos de despido 696-2003, tal y como se le había reclamado. </w:t>
      </w:r>
    </w:p>
    <w:p w:rsidR="00DE14C9" w:rsidRDefault="00DE14C9" w:rsidP="00DE14C9">
      <w:pPr>
        <w:pStyle w:val="TextoNormal"/>
      </w:pPr>
      <w:r>
        <w:t xml:space="preserve">e) Por medio de escrito de 7 de noviembre de 2003 presentado ante el Juzgado de lo Social núm. 10 de Sevilla, la recurrente aportó copia de la solicitud formulada ante el Juzgado de lo Social núm. 2 en relación con el acta de conciliación de 26 de agosto de 2003, interesando, en todo caso, que el propio Juzgado de lo Social núm. 10 reclamase su desglose. </w:t>
      </w:r>
    </w:p>
    <w:p w:rsidR="00DE14C9" w:rsidRDefault="00DE14C9" w:rsidP="00DE14C9">
      <w:pPr>
        <w:pStyle w:val="TextoNormal"/>
      </w:pPr>
      <w:r>
        <w:t xml:space="preserve">f) Por providencia de 12 de noviembre de 2003 el Juzgado de lo Social núm. 2 de Sevilla ordenó que se expidiera testimonio del acta de conciliación solicitada. Consta en autos diligencia de la Secretaria del mismo en la que da fe de que en las actuaciones por despido núm. 692-2003 se encuentra el acta de conciliación que se acompaña y señala que concuerda bien y fielmente con su original. Este certificado se realiza en dos folios con el membrete de la Administración de Justicia, pero sólo en el segundo de ellos está estampado el sello del Juzgado. El documento coincide con la fotocopia que aportó la demandante en los autos núm. 696-2003. </w:t>
      </w:r>
    </w:p>
    <w:p w:rsidR="00DE14C9" w:rsidRDefault="00DE14C9" w:rsidP="00DE14C9">
      <w:pPr>
        <w:pStyle w:val="TextoNormal"/>
      </w:pPr>
      <w:r>
        <w:t xml:space="preserve">g) Por providencia de 13 de noviembre de 2003 el Juzgado de lo Social núm. 10 de Sevilla hace constar que el representante procesal de la demandante comparece para ratificar su escrito de 7 de noviembre de 2003 y aportar testimonio del acta de conciliación solicitada el día 4 de noviembre de 2003, solicitando el señalamiento de nueva vista. </w:t>
      </w:r>
    </w:p>
    <w:p w:rsidR="00DE14C9" w:rsidRDefault="00DE14C9" w:rsidP="00DE14C9">
      <w:pPr>
        <w:pStyle w:val="TextoNormal"/>
      </w:pPr>
      <w:r>
        <w:t xml:space="preserve">h) Por Auto del Juzgado de lo Social núm. 10 de Sevilla, de 14 de noviembre de 2003, se procede al archivo de las actuaciones por no haberse cumplimentado el requerimiento efectuado a la parte recurrente. Dice el juzgador que en el acta de la vista oral celebrada el día 4 de noviembre de 2003 se le concedió un plazo de cuatro días para que aportara el original del acta de conciliación y para que detallara el número de trabajadores afectados por ese asunto, habiéndose presentado escrito dentro de plazo cumplimentando solo parcialmente el requerimiento efectuado. </w:t>
      </w:r>
    </w:p>
    <w:p w:rsidR="00DE14C9" w:rsidRDefault="00DE14C9" w:rsidP="00DE14C9">
      <w:pPr>
        <w:pStyle w:val="TextoNormal"/>
      </w:pPr>
      <w:r>
        <w:t xml:space="preserve">i) Con fecha de 1 de diciembre de 2003 la recurrente presenta escrito ante el Juzgado de lo Social interesando la aclaración del Auto de archivo de su demanda con los efectos previstos en el art. 448.2 LEC, al objeto de que el órgano judicial razonase los motivos por los que consideraba que no se había cumplimentado el requerimiento de subsanación con relación al acta de conciliación. A este respecto señala que en el mismo acto del juicio del día 4 de noviembre de 2003 comunicó que el acta original de la conciliación previa que se le requería estaba depositada en los autos núm. 692-2033 que se seguían en el Juzgado de lo </w:t>
      </w:r>
      <w:r>
        <w:lastRenderedPageBreak/>
        <w:t xml:space="preserve">Social núm. 2 de Sevilla, dado que el Centro de Mediación, Arbitraje y Conciliación (CMAC) había acumulado los dos expedientes y sólo había facilitado una copia, que fue entregada por su compañera de trabajo en aquel procedimiento; que con fecha de 6 de noviembre de 2003 (dentro del plazo de cuatro días) solicitó al Juzgado de lo Social núm. 2 que le entregase el acta original o copia certificada para aportarlo a los autos núm. 696-2003; que con fecha de 7 de noviembre (también dentro del plazo de los cuatro días, por tanto) presentó escrito ante el Juzgado de lo Social núm. 10 en el que comunicaba los hechos anteriores e interesaba, en todo caso, que reclamase su desglose al Juzgado de lo Social núm. 2, dado que, a pesar de haberlo solicitado, aún no se le había entregado la certificación; que tras varias llamadas de teléfono al Juzgado de lo Social núm. 2 se le dijo que hasta el día 12 de noviembre de 2003 no la firmaría la Secretaria; que el siguiente día 13 se hizo constar mediante diligencia del Juzgado de lo Social núm. 2 que se entrega certificación del acta de conciliación, compareciendo ese mismo día ante el Juzgado de lo Social núm. 10 aportando el documento. A pesar de ello, prosigue, el Auto de 14 de noviembre de 2003 afirma que “aporta copia del acta de conciliación, sin que se haya cumplimentado el requerimiento efectuado”, lo que supondría una incongruencia manifiesta, pues se hizo entrega de la copia expedida por el Juzgado de lo Social núm. 2 el mismo día que le fue facilitada. </w:t>
      </w:r>
    </w:p>
    <w:p w:rsidR="00DE14C9" w:rsidRDefault="00DE14C9" w:rsidP="00DE14C9">
      <w:pPr>
        <w:pStyle w:val="TextoNormal"/>
      </w:pPr>
      <w:r>
        <w:t xml:space="preserve">j) El 2 de diciembre de 2003 la recurrente presenta escrito promoviendo nulidad de actuaciones, denunciando que se le debió conceder un plazo de quince días para acreditar formalmente la celebración del acto de conciliación, en aplicación del art. 81.2 LPL. Asimismo, el siguiente día 4 interpuso contra el Auto de 11 de noviembre de 2003 recurso de reposición. Alegaba haber actuado con diligencia. Por ello, no sería de recibo imponer tan grave medida como el archivo de la demanda, cuando dentro de plazo se hizo todo lo posible para aportar el acta. Denunciaba, en consecuencia, la lesión de su derecho a la tutela judicial efectiva (art. 24.1 CE), por rechazarse in limine litis su demanda y efectuarse una interpretación excesivamente rigorista de los requisitos de forma, máxime cuando las partes demandadas aceptaban que se efectuó el acto de conciliación y no pusieron traba alguna a la admisión de la demanda. Por lo demás, añadía, el órgano judicial no puede ir en contra de sus propios actos firmes, teniendo en cuenta que por providencia de 4 de septiembre de 2003 admitió la demanda sin exigir que se aportase el acta original y sin conceder el plazo de subsanación de quince días que establece el art. 81.2 LPL. </w:t>
      </w:r>
    </w:p>
    <w:p w:rsidR="00DE14C9" w:rsidRDefault="00DE14C9" w:rsidP="00DE14C9">
      <w:pPr>
        <w:pStyle w:val="TextoNormal"/>
      </w:pPr>
      <w:r>
        <w:t xml:space="preserve">k) Por providencia del Juzgado de lo Social núm. 10 de Sevilla, de 9 de enero de 2004, se acuerda lo siguiente: “Dada cuenta, los anteriores escritos, únase a los autos de su razón. Visto el contenido del escrito presentado por la parte actora con fecha 1-12-03 no ha lugar a admitirlo. Visto el contenido del escrito presentado por la parte actora con fecha 2-12-03 no ha lugar a admitirlo. Visto el contenido del escrito presentado por la parte actora el 4-12-03 únase a los autos de su razón se tiene por interpuesto en tiempo y forma recurso de reposición por la parte demandante contra el auto de archivo dictado el pasado 14-11-03 y dese traslado a las demás partes por cinco días para que aleguen lo que estimen conveniente conforme a derecho”. Contra esta providencia, la recurrente formuló recurso de reposición alegando la falta de motivación en la inadmisión del escrito de aclaración y del incidente de nulidad de actuaciones. </w:t>
      </w:r>
    </w:p>
    <w:p w:rsidR="00DE14C9" w:rsidRDefault="00DE14C9" w:rsidP="00DE14C9">
      <w:pPr>
        <w:pStyle w:val="TextoNormal"/>
      </w:pPr>
      <w:r>
        <w:t xml:space="preserve">Por su parte, el recurso de reposición frente a la resolución de archivo fue desestimado por Auto de 6 de febrero de 2004. Señala el juzgador que la parte demandante adjuntó a su demanda una mera fotocopia del acta de conciliación previa, supuestamente celebrada ante el CMAC, documento que al no ser original ni estar autenticado en forma alguna impedía tener por acreditada la celebración del preceptivo acto previo. Y que advertida la parte en el acto celebrado el día 4 de noviembre de 2003, se le requirió para que aportase el original </w:t>
      </w:r>
      <w:r>
        <w:lastRenderedPageBreak/>
        <w:t xml:space="preserve">expedido, con advertencia de archivo en caso de incumplimiento. Pero en lugar de hacerlo, la demandante adjuntó a su escrito lo que dice ser testimonio del acta celebrada ante el CMAC, que no es testimonio, sino mera fotocopia, pues adolece de suficiente identificación, ya que los folios que se acompañan carecen del necesario detalle respecto al documento de pretendida acreditación, además de ser inexistente en uno de ellos cualquier sello, firma o rúbrica que lo valide. Tal deficiencia, en opinión del juzgador, impedía tener por cierta la existencia del supuesto original. Incluso en el caso contrario procedería tener por incumplido el requerimiento, pues, de otro modo, podrían las partes obtener múltiples testimonios de los documentos que figuren en distintos autos y si ello bastase para admitir sus acciones les sería posible entablarlas ante distintos órganos judiciales para después elegir cuál de estos enjuiciaría su causa, constituyendo una infracción procesal que no se ha de permitir. Debe además recordarse —concluía el Auto de 6 de febrero de 2004— que el Centro de Mediación, Arbitraje y Conciliación expide tantos documentos originales como numerosas sean las partes en litigio, de tal forma que cada trabajador posea siempre un original del acta, por lo que no había necesidad de solicitar testimonio alguno. </w:t>
      </w:r>
    </w:p>
    <w:p w:rsidR="00DE14C9" w:rsidRDefault="00DE14C9" w:rsidP="00DE14C9">
      <w:pPr>
        <w:pStyle w:val="TextoNormal"/>
      </w:pPr>
      <w:r>
        <w:t>l) Frente al Auto de 6 de febrero de 2004 la parte recurrente anunció su intención de interponer recurso de suplicación. Por providencia de 15 de marzo de 2004 (notificada el día 26 siguiente) se acuerda no haber lugar al recurso al no darse los supuestos previstos en los arts. 189 y 184.2 LPL.</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En opinión de la recurrente en amparo, la interpretación que efectuaron las resoluciones del Juzgado de lo Social núm. 10 de Sevilla vulnera el art. 24.1 CE. Son, a su juicio, manifiestamente contrarias a Derecho, dado que debió continuarse el juicio y admitirse la demanda en lugar de proceder a su archivo, pues se cumplimentó dentro del plazo lo requerido. Sostiene que obró con diligencia en el proceso, ya que, dentro del plazo de cuatro días concedido a partir del 4 de noviembre de 2003, solicitó (el 6 de noviembre de 2003) del Juzgado de lo Social núm. 2 de Sevilla copia certificada, o bien original o testimonio, del acta de conciliación de 26 de agosto de 2003, y el siguiente día 7 interesó del propio Juzgado de lo Social núm. 10 que de oficio reclamase y solicitase su desglose, procediendo a hacer entrega del documento el mismo día en que se le facilitó. </w:t>
      </w:r>
    </w:p>
    <w:p w:rsidR="00DE14C9" w:rsidRDefault="00DE14C9" w:rsidP="00DE14C9">
      <w:pPr>
        <w:pStyle w:val="TextoNormal"/>
      </w:pPr>
      <w:r>
        <w:t>Afirma asimismo que, conforme a lo dispuesto en los arts. 318 y 267 LEC, los documentos públicos, como el acta elaborada por el CMAC, “podrán presentarse por copia simple y si se impugnare su autenticidad podrá llevarse a los autos original o copia o certificación”, siendo que en el presente caso se presentó copia simple con la demanda y en un principio se aceptó por el Juzgado (proveído de 4 de septiembre de 2003). A su juicio, no resulta razonable que una copia certificada por una Secretaría de Juzgado no se acepte, lo que supone una interpretación no exigida por las leyes y una clara vulneración del derecho a la tutela judicial efectiva (art. 24.1 CE), máxime cuando se trata del derecho de acceso al proceso.</w:t>
      </w:r>
    </w:p>
    <w:p w:rsidR="00DE14C9" w:rsidRDefault="00DE14C9" w:rsidP="00DE14C9">
      <w:pPr>
        <w:pStyle w:val="TextoNormal"/>
      </w:pPr>
    </w:p>
    <w:p w:rsidR="00DE14C9" w:rsidRDefault="00DE14C9" w:rsidP="00DE14C9">
      <w:pPr>
        <w:pStyle w:val="TextoNormal"/>
      </w:pPr>
      <w:r w:rsidRPr="00DE14C9">
        <w:rPr>
          <w:rStyle w:val="NumeroAFNegritaCaracter"/>
        </w:rPr>
        <w:t>4</w:t>
      </w:r>
      <w:r>
        <w:t>. Por providencia de 8 de junio de 2005 la Sección Primera de este Tribunal admitió a trámite el recurso de amparo y, en aplicación del art. 51 LOTC, constando remitidas las actuaciones solicitadas con anterioridad al Juzgado de lo Social núm. 10 de Sevilla, requirió a este órgano judicial para que en el plazo de diez días emplazara a quienes fueron parte en el procedimiento, con excepción de la recurrente en amparo, para su comparecencia en este proceso constitucional.</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5</w:t>
      </w:r>
      <w:r>
        <w:t>. El día 22 de julio de 2005 tuvo entrada en este Tribunal escrito de la Procuradora de los Tribunales doña Blanca Berriatua Horta, en el que solicitaba se le tuviera por personada y parte en este procedimiento de amparo en nombre de Atento Teleservicios España, S.A. Por posterior diligencia de ordenación, de 7 de octubre de 2005, se tuvo por recibido ese escrito y se acordó la personación solicitada, concediéndose asimismo el plazo de veinte días a las partes personadas y al Ministerio Fiscal para que presentaran las alegaciones que estimaran pertinentes (art. 52.1 LOTC).</w:t>
      </w:r>
    </w:p>
    <w:p w:rsidR="00DE14C9" w:rsidRDefault="00DE14C9" w:rsidP="00DE14C9">
      <w:pPr>
        <w:pStyle w:val="TextoNormal"/>
      </w:pPr>
    </w:p>
    <w:p w:rsidR="00DE14C9" w:rsidRDefault="00DE14C9" w:rsidP="00DE14C9">
      <w:pPr>
        <w:pStyle w:val="TextoNormal"/>
      </w:pPr>
      <w:r w:rsidRPr="00DE14C9">
        <w:rPr>
          <w:rStyle w:val="NumeroAFNegritaCaracter"/>
        </w:rPr>
        <w:t>6</w:t>
      </w:r>
      <w:r>
        <w:t>. La representación de la demandante de amparo, con fecha 25 de octubre de 2005, presentó escrito reiterando en esencia los contenidos de su demanda.</w:t>
      </w:r>
    </w:p>
    <w:p w:rsidR="00DE14C9" w:rsidRDefault="00DE14C9" w:rsidP="00DE14C9">
      <w:pPr>
        <w:pStyle w:val="TextoNormal"/>
      </w:pPr>
    </w:p>
    <w:p w:rsidR="00DE14C9" w:rsidRDefault="00DE14C9" w:rsidP="00DE14C9">
      <w:pPr>
        <w:pStyle w:val="TextoNormal"/>
      </w:pPr>
      <w:r w:rsidRPr="00DE14C9">
        <w:rPr>
          <w:rStyle w:val="NumeroAFNegritaCaracter"/>
        </w:rPr>
        <w:t>7</w:t>
      </w:r>
      <w:r>
        <w:t xml:space="preserve">. La representación de Atento Teleservicios España, S.A., presentó sus alegaciones el día 27 de octubre de 2005, solicitando la inadmisión del recurso y, subsidiariamente, su desestimación. </w:t>
      </w:r>
    </w:p>
    <w:p w:rsidR="00DE14C9" w:rsidRDefault="00DE14C9" w:rsidP="00DE14C9">
      <w:pPr>
        <w:pStyle w:val="TextoNormal"/>
      </w:pPr>
      <w:r>
        <w:t xml:space="preserve">En su opinión, en primer lugar, la demandante no habría agotado todos los recursos que procedían en la vía judicial ordinaria, toda vez que contra la providencia de 15 de marzo de 2004, que inadmitía el recurso de suplicación anunciado, debía interponerse recurso de reposición, y, en caso de ser desestimado, recurso de queja ante el Tribunal Superior de Justicia de Andalucía, conforme a lo dispuesto en el art. 193.2 LPL en relación con los arts. 184 y 187 del mismo texto legal, y los arts. 494 y 495 LEC. La demandante, por el contrario, en lugar de seguir ese cauce procesal, habría interpuesto de forma prematura el recurso de amparo. </w:t>
      </w:r>
    </w:p>
    <w:p w:rsidR="00DE14C9" w:rsidRDefault="00DE14C9" w:rsidP="00DE14C9">
      <w:pPr>
        <w:pStyle w:val="TextoNormal"/>
      </w:pPr>
      <w:r>
        <w:t xml:space="preserve">Por lo que se refiere a la supuesta vulneración del art. 24.1 CE en su vertiente de acceso al proceso, tras recoger jurisprudencia constitucional en la materia, afirma que la demandante tuvo ocasiones suficientes para subsanar la demanda, sin llegar a efectuarlo. En efecto, el art. 81.2 LPL dispone que se admitirá provisionalmente la demanda aunque no se acompañe la certificación del acto de conciliación, debiendo acreditar el demandante en el plazo de quince días la celebración o el intento del expresado acto, con apercibimiento de archivo. Y en el presente caso ese plazo de quince días se amplió de forma muy significativa, pues transcurrieron dos meses entre el día 4 de septiembre de 2003 —en el que se dictó la providencia por la que el Juzgado admitió a trámite la demanda— y la fecha de celebración del acto del juicio, que tuvo lugar el día 4 de noviembre de 2003, sin que el demandante cumpliera su obligación. Pese a ello, en ejercicio de sus facultades, el Juez requirió a la parte demandante en el acto del juicio a fin de que en el plazo de cuatro días subsanase la demanda, cosa que tampoco hizo, limitándose, fuera ya de plazo, a aportar una copia testimoniada proveniente de otro Juzgado. </w:t>
      </w:r>
    </w:p>
    <w:p w:rsidR="00DE14C9" w:rsidRDefault="00DE14C9" w:rsidP="00DE14C9">
      <w:pPr>
        <w:pStyle w:val="TextoNormal"/>
      </w:pPr>
      <w:r>
        <w:t xml:space="preserve">De todo lo anteriormente expuesto deduce que, si en algún momento existió un error judicial, éste se produjo en el momento de la admisión a trámite de la demanda, no con posterioridad, puesto que la misma debería haber sido admitida únicamente de forma provisional, concediendo a la demandante el plazo de quince días para la aportación de la certificación del acta de conciliación previa. No obstante, ese error, lejos de perjudicar a la parte demandante, la benefició claramente, pues vio ampliado el plazo de subsanación. Por lo demás, añade, el hecho de que ante el organismo administrativo se procediese a la acumulación de dos expedientes diferentes no constituye justa causa que impida la aportación con la demanda de la certificación original, pues podrían haberse solicitado dos certificaciones diferentes, una por cada demandante, lo mismo que podría haberse acudido al CMAC </w:t>
      </w:r>
      <w:r>
        <w:lastRenderedPageBreak/>
        <w:t xml:space="preserve">una vez conocido el requerimiento del Juzgado, con el objeto de que se expidiese una nueva certificación. </w:t>
      </w:r>
    </w:p>
    <w:p w:rsidR="00DE14C9" w:rsidRDefault="00DE14C9" w:rsidP="00DE14C9">
      <w:pPr>
        <w:pStyle w:val="TextoNormal"/>
      </w:pPr>
      <w:r>
        <w:t>En suma, el archivo de la demanda tiene su origen en una falta de diligencia de la demandante, por lo que no se ha producido vulneración del derecho a la tutela judicial efectiva; antes al contrario, resultaría lesivo para Atento Teleservicios España, S.A., que se otorgase el amparo interesado cuando el archivo de la demanda únicamente tuvo su origen en la falta de diligencia mostrada por la recurrente en amparo.</w:t>
      </w:r>
    </w:p>
    <w:p w:rsidR="00DE14C9" w:rsidRDefault="00DE14C9" w:rsidP="00DE14C9">
      <w:pPr>
        <w:pStyle w:val="TextoNormal"/>
      </w:pPr>
    </w:p>
    <w:p w:rsidR="00DE14C9" w:rsidRDefault="00DE14C9" w:rsidP="00DE14C9">
      <w:pPr>
        <w:pStyle w:val="TextoNormal"/>
      </w:pPr>
      <w:r w:rsidRPr="00DE14C9">
        <w:rPr>
          <w:rStyle w:val="NumeroAFNegritaCaracter"/>
        </w:rPr>
        <w:t>8</w:t>
      </w:r>
      <w:r>
        <w:t xml:space="preserve">. El Ministerio Fiscal presentó su escrito de alegaciones el día 14 de noviembre de 2005, interesando el otorgamiento del amparo. En su criterio, se hace recaer exclusivamente sobre la demandante la responsabilidad de la falta de incorporación temporánea del acta de conciliación a los autos, aún cuando aquélla, tras el requerimiento efectuado al inicio de la vista oral celebrada el día 4 de noviembre de 2003, actuó diligentemente. En efecto, elaboró el correspondiente escrito de solicitud de testimonio al día siguiente; lo presentó el inmediatamente posterior en el Juzgado de lo Social núm. 2 de Sevilla, y dio puntual cuenta de todo ello al Juzgado de lo Social núm. 10, al que, además, y dada la urgencia del requerimiento, pidió la realización de un trámite paralelo de tanta simplicidad como la remisión de un exhorto a otro Juzgado, que no solo radica en la misma localidad, sino que comparte dependencias con el primero. Siendo esas las circunstancias, la decisión de archivar la demanda adolece de un rigor excesivo que se opone frontalmente al principio “pro actione”, no solo por hacer gravitar en exclusiva la responsabilidad de la cumplimentación del requisito en la demandante, sino porque además desconoce su plena diligencia actuando en los tres primeros días del plazo concedido, a la vez que soslaya la propia responsabilidad del órgano judicial al no acordar la remisión del exhorto. </w:t>
      </w:r>
    </w:p>
    <w:p w:rsidR="00DE14C9" w:rsidRDefault="00DE14C9" w:rsidP="00DE14C9">
      <w:pPr>
        <w:pStyle w:val="TextoNormal"/>
      </w:pPr>
      <w:r>
        <w:t>Por consiguiente, solicita la estimación del recurso, con reconocimiento del derecho fundamental a la tutela judicial efectiva (art. 24.1 CE) y declaración de la nulidad de los Autos de 14 de noviembre de 2003 y 6 de febrero de 2004, retrotrayendo las actuaciones al tiempo de dictarse la primera de tales resoluciones para que continúe el procedimiento.</w:t>
      </w:r>
    </w:p>
    <w:p w:rsidR="00DE14C9" w:rsidRDefault="00DE14C9" w:rsidP="00DE14C9">
      <w:pPr>
        <w:pStyle w:val="TextoNormal"/>
      </w:pPr>
    </w:p>
    <w:p w:rsidR="00DE14C9" w:rsidRDefault="00DE14C9" w:rsidP="00DE14C9">
      <w:pPr>
        <w:pStyle w:val="TextoNormal"/>
      </w:pPr>
      <w:r w:rsidRPr="00DE14C9">
        <w:rPr>
          <w:rStyle w:val="NumeroAFNegritaCaracter"/>
        </w:rPr>
        <w:t>9</w:t>
      </w:r>
      <w:r>
        <w:t>. Por providencia de 3 de mayo de 2007 se señaló para deliberación y votación de la presente Sentencia el día 7 del mismo mes y año, trámite que ha finalizado en el día de la fecha.</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 presente demanda de amparo se dirige contra los Autos del Juzgado de lo Social núm. 10 de Sevilla de 14 de noviembre de 2003 y 6 de febrero de 2004, así como frente a la providencia de 15 de marzo de 2004, resoluciones todas ellas dictadas en el procedimiento número 696-2003 sobre despido, y mediante las que, respectivamente, se acordó y confirmó en reposición el archivo de la demanda que la recurrente había entablado, así como tener por no anunciado el recurso de suplicación contra el Auto de 6 de febrero de 2004.</w:t>
      </w:r>
    </w:p>
    <w:p w:rsidR="00DE14C9" w:rsidRDefault="00DE14C9" w:rsidP="00DE14C9">
      <w:pPr>
        <w:pStyle w:val="TextoNormal"/>
      </w:pPr>
      <w:r>
        <w:t xml:space="preserve">La recurrente pretende el amparo de su derecho a la tutela judicial efectiva (art. 24.1 CE), en su vertiente de derecho de acceso a la jurisdicción, y concreta su lesión en la decisión contenida en los Autos mencionados, pues el primero de ellos acordó el archivo de las actuaciones pese a su diligente intento de subsanación de la demanda, en cumplimiento de lo ordenado el día 4 de noviembre de 2003, mediante la solicitud del documento requerido ante el Juzgado de lo Social núm. 2 de Sevilla en el que obraba al haber sido presentado por </w:t>
      </w:r>
      <w:r>
        <w:lastRenderedPageBreak/>
        <w:t>una compañera de trabajo, y porque el posterior Auto de 4 de febrero de 2004 confirmó esa decisión lesiva, lesión que en la queja formulada se conecta con el principio pro actione.</w:t>
      </w:r>
    </w:p>
    <w:p w:rsidR="00DE14C9" w:rsidRDefault="00DE14C9" w:rsidP="00DE14C9">
      <w:pPr>
        <w:pStyle w:val="TextoNormal"/>
      </w:pPr>
      <w:r>
        <w:t>El Ministerio Fiscal solicita el otorgamiento del amparo en los términos que han quedado reproducidos en los antecedentes. Por el contrario, la representación de Atento Teleservicios España, S.A., que ha comparecido en este proceso constitucional, se opone a la estimación del recurso y, previamente, a su admisión por falta de agotamiento de la vía judicial previa, [art. 44.1 a) LOTC] al no haber formalizado la recurrente recurso de reposición y, en su caso, recurso de queja contra la providencia de 15 de marzo de 2004 que tuvo por no anunciado el recurso de suplicación frente al Auto de 6 de febrero de 2004.</w:t>
      </w:r>
    </w:p>
    <w:p w:rsidR="00DE14C9" w:rsidRDefault="00DE14C9" w:rsidP="00DE14C9">
      <w:pPr>
        <w:pStyle w:val="TextoNormal"/>
      </w:pPr>
    </w:p>
    <w:p w:rsidR="00DE14C9" w:rsidRDefault="00DE14C9" w:rsidP="00DE14C9">
      <w:pPr>
        <w:pStyle w:val="TextoNormal"/>
      </w:pPr>
      <w:r w:rsidRPr="00DE14C9">
        <w:rPr>
          <w:rStyle w:val="NumeroAFNegritaCaracter"/>
        </w:rPr>
        <w:t>2</w:t>
      </w:r>
      <w:r>
        <w:t>. Con carácter previo procede examinar si concurre la indicada objeción de carácter procesal esgrimida por Atento Teleservicios España, S.A., que, de ser apreciada, determinaría la inadmisión del recurso en esta fase. Como con reiteración hemos dicho, los defectos insubsanables de que pudiera estar afectado el recurso de amparo no resultan sanados porque haya sido inicialmente admitido a trámite (SSTC 228/2001, de 26 de noviembre, FJ 2; 18/2002, de 28 de enero, FJ 3; 213/2003, de 1 de diciembre, FJ 2; 106/2005, de 9 de mayo, FJ 2; 17/2006, de 30 de enero, FJ 2, y 140/2006, de 8 de mayo, FJ 2, entre tantas otras).</w:t>
      </w:r>
    </w:p>
    <w:p w:rsidR="00DE14C9" w:rsidRDefault="00DE14C9" w:rsidP="00DE14C9">
      <w:pPr>
        <w:pStyle w:val="TextoNormal"/>
      </w:pPr>
      <w:r>
        <w:t>Sin embargo, no cabe acoger este obstáculo formal, porque, una vez dictada la providencia en la que se declaraba la improcedencia del recurso y en la que se explicitaba el motivo de su inviabilidad (la no concurrencia de ninguno de los supuestos previstos en la Ley de procedimiento laboral para el acceso al mismo), la defensa de la demandante de amparo pudo razonablemente entender que no era sostenible la vía de la suplicación laboral para reparar las lesiones que denuncia, y que únicamente cabía ya acudir al amparo constitucional (mutatis mutandi, STC 10/1998, de 13 de enero, FJ 3). En efecto, en su demanda de amparo se limita a reprochar a la providencia de 15 de marzo de 2004 el haber cerrado el proceso con la consiguiente lesión del derecho fundamental de acceso a la jurisdicción, argumentando de forma exclusiva contra los Autos anteriores, de 14 de noviembre de 2003 y 6 de febrero de 2004, que, respectivamente, acordaron y confirmaron el archivo de su demanda de despido.</w:t>
      </w:r>
    </w:p>
    <w:p w:rsidR="00DE14C9" w:rsidRDefault="00DE14C9" w:rsidP="00DE14C9">
      <w:pPr>
        <w:pStyle w:val="TextoNormal"/>
      </w:pPr>
    </w:p>
    <w:p w:rsidR="00DE14C9" w:rsidRDefault="00DE14C9" w:rsidP="00DE14C9">
      <w:pPr>
        <w:pStyle w:val="TextoNormal"/>
      </w:pPr>
      <w:r w:rsidRPr="00DE14C9">
        <w:rPr>
          <w:rStyle w:val="NumeroAFNegritaCaracter"/>
        </w:rPr>
        <w:t>3</w:t>
      </w:r>
      <w:r>
        <w:t>. Dado que la recurrente en amparo se queja de la denegación injustificada de ese derecho de acceso a la jurisdicción, hemos de comenzar recordando que, al estar en juego la obtención de una primera resolución judicial sobre la pretensión deducida en el proceso, los cánones de control de constitucionalidad se amplían por la proyección del principio pro actione, con el objeto de evitar que determinadas aplicaciones o interpretaciones de los presupuestos procesales eliminen u obstaculicen injustificadamente el derecho a que un órgano judicial conozca y resuelva sobre la pretensión a él sometida (por todas, SSTC 207/1998, de 26 de octubre, FJ 3; 63/1999, de 26 de abril, FJ 2; 172/2002, de 30 de septiembre, FJ 3; 184/2004, de 2 de noviembre, FJ 3; y 79/2005, de 4 de abril, FJ 2).</w:t>
      </w:r>
    </w:p>
    <w:p w:rsidR="00DE14C9" w:rsidRDefault="00DE14C9" w:rsidP="00DE14C9">
      <w:pPr>
        <w:pStyle w:val="TextoNormal"/>
      </w:pPr>
      <w:r>
        <w:t xml:space="preserve">La doctrina sobre el principio pro actione sirve también de fundamento al trámite de subsanación de la demanda, que en el proceso laboral se regula en el vigente art. 81 de la Ley de procedimiento laboral (LPL), de suerte que el criterio que informa tanto la finalidad y observancia del trámite de subsanación, como la apreciación de los defectos que, en último término, pueden determinar el archivo de las actuaciones sin pronunciamiento sobre el fondo, exige la verificación por parte de este Tribunal de que la causa esgrimida por el órgano judicial sea real y necesariamente determinante de aquel archivo, evitando que una decisión rigurosa y desproporcionada sacrifique el derecho de acceso al proceso de modo reprochable en términos constitucionales (SSTC 118/1987, de 8 de julio, FFJJ 2 y 3; </w:t>
      </w:r>
      <w:r>
        <w:lastRenderedPageBreak/>
        <w:t>120/1993, de 19 de abril, FJ 5; 112/1997, de 3 de junio, FJ 3; 130/1998, de 16 de junio, FJ 5; 135/1999, de 15 de julio, FJ 2; 75/2001, de 26 de marzo, FJ 2; 199/2001, de 4 de octubre, FJ 2; y 211/2002, de 11 de noviembre, FJ 3).</w:t>
      </w:r>
    </w:p>
    <w:p w:rsidR="00DE14C9" w:rsidRDefault="00DE14C9" w:rsidP="00DE14C9">
      <w:pPr>
        <w:pStyle w:val="TextoNormal"/>
      </w:pPr>
      <w:r>
        <w:t>Hemos precisado, asimismo, que la obligación legal del órgano judicial contenida en el art. 81.1 LPL (requerimiento de subsanación de defectos, omisiones o imprecisiones de la demanda) no puede confundirse con una facultad ilimitada del juzgador, por mucho que lo pedido pudiera mejorar en hipótesis la articulación del subsiguiente debate procesal. El art. 81.1 LPL se refiere exclusivamente a los contenidos estrictos que para la demanda laboral exige el art. 80 LPL, resultando improcedente el archivo por defectuosa subsanación cuando lo solicitado extralimite aquéllos, sea cual sea el propósito al que responda el exceso cometido por el requerimiento judicial. Idénticos criterios, e iguales límites del juzgador en el alcance potencial de sus mandatos de subsanación, operan en relación con el art. 81.2 LPL (acreditación de la celebración o intento del acto de conciliación previa), como recuerda nuestra reciente STC 127/2006, de 24 de abril.</w:t>
      </w:r>
    </w:p>
    <w:p w:rsidR="00DE14C9" w:rsidRDefault="00DE14C9" w:rsidP="00DE14C9">
      <w:pPr>
        <w:pStyle w:val="TextoNormal"/>
      </w:pPr>
      <w:r>
        <w:t>Por lo demás, en atención a su relevancia en la resolución del caso actual, será preciso señalar también que la finalidad que inspira la conciliación previa es la de evitación del proceso. De ahí que el art. 63 LPL no la considere en rigor como requisito previo a la demanda sino como requisito “previo para la tramitación del proceso” (SSTC 69/1997, de 8 de abril, FJ 6, y 199/2001, de 4 de octubre, FJ 3), cuya finalidad es asegurar que las partes hayan tenido oportunidad de, antes de tramitarse aquél, someter la controversia a solución extrajudicial intentando un acuerdo, garantía que está en la base del citado art. 81.2 LPL.</w:t>
      </w:r>
    </w:p>
    <w:p w:rsidR="00DE14C9" w:rsidRDefault="00DE14C9" w:rsidP="00DE14C9">
      <w:pPr>
        <w:pStyle w:val="TextoNormal"/>
      </w:pPr>
    </w:p>
    <w:p w:rsidR="00DE14C9" w:rsidRDefault="00DE14C9" w:rsidP="00DE14C9">
      <w:pPr>
        <w:pStyle w:val="TextoNormal"/>
      </w:pPr>
      <w:r w:rsidRPr="00DE14C9">
        <w:rPr>
          <w:rStyle w:val="NumeroAFNegritaCaracter"/>
        </w:rPr>
        <w:t>4</w:t>
      </w:r>
      <w:r>
        <w:t>. Conforme al canon de control constitucional descrito, la decisión judicial de archivo de la demanda no puede estar fundada, en primer lugar, en una interpretación de la causa legal aplicada que resulte arbitraria o manifiestamente irrazonable, o en cuya aplicación se aprecie que el órgano judicial ha incurrido en error patente sobre los hechos concurrentes.</w:t>
      </w:r>
    </w:p>
    <w:p w:rsidR="00DE14C9" w:rsidRDefault="00DE14C9" w:rsidP="00DE14C9">
      <w:pPr>
        <w:pStyle w:val="TextoNormal"/>
      </w:pPr>
      <w:r>
        <w:t>Desde este enfoque, hemos de enjuiciar si la causa en la que el Juzgado de lo Social núm. 10 de Sevilla hizo descansar el archivo podía, ex lege, justificarlo. La respuesta debe ser positiva. En efecto, no corresponde a este Tribunal determinar si la presentación de una mera fotocopia del acta de conciliación es suficiente para entender cumplido el requisito que se contiene en los arts. 80.1 c) y 81.2 LPL, siendo una interpretación posible en Derecho, que no puede calificarse de arbitraria o irrazonable, concluir que era preciso subsanar la demanda al no haber aportado la demandante una certificación que efectivamente acreditara la celebración del acto de conciliación. Se trata, por tanto, de una cuestión de estricta legalidad procesal, que ha dado lugar a una interpretación judicial de los requisitos de la demanda que, pese a no ser la única posible, no lesiona el art. 24.1 CE. Hemos establecido reiteradamente que el criterio antiformalista propio de esa vertiente del derecho fundamental no supone prescindir de los requisitos que se establecen en las leyes que ordenan el proceso en garantía de los derechos de todas las partes (STC 64/1992, de 24 de abril, FJ 3), ni tampoco debe entenderse como forzosa la selección de la interpretación más favorable a la admisión de entre todas las posibles, pues esta exigencia llevaría al Tribunal Constitucional a entrar en cuestiones de legalidad procesal que corresponden a los Tribunales ordinarios (por todas, SSTC 195/1999, de 25 de octubre, FJ 2; 3/2001, de 15 de enero, FJ 5).</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Según se dijo, sin embargo, el enjuiciamiento de una decisión judicial de archivo que impide el acceso al proceso no puede detenerse en el control expuesto, dado que debemos comprobar, asimismo, si la causa esgrimida por el órgano judicial resulta, además, adecuada para proceder al archivo en el caso concreto o si, por el contrario, puesta en relación la </w:t>
      </w:r>
      <w:r>
        <w:lastRenderedPageBreak/>
        <w:t>entidad de la infracción procesal y las consecuencias derivadas del cierre del proceso, resulta una decisión rigurosa o excesivamente formalista y desproporcionada, sacrificando el derecho de acceso a la jurisdicción en contra del principio pro actione.</w:t>
      </w:r>
    </w:p>
    <w:p w:rsidR="00DE14C9" w:rsidRDefault="00DE14C9" w:rsidP="00DE14C9">
      <w:pPr>
        <w:pStyle w:val="TextoNormal"/>
      </w:pPr>
      <w:r>
        <w:t>Debemos analizar, en consecuencia, si la aplicación realizada por el órgano judicial de los requisitos procesales es o no proporcionada, una vez constatada, de acuerdo a esa interpretación previa y posible de la legalidad procesal, la existencia de un incumplimiento achacable a la parte. Y es que, como afirmamos en nuestra STC 127/2006, de 24 de abril, el juicio de proporcionalidad exige como presupuesto la existencia de un previo defecto o déficit procesal cometido por la parte procesal, ya que, si no hubiera infracción, el archivo, antes que desproporcionado, sería contrario al derecho al proceso por su irrazonabilidad o arbitrariedad. La cuestión a resolver en este caso es, por consiguiente, si el incumplimiento del requisito de aportación de certificación acreditativa del acto de conciliación no sólo podía ex lege justificar el archivo, sino si, adicionalmente, podía ad casum determinarlo por no ser desproporcionado el sacrificio que la aplicación de esa causa legal suponía, a la vista de las circunstancias del caso, en el derecho de acceso al proceso (STC 211/2002, de 11 de noviembre, por todas).</w:t>
      </w:r>
    </w:p>
    <w:p w:rsidR="00DE14C9" w:rsidRDefault="00DE14C9" w:rsidP="00DE14C9">
      <w:pPr>
        <w:pStyle w:val="TextoNormal"/>
      </w:pPr>
      <w:r>
        <w:t>Para proceder al análisis de proporcionalidad de la decisión de archivo debemos examinar distintos elementos, como corresponde en esta tipología de casos. Atenderemos, en primer lugar, a que se ofreció a la parte recurrente la posibilidad de subsanar el defecto, por lo que habrá que considerar la actuación de ésta en el intento de dar satisfacción al requerimiento, lo que implica un examen de su diligencia. En ello será también trascendente analizar cuál ha sido la actuación judicial en el trámite de subsanación, dado que, conforme a nuestra jurisprudencia, es una exigencia constitucional que el órgano judicial favorezca la corrección de los defectos que puedan ser reparados, garantizando en lo posible su subsanación (SSTC 65/1993, de 1 de marzo, FJ 3, y 16/1999, de 22 de febrero, FJ 4), de suerte que la efectividad del derecho a la tutela judicial efectiva que ha de procurarse mediante el cumplimiento por el órgano judicial de su deber legal de permitir esa solución correctora no podrá desconocerse desviando a los recurrentes toda la responsabilidad en ese trámite. Desde este enfoque, dicho en otras palabras, el favor actionis tiene que contrastarse con los datos facilitados por el acto judicial que contenga el requerimiento de subsanación (por todas, STC 289/2005, de 7 de noviembre, FJ 2).</w:t>
      </w:r>
    </w:p>
    <w:p w:rsidR="00DE14C9" w:rsidRDefault="00DE14C9" w:rsidP="00DE14C9">
      <w:pPr>
        <w:pStyle w:val="TextoNormal"/>
      </w:pPr>
      <w:r>
        <w:t>Junto a ello serán igualmente relevantes los rasgos caracterizadores de la regulación legal, no ya para replantearnos la interpretación judicial realizada, que se ha dicho que respeta el canon de la interdicción de la irrazonabilidad, arbitrariedad o el error patente, sino para examinar la previsibilidad de la norma y la consiguiente claridad de la obligación legal que se consideró incumplida, lo que sin duda afectara a la valoración de la conducta procesal de la recurrente en amparo.</w:t>
      </w:r>
    </w:p>
    <w:p w:rsidR="00DE14C9" w:rsidRDefault="00DE14C9" w:rsidP="00DE14C9">
      <w:pPr>
        <w:pStyle w:val="TextoNormal"/>
      </w:pPr>
      <w:r>
        <w:t xml:space="preserve">Abordando ese enjuiciamiento, el primer aspecto que es preciso destacar es que la medida adoptada no tiene fundamento en una regulación legal inequívoca. Hemos dicho anteriormente que la interpretación realizada por el juzgador no puede calificarse de arbitraria ni de irrazonable, pero esa conclusión no obsta ni hace menos relevante desde el enfoque de su proporcionalidad la falta de una determinación legal clara. En efecto, la recurrente pudo tener dudas en cuanto a los términos en los que estaba obligada a cumplir el requisito. De hecho, al regular los contenidos de la demanda laboral, el art. 80.1 LPL no hace referencia expresa a la necesidad de aportación de certificación del acto de conciliación, señalando únicamente que “En ningún caso podrán alegarse hechos distintos de los aducidos en conciliación o en la reclamación administrativa previa, salvo que se hubieran producido con posterioridad a la sustanciación de aquéllas”. Sólo en el art. 81 LPL, cuando se regula la </w:t>
      </w:r>
      <w:r>
        <w:lastRenderedPageBreak/>
        <w:t>subsanación de la demanda, se hace mención en su apartado segundo a la certificación del acto de conciliación, contemplándose la admisión provisional de la demanda con concesión de un plazo de quince días para que el demandante proceda a “acreditar la celebración o el intento del expresado acto”, sin que ni siquiera en ese momento la acreditación se concrete de forma expresa y excluyente en la aportación de una certificación del acto, pues la ausencia de certificación a la que ciertamente se refiere el art. 81.2 LPL se toma en consideración en dicho precepto a los efectos de desencadenar la necesidad de subsanación, sin que se precisen, en cambio, los términos en los que esa subsanación puede válidamente producirse.</w:t>
      </w:r>
    </w:p>
    <w:p w:rsidR="00DE14C9" w:rsidRDefault="00DE14C9" w:rsidP="00DE14C9">
      <w:pPr>
        <w:pStyle w:val="TextoNormal"/>
      </w:pPr>
      <w:r>
        <w:t>De ahí que, en el presente caso, no pueda negarse todo valor al intento de acreditación que la demandante llevó a cabo en el momento inicial —con la presentación de una fotocopia al tiempo de registrar su demanda—, menos aún cuando nadie ha puesto en duda otras circunstancias aducidas, señaladamente que se unificó el acto conciliatorio y se entregó una única certificación, así como que su compañera de trabajo presentó la demanda de despido con anterioridad a la recurrente de amparo utilizando a tal fin aquel único documento. Por consiguiente, el intento de acreditación es indicativo, siquiera, de voluntad de cumplimiento, por mucho que quepa concluir, como hizo el órgano judicial en una interpretación no irrazonable de la regulación legal, que no suponía formalmente un cumplimiento suficiente.</w:t>
      </w:r>
    </w:p>
    <w:p w:rsidR="00DE14C9" w:rsidRDefault="00DE14C9" w:rsidP="00DE14C9">
      <w:pPr>
        <w:pStyle w:val="TextoNormal"/>
      </w:pPr>
      <w:r>
        <w:t>En el momento posterior, ya en trámite de subsanación, se advierte igualmente una clara intención de satisfacción del requisito. En efecto, la demandante en amparo no permaneció pasiva, ni se resistió a lo ordenado el día 4 de noviembre de 2003, intentando dentro del plazo de cuatro días concedido obtener lo que se le solicitaba. Para ello se personó a través de su representante ante el Juzgado de lo Social núm. 2 de Sevilla, donde sabía que obraba el documento que había sido presentado con su demanda por una compañera de trabajo, poniendo en conocimiento de dicho órgano judicial lo que se le requería y solicitándole un testimonio que le permitiera cumplir con lo ordenado. Además de ello, y también dentro del plazo, acreditó en el Juzgado de lo Social núm. 10 haber realizado la indicada solicitud, pidiendo no obstante al juzgador que solicitara su desglose, visto que a ella no se le había entregado aún el testimonio solicitado, haciendo finalmente entrega del mismo en cuanto llegó a sus manos, pues compareció en el Juzgado requirente el mismo día 13 de noviembre en el que por el Juzgado de lo Social núm. 2 se le facilitó el documento.</w:t>
      </w:r>
    </w:p>
    <w:p w:rsidR="00DE14C9" w:rsidRDefault="00DE14C9" w:rsidP="00DE14C9">
      <w:pPr>
        <w:pStyle w:val="TextoNormal"/>
      </w:pPr>
    </w:p>
    <w:p w:rsidR="00DE14C9" w:rsidRDefault="00DE14C9" w:rsidP="00DE14C9">
      <w:pPr>
        <w:pStyle w:val="TextoNormal"/>
      </w:pPr>
      <w:r w:rsidRPr="00DE14C9">
        <w:rPr>
          <w:rStyle w:val="NumeroAFNegritaCaracter"/>
        </w:rPr>
        <w:t>6</w:t>
      </w:r>
      <w:r>
        <w:t>. El órgano judicial rechazó la validez de ese intento razonando que cuando la demandante presentó el testimonio recibido del Juzgado de lo Social núm. 2 de Sevilla el mismo carecía del necesario detalle respecto del documento de pretendida acreditación, además de ser inexistente en uno de los folios cualquier sello, firma o rúbrica que lo validase; que tal deficiencia impedía tener por cierta la existencia del supuesto original, y que, aun en el caso de que así se estimare, habría también que entender que no se cumplió el requerimiento, pues, de otro modo, podrían las partes obtener múltiples testimonios de los documentos que figuren en distintos autos y si ello bastase para admitir sus acciones les sería posible entablarlas ante distintos órganos judiciales para después elegir cuál de éstos enjuiciaría su causa, constituyendo una infracción procesal que no se ha de permitir. Se afirma, asimismo, que el Centro de Mediación, Arbitraje y Conciliación expide tantos documentos originales como numerosas sean las partes en litigio, de tal forma que cada trabajador posea siempre un original del acta, por lo que no era (o no debería haber sido) necesario solicitar testimonio alguno.</w:t>
      </w:r>
    </w:p>
    <w:p w:rsidR="00DE14C9" w:rsidRDefault="00DE14C9" w:rsidP="00DE14C9">
      <w:pPr>
        <w:pStyle w:val="TextoNormal"/>
      </w:pPr>
      <w:r>
        <w:t xml:space="preserve">Pues bien, ninguna de las razones expuestas permite calificar la decisión judicial de archivo como proporcionada y ajustada al principio pro actione. En primer lugar, porque la </w:t>
      </w:r>
      <w:r>
        <w:lastRenderedPageBreak/>
        <w:t>propia referencia que realiza el juzgador al testimonio recibido del Juzgado de lo Social núm. 2 de Sevilla parecería admitir la idoneidad de ese cauce, sin que pueda imputarse a la demandante, sino en su caso a aquel Juzgado, la supuesta insuficiencia del documento que le fue entregado. En segundo lugar, porque carece de todo fundamento, sustento procesal y racionalidad en términos lógicos la afirmación relativa al riesgo que ese modo de proceder podría conllevar en cuanto a la elección por las propias partes procesales del órgano judicial que va a sustanciar su causa, cuando lo cierto es que la demandante se limitó a pedir un testimonio para su entrega en el Juzgado de lo Social núm. 10 de Sevilla al que se había turnado su demanda, haciéndolo ante el órgano judicial en el que obraba el certificado del acto que se le solicitaba. Y, en tercer lugar, porque la afirmación de que no era preciso pedir testimonio al Juzgado de lo Social núm. 2 de Sevilla, dado que el organismo administrativo conciliatorio entrega tantos documentos originales como numerosas sean las partes en litigio, se opone a la idea misma de subsanación y, por ello, a la oportunidad de subsanación acordada. Esto es, como se deriva de la existencia misma del requerimiento de 4 de noviembre de 2003, o bien se está admitiendo que el documento no obraba en origen en posesión de la demandante o, en todo caso, se está aceptando que no haberlo presentado con la demanda no excluía la posibilidad de hacerlo llegar en ese momento posterior al Juzgado de lo Social núm. 10 de Sevilla sin riesgo para la viabilidad de acción. Por lo demás, así se concluye a la vista de la regulación legal a la que antes hicimos referencia, por cuanto el citado art. 81.2 LPL prescribe la admisión a trámite de la demanda de modo provisional en esos casos, con la posibilidad de subsanar no ya una acreditación defectuosa del intento de conciliación, sino incluso la ausencia completa de acreditación de la celebración o intento de ese acto.</w:t>
      </w:r>
    </w:p>
    <w:p w:rsidR="00DE14C9" w:rsidRDefault="00DE14C9" w:rsidP="00DE14C9">
      <w:pPr>
        <w:pStyle w:val="TextoNormal"/>
      </w:pPr>
      <w:r>
        <w:t>En relación aún con este último problema, tampoco resulta admisible el razonamiento del Auto de 6 de febrero de 2004 de interpretarse como una indicación de que la demandante debió acudir al Centro de Mediación, Arbitraje y Conciliación, en lugar de al Juzgado de lo Social núm. 2 de Sevilla, a solicitar el documento que el órgano judicial le requería. En efecto, la voluntad de cumplimiento, y la diligencia de la parte en el intento de dar satisfacción a lo ordenado en un trámite de subsanación no puede confundirse con la elección del cauce más idóneo u óptimo para obtener en plazo lo solicitado, en esencia porque ese juicio de oportunidad o idoneidad de la vía empleada no será a menudo objetivable o lo será muchas veces sólo a posteriori, una vez observado el resultado, lo que convierte en inexigible como condición de cumplimiento (y consiguientemente como condición de efectividad del derecho de acceso al proceso) acertar previamente en la elección del cauce utilizado. Será suficiente, por el contrario, que la fórmula seguida para intentar el cumplimiento del proveído resulte factible para el fin perseguido, esto es, eventualmente apta visto lo requerido y las circunstancias concurrentes.</w:t>
      </w:r>
    </w:p>
    <w:p w:rsidR="00DE14C9" w:rsidRDefault="00DE14C9" w:rsidP="00DE14C9">
      <w:pPr>
        <w:pStyle w:val="TextoNormal"/>
      </w:pPr>
      <w:r>
        <w:t>Y en este caso lo era, ya que no hay dato alguno que permita descartar que fuera posible obtener el documento en el Juzgado de lo Social núm. 2 de Sevilla. Al contrario, aunque el Auto de 6 de febrero de 2004 afirme que el testimonio finalmente presentado adolece de defectos de identificación del acto, y pese a que pueda admitirse que el mismo es un tanto confuso, la consulta de las actuaciones demuestra que el testimonio de referencia —folios 59 a 62— expedido por el Juzgado de lo Social núm.  2 de Sevilla, con diligencia de su Secretaria, permite comprobar que el acta de conciliación aportada coincide con la que la demandante presentó en fotocopia con su escrito de demanda, siendo idéntico su texto, la fecha del acto, la identificación de las partes, y los números de expediente, acreditando la celebración del acto de conciliación.</w:t>
      </w:r>
    </w:p>
    <w:p w:rsidR="00DE14C9" w:rsidRDefault="00DE14C9" w:rsidP="00DE14C9">
      <w:pPr>
        <w:pStyle w:val="TextoNormal"/>
      </w:pPr>
      <w:r>
        <w:lastRenderedPageBreak/>
        <w:t>Así pues, fuera o no el canal más adecuado el empleado por la parte demandante, representaba sin duda un medio posible de cumplimiento, irreprochable como expresión de la voluntad de satisfacción del requerimiento, más aún cuando no hubo indicación expresa del juzgador sobre la fórmula a emplear para obtener lo que reclamaba. Por lo demás, no hay elemento alguno del que deducir que con su conducta se haya lesionado la integridad del procedimiento o los derechos de las otras partes procesales. No se aprecian, en efecto, factores reveladores de una limitación del derecho de defensa de aquéllas como consecuencia del comportamiento procesal de la recurrente en amparo. Y tampoco se ha defraudado la finalidad que inspira el requisito de la conciliación previa, que en esta ocasión se ha cumplido materialmente, según se dijo a la vista de las actuaciones, y que ni siquiera objeta la compareciente en este proceso constitucional, Atento Teleservicios España, S.A.</w:t>
      </w:r>
    </w:p>
    <w:p w:rsidR="00DE14C9" w:rsidRDefault="00DE14C9" w:rsidP="00DE14C9">
      <w:pPr>
        <w:pStyle w:val="TextoNormal"/>
      </w:pPr>
    </w:p>
    <w:p w:rsidR="00DE14C9" w:rsidRDefault="00DE14C9" w:rsidP="00DE14C9">
      <w:pPr>
        <w:pStyle w:val="TextoNormal"/>
      </w:pPr>
      <w:r w:rsidRPr="00DE14C9">
        <w:rPr>
          <w:rStyle w:val="NumeroAFNegritaCaracter"/>
        </w:rPr>
        <w:t>7</w:t>
      </w:r>
      <w:r>
        <w:t>. Finalmente, a igual conclusión se llega analizando las características del requerimiento judicial, que, según se dijo, debe favorecer la subsanación. En efecto, tiene importancia recordar que el órgano judicial admitió a trámite la demanda sin dar a la recurrente el plazo de subsanación regulado en el art. 81.2 LPL (quince días, computados como en él se indica), concediéndole únicamente el previsto en el art. 81.1 LPL (cuatro días, en los términos del precepto), y que no lo hizo al presentarse la demanda, que como se ha dicho inicialmente admitió, sino en un momento posterior, incluso sin dictar resolución expresa al comunicárselo verbalmente en el acto de la vista oral del día 4 de noviembre de 2003.</w:t>
      </w:r>
    </w:p>
    <w:p w:rsidR="00DE14C9" w:rsidRDefault="00DE14C9" w:rsidP="00DE14C9">
      <w:pPr>
        <w:pStyle w:val="TextoNormal"/>
      </w:pPr>
      <w:r>
        <w:t>Esa actuación judicial, sea o no admisible con base en la regulación procesal, no favoreció la claridad del requerimiento. Tan es así que ni siquiera consta fehacientemente qué fue lo solicitado (de hecho parecen discrepar el órgano judicial y la recurrente en amparo sobre los términos del requerimiento, diciendo aquél —según se comprueba en los Autos recurridos— que solicitó se aportara “original del acta de conciliación”, y afirmando ésta, en cambio, según se desprende de las actuaciones, que se le ordenó aportar u “original” o una “copia certificada del acta de conciliación”). Ha de reconocerse, en suma, la indeterminación del mandato judicial. Y cabe añadir, como destaca el Ministerio Fiscal, la inactividad del órgano judicial, a pesar de que la parte le solicitó su directa intervención.</w:t>
      </w:r>
    </w:p>
    <w:p w:rsidR="00DE14C9" w:rsidRDefault="00DE14C9" w:rsidP="00DE14C9">
      <w:pPr>
        <w:pStyle w:val="TextoNormal"/>
      </w:pPr>
      <w:r>
        <w:t>Por todo ello, la causa esgrimida por el órgano judicial no podía determinar el archivo en el caso de autos, al resultar desproporcionada su aplicación a la vista de ese conjunto de circunstancias concurrentes, constituyendo una decisión contraria al derecho de acceso al proceso integrado en el fundamental a la tutela judicial efectiva (art. 24.1 CE). Procede, en consecuencia, estimar el presente recurso de amparo.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doña Inmaculada Romera Bernal y, en consecuencia:</w:t>
      </w:r>
    </w:p>
    <w:p w:rsidR="00DE14C9" w:rsidRDefault="00DE14C9" w:rsidP="00DE14C9">
      <w:pPr>
        <w:pStyle w:val="TextoNormal"/>
      </w:pPr>
      <w:r>
        <w:t>1º Reconocer su derecho a la tutela judicial efectiva (art. 24.1 CE).</w:t>
      </w:r>
    </w:p>
    <w:p w:rsidR="00DE14C9" w:rsidRDefault="00DE14C9" w:rsidP="00DE14C9">
      <w:pPr>
        <w:pStyle w:val="TextoNormal"/>
      </w:pPr>
      <w:r>
        <w:t>2º Anular los Autos del Juzgado de lo Social núm. 10 de Sevilla, de 14 de noviembre de 2003 y 6 de febrero de 2004, dictados en las actuaciones núm. 696-2003.</w:t>
      </w:r>
    </w:p>
    <w:p w:rsidR="00DE14C9" w:rsidRDefault="00DE14C9" w:rsidP="00DE14C9">
      <w:pPr>
        <w:pStyle w:val="TextoNormal"/>
      </w:pPr>
      <w:r>
        <w:lastRenderedPageBreak/>
        <w:t>3º Retrotraer las actuaciones al momento procesal anterior a la primera de dichas resoluciones a fin de que por el Juzgado de lo Social núm. 10 de Sevilla se dicte nueva resolución respetuosa con el derecho fundamental reconocido.</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veintiuno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33" w:name="SENTENCIA_2007_120"/>
      <w:r>
        <w:lastRenderedPageBreak/>
        <w:t>SENTENCIA 120/2007, de 21 de mayo de 2007</w:t>
      </w:r>
    </w:p>
    <w:bookmarkEnd w:id="33"/>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149, de 22 de junio de 2007)</w:t>
      </w:r>
    </w:p>
    <w:p w:rsidR="00DE14C9" w:rsidRDefault="00DE14C9" w:rsidP="00DE14C9">
      <w:pPr>
        <w:pStyle w:val="TtuloBOE"/>
      </w:pPr>
    </w:p>
    <w:p w:rsidR="00DE14C9" w:rsidRDefault="00DE14C9" w:rsidP="00DE14C9">
      <w:pPr>
        <w:pStyle w:val="SntesisDescriptiva"/>
      </w:pPr>
      <w:r>
        <w:t>ECLI:ES:TC:2007:120</w:t>
      </w:r>
    </w:p>
    <w:p w:rsidR="00DE14C9" w:rsidRDefault="00DE14C9" w:rsidP="00DE14C9">
      <w:pPr>
        <w:pStyle w:val="SntesisDescriptiva"/>
      </w:pPr>
    </w:p>
    <w:p w:rsidR="00DE14C9" w:rsidRDefault="00DE14C9" w:rsidP="00DE14C9">
      <w:pPr>
        <w:pStyle w:val="SntesisDescriptiva"/>
      </w:pPr>
      <w:r>
        <w:t>Recurso de amparo 3041-2004. Promovido por don José Luis Varez Fisa y otra respecto del Auto de un Juzgado de Primera Instancia de Madrid en incidente de ejecución provisional de un litigio sobre abono de cantidad por una compraventa de acciones.</w:t>
      </w:r>
    </w:p>
    <w:p w:rsidR="00DE14C9" w:rsidRDefault="00DE14C9" w:rsidP="00DE14C9">
      <w:pPr>
        <w:pStyle w:val="SntesisDescriptiva"/>
      </w:pPr>
    </w:p>
    <w:p w:rsidR="00DE14C9" w:rsidRDefault="00DE14C9" w:rsidP="00DE14C9">
      <w:pPr>
        <w:pStyle w:val="SntesisAnaltica"/>
      </w:pPr>
      <w:r>
        <w:t>Vulneración del derecho a la tutela judicial efectiva: imposición de costas procesales en el trámite de oposición a la ejecución provisional de un fallo civil sin motivación.</w:t>
      </w:r>
    </w:p>
    <w:p w:rsidR="00DE14C9" w:rsidRDefault="00DE14C9" w:rsidP="00DE14C9">
      <w:pPr>
        <w:pStyle w:val="SntesisAnaltica"/>
      </w:pPr>
    </w:p>
    <w:p w:rsidR="00DE14C9" w:rsidRDefault="00DE14C9" w:rsidP="00DE14C9">
      <w:pPr>
        <w:pStyle w:val="Extracto"/>
      </w:pPr>
      <w:r>
        <w:t>1.</w:t>
      </w:r>
      <w:r>
        <w:tab/>
        <w:t>El órgano judicial, al imponer las costas a los recurrentes en el incidente de oposición a la ejecución provisional, cuando habían visto en parte estimada su oposición, dictó una resolución que incurrió en un defecto de motivación con relevancia constitucional que implica el otorgamiento del amparo por vulneración del derecho a la tutela judicial efectiva [FJ 3].</w:t>
      </w:r>
    </w:p>
    <w:p w:rsidR="00DE14C9" w:rsidRDefault="00DE14C9" w:rsidP="00DE14C9">
      <w:pPr>
        <w:pStyle w:val="Extracto"/>
      </w:pPr>
    </w:p>
    <w:p w:rsidR="00DE14C9" w:rsidRDefault="00DE14C9" w:rsidP="00DE14C9">
      <w:pPr>
        <w:pStyle w:val="Extracto"/>
      </w:pPr>
      <w:r>
        <w:t>2.</w:t>
      </w:r>
      <w:r>
        <w:tab/>
        <w:t>La decisión sobre la imposición de costas es una cuestión de legalidad ordinaria que corresponde en exclusiva a los órganos judiciales, lo que no priva al Tribunal Constitucional de la competencia para enjuiciar si la decisión judicial ha podido suponer la lesión del derecho a la tutela judicial efectiva cuando la resolución judicial resulte inmotivada o incurra en error patente, arbitrariedad manifiesta, irrazonabilidad (STC 261/2006) [FJ 2].</w:t>
      </w:r>
    </w:p>
    <w:p w:rsidR="00DE14C9" w:rsidRDefault="00DE14C9" w:rsidP="00DE14C9">
      <w:pPr>
        <w:pStyle w:val="Extracto"/>
      </w:pPr>
    </w:p>
    <w:p w:rsidR="00DE14C9" w:rsidRDefault="00DE14C9" w:rsidP="00DE14C9">
      <w:pPr>
        <w:pStyle w:val="Extracto"/>
      </w:pPr>
      <w:r>
        <w:t>3.</w:t>
      </w:r>
      <w:r>
        <w:tab/>
        <w:t>El órgano judicial al imponer las costas a los recurrentes en el incidente de oposición a la ejecución provisional, cuando habían visto en parte estimada su oposición, incurre en un defecto de motivación ya que al no existir norma específica sobre la condena en costas en el trámite de oposición a la ejecución provisional, debe aplicar las normas generales en las que se prevé, para estos casos, que cada parte abonará las causadas a su instancia y las comunes por mitad [FJ 3].</w:t>
      </w:r>
    </w:p>
    <w:p w:rsidR="00DE14C9" w:rsidRDefault="00DE14C9" w:rsidP="00DE14C9">
      <w:pPr>
        <w:pStyle w:val="Extracto"/>
      </w:pPr>
    </w:p>
    <w:p w:rsidR="00DE14C9" w:rsidRDefault="00DE14C9" w:rsidP="00DE14C9">
      <w:pPr>
        <w:pStyle w:val="Extracto"/>
      </w:pPr>
      <w:r>
        <w:t>4.</w:t>
      </w:r>
      <w:r>
        <w:tab/>
        <w:t>La recurrente reúne los requisitos necesarios para contar con legitimación activa en el presente amparo ya que fue parte en el concreto incidente que ha dado lugar al amparo (art. 46.1.b LOTC) y no puede descartarse que haya sido directamente afectada por el concreto pronunciamiento de la resolución impugnada (STC 298/2006) [FJ  1].</w:t>
      </w:r>
    </w:p>
    <w:p w:rsidR="00DE14C9" w:rsidRDefault="00DE14C9" w:rsidP="00DE14C9">
      <w:pPr>
        <w:pStyle w:val="Extracto"/>
      </w:pPr>
    </w:p>
    <w:p w:rsidR="00DE14C9" w:rsidRDefault="00DE14C9" w:rsidP="00DE14C9">
      <w:pPr>
        <w:pStyle w:val="Extracto"/>
      </w:pPr>
      <w:r>
        <w:t>5.</w:t>
      </w:r>
      <w:r>
        <w:tab/>
        <w:t>El otorgamiento del amparo limita la anulación de la resolución impugnada al extremo relativo a la imposición de costas, por lo que la retroacción de actuaciones ha de ser a los únicos efectos de que se dicte nueva resolución respecto de esta concreta cuestión respetuosa con el derecho fundamental vulnerado [FJ 3].</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 xml:space="preserve">La Sala Primera del Tribunal Constitucional, compuesta por doña María Emilia Casas Baamonde, Presidenta, don Javier Delgado Barrio, don Roberto García-Calvo y Montiel, </w:t>
      </w:r>
      <w:r>
        <w:lastRenderedPageBreak/>
        <w:t>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3041-2004, promovido por don José Luis Varez Fisa y doña María Milagros Benegas Mendía, representados por el Procurador de los Tribunales don Fernando Ruiz de Velasco Martínez Ercilla y bajo la dirección del Letrado don Bartolomé Alfonso Ferrer, contra el Auto del Juzgado de Primera Instancia núm. 51 de Madrid de 16 de abril de 2004, dictado en el procedimiento de ejecución provisional núm. 204-2004. Ha comparecido doña Leticia Varez Benegas, representada por el Procurador de los Tribunales don Alfonso de Murga y Florido y bajo la dirección del Letrado don Antonio Valle Bonilla. Ha intervenido el Ministerio Fiscal. Ha sido Ponente el Magistrado don Pablo Pérez Tremps,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registrado en este Tribunal el 13 de mayo de 2004, el Procurador de los Tribunales don Fernando Ruiz de Velasco Martínez Ercilla, en nombre y representación de don José Luis Varez Fisa y doña María Milagros Benegas Mendía, y bajo la dirección del Letrado don Bartolomé Alfonso Ferrer, interpuso demanda de amparo contra la resolución citada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El recurso tiene su origen en los siguientes antecedentes: </w:t>
      </w:r>
    </w:p>
    <w:p w:rsidR="00DE14C9" w:rsidRDefault="00DE14C9" w:rsidP="00DE14C9">
      <w:pPr>
        <w:pStyle w:val="TextoNormal"/>
      </w:pPr>
      <w:r>
        <w:t xml:space="preserve">a) Los recurrentes fueron demandados por su hija doña Leticia Varez Benegas, dando lugar al procedimiento civil ordinario núm. 550-2002, que fue tramitado por el Juzgado de Primera Instancia núm. 51 de Madrid. Por Sentencia de 5 de diciembre de 2003 se estimó parcialmente la demanda, siendo condenado el recurrente don José Luis Varez Fisa a abonar a la actora una determina cantidad de dinero, como consecuencia de la compraventa de acciones entre ambas partes. Dicha Sentencia fue recurrida en apelación por todas las partes personadas. </w:t>
      </w:r>
    </w:p>
    <w:p w:rsidR="00DE14C9" w:rsidRDefault="00DE14C9" w:rsidP="00DE14C9">
      <w:pPr>
        <w:pStyle w:val="TextoNormal"/>
      </w:pPr>
      <w:r>
        <w:t xml:space="preserve">b) La parte actora solicitó la ejecución provisional de la citada Sentencia, dando lugar al procedimiento de ejecución provisional núm. 204-2004, acordándose por Auto de 3 de marzo de 2004 su despacho frente al recurrente en amparo don José Luis Varez Fisa por importe de 9.154.482,47 € más otros 3.000.000 € para intereses y costas, decretándose el embargo de determinados bienes de titularidad del ejecutado. </w:t>
      </w:r>
    </w:p>
    <w:p w:rsidR="00DE14C9" w:rsidRDefault="00DE14C9" w:rsidP="00DE14C9">
      <w:pPr>
        <w:pStyle w:val="TextoNormal"/>
      </w:pPr>
      <w:r>
        <w:t xml:space="preserve">c) Los recurrentes formularon escrito de oposición a la ejecución provisional, solicitando, entre otras peticiones, que se redujera de la cantidad de 2.166.885,26 € el importe correspondiente a los intereses y costas de la ejecución. Por Auto de 16 de abril de 2004, en cuyos hechos se considera como ejecutados a ambos recurrentes, se desestimaron todas las solicitudes realizadas excepto la relativa a reducir la cantidad provisionalmente señalada para </w:t>
      </w:r>
      <w:r>
        <w:lastRenderedPageBreak/>
        <w:t>intereses y costas, que se fijó en 2.746.344,74 €, al considerar que era la cuantía a fijar en estricta aplicación del art. 575.1 LEC. En la parte dispositiva del citado Auto se imponen las costas del incidente a la parte ejecutada.</w:t>
      </w:r>
    </w:p>
    <w:p w:rsidR="00DE14C9" w:rsidRDefault="00DE14C9" w:rsidP="00DE14C9">
      <w:pPr>
        <w:pStyle w:val="TextoNormal"/>
      </w:pPr>
    </w:p>
    <w:p w:rsidR="00DE14C9" w:rsidRDefault="00DE14C9" w:rsidP="00DE14C9">
      <w:pPr>
        <w:pStyle w:val="TextoNormal"/>
      </w:pPr>
      <w:r w:rsidRPr="00DE14C9">
        <w:rPr>
          <w:rStyle w:val="NumeroAFNegritaCaracter"/>
        </w:rPr>
        <w:t>3</w:t>
      </w:r>
      <w:r>
        <w:t>. Los recurrentes aducen en la demanda de amparo que se ha vulnerado su derecho a la tutela judicial efectiva (art. 24.1 CE), en tanto que la decisión sobre la imposición de costas no cumple con las exigencias constitucionales de motivación, al carecer total y absolutamente de ésta y, en todo caso, no cuenta con respaldo legal, toda vez que la regulación de la LEC sobre la ejecución provisional de sentencias no firmes no prevé la condena al pago de las costas y, aun en el supuesto de que se considerasen aplicables las normas genéricas sobre condena en costas, el art. 394.2 LEC establece que en los casos de estimación parcial cada parte habrá de abonar las costas causadas a su instancia, salvo que una de ellas hubiera litigado “con temeridad”, circunstancia que no concurre en el presente caso.</w:t>
      </w:r>
    </w:p>
    <w:p w:rsidR="00DE14C9" w:rsidRDefault="00DE14C9" w:rsidP="00DE14C9">
      <w:pPr>
        <w:pStyle w:val="TextoNormal"/>
      </w:pPr>
    </w:p>
    <w:p w:rsidR="00DE14C9" w:rsidRDefault="00DE14C9" w:rsidP="00DE14C9">
      <w:pPr>
        <w:pStyle w:val="TextoNormal"/>
      </w:pPr>
      <w:r w:rsidRPr="00DE14C9">
        <w:rPr>
          <w:rStyle w:val="NumeroAFNegritaCaracter"/>
        </w:rPr>
        <w:t>4</w:t>
      </w:r>
      <w:r>
        <w:t>. Por diligencia de ordenación de la Secretaría de Justicia de la Sala Primera de este Tribunal de 28 de abril de 2006 se requirió al Juzgado de Primera Instancia núm. 51 de Madrid la remisión del testimonio de las actuaciones. Un vez recibidas, la Sección Segunda del Tribunal Constitucional, por providencia de 20 de julio de 2006, acordó admitir a trámite la demanda de amparo y, en aplicación de lo dispuesto en el art. 51 LOTC, requerir del citado órgano judicial el emplazamiento de quienes hubieran sido parte en el procedimiento, a excepción de los recurrentes, para que pudiesen comparecer en el plazo de diez días en el presente proceso de amparo. Igualmente se acordó formar la correspondiente pieza separada de suspensión, en la que, tras los trámites oportunos, se dictó por la Sala Primera de este Tribunal el ATC 313/2006, de 25 de septiembre de 2006, acordando denegar la suspensión solicitada.</w:t>
      </w:r>
    </w:p>
    <w:p w:rsidR="00DE14C9" w:rsidRDefault="00DE14C9" w:rsidP="00DE14C9">
      <w:pPr>
        <w:pStyle w:val="TextoNormal"/>
      </w:pPr>
    </w:p>
    <w:p w:rsidR="00DE14C9" w:rsidRDefault="00DE14C9" w:rsidP="00DE14C9">
      <w:pPr>
        <w:pStyle w:val="TextoNormal"/>
      </w:pPr>
      <w:r w:rsidRPr="00DE14C9">
        <w:rPr>
          <w:rStyle w:val="NumeroAFNegritaCaracter"/>
        </w:rPr>
        <w:t>5</w:t>
      </w:r>
      <w:r>
        <w:t>. Por diligencia de ordenación de la Secretaría de Justicia de la Sala Primera de este Tribunal de 25 de septiembre de 2006 se acordó tener por personado y parte al Procurador de los Tribunales don Alfonso de Murga y Florio, en nombre y representación de doña Leticia Varez Benegas, así como dar vista de las actuaciones a las partes personadas y al Ministerio Fiscal por plazo común de veinte días para presentar las alegaciones que estimasen pertinentes, de conformidad con el art. 52.1 LOTC.</w:t>
      </w:r>
    </w:p>
    <w:p w:rsidR="00DE14C9" w:rsidRDefault="00DE14C9" w:rsidP="00DE14C9">
      <w:pPr>
        <w:pStyle w:val="TextoNormal"/>
      </w:pPr>
    </w:p>
    <w:p w:rsidR="00DE14C9" w:rsidRDefault="00DE14C9" w:rsidP="00DE14C9">
      <w:pPr>
        <w:pStyle w:val="TextoNormal"/>
      </w:pPr>
      <w:r w:rsidRPr="00DE14C9">
        <w:rPr>
          <w:rStyle w:val="NumeroAFNegritaCaracter"/>
        </w:rPr>
        <w:t>6</w:t>
      </w:r>
      <w:r>
        <w:t>. El Ministerio Fiscal, en escrito registrado el 3 de noviembre de 2006, interesó que se otorgara el amparo por vulneración del derecho a la tutela judicial efectiva (art. 24.1 CE) y se declarara la nulidad de la resolución impugnada con retroacción de actuaciones para que se dictara una nueva con respeto al derecho fundamental vulnerado. A estos efectos se destaca que la resolución impugnada no contiene criterio alguno para justificar la imposición de las costas a los recurrentes, no exponiendo razonamiento alguno sobre el particular en su fundamentación, y que, además, la decisión de condena en costas tampoco puede deducirse de la argumentación sobre el fondo de la controversia ni justificarse a partir de la temeridad del litigante parcialmente vencido.</w:t>
      </w:r>
    </w:p>
    <w:p w:rsidR="00DE14C9" w:rsidRDefault="00DE14C9" w:rsidP="00DE14C9">
      <w:pPr>
        <w:pStyle w:val="TextoNormal"/>
      </w:pPr>
    </w:p>
    <w:p w:rsidR="00DE14C9" w:rsidRDefault="00DE14C9" w:rsidP="00DE14C9">
      <w:pPr>
        <w:pStyle w:val="TextoNormal"/>
      </w:pPr>
      <w:r w:rsidRPr="00DE14C9">
        <w:rPr>
          <w:rStyle w:val="NumeroAFNegritaCaracter"/>
        </w:rPr>
        <w:t>7</w:t>
      </w:r>
      <w:r>
        <w:t xml:space="preserve">. La representación de doña Leticia Varez Benegas, en escrito registrado el 27 de octubre de 2006, interesó la desestimación del recurso de amparo. En primer lugar, se discute la legitimación de doña María Milagros Benegas Mendía para interponer el presente recurso </w:t>
      </w:r>
      <w:r>
        <w:lastRenderedPageBreak/>
        <w:t>de amparo, habida cuenta de que la condena en costas impugnada se dirige únicamente contra don José Luis Varez Fisa. Y, en segundo lugar, se argumenta que la resolución impugnada ha impuesto las costas del incidente de oposición a la ejecución provisional, que siempre son a cargo del ejecutado sin necesidad de expresa imposición, en aplicación del art. 539.2.II LEC.</w:t>
      </w:r>
    </w:p>
    <w:p w:rsidR="00DE14C9" w:rsidRDefault="00DE14C9" w:rsidP="00DE14C9">
      <w:pPr>
        <w:pStyle w:val="TextoNormal"/>
      </w:pPr>
    </w:p>
    <w:p w:rsidR="00DE14C9" w:rsidRDefault="00DE14C9" w:rsidP="00DE14C9">
      <w:pPr>
        <w:pStyle w:val="TextoNormal"/>
      </w:pPr>
      <w:r w:rsidRPr="00DE14C9">
        <w:rPr>
          <w:rStyle w:val="NumeroAFNegritaCaracter"/>
        </w:rPr>
        <w:t>8</w:t>
      </w:r>
      <w:r>
        <w:t>. Los recurrentes, en escrito registrado el 23 de octubre de 2006, presentaron alegaciones reiterando sustancialmente las recogidas en la demanda de amparo.</w:t>
      </w:r>
    </w:p>
    <w:p w:rsidR="00DE14C9" w:rsidRDefault="00DE14C9" w:rsidP="00DE14C9">
      <w:pPr>
        <w:pStyle w:val="TextoNormal"/>
      </w:pPr>
    </w:p>
    <w:p w:rsidR="00DE14C9" w:rsidRDefault="00DE14C9" w:rsidP="00DE14C9">
      <w:pPr>
        <w:pStyle w:val="TextoNormal"/>
      </w:pPr>
      <w:r w:rsidRPr="00DE14C9">
        <w:rPr>
          <w:rStyle w:val="NumeroAFNegritaCaracter"/>
        </w:rPr>
        <w:t>9</w:t>
      </w:r>
      <w:r>
        <w:t>. Por providencia de 3 de mayo de 2007 se señaló para la deliberación y votación de la presente Sentencia el día 7 del mismo mes y año, trámite que ha finalizado en el día de la fecha.</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El objeto del presente recurso de amparo es determinar si la resolución impugnada ha vulnerado el derecho de los recurrentes a la tutela judicial efectiva (art. 24.1 CE), por haber impuesto el pago de costas procesales en el incidente de ejecución provisional sin cumplir con las exigencias constitucionales de motivación para adoptar dicha decisión.</w:t>
      </w:r>
    </w:p>
    <w:p w:rsidR="00DE14C9" w:rsidRDefault="00DE14C9" w:rsidP="00DE14C9">
      <w:pPr>
        <w:pStyle w:val="TextoNormal"/>
      </w:pPr>
      <w:r>
        <w:t>Antes de ello, sin embargo, es necesario descartar la concurrencia del óbice procesal opuesto por la representación procesal de doña Leticia Varez Benegas, respecto de la legitimación activa de la recurrente doña María Milagros Benegas Mendía para interponer este amparo, fundamentado en que la condena en costas se dirige únicamente contra el otro recurrente don José Luis Varez Fisa. A esos efectos, debe destacarse que, tal como se ha expuesto con más detalle en los antecedentes, si bien es cierto que la Sentencia cuya ejecución provisional se pretendía sólo condenó al recurrente don José Luis Varez Fisa y que, incluso, el Auto de 3 de marzo de 2004 acordó el despacho de la ejecución únicamente respecto de éste, sin embargo el escrito formulando oposición a la ejecución provisional estaba suscrito por ambos recurrentes y en la resolución impugnada en amparo expresamente se considera como ejecutados a ambos, condenándose en costas de manera genérica a la parte ejecutada. Ello, por sí solo, permite afirmar que en doña María Milagros Benegas Mendía concurren los requisitos necesarios para contar con legitimación activa en el presente amparo, toda vez que no sólo ha sido parte en el concreto incidente que ha dado lugar a este amparo, tal como exige el art. 46.1 b) LOTC, sino que, además, no puede descartarse que haya sido directamente afectada por el concreto pronunciamiento de la resolución impugnada cuya constitucionalidad es el objeto de debate. Todo ello dota a esta recurrente de un interés legítimo, en el sentido establecido en el art. 162.1 b) CE, que, como ha reiterado este Tribunal, es la circunstancia determinante para entender que concurre la legitimación activa discutida (por todas, STC 298/2006, de 23 de abril, FJ 4).</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Entrando al fondo de la invocación del derecho a la tutela judicial efectiva (art. 24.1 CE), es preciso señalar que este Tribunal ha reiterado que la decisión sobre la imposición de costas es una cuestión de legalidad ordinaria que corresponde en exclusiva a los órganos judiciales, si bien destacando que, siendo la imposición de costas una de las consecuencias o condiciones que pueden incidir en el derecho de acceso a la jurisdicción o que pueden </w:t>
      </w:r>
      <w:r>
        <w:lastRenderedPageBreak/>
        <w:t>actuar en perjuicio de quien actúa jurisdiccionalmente, existen también una serie de exigencias que el respeto a dicho acceso —integrante del derecho de tutela judicial consagrado en el art. 24.1 CE— impone tanto al legislador como a los órganos judiciales. En relación con estos últimos, se ha afirmado que están obligados a aplicar esas condiciones o consecuencias cuando éstas se funden en norma legal, de forma razonada y con la correspondiente motivación; de forma que no pueden, en el caso que enjuicien, imponer requisitos o consecuencias impeditivos, obstaculizadores, limitativos o disuasorios del ejercicio de las acciones si no existe previsión legal de los mismos ni, en el caso de tener fundamento legal, olvidando las exigencias de motivación. Por esta razón, la competencia de los órganos de la jurisdicción ordinaria para decidir sobre la imposición de las costas en el proceso no priva a este Tribunal Constitucional de la competencia para enjuiciar, a través del proceso de amparo, si la decisión judicial ha podido suponer la lesión del derecho a la tutela judicial efectiva (art. 24.1 CE) cuando la resolución judicial resulte inmotivada o incurra en error patente, arbitrariedad manifiesta, irrazonabilidad (por todas, STC 261/2006, de 11 de septiembre, FJ 1).</w:t>
      </w:r>
    </w:p>
    <w:p w:rsidR="00DE14C9" w:rsidRDefault="00DE14C9" w:rsidP="00DE14C9">
      <w:pPr>
        <w:pStyle w:val="TextoNormal"/>
      </w:pPr>
    </w:p>
    <w:p w:rsidR="00DE14C9" w:rsidRDefault="00DE14C9" w:rsidP="00DE14C9">
      <w:pPr>
        <w:pStyle w:val="TextoNormal"/>
      </w:pPr>
      <w:r w:rsidRPr="00DE14C9">
        <w:rPr>
          <w:rStyle w:val="NumeroAFNegritaCaracter"/>
        </w:rPr>
        <w:t>3</w:t>
      </w:r>
      <w:r>
        <w:t>. En el presente caso, como ha quedado acreditado en las actuaciones y ha sido expuesto con más detalle en los antecedentes, se constata que la resolución impugnada ha condenado en costas a la parte ejecutada, quien había visto parcialmente estimada su oposición a la ejecución provisional pretendida, sin haber hecho consideración alguna sobre el particular en la fundamentación jurídica. Del mismo modo, también debe descartarse que resulte inequívoco el posible fundamento normativo de la decisión adoptada, toda vez que, no existiendo norma específica sobre la condena en costas en el trámite de oposición a la ejecución provisional, en las normas generales sobre la condena en costas se prevé para los casos de estimación parcial, como es el presente, que cada parte abonará las causadas a su instancia y las comunes por mitad, a no ser que hubiere méritos para imponerlas a una de ellas por haber litigado con temeridad (art. 394.2 de la Ley de enjuiciamiento civil: LEC), siendo también este criterio el que parece presidir el régimen de imposición de costas en la oposición a la ejecución definitiva (arts. 559.2, párrafo segundo, y 561.1 y 2 LEC respecto a la oposición por motivos procesales o de fondo, respectivamente).</w:t>
      </w:r>
    </w:p>
    <w:p w:rsidR="00DE14C9" w:rsidRDefault="00DE14C9" w:rsidP="00DE14C9">
      <w:pPr>
        <w:pStyle w:val="TextoNormal"/>
      </w:pPr>
      <w:r>
        <w:t>Pues bien, en atención a lo expuesto, y tal como también ha manifestado el Ministerio Fiscal, debe concluirse que el órgano judicial al imponer las costas a los recurrentes en el incidente de oposición a la ejecución provisional, cuando habían visto en parte estimada su oposición, ha dictado una resolución sobre este concreto aspecto incurriendo en un defecto de motivación con relevancia constitucional que debe implicar el otorgamiento del amparo por vulneración del derecho a la tutela judicial efectiva (art. 24.1 CE). En efecto, el órgano judicial ni ha motivado su decisión de imposición de costas, ni ha señalado los fundamentos legales de la misma, sin que tampoco quepa deducir o evidenciar de manera clara de la fundamentación y contexto de la resolución judicial impugnada cuál ha sido la normativa aplicable y la eventual concurrencia de los requisitos legales necesarios para adoptar dicha decisión. Todo ello, en última instancia, ha impedido conocer a los recurrentes las razones de fondo de la decisión judicial adoptada sobre este particular, en contradicción con las exigencias constitucionales de motivación impuestas por el art. 24.1 CE.</w:t>
      </w:r>
    </w:p>
    <w:p w:rsidR="00DE14C9" w:rsidRDefault="00DE14C9" w:rsidP="00DE14C9">
      <w:pPr>
        <w:pStyle w:val="TextoNormal"/>
      </w:pPr>
      <w:r>
        <w:t>El otorgamiento del amparo queda limitado a la anulación de la resolución impugnada en el extremo relativo a la imposición de costas, por lo que la retroacción de actuaciones lo ha de ser a los únicos efectos de que se dicte nueva resolución respecto de esta concreta cuestión respetuosa con el derecho fundamental vulnerado.</w:t>
      </w:r>
    </w:p>
    <w:p w:rsidR="00DE14C9" w:rsidRDefault="00DE14C9" w:rsidP="00DE14C9">
      <w:pPr>
        <w:pStyle w:val="TextoNormal"/>
      </w:pPr>
    </w:p>
    <w:p w:rsidR="00DE14C9" w:rsidRDefault="00DE14C9" w:rsidP="00DE14C9">
      <w:pPr>
        <w:pStyle w:val="TextoNormalCentrado"/>
        <w:keepNext/>
      </w:pPr>
      <w:r>
        <w:lastRenderedPageBreak/>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a don José Luis Varez Fisa y doña María Milagros Benegas Mendía el amparo solicitado y, en consecuencia:</w:t>
      </w:r>
    </w:p>
    <w:p w:rsidR="00DE14C9" w:rsidRDefault="00DE14C9" w:rsidP="00DE14C9">
      <w:pPr>
        <w:pStyle w:val="TextoNormal"/>
      </w:pPr>
      <w:r>
        <w:t>1º Reconocer su derecho a la tutela judicial efectiva (art. 24.1 CE).</w:t>
      </w:r>
    </w:p>
    <w:p w:rsidR="00DE14C9" w:rsidRDefault="00DE14C9" w:rsidP="00DE14C9">
      <w:pPr>
        <w:pStyle w:val="TextoNormal"/>
      </w:pPr>
      <w:r>
        <w:t>2º Declarar la nulidad del Auto del Juzgado de Primera Instancia núm. 51 de Madrid de 16 de abril de 200, dictado en el procedimiento de ejecución provisional núm. 204-2004, exclusivamente en lo relativo a la imposición de costas.</w:t>
      </w:r>
    </w:p>
    <w:p w:rsidR="00DE14C9" w:rsidRDefault="00DE14C9" w:rsidP="00DE14C9">
      <w:pPr>
        <w:pStyle w:val="TextoNormal"/>
      </w:pPr>
      <w:r>
        <w:t>3º Retrotraer las actuaciones al momento anterior al de dictarse dicho Auto para que se dicte una nueva resolución sobre la imposición de costas respetuosa con el derecho fundamental reconocido.</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veintiuno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34" w:name="SENTENCIA_2007_121"/>
      <w:r>
        <w:lastRenderedPageBreak/>
        <w:t>SENTENCIA 121/2007, de 21 de mayo de 2007</w:t>
      </w:r>
    </w:p>
    <w:bookmarkEnd w:id="34"/>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149, de 22 de junio de 2007)</w:t>
      </w:r>
    </w:p>
    <w:p w:rsidR="00DE14C9" w:rsidRDefault="00DE14C9" w:rsidP="00DE14C9">
      <w:pPr>
        <w:pStyle w:val="TtuloBOE"/>
      </w:pPr>
    </w:p>
    <w:p w:rsidR="00DE14C9" w:rsidRDefault="00DE14C9" w:rsidP="00DE14C9">
      <w:pPr>
        <w:pStyle w:val="SntesisDescriptiva"/>
      </w:pPr>
      <w:r>
        <w:t>ECLI:ES:TC:2007:121</w:t>
      </w:r>
    </w:p>
    <w:p w:rsidR="00DE14C9" w:rsidRDefault="00DE14C9" w:rsidP="00DE14C9">
      <w:pPr>
        <w:pStyle w:val="SntesisDescriptiva"/>
      </w:pPr>
    </w:p>
    <w:p w:rsidR="00DE14C9" w:rsidRDefault="00DE14C9" w:rsidP="00DE14C9">
      <w:pPr>
        <w:pStyle w:val="SntesisDescriptiva"/>
      </w:pPr>
      <w:r>
        <w:t>Recurso de amparo 3686-2004. Promovido por la Caja de Enfermedad Ersatzkasse respecto a los Autos de la Audiencia Provincial de Las Palmas y de un Juzgado de Instrucción de San Bartolomé de Tirajana, dictados en un juicio de faltas por imprudencia con resultado de muerte y lesiones en accidente de tráfico.</w:t>
      </w:r>
    </w:p>
    <w:p w:rsidR="00DE14C9" w:rsidRDefault="00DE14C9" w:rsidP="00DE14C9">
      <w:pPr>
        <w:pStyle w:val="SntesisDescriptiva"/>
      </w:pPr>
    </w:p>
    <w:p w:rsidR="00DE14C9" w:rsidRDefault="00DE14C9" w:rsidP="00DE14C9">
      <w:pPr>
        <w:pStyle w:val="SntesisAnaltica"/>
      </w:pPr>
      <w:r>
        <w:t>Vulneración del derecho a la tutela judicial efectiva (ejecución): denegación de requerimiento de pago al condenado principal para el abono de la responsabilidad civil directa en la parte no cubierta por el Consorcio de Compensación de Seguros.</w:t>
      </w:r>
    </w:p>
    <w:p w:rsidR="00DE14C9" w:rsidRDefault="00DE14C9" w:rsidP="00DE14C9">
      <w:pPr>
        <w:pStyle w:val="SntesisAnaltica"/>
      </w:pPr>
    </w:p>
    <w:p w:rsidR="00DE14C9" w:rsidRDefault="00DE14C9" w:rsidP="00DE14C9">
      <w:pPr>
        <w:pStyle w:val="Extracto"/>
      </w:pPr>
      <w:r>
        <w:t>1.</w:t>
      </w:r>
      <w:r>
        <w:tab/>
        <w:t>El Juzgado, en fase de ejecución, al rechazar el requerimiento al condenado principal del pago del resto de la indemnización no cubierta por el Consorcio, se ha apartado de lo fallado en la resolución ejecutada, ya que la Sentencia establecía la responsabilidad civil directa del conductor al pago de las indemnizaciones que se fijaran a favor de los perjudicados, limitando la responsabilidad civil directa del Consorcio hasta el tope del seguro obligatorio [FJ 2].</w:t>
      </w:r>
    </w:p>
    <w:p w:rsidR="00DE14C9" w:rsidRDefault="00DE14C9" w:rsidP="00DE14C9">
      <w:pPr>
        <w:pStyle w:val="Extracto"/>
      </w:pPr>
    </w:p>
    <w:p w:rsidR="00DE14C9" w:rsidRDefault="00DE14C9" w:rsidP="00DE14C9">
      <w:pPr>
        <w:pStyle w:val="Extracto"/>
      </w:pPr>
      <w:r>
        <w:t>2.</w:t>
      </w:r>
      <w:r>
        <w:tab/>
        <w:t>La decisión judicial en ejecución por la que se excluye la responsabilidad del condenado de hacer frente a las indemnizaciones acordadas por sentencia supone un claro apartamiento respecto de lo fallado en la resolución ejecutada, vulnerando el derecho a la tutela judicial efectiva [FJ 2].</w:t>
      </w:r>
    </w:p>
    <w:p w:rsidR="00DE14C9" w:rsidRDefault="00DE14C9" w:rsidP="00DE14C9">
      <w:pPr>
        <w:pStyle w:val="Extracto"/>
      </w:pPr>
    </w:p>
    <w:p w:rsidR="00DE14C9" w:rsidRDefault="00DE14C9" w:rsidP="00DE14C9">
      <w:pPr>
        <w:pStyle w:val="Extracto"/>
      </w:pPr>
      <w:r>
        <w:t>3.</w:t>
      </w:r>
      <w:r>
        <w:tab/>
        <w:t>El derecho a la tutela judicial efectiva comprende el derecho a la ejecución de las sentencias firmes en sus propios términos, obligando al cumplimiento de lo acordado por los Jueces y Tribunales en el ejercicio de la potestad jurisdiccional, lo que constituye una de las más importantes garantías para el funcionamiento y el desarrollo del Estado de Derecho (SSTC 140/2001, 305/2006) [FJ 1].</w:t>
      </w:r>
    </w:p>
    <w:p w:rsidR="00DE14C9" w:rsidRDefault="00DE14C9" w:rsidP="00DE14C9">
      <w:pPr>
        <w:pStyle w:val="Extracto"/>
      </w:pPr>
    </w:p>
    <w:p w:rsidR="00DE14C9" w:rsidRDefault="00DE14C9" w:rsidP="00DE14C9">
      <w:pPr>
        <w:pStyle w:val="Extracto"/>
      </w:pPr>
      <w:r>
        <w:t>4.</w:t>
      </w:r>
      <w:r>
        <w:tab/>
        <w:t>Para determinar si los Autos de ejecución se han apartado del significado y alcance de los pronunciamientos de la Sentencia de la que traen causa es necesario partir del examen de tales pronunciamientos que, plasmados en el fallo o parte dispositiva, son consecuencia de la fundamentación jurídica de dicha resolución judicial (SSTC 83/2001, 146/2002) [FJ 1].</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lastRenderedPageBreak/>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3686-2004, promovido por la entidad Caja de Enfermedad Ersatzkasse, representada por el Procurador de los Tribunales don Luis Delgado de Tena y asistida por el Abogado don Francisco Olivella Llacuna, contra el Auto de fecha 30 de abril de 2004, dictado por la Sección Primera de la Audiencia Provincial de Las Palmas, en el rollo núm. 175-2004, de la ejecutoria núm. 3-1999, por el que se desestima el recurso de apelación interpuesto contra el Auto de fecha 26 de septiembre de 2003, dictado por el Juzgado de Instrucción núm. 7 de los de San Bartolomé de Tirajana, en el juicio de faltas núm. 167-1997. Ha intervenido el Ministerio Fiscal. Han sido partes el Abogado del Estado, el Letrado del Instituto Nacional de la Seguridad Social, y don Eduardo Ortega Sosa, representado por la Procuradora de los Tribunales doña María Luz Albácar Medina y asistido jurídicamente por el Letrado don Mario Cosano Erro. Ha sido Ponente el Magistrado don Roberto García-Calvo y Montiel,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el Registro General de este Tribunal el día 8 de junio de 2003, don Luis Delgado de Tena, Procurador de los Tribunales, en nombre y representación de la entidad Caja de Enfermedad Barrer Ersatzkasse, interpuso recurso de amparo contra la resolución judicial a la que se ha hecho mención en el encabezamiento de esta Sentencia.</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El recurso tiene su origen en los siguientes antecedentes, que a continuación se exponen sucintamente: </w:t>
      </w:r>
    </w:p>
    <w:p w:rsidR="00DE14C9" w:rsidRDefault="00DE14C9" w:rsidP="00DE14C9">
      <w:pPr>
        <w:pStyle w:val="TextoNormal"/>
      </w:pPr>
      <w:r>
        <w:t xml:space="preserve">a) El Juzgado de Primera Instancia e Instrucción núm. 7 de los de San Bartolomé de Tirajana dictó Sentencia, de fecha 15 de enero de 1998, en el procedimiento de juicio de faltas núm. 167-1997, condenando a don Eduardo Ortega Sosa, como autor responsable de una falta contra la personas, de imprudencia leve con resultado de muerte y lesiones, prevista y penada en el art. 621.2 CP, a la pena de multa de un mes, con cuota diaria de 1.000 pesetas y arresto sustitutorio de un día por cada 2 cuotas diarias, privación del permiso de conducir vehículos de motor por tiempo de tres meses, y al pago de las costas, así como a indemnizar a los perjudicados por los perjuicios sufridos y, en particular, a la Caja de Enfermedad alemana Barmer Ersatzkasse por los gastos médicos de hospitalización y asistencia que haya podido sufragar o devengar, en las cantidades que se fijaran en ejecución de sentencia, con declaración de la responsabilidad civil directa en el abono de las cantidades que definitivamente pudieran fijarse en dicha fase de ejecución, y hasta el límite cuantitativo del aseguramiento obligatorio, del Consorcio de Compensación de Seguros. Dicha Sentencia adquirió firmeza al no ser recurrida. </w:t>
      </w:r>
    </w:p>
    <w:p w:rsidR="00DE14C9" w:rsidRDefault="00DE14C9" w:rsidP="00DE14C9">
      <w:pPr>
        <w:pStyle w:val="TextoNormal"/>
      </w:pPr>
      <w:r>
        <w:t xml:space="preserve">b) Ya en fase de ejecución, el Juzgado fue dictando distintos Autos y providencias fijando las cuantías de las indemnizaciones que debían ser satisfechas a los múltiples perjudicados </w:t>
      </w:r>
      <w:r>
        <w:lastRenderedPageBreak/>
        <w:t xml:space="preserve">por el Consorcio de Compensación de Seguros. Entre ellos, el Juzgado dictó Auto, de fecha 23 de mayo de 2001, que fijaba diversas cantidades, entre ellas la de 15.332.994 pesetas, a favor de la entidad demandante de amparo, “si bien con el límite de 100.000 pesetas establecido en el apartado c) del art. 13 del RD 2641/1986, de 30 de diciembre, por el que se aprueba el Reglamento del Seguro de Responsabilidad Civil derivada del Uso y Circulación de Vehículos a motor de suscripción obligatoria”. </w:t>
      </w:r>
    </w:p>
    <w:p w:rsidR="00DE14C9" w:rsidRDefault="00DE14C9" w:rsidP="00DE14C9">
      <w:pPr>
        <w:pStyle w:val="TextoNormal"/>
      </w:pPr>
      <w:r>
        <w:t xml:space="preserve">c) A la vista de esta resolución, la entidad demandante presentó escrito de 3 de diciembre de 2002, solicitando que se requiriese al condenado al pago de las cantidades concedidas en sentencia y que no quedaban cubiertas por el Consorcio de Compensación de Seguros. El Juzgado dictó Auto, de fecha 26 de septiembre de 2003, desestimando dicha petición. </w:t>
      </w:r>
    </w:p>
    <w:p w:rsidR="00DE14C9" w:rsidRDefault="00DE14C9" w:rsidP="00DE14C9">
      <w:pPr>
        <w:pStyle w:val="TextoNormal"/>
      </w:pPr>
      <w:r>
        <w:t xml:space="preserve">El Auto establece que el Consorcio de Compensación de Seguros fue declarado responsable civil directo frente a las víctimas y sus herederos hasta el límite cuantitativo del seguro obligatorio en cuanto la compañía aseguradora de los riesgos de circulación de automóvil había sido intervenida. Al existir un contrato de seguro suscrito con la compañía Kairos, S.A., y ser ésta intervenida, asumiendo sus obligaciones el Consorcio, la responsabilidad civil a que fue condenado el responsable penal se trasladó a éste último, como consecuencia de la cobertura que tenía el vehículo asegurado. Por esta razón, el que ahora se pretenda por la entidad perjudicada dirigirse frente al condenado por el resto de las indemnizaciones (por encima del límite legalmente establecido) “no debe estimarse, ya que el mismo, si bien fue condenado, su responsabilidad civil derivada de la falta cometida estaba cubierta por el seguro que tenía el coche. El que la compañía que aseguraba el vehículo conducido por aquél fuese objeto de liquidación es un hecho que es totalmente ajeno y no imputable a la responsabilidad civil del conductor derivada de la falta cometida y que ha sido desplazada por virtud del contrato suscrito a la entidad intervenida”. </w:t>
      </w:r>
    </w:p>
    <w:p w:rsidR="00DE14C9" w:rsidRDefault="00DE14C9" w:rsidP="00DE14C9">
      <w:pPr>
        <w:pStyle w:val="TextoNormal"/>
      </w:pPr>
      <w:r>
        <w:t xml:space="preserve">d) Contra este Auto se interpuso recurso de apelación, que fue desestimado por la Sección Primera de la Audiencia Provincial de Las Palmas mediante Auto de fecha 30 de abril de 2004. </w:t>
      </w:r>
    </w:p>
    <w:p w:rsidR="00DE14C9" w:rsidRDefault="00DE14C9" w:rsidP="00DE14C9">
      <w:pPr>
        <w:pStyle w:val="TextoNormal"/>
      </w:pPr>
      <w:r>
        <w:t>El Auto establece que la exoneración de indemnizar en más de 100.000 pesetas alcanza y beneficia al Consorcio, pero nunca puede beneficiar al condenado al pago, ya que de lo contrario se desnaturalizaría el derecho del perjudicado a obtener la reparación del daño. Sin embargo, en este supuesto tiene una particularidad, cual es el hecho de que la entidad aseguradora que cubría la responsabilidad civil del condenado está intervenida y ésta es la causa de que el Consorcio asuma la responsabilidad civil directa de los daños del accidente. Si bien es cierto que el privilegio del Consorcio no puede beneficiar al condenado, no menos cierto es que la liquidación de su entidad aseguradora lo haya de perjudicar, pues éste es un hecho totalmente ajeno a la responsabilidad civil del conductor. El Código penal, por su parte, en los supuestos en que la responsabilidad civil se encuentre cubierta por entidad aseguradora, declara la responsabilidad civil directa, que no subsidiaria ni solidaria, y por ello no puede exigirse el pago de la indemnización al condenado, pues su responsabilidad civil estaba cubierta y el descubierto no se le puede imputar a él.</w:t>
      </w:r>
    </w:p>
    <w:p w:rsidR="00DE14C9" w:rsidRDefault="00DE14C9" w:rsidP="00DE14C9">
      <w:pPr>
        <w:pStyle w:val="TextoNormal"/>
      </w:pPr>
    </w:p>
    <w:p w:rsidR="00DE14C9" w:rsidRDefault="00DE14C9" w:rsidP="00DE14C9">
      <w:pPr>
        <w:pStyle w:val="TextoNormal"/>
      </w:pPr>
      <w:r w:rsidRPr="00DE14C9">
        <w:rPr>
          <w:rStyle w:val="NumeroAFNegritaCaracter"/>
        </w:rPr>
        <w:t>3</w:t>
      </w:r>
      <w:r>
        <w:t>. La demanda de amparo invoca la violación del derecho a la tutela judicial efectiva (art. 24.1 CE), en su dimensión del derecho a la intangibilidad de las sentencias firmes, en cuanto las resoluciones judiciales impugnadas desconocieron el fallo de la Sentencia firme, que condenaba al denunciado, como responsable civil directo, al pago de las indemnizaciones que se fijaran en ejecución de Sentencia, lo que fue negado en las resoluciones ahora recurridas, dictadas en ejecución de aquella Sentencia.</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4</w:t>
      </w:r>
      <w:r>
        <w:t>. Por providencia de 8 de marzo de 2006, la Sección Segunda admitió a trámite la demanda, acordando dirigir atenta comunicación a la Sección Primera de la Audiencia Provincial de Las Palmas y al Juzgado de Instrucción núm. 7 de los de San Bartolomé de Tirajana para que, en el plazo de diez días, emplazaran a quienes hubieran sido parte en el procedimiento, con excepción de la recurrente en amparo que aparece ya personada, para que en el plazo de diez días pudieran comparecer en este proceso constitucional, así como para que remitieran, respectivamente, testimonio del rollo de apelación núm. 175-2004 y del juicio de faltas núm. 167-1997 y de la ejecutoria núm. 3-1999.</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Mediante escrito registrado ante este Tribunal el día 6 de abril de 2006 se personó el Abogado del Estado, en la representación del Consorcio de Compensación de Seguros. Mediante escrito que tuvo su entrada en este Tribunal el día 4 de abril de 2006 se personó el Letrado de la Administración de la Seguridad Social, en nombre y representación del Instituto Nacional de la Seguridad Social. </w:t>
      </w:r>
    </w:p>
    <w:p w:rsidR="00DE14C9" w:rsidRDefault="00DE14C9" w:rsidP="00DE14C9">
      <w:pPr>
        <w:pStyle w:val="TextoNormal"/>
      </w:pPr>
      <w:r>
        <w:t xml:space="preserve">Mediante escrito que tuvo su entrada en este Tribunal el 7 de abril de 2006, la Procuradora de los Tribunales doña María Luisa Albácar Medina, en nombre y representación de don Eduardo Ortega Sosa, se personó en el presente recurso de amparo, bajo la dirección letrada de don Mario Cosano Erro. </w:t>
      </w:r>
    </w:p>
    <w:p w:rsidR="00DE14C9" w:rsidRDefault="00DE14C9" w:rsidP="00DE14C9">
      <w:pPr>
        <w:pStyle w:val="TextoNormal"/>
      </w:pPr>
      <w:r>
        <w:t>Seguidamente, por diligencia de ordenación de 27 de junio de 2006, se acordó tenerles por personados en las representaciones invocadas y, a tenor de lo dispuesto en el art. 52 LOTC, se dispuso dar vista de las actuaciones y un plazo común de veinte días para alegaciones al Ministerio Fiscal y a las partes personadas.</w:t>
      </w:r>
    </w:p>
    <w:p w:rsidR="00DE14C9" w:rsidRDefault="00DE14C9" w:rsidP="00DE14C9">
      <w:pPr>
        <w:pStyle w:val="TextoNormal"/>
      </w:pPr>
    </w:p>
    <w:p w:rsidR="00DE14C9" w:rsidRDefault="00DE14C9" w:rsidP="00DE14C9">
      <w:pPr>
        <w:pStyle w:val="TextoNormal"/>
      </w:pPr>
      <w:r w:rsidRPr="00DE14C9">
        <w:rPr>
          <w:rStyle w:val="NumeroAFNegritaCaracter"/>
        </w:rPr>
        <w:t>6</w:t>
      </w:r>
      <w:r>
        <w:t>. Con fecha 17 de julio de 2006 presentó sus alegaciones en el Registro General de este Tribunal la representación de la entidad demandante de amparo, en las que reitera y ratifica las alegaciones ya contenidas en la demanda.</w:t>
      </w:r>
    </w:p>
    <w:p w:rsidR="00DE14C9" w:rsidRDefault="00DE14C9" w:rsidP="00DE14C9">
      <w:pPr>
        <w:pStyle w:val="TextoNormal"/>
      </w:pPr>
    </w:p>
    <w:p w:rsidR="00DE14C9" w:rsidRDefault="00DE14C9" w:rsidP="00DE14C9">
      <w:pPr>
        <w:pStyle w:val="TextoNormal"/>
      </w:pPr>
      <w:r w:rsidRPr="00DE14C9">
        <w:rPr>
          <w:rStyle w:val="NumeroAFNegritaCaracter"/>
        </w:rPr>
        <w:t>7</w:t>
      </w:r>
      <w:r>
        <w:t>. La representación procesal de don Eduardo Ortega Sosa presentó sus alegaciones ante el Registro General de este Tribunal el día 18 de julio de 2006, en las que mantiene su disconformidad con las consideraciones de la recurrente en su pretendida vulneración del derecho fundamental a la tutela judicial efectiva (art. 24.1 CE). Sostiene al efecto que la Sentencia firme de la que trae causa el incidente de ejecución no fijó indemnización alguna que debiera abonar el penado y, más allá, limita expresamente al que pudiera corresponder y que se determinaría en ejecución de Sentencia al límite cuantitativo del seguro obligatorio del Consorcio de Compensación de Seguros. Por ello, los incidentes de ejecución de sentencia sólo podían finalizar con las resoluciones dictadas, congruentes del todo con el fallo de la Sentencia cuya ejecución se pretende en dichos incidentes. Cierto es que el Código penal declara la responsabilidad civil de los criminalmente responsables del delito o la falta, pero ello no es óbice en cuanto a la determinación de su cuantía, en función de las circunstancias que concurran, los perjuicios que se acrediten, o los límites que se establezcan, circunstancias en todo caso de fondo que se han tenido en consideración razonada y motivadamente tanto en la Sentencia que resuelve el pleito principal como en los que resuelven los posteriores incidentes de ejecución de Sentencia, en todo caso éstas últimas congruentes con el fallo de la Sentencia que se ejecuta.</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8</w:t>
      </w:r>
      <w:r>
        <w:t>. El Abogado del Estado presentó sus alegaciones ante el Registro General de este Tribunal el día 20 de julio de 2006, alegando que la cuestión planteada en la demanda de amparo no afecta al Consorcio de Compensación de Seguros en cuanto, de haber existido, queda referida al punto de si, en recta ejecución de Sentencia condenatoria, el conductor responsable Sr. Ortega Sosa, debe o no pagar a la entidad demandante de amparo el importe de la cifra reconocida a su favor por el Auto de fecha 23 de mayo de 2001, menos las cien mil pesetas ya abonadas por el Consorcio de Compensación de Seguros, razón por la que no procede que la representación del Consorcio pida que se otorgue ni se deniegue el amparo solicitado.</w:t>
      </w:r>
    </w:p>
    <w:p w:rsidR="00DE14C9" w:rsidRDefault="00DE14C9" w:rsidP="00DE14C9">
      <w:pPr>
        <w:pStyle w:val="TextoNormal"/>
      </w:pPr>
    </w:p>
    <w:p w:rsidR="00DE14C9" w:rsidRDefault="00DE14C9" w:rsidP="00DE14C9">
      <w:pPr>
        <w:pStyle w:val="TextoNormal"/>
      </w:pPr>
      <w:r w:rsidRPr="00DE14C9">
        <w:rPr>
          <w:rStyle w:val="NumeroAFNegritaCaracter"/>
        </w:rPr>
        <w:t>9</w:t>
      </w:r>
      <w:r>
        <w:t xml:space="preserve">. El Ministerio Fiscal, en escrito registrado el 1 de septiembre de 2006, presentó alegaciones solicitando el otorgamiento del amparo solicitado. </w:t>
      </w:r>
    </w:p>
    <w:p w:rsidR="00DE14C9" w:rsidRDefault="00DE14C9" w:rsidP="00DE14C9">
      <w:pPr>
        <w:pStyle w:val="TextoNormal"/>
      </w:pPr>
      <w:r>
        <w:t xml:space="preserve">Comienza el Fiscal sus alegaciones indicando que la entidad demandante pone de relieve en su demanda la contradicción existente en el Auto dictado por la Audiencia Provincial entre la afirmación de que las Sentencias deben ser ejecutadas y que la exoneración legal contemplada para el Consorcio no beneficia al condenado, y la conclusión a que se llega de que no cabe declarar cantidad alguna que deba satisfacer el condenado. </w:t>
      </w:r>
    </w:p>
    <w:p w:rsidR="00DE14C9" w:rsidRDefault="00DE14C9" w:rsidP="00DE14C9">
      <w:pPr>
        <w:pStyle w:val="TextoNormal"/>
      </w:pPr>
      <w:r>
        <w:t xml:space="preserve">A juicio del Fiscal, la resolución indicada ha desconocido el derecho a la tutela judicial efectiva de la entidad demandante. Esta resolución, como la otra de la que trae causa, ha olvidado lo resuelto por la Sentencia de 15 de enero de 1988 dictada por el Juzgado de Instrucción núm. 7 de los de San Bartolomé de Tirajana, esto es, la condena al pago de determinadas cantidades al autor del hecho constitutivo de falta, y la declaración de la responsabilidad civil directa del Consorcio de Compensación de Seguros hasta el límite cuantitativo del aseguramiento obligatorio, pues con posterioridad las resoluciones que se recurren exoneraron al condenado al pago de las cantidades que excedían del límite cuantitativo del aseguramiento obligatorio y lo hicieron fijándose en extremos que ya se tuvieron en cuenta, esto es, que ya constaban en el momento del enjuiciamiento, tales como que la compañía aseguradora del vehículo responsable del siniestro se hallaba en liquidación forzosa e intervenida, lo que figura como hecho probado cuarto de la Sentencia , lo que determinó la responsabilidad del Consorcio de Compensación de Seguros. Tal extremo fáctico, existente en el momento del dictado de la Sentencia y al que en ella se le dio el efecto que se consideró procedía legalmente, es de nuevo tomado en cuenta en fase de ejecución para alterar lo decidido en la Sentencia y que había adquirido firmeza, apoyándose el Juez Instructor en una normativa ajena al caso y la Audiencia en ese mero extremo para llegar a una resolución que incurre en incongruencia interna. </w:t>
      </w:r>
    </w:p>
    <w:p w:rsidR="00DE14C9" w:rsidRDefault="00DE14C9" w:rsidP="00DE14C9">
      <w:pPr>
        <w:pStyle w:val="TextoNormal"/>
      </w:pPr>
      <w:r>
        <w:t>En todo caso, ambas resoluciones desconocieron la intangibilidad de la Sentencia firme, con pleno conocimiento de lo en ella decidido, por lo que vulneraron el derecho a la tutela judicial efectiva de la entidad demandante. Por todo ello, el Ministerio Fiscal solicitó se dictara Sentencia otorgando el amparo solicitado.</w:t>
      </w:r>
    </w:p>
    <w:p w:rsidR="00DE14C9" w:rsidRDefault="00DE14C9" w:rsidP="00DE14C9">
      <w:pPr>
        <w:pStyle w:val="TextoNormal"/>
      </w:pPr>
    </w:p>
    <w:p w:rsidR="00DE14C9" w:rsidRDefault="00DE14C9" w:rsidP="00DE14C9">
      <w:pPr>
        <w:pStyle w:val="TextoNormal"/>
      </w:pPr>
      <w:r w:rsidRPr="00DE14C9">
        <w:rPr>
          <w:rStyle w:val="NumeroAFNegritaCaracter"/>
        </w:rPr>
        <w:t>10</w:t>
      </w:r>
      <w:r>
        <w:t>. La representación del Instituto Nacional de la Seguridad Social no presentó escrito de alegaciones.</w:t>
      </w:r>
    </w:p>
    <w:p w:rsidR="00DE14C9" w:rsidRDefault="00DE14C9" w:rsidP="00DE14C9">
      <w:pPr>
        <w:pStyle w:val="TextoNormal"/>
      </w:pPr>
    </w:p>
    <w:p w:rsidR="00DE14C9" w:rsidRDefault="00DE14C9" w:rsidP="00DE14C9">
      <w:pPr>
        <w:pStyle w:val="TextoNormal"/>
      </w:pPr>
      <w:r w:rsidRPr="00DE14C9">
        <w:rPr>
          <w:rStyle w:val="NumeroAFNegritaCaracter"/>
        </w:rPr>
        <w:t>11</w:t>
      </w:r>
      <w:r>
        <w:t>. Por providencia de 3 de mayo de 2007 se señaló para deliberación y votación de la presente Sentencia el día 7 de dicho mes y año en que comenzó habiendo finalizado en la fecha de hoy.</w:t>
      </w:r>
    </w:p>
    <w:p w:rsidR="00DE14C9" w:rsidRDefault="00DE14C9" w:rsidP="00DE14C9">
      <w:pPr>
        <w:pStyle w:val="TextoNormal"/>
      </w:pPr>
    </w:p>
    <w:p w:rsidR="00DE14C9" w:rsidRDefault="00DE14C9" w:rsidP="00DE14C9">
      <w:pPr>
        <w:pStyle w:val="TextoNormalNegritaCentrado"/>
        <w:keepNext/>
      </w:pPr>
      <w:r>
        <w:lastRenderedPageBreak/>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 queja de la entidad recurrente debe abordarse desde la perspectiva del derecho a la tutela judicial efectiva (art. 24.1 CE), en su dimensión del derecho a la intangibilidad de las sentencias firmes, en cuanto lo que denuncia en su demanda es que las resoluciones judiciales impugnadas desconocieron el fallo de la Sentencia firme, que condenaba al denunciado en el juicio de faltas, como responsable civil directo, al pago de las indemnizaciones que se fijaran en ejecución de Sentencia, lo que fue negado en las resoluciones recurridas, dictadas en ejecución de aquella Sentencia.</w:t>
      </w:r>
    </w:p>
    <w:p w:rsidR="00DE14C9" w:rsidRDefault="00DE14C9" w:rsidP="00DE14C9">
      <w:pPr>
        <w:pStyle w:val="TextoNormal"/>
      </w:pPr>
      <w:r>
        <w:t>En este punto es obligado recordar nuestra consolidada doctrina sobre el derecho a la intangibilidad, invariabilidad o inmodificabilidad de las resoluciones judiciales como dimensión del derecho a la tutela judicial efectiva, recogida, entre las más recientes, en las SSTC 140/2001, de 18 de junio, FFJJ 3 a 7; 216/2001, de 29 de octubre, FJ 2; 187/2002, de 14 de octubre, FJ 6; 31/2004, de 4 de marzo, FJ 6; 49/2004, de 30 de marzo, FJ 2; 89/2004, de 19 de mayo, FJ 3; 190/2004, de 2 de noviembre, FJ 3; 224/2004, de 29 de noviembre, FJ 6; 23/2005, de 14 de febrero, FJ 4; 162/2006, de 22 de mayo, FJ 6; o 305/2006, de 23 de octubre, FJ 5.</w:t>
      </w:r>
    </w:p>
    <w:p w:rsidR="00DE14C9" w:rsidRDefault="00DE14C9" w:rsidP="00DE14C9">
      <w:pPr>
        <w:pStyle w:val="TextoNormal"/>
      </w:pPr>
      <w:r>
        <w:t>Con arreglo a esta jurisprudencia, el derecho a la tutela judicial efectiva comprende el derecho a la ejecución de las sentencias firmes en sus propios términos, obligando al cumplimiento de lo acordado por los Jueces y Tribunales en el ejercicio de la potestad jurisdiccional, lo que constituye una de las más importantes garantías para el funcionamiento y desarrollo del Estado de Derecho. Asimismo, es presupuesto lógico para el ejercicio de tal derecho del justiciable el derecho a la intangibilidad, invariabilidad o inmodificabilidad de las resoluciones judiciales, que así entra a formar parte de las garantías que el art. 24.1 CE consagra. Y es que existe una innegable conexión entre la inmodificabilidad de las resoluciones judiciales y el derecho fundamental a la tutela judicial efectiva, aunque la protección de la integridad de las resoluciones judiciales firmes se conecte también dogmáticamente con el principio de seguridad jurídica que nuestra Constitución protege en su art. 9.3 que, sin embargo, el texto constitucional no ha erigido en derecho fundamental de los ciudadanos ni ha sido incluido entre los que pueden ser objeto de amparo constitucional.</w:t>
      </w:r>
    </w:p>
    <w:p w:rsidR="00DE14C9" w:rsidRDefault="00DE14C9" w:rsidP="00DE14C9">
      <w:pPr>
        <w:pStyle w:val="TextoNormal"/>
      </w:pPr>
      <w:r>
        <w:t>En definitiva, el derecho a la tutela judicial efectiva asegura a los que son o han sido parte en el proceso que las resoluciones judiciales dictadas en el mismo no pueden ser alteradas o modificadas fuera de los cauces legales previstos para ello, de modo que si el órgano judicial las modificara fuera del correspondiente recurso establecido al efecto por el legislador quedaría asimismo vulnerado el derecho a la tutela judicial efectiva, puesto que la protección judicial carecería de eficacia si se permitiese reabrir un proceso ya resuelto por sentencia firme.</w:t>
      </w:r>
    </w:p>
    <w:p w:rsidR="00DE14C9" w:rsidRDefault="00DE14C9" w:rsidP="00DE14C9">
      <w:pPr>
        <w:pStyle w:val="TextoNormal"/>
      </w:pPr>
      <w:r>
        <w:t>No obstante lo anterior, en cuanto que la interpretación del sentido del fallo de las resoluciones judiciales es una función estrictamente jurisdiccional que, como tal, corresponde en exclusiva a los órganos judiciales, el alcance de las posibilidades de control, por parte de este Tribunal, del cumplimiento de la potestad jurisdiccional de hacer ejecutar lo juzgado (art. 117.3 CE) no es ilimitado. En este sentido, es también doctrina constitucional consolidada que el control que este Tribunal puede ejercer sobre el modo en que los Jueces y Tribunales ejercen esta potestad se limita a comprobar si estas decisiones se adoptan de forma razonablemente coherente con el contenido de la resolución que se ejecuta. Y, junto a ello, hemos advertido también reiteradamente que la determinación del alcance que quepa atribuir a la cosa juzgada constituye una cuestión que corresponde igualmente a la estricta com</w:t>
      </w:r>
      <w:r>
        <w:lastRenderedPageBreak/>
        <w:t>petencia de los órganos judiciales, por lo que sus decisiones en esta materia sólo serán revisables en sede constitucional si resultan incongruentes, arbitrarias o irrazonables (SSTC 242/1992, de 21 de diciembre, FJ 3; 15/2002, de 28 de enero, FJ 3, 87/2006, de 27 de marzo, FJ 6, entre otras).</w:t>
      </w:r>
    </w:p>
    <w:p w:rsidR="00DE14C9" w:rsidRDefault="00DE14C9" w:rsidP="00DE14C9">
      <w:pPr>
        <w:pStyle w:val="TextoNormal"/>
      </w:pPr>
      <w:r>
        <w:t>Lo anterior significa que en el recurso de amparo no puede debatirse de nuevo sobre el contenido de la Sentencia que se ejecuta, ni sobre la interpretación y consecuencias de su fallo, ya que, como recuerda la STC 116/2003, de 16 de junio, FJ 3, “[e]l canon constitucional de fiscalización del ajuste de la actividad jurisdiccional de ejecución al fallo se compone pues, naturalmente, del fallo mismo (interpretado de acuerdo con la fundamentación y con el resto de los extremos del pleito), y asimismo de lo posteriormente resuelto para ejecutarlo, examinando si hubo o no un apartamiento irrazonable, arbitrario o erróneo en relación con el significado y con el alcance de los pronunciamientos de la parte dispositiva de la resolución que se ejecuta”.</w:t>
      </w:r>
    </w:p>
    <w:p w:rsidR="00DE14C9" w:rsidRDefault="00DE14C9" w:rsidP="00DE14C9">
      <w:pPr>
        <w:pStyle w:val="TextoNormal"/>
      </w:pPr>
      <w:r>
        <w:t>Por otra parte, como se subrayaba en las SSTC 83/2001, de 26 de marzo, FJ 4, y 146/2002, de 15 de julio, FJ 3, para determinar si los Autos de ejecución se han apartado del significado y alcance de los pronunciamientos de la Sentencia de la que traen causa es necesario partir del examen de tales pronunciamientos que, plasmados en el fallo o parte dispositiva, son consecuencia de la fundamentación jurídica de dicha resolución judicial, en una línea secuencial que une las alegaciones y pretensiones de la parte actora con la fundamentación jurídica y argumentación que funda la Sentencia, para desembocar en el fallo y concretos pronunciamientos contenidos en éste. La función jurisdiccional de decir el Derecho, presupuesto necesario de la ejecución, no permite una consideración aislada de cada uno de dichos momentos y actos procesales, sino que requiere su valoración unitaria o global, pues ésta es la que permite extraer, con mayor grado de certeza, el genuino alcance y significación de las determinaciones del órgano jurisdiccional y de los efectos jurídicos, de naturaleza formal o material, que deben producir aquéllas.</w:t>
      </w:r>
    </w:p>
    <w:p w:rsidR="00DE14C9" w:rsidRDefault="00DE14C9" w:rsidP="00DE14C9">
      <w:pPr>
        <w:pStyle w:val="TextoNormal"/>
      </w:pPr>
    </w:p>
    <w:p w:rsidR="00DE14C9" w:rsidRDefault="00DE14C9" w:rsidP="00DE14C9">
      <w:pPr>
        <w:pStyle w:val="TextoNormal"/>
      </w:pPr>
      <w:r w:rsidRPr="00DE14C9">
        <w:rPr>
          <w:rStyle w:val="NumeroAFNegritaCaracter"/>
        </w:rPr>
        <w:t>2</w:t>
      </w:r>
      <w:r>
        <w:t>. La doctrina constitucional expuesta obliga a considerar, en primer término, el contenido de las resoluciones judiciales dictadas en el proceso a quo, para comprobar luego, en un segundo momento, si la decisión judicial por la que se excluyó la responsabilidad del condenado de hacer frente a la indemnización incurre o no en alguna de las apuntadas tachas de inconstitucionalidad.</w:t>
      </w:r>
    </w:p>
    <w:p w:rsidR="00DE14C9" w:rsidRDefault="00DE14C9" w:rsidP="00DE14C9">
      <w:pPr>
        <w:pStyle w:val="TextoNormal"/>
      </w:pPr>
      <w:r>
        <w:t>El Juzgado de Instrucción núm. 7 de San Bartolomé de Tirajana dictó Sentencia de fecha 15 de marzo de 1998 en un juicio de faltas, condenando al conductor de un automóvil a pena de multa, privación de permiso de conducir y a indemnizar a los perjudicados en las cantidades que se acreditasen en ejecución de Sentencia. En la Sentencia se estableció, asimismo, la responsabilidad civil directa, hasta el límite cuantitativo del aseguramiento obligatorio, del Consorcio de Compensación de Seguros.  El Consorcio había asumido tal obligación por virtud del art. 8.1 e) de la Ley de responsabilidad civil y seguro en la circulación de vehículos de motor, al haber sido intervenida la entidad aseguradora Kairos, S.A. Es decir, que la Sentencia declaró, de un lado, la responsabilidad civil directa del condenado y, de otro, la responsabilidad civil directa, hasta el límite cuantitativo del aseguramiento obligatorio, del Consorcio de Compensación de Seguros.</w:t>
      </w:r>
    </w:p>
    <w:p w:rsidR="00DE14C9" w:rsidRDefault="00DE14C9" w:rsidP="00DE14C9">
      <w:pPr>
        <w:pStyle w:val="TextoNormal"/>
      </w:pPr>
      <w:r>
        <w:t xml:space="preserve">En fase de ejecución de Sentencia, el Juzgado fijó la indemnización correspondiente a la entidad demandante de amparo (algo más de quince millones de pesetas), y requirió a su pago al Consorcio de Compensación de Seguros (sólo hasta el límite del seguro obligatorio, cien mil pesetas). Al reclamar la entidad demandante de amparo que se requiriera al condenado principal al pago del resto de la indemnización no cubierta por el Consorcio, el Juzgado </w:t>
      </w:r>
      <w:r>
        <w:lastRenderedPageBreak/>
        <w:t>rechazó la pretensión argumentando que, al existir un contrato de seguro, la responsabilidad civil se traslada o desplaza a la entidad aseguradora (y, estando intervenida ésta, al Consorcio). Y que si bien es cierto que el privilegio del Consorcio no puede beneficiar al condenado, no menos cierto es que la liquidación de su entidad aseguradora lo haya de perjudicar, pues éste, como bien dice el juez a quo, es un hecho totalmente ajeno a la responsabilidad civil del conductor. Con este argumento, y por razones de equidad, rechazó la pretensión de la entidad perjudicada. Esta resolución fue confirmada posteriormente por la Audiencia Provincial.</w:t>
      </w:r>
    </w:p>
    <w:p w:rsidR="00DE14C9" w:rsidRDefault="00DE14C9" w:rsidP="00DE14C9">
      <w:pPr>
        <w:pStyle w:val="TextoNormal"/>
      </w:pPr>
      <w:r>
        <w:t>Tal actuación de los órganos judiciales ha supuesto un claro apartamiento respecto de lo fallado en la resolución ejecutada. En primer lugar, porque la Sentencia establecía la responsabilidad civil directa del conductor al pago de las indemnizaciones que se fijaran a favor de los perjudicados. Y, en segundo lugar, porque la Sentencia limitaba la responsabilidad civil directa del Consorcio hasta el tope del seguro obligatorio, de modo que, por encima de esta cantidad, el único responsable civil directo era el propio condenado. Sin embargo, este pronunciamiento es alterado posteriormente, al margen de los cauces legalmente previstos por lo que de acuerdo con lo dicho y nuestra jurisprudencia se impone la estimación del amparo.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la entidad Caja de Enfermedad Ersatzkasse y, en su virtud:</w:t>
      </w:r>
    </w:p>
    <w:p w:rsidR="00DE14C9" w:rsidRDefault="00DE14C9" w:rsidP="00DE14C9">
      <w:pPr>
        <w:pStyle w:val="TextoNormal"/>
      </w:pPr>
      <w:r>
        <w:t>1º Reconocer su derecho a la tutela judicial efectiva (art. 24.1 CE).</w:t>
      </w:r>
    </w:p>
    <w:p w:rsidR="00DE14C9" w:rsidRDefault="00DE14C9" w:rsidP="00DE14C9">
      <w:pPr>
        <w:pStyle w:val="TextoNormal"/>
      </w:pPr>
      <w:r>
        <w:t>2º Anular el Auto del Juzgado de Instrucción núm. 7 de los de San Bartolomé de Tirajana, de fecha 26 de septiembre de 2003, dictado en el juicio de faltas núm. 167-1997, y el de la Sección Primera de la Audiencia Provincial de Las Palmas, de fecha 30 de abril de 2004, dictada en el rollo de apelación núm. 175-2004.</w:t>
      </w:r>
    </w:p>
    <w:p w:rsidR="00DE14C9" w:rsidRDefault="00DE14C9" w:rsidP="00DE14C9">
      <w:pPr>
        <w:pStyle w:val="TextoNormal"/>
      </w:pPr>
      <w:r>
        <w:t>3º Retrotraer las actuaciones al momento inmediatamente anterior al dictado del Auto de fecha 26 de septiembre de 2003, para que por el Juzgado se dicte la resolución judicial que proceda, con respeto al derecho fundamental reconocido</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veintiuno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35" w:name="SENTENCIA_2007_122"/>
      <w:r>
        <w:lastRenderedPageBreak/>
        <w:t>SENTENCIA 122/2007, de 21 de mayo de 2007</w:t>
      </w:r>
    </w:p>
    <w:bookmarkEnd w:id="35"/>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149, de 22 de junio de 2007)</w:t>
      </w:r>
    </w:p>
    <w:p w:rsidR="00DE14C9" w:rsidRDefault="00DE14C9" w:rsidP="00DE14C9">
      <w:pPr>
        <w:pStyle w:val="TtuloBOE"/>
      </w:pPr>
    </w:p>
    <w:p w:rsidR="00DE14C9" w:rsidRDefault="00DE14C9" w:rsidP="00DE14C9">
      <w:pPr>
        <w:pStyle w:val="SntesisDescriptiva"/>
      </w:pPr>
      <w:r>
        <w:t>ECLI:ES:TC:2007:122</w:t>
      </w:r>
    </w:p>
    <w:p w:rsidR="00DE14C9" w:rsidRDefault="00DE14C9" w:rsidP="00DE14C9">
      <w:pPr>
        <w:pStyle w:val="SntesisDescriptiva"/>
      </w:pPr>
    </w:p>
    <w:p w:rsidR="00DE14C9" w:rsidRDefault="00DE14C9" w:rsidP="00DE14C9">
      <w:pPr>
        <w:pStyle w:val="SntesisDescriptiva"/>
      </w:pPr>
      <w:r>
        <w:t>Recurso de amparo 3996-2004. Promovido por doña María de la Soledad Moreno López respecto a la providencia de un Juzgado de Instrucción de Granada que inadmitió su recurso de apelación en juicio por falta de imprudencia.</w:t>
      </w:r>
    </w:p>
    <w:p w:rsidR="00DE14C9" w:rsidRDefault="00DE14C9" w:rsidP="00DE14C9">
      <w:pPr>
        <w:pStyle w:val="SntesisDescriptiva"/>
      </w:pPr>
    </w:p>
    <w:p w:rsidR="00DE14C9" w:rsidRDefault="00DE14C9" w:rsidP="00DE14C9">
      <w:pPr>
        <w:pStyle w:val="SntesisAnaltica"/>
      </w:pPr>
      <w:r>
        <w:t>Vulneración parcial del derecho a la tutela judicial efectiva (acceso al recurso legal): forma de la resolución judicial; inadmisión por extemporánea de la apelación contra una sentencia dictada en juicio de faltas que resulta arbitraria, porque considera hábiles todos los días y el mes de agosto (STC 133/2000).</w:t>
      </w:r>
    </w:p>
    <w:p w:rsidR="00DE14C9" w:rsidRDefault="00DE14C9" w:rsidP="00DE14C9">
      <w:pPr>
        <w:pStyle w:val="SntesisAnaltica"/>
      </w:pPr>
    </w:p>
    <w:p w:rsidR="00DE14C9" w:rsidRDefault="00DE14C9" w:rsidP="00DE14C9">
      <w:pPr>
        <w:pStyle w:val="Extracto"/>
      </w:pPr>
      <w:r>
        <w:t>1.</w:t>
      </w:r>
      <w:r>
        <w:tab/>
        <w:t>Las resoluciones judiciales impugnadas han vulnerado el derecho a la tutela judicial efectiva de la demandante, en su vertiente de derecho de acceso al recurso, ya que se aprecia una manifiestamente insuficiente motivación ante la expresa y explícita determinación de los preceptos legales aplicables, lo que resulta determinante de un vicio de arbitrariedad o, incluso, de irrazonabilidad (STC 22/2007) [FJ 6].</w:t>
      </w:r>
    </w:p>
    <w:p w:rsidR="00DE14C9" w:rsidRDefault="00DE14C9" w:rsidP="00DE14C9">
      <w:pPr>
        <w:pStyle w:val="Extracto"/>
      </w:pPr>
    </w:p>
    <w:p w:rsidR="00DE14C9" w:rsidRDefault="00DE14C9" w:rsidP="00DE14C9">
      <w:pPr>
        <w:pStyle w:val="Extracto"/>
      </w:pPr>
      <w:r>
        <w:t>2.</w:t>
      </w:r>
      <w:r>
        <w:tab/>
        <w:t>Doctrina sobre control constitucional de los plazos y su cómputo [FJ 4].</w:t>
      </w:r>
    </w:p>
    <w:p w:rsidR="00DE14C9" w:rsidRDefault="00DE14C9" w:rsidP="00DE14C9">
      <w:pPr>
        <w:pStyle w:val="Extracto"/>
      </w:pPr>
    </w:p>
    <w:p w:rsidR="00DE14C9" w:rsidRDefault="00DE14C9" w:rsidP="00DE14C9">
      <w:pPr>
        <w:pStyle w:val="Extracto"/>
      </w:pPr>
      <w:r>
        <w:t>3.</w:t>
      </w:r>
      <w:r>
        <w:tab/>
        <w:t>La jurisdicción constitucional sólo debe limitarse a comprobar si los requisitos y presupuestos que la ley exige para el acceso a los recursos, y su concurrencia en cada caso, han incurrido o no en error material patente, arbitrariedad o en manifiesta irrazonabilidad lógica, evitando toda ponderación acerca de la corrección jurídica de las mismas (SSTC 258/2000, 22/2007) [FJ 4]</w:t>
      </w:r>
    </w:p>
    <w:p w:rsidR="00DE14C9" w:rsidRDefault="00DE14C9" w:rsidP="00DE14C9">
      <w:pPr>
        <w:pStyle w:val="Extracto"/>
      </w:pPr>
    </w:p>
    <w:p w:rsidR="00DE14C9" w:rsidRDefault="00DE14C9" w:rsidP="00DE14C9">
      <w:pPr>
        <w:pStyle w:val="Extracto"/>
      </w:pPr>
      <w:r>
        <w:t>4.</w:t>
      </w:r>
      <w:r>
        <w:tab/>
        <w:t>Para que tenga relevancia constitucional la denuncia de una infracción procesal por haberse decidido mediante  providencia y no mediante Auto la inadmisión de un recurso de apelación, es preciso que ese defecto de forma determine la merma, limitación o la privación real o material del derecho de defensa (SSTC 113/1988, 15/2005) [FJ 3].</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lastRenderedPageBreak/>
        <w:t>SENTENCIA</w:t>
      </w:r>
    </w:p>
    <w:p w:rsidR="00DE14C9" w:rsidRDefault="00DE14C9" w:rsidP="00DE14C9">
      <w:pPr>
        <w:pStyle w:val="TextoNormalCentrado"/>
        <w:keepNext/>
      </w:pPr>
    </w:p>
    <w:p w:rsidR="00DE14C9" w:rsidRDefault="00DE14C9" w:rsidP="00DE14C9">
      <w:pPr>
        <w:pStyle w:val="TextoNormal"/>
      </w:pPr>
      <w:r>
        <w:t>En el recurso de amparo núm. 3996-2004, promovido por doña María de la Soledad Moreno López, representada por la Procuradora de los Tribunales doña María Victoria Pérez-Mulet y Diez-Picazo y asistida por el Letrado don Ignacio Pastor Arandiga, contra la providencia del Juzgado de Instrucción núm. 4 de Granada, de 15 de septiembre de 2003, que inadmitió por extemporáneo el recurso de apelación interpuesto contra la Sentencia de dicho Juzgado núm. 241/2003, de 2 de julio, aclarada por Auto de 23 de julio de 2003, dictada en juicio de faltas núm. 508-2000. Han comparecido y formulado alegaciones Munat Seguros Generales, representada por la Procuradora de los Tribunales doña María Dolores Maroto Gómez y asistida por la Letrada doña Encarnación Blasco Córdoba, y el Ministerio Fiscal. Ha actuado como Ponente el Magistrado don Vicente Conde Martín de Hijas,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el Registro General de este Tribunal el día 21 de junio de 2004 don Juan Luis Pérez-Mulet Suárez, Procurador de los Tribunales, en nombre y representación de doña María de la Soledad Moreno López, interpuso recurso de amparo contra la resolución judicial a la que se ha hecho mención en el encabezamiento de esta Sentencia.</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En la demanda de amparo se recoge la relación de antecedentes fácticos que a continuación sucintamente se extracta. </w:t>
      </w:r>
    </w:p>
    <w:p w:rsidR="00DE14C9" w:rsidRDefault="00DE14C9" w:rsidP="00DE14C9">
      <w:pPr>
        <w:pStyle w:val="TextoNormal"/>
      </w:pPr>
      <w:r>
        <w:t xml:space="preserve">a) El Juzgado de Instrucción núm. 4 de Granada en el juicio de faltas núm. 508-2000 dictó la Sentencia núm. 241/2003, de 2 de julio, en la que condenó a don Emilio José Muñoz González, como autor de una falta de imprudencia leve con resultado de lesiones, a la pena de un mes de multa con una cuota diaria de 6 €, con un día de privación de libertad por cada dos cuotas diarias no satisfechas, al pago de las costas procesales y a indemnizar a la demandante de amparo —doña María de la Soledad Moreno López— en las cantidades de 41.162,03 € en concepto de incapacidad, 7.179,48 € en concepto de lesiones y 3.704,94 € en concepto de gastos farmacéuticos, rehabilitación y traslado en ambulancia. Las referidas cantidades, de las que habían de deducirse las ya entregadas a la demandante de amparo, debían ser abonadas por la entidad aseguradora Munat, que es declarada responsable civil directa, siendo declarado responsable civil subsidiario don Manuel Muñoz Mingorance. </w:t>
      </w:r>
    </w:p>
    <w:p w:rsidR="00DE14C9" w:rsidRDefault="00DE14C9" w:rsidP="00DE14C9">
      <w:pPr>
        <w:pStyle w:val="TextoNormal"/>
      </w:pPr>
      <w:r>
        <w:t xml:space="preserve">La Sentencia fue notificada a la representación procesal de la demandante de amparo el día 15 de julio de 2003. </w:t>
      </w:r>
    </w:p>
    <w:p w:rsidR="00DE14C9" w:rsidRDefault="00DE14C9" w:rsidP="00DE14C9">
      <w:pPr>
        <w:pStyle w:val="TextoNormal"/>
      </w:pPr>
      <w:r>
        <w:t xml:space="preserve">b) La representación procesal de la demandante de amparo solicitó en fecha 16 de julio de 2003 la aclaración de la Sentencia, a la que accedió el Juzgado por Auto de 23 de julio de 2003, que subsanó el error aritmético padecido en el fundamento jurídico sexto de la Sentencia, en el sentido de declarar que las facturas por los gastos farmacéuticos, de rehabilitación y traslado al Hospital de Valencia ascendían a la cantidad de 5.568,83 €. En consecuencia se modificó la parte dispositiva de la Sentencia, señalándose que la demandante de amparo debía ser indemnizada en la cantidad de 5.568,83 € en concepto de gastos farmacéuticos, de rehabilitación y de traslado en ambulancia. </w:t>
      </w:r>
    </w:p>
    <w:p w:rsidR="00DE14C9" w:rsidRDefault="00DE14C9" w:rsidP="00DE14C9">
      <w:pPr>
        <w:pStyle w:val="TextoNormal"/>
      </w:pPr>
      <w:r>
        <w:t xml:space="preserve">El Auto fue notificado a la representación procesal de la demandante de amparo el día 30 de julio de 2003. </w:t>
      </w:r>
    </w:p>
    <w:p w:rsidR="00DE14C9" w:rsidRDefault="00DE14C9" w:rsidP="00DE14C9">
      <w:pPr>
        <w:pStyle w:val="TextoNormal"/>
      </w:pPr>
      <w:r>
        <w:lastRenderedPageBreak/>
        <w:t xml:space="preserve">c) La representación procesal de la demandante de amparo interpuso recurso de apelación contra la anterior Sentencia en fecha 1 de septiembre de 2003, que fue inadmitido por providencia del Juzgado de Instrucción núm. 4 de Granada de 15 de septiembre de 2003 “por estar presentado el recurso fuera de plazo”. </w:t>
      </w:r>
    </w:p>
    <w:p w:rsidR="00DE14C9" w:rsidRDefault="00DE14C9" w:rsidP="00DE14C9">
      <w:pPr>
        <w:pStyle w:val="TextoNormal"/>
      </w:pPr>
      <w:r>
        <w:t xml:space="preserve">d) La representación procesal de la demandante de amparo interpuso recurso contra la anterior providencia, al entender que no se ajustaba a derecho por ser inhábil el mes de agosto a efectos de la presentación de un recurso (arts. 212 LECrim; 183 y 184 LOPJ). </w:t>
      </w:r>
    </w:p>
    <w:p w:rsidR="00DE14C9" w:rsidRDefault="00DE14C9" w:rsidP="00DE14C9">
      <w:pPr>
        <w:pStyle w:val="TextoNormal"/>
      </w:pPr>
      <w:r>
        <w:t xml:space="preserve">El Juzgado de Instrucción núm. 4 de Granada dictó providencia en fecha 2 de octubre de 2003, en la que se ordenó unir a los autos el referido escrito de la representación procesal de la demandante de amparo y estar a lo acordado en la providencia de 15 de septiembre de 2003. </w:t>
      </w:r>
    </w:p>
    <w:p w:rsidR="00DE14C9" w:rsidRDefault="00DE14C9" w:rsidP="00DE14C9">
      <w:pPr>
        <w:pStyle w:val="TextoNormal"/>
      </w:pPr>
      <w:r>
        <w:t xml:space="preserve">e) La representación procesal de la demandante de amparo interpuso recurso de reposición contra la anterior providencia, que fue inadmitido por providencia del Juzgado de Instrucción núm. 4 de Granada de 22 de octubre de 2003, cuya fundamentación jurídica a continuación se reproduce: </w:t>
      </w:r>
    </w:p>
    <w:p w:rsidR="00DE14C9" w:rsidRDefault="00DE14C9" w:rsidP="00DE14C9">
      <w:pPr>
        <w:pStyle w:val="TextoNormal"/>
      </w:pPr>
      <w:r>
        <w:t xml:space="preserve">“Dada cuenta; por presentado el anterior escrito por la Procuradora D. María Luisa Sánchez Bonet únase a los autos de su razón e interponiéndose recurso que denomina de reposición, aún cuando en el ámbito penal se denomina legalmente reforma, confundiendo el recurrente nuevamente la jurisdicción civil con la penal en la que todos los día y horas son hábiles y en relación a los plazos procesales Agosto es igualmente hábil, pero siendo el plazo de interposición del recurso de reforma de tres días, y habiéndose notificado la providencia recurrida como la propia parte manifiesta el día 7 de octubre y habiéndose presentado el recurso el día 14 de octubre, el mismo se encuentra presentado fuera de plazo, de conformidad con el art. 211 de la L.E.Crim. En consecuencia no cabe admitir a trámite el mal denominado recurso de reposición, entendido como reforma” (sic). </w:t>
      </w:r>
    </w:p>
    <w:p w:rsidR="00DE14C9" w:rsidRDefault="00DE14C9" w:rsidP="00DE14C9">
      <w:pPr>
        <w:pStyle w:val="TextoNormal"/>
      </w:pPr>
      <w:r>
        <w:t xml:space="preserve">f) La representación procesal de la demandante de amparo interpuso recurso de queja contra la decisión de inadmisión del recurso de apelación, que fue desestimado por el Auto de la Sección Segunda de la Audiencia Provincial de Granada núm. 187/2004, de 26 de abril, cuyo único fundamento jurídico es del siguiente tenor: </w:t>
      </w:r>
    </w:p>
    <w:p w:rsidR="00DE14C9" w:rsidRDefault="00DE14C9" w:rsidP="00DE14C9">
      <w:pPr>
        <w:pStyle w:val="TextoNormal"/>
      </w:pPr>
      <w:r>
        <w:t>“Visto el informe del Juzgador de Instancia aparece meridianamente claro que el recurso de apelación fue presentado fuera de plazo, ello es suficiente para desestimar la queja formulada”.</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La fundamentación jurídica de la demanda de amparo invoca la vulneración del derecho a la tutela judicial efectiva (art. 24.1 CE), como consecuencia de la inadmisión del recurso de apelación interpuesto contra la Sentencia del Juzgado de Instrucción por haber sido presentado fuera de plazo. </w:t>
      </w:r>
    </w:p>
    <w:p w:rsidR="00DE14C9" w:rsidRDefault="00DE14C9" w:rsidP="00DE14C9">
      <w:pPr>
        <w:pStyle w:val="TextoNormal"/>
      </w:pPr>
      <w:r>
        <w:t xml:space="preserve">Se argumenta al respecto que el art. 212 LECrim dispone que el plazo se computará desde la última notificación efectuada respecto a la resolución recurrida, por lo que, teniendo en cuenta que el Auto dictado en aclaración de la Sentencia le fue notificado el día 30 de julio de 2003, el cómputo del plazo para recurrir en apelación debía iniciarse el día 30 de julio, de forma que el día 1 de septiembre de 2003 —fecha en la que se presentó el recurso de apelación— únicamente habían transcurrido tres días del plazo legalmente previsto. Se sostiene asimismo en la demanda que el mes de agosto es inhábil a los efectos de la presentación del recurso de apelación (arts. 183 y 184 LOPJ), pues, ni puede calificarse de una actuación judicial de carácter urgente, ni de un acto de instrucción de una causa penal, únicos supuestos en los que puede considerarse hábil el mes de agosto. En todo caso se habría utilizado un criterio interpretativo desfavorable para la efectividad del derecho a la tutela judicial. </w:t>
      </w:r>
    </w:p>
    <w:p w:rsidR="00DE14C9" w:rsidRDefault="00DE14C9" w:rsidP="00DE14C9">
      <w:pPr>
        <w:pStyle w:val="TextoNormal"/>
      </w:pPr>
      <w:r>
        <w:lastRenderedPageBreak/>
        <w:t xml:space="preserve">Además, se añade en la demanda, la resolución del Juzgado no admitiendo el recurso de apelación ha debido revestir la forma de Auto (art. 141 LECrim), al ser una decisión esencial para el perjudicado y poner fin al procedimiento. Así pues la decisión de inadmisión del recurso de apelación, al revestir la forma de providencia y no de Auto motivado, se ha efectuado con infracción del art. 141 LECrim. </w:t>
      </w:r>
    </w:p>
    <w:p w:rsidR="00DE14C9" w:rsidRDefault="00DE14C9" w:rsidP="00DE14C9">
      <w:pPr>
        <w:pStyle w:val="TextoNormal"/>
      </w:pPr>
      <w:r>
        <w:t>Concluye el escrito de demanda suplicando del Tribunal Constitucional que, tras los trámites pertinentes, dicte Sentencia en la que se otorgue el amparo solicitado y se declare la nulidad de la providencia del Juzgado de Instrucción núm. 4 de Granada que ha tenido por no admitido el recurso de apelación, así como la del Auto de la Sección Segunda de la Audiencia Provincial de Granada desestimatorio del recurso de queja, debiendo retrotraerse las actuaciones al momento de notificación de la Sentencia del Juzgado de Instrucción, admitiendo a trámite el recurso de apelación.</w:t>
      </w:r>
    </w:p>
    <w:p w:rsidR="00DE14C9" w:rsidRDefault="00DE14C9" w:rsidP="00DE14C9">
      <w:pPr>
        <w:pStyle w:val="TextoNormal"/>
      </w:pPr>
    </w:p>
    <w:p w:rsidR="00DE14C9" w:rsidRDefault="00DE14C9" w:rsidP="00DE14C9">
      <w:pPr>
        <w:pStyle w:val="TextoNormal"/>
      </w:pPr>
      <w:r w:rsidRPr="00DE14C9">
        <w:rPr>
          <w:rStyle w:val="NumeroAFNegritaCaracter"/>
        </w:rPr>
        <w:t>4</w:t>
      </w:r>
      <w:r>
        <w:t>. La Procuradora de los Tribunales doña María Victoria Pérez-Mulet y Diez-Picazo presentó en fecha 3 de marzo de 2006 un escrito comunicando la baja por fallecimiento en el ejercicio de la profesión del Procurador de los Tribunales don Juan Luis Pérez-Mulet y Suárez y que se personaba en su sustitución en este recurso de amparo en nombre y representación de la demandante de amparo.</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La Sección Cuarta del Tribunal Constitucional, por providencia de 21 de septiembre de 2006, de conformidad con lo dispuesto en el art. 50.3 LOTC, acordó conceder a la demandante de amparo y al Ministerio Fiscal plazo común de diez días para que, con las aportaciones documentales que tuvieran por conveniente, formulasen las alegaciones que estimasen pertinentes en relación con la posible carencia manifiesta de contenido constitucional de la demanda de amparo [art. 50.1 c) LOTC]. </w:t>
      </w:r>
    </w:p>
    <w:p w:rsidR="00DE14C9" w:rsidRDefault="00DE14C9" w:rsidP="00DE14C9">
      <w:pPr>
        <w:pStyle w:val="TextoNormal"/>
      </w:pPr>
      <w:r>
        <w:t xml:space="preserve">Evacuado el trámite de alegaciones conferido, la Sala Segunda del Tribunal Constitucional, por providencia de 20 de noviembre de 2006, admitió a trámite la demanda y, en aplicación de lo dispuesto en el art. 51 LOTC, obrando ya en la Sala las actuaciones jurisdiccionales, acordó librar comunicación al Juzgado de Instrucción núm. 4 de Granada, a fin de que procediese a emplazar a quienes habían sido parte en el procedimiento, a excepción de la demandante de amparo, para que en el plazo de diez días pudieran comparecer, si lo deseasen, en este recurso. </w:t>
      </w:r>
    </w:p>
    <w:p w:rsidR="00DE14C9" w:rsidRDefault="00DE14C9" w:rsidP="00DE14C9">
      <w:pPr>
        <w:pStyle w:val="TextoNormal"/>
      </w:pPr>
      <w:r>
        <w:t>Asimismo condicionó la referida decisión a que la Procuradora de los Tribunales doña María Victoria Pérez-Mulet y Diez-Picazo presentara en el plazo de diez días escritura de poder original que acreditase la representación que dice ostentar.</w:t>
      </w:r>
    </w:p>
    <w:p w:rsidR="00DE14C9" w:rsidRDefault="00DE14C9" w:rsidP="00DE14C9">
      <w:pPr>
        <w:pStyle w:val="TextoNormal"/>
      </w:pPr>
    </w:p>
    <w:p w:rsidR="00DE14C9" w:rsidRDefault="00DE14C9" w:rsidP="00DE14C9">
      <w:pPr>
        <w:pStyle w:val="TextoNormal"/>
      </w:pPr>
      <w:r w:rsidRPr="00DE14C9">
        <w:rPr>
          <w:rStyle w:val="NumeroAFNegritaCaracter"/>
        </w:rPr>
        <w:t>6</w:t>
      </w:r>
      <w:r>
        <w:t>. Por diligencia de ordenación de la Secretaría de la Sala Segunda del Tribunal Constitucional, de 23 de enero de 2007, se tuvo por personada y parte en el procedimiento a la Procuradora de los Tribunales doña María Dolores Maroto Gómez, en nombre y representación de Munat Seguros Generales, y se acordó dar vista de las actuaciones recibidas a las partes personadas y al Ministerio Fiscal por plazo común de veinte días, dentro del cual pudieron presentar las alegaciones que tuvieron por conveniente, de conformidad con lo dispuesto en el art. 52.1 LOTC.</w:t>
      </w:r>
    </w:p>
    <w:p w:rsidR="00DE14C9" w:rsidRDefault="00DE14C9" w:rsidP="00DE14C9">
      <w:pPr>
        <w:pStyle w:val="TextoNormal"/>
      </w:pPr>
    </w:p>
    <w:p w:rsidR="00DE14C9" w:rsidRDefault="00DE14C9" w:rsidP="00DE14C9">
      <w:pPr>
        <w:pStyle w:val="TextoNormal"/>
      </w:pPr>
      <w:r w:rsidRPr="00DE14C9">
        <w:rPr>
          <w:rStyle w:val="NumeroAFNegritaCaracter"/>
        </w:rPr>
        <w:t>7</w:t>
      </w:r>
      <w:r>
        <w:t xml:space="preserve">. La representación procesal de Munat Seguros Generales evacuó el trámite de alegaciones conferido mediante escrito registrado en fecha 21 de febrero de 2007, que sustancialmente se extracta. </w:t>
      </w:r>
    </w:p>
    <w:p w:rsidR="00DE14C9" w:rsidRDefault="00DE14C9" w:rsidP="00DE14C9">
      <w:pPr>
        <w:pStyle w:val="TextoNormal"/>
      </w:pPr>
      <w:r>
        <w:lastRenderedPageBreak/>
        <w:t xml:space="preserve">Tras referirse a los antecedentes del recurso de amparo, considera que el recurso de apelación fue interpuesto fuera de plazo, toda vez que respecto de los plazos procesales el mes de agosto es hábil. En consonancia con este criterio, manifestado por el Juez de Instrucción, se pronuncia también la Audiencia Provincial al estimar “meridianamente clar[a]” la interposición extemporánea del recurso de apelación. </w:t>
      </w:r>
    </w:p>
    <w:p w:rsidR="00DE14C9" w:rsidRDefault="00DE14C9" w:rsidP="00DE14C9">
      <w:pPr>
        <w:pStyle w:val="TextoNormal"/>
      </w:pPr>
      <w:r>
        <w:t xml:space="preserve">Aduce también que la representación procesal de la demandante de amparo interpuso contra la providencia de 15 de septiembre de 2003 un recurso equivocado y además fuera de plazo, ya que el recurso que procedía era el de reforma, que a tenor del art. 211 LECrim. debía interponerse en el término de tres días, que había transcurrido con creces. Asimismo considera que la presentación del recurso de queja fue improcedente, pues se debe interponer contra “todos los Autos no apelables” del Juez y se puede interponer, salvo que la Ley señale término, en cualquier momento mientras estuviera pendiente la causa. </w:t>
      </w:r>
    </w:p>
    <w:p w:rsidR="00DE14C9" w:rsidRDefault="00DE14C9" w:rsidP="00DE14C9">
      <w:pPr>
        <w:pStyle w:val="TextoNormal"/>
      </w:pPr>
      <w:r>
        <w:t>Concluye su escrito de alegaciones suplicando del Tribunal Constitucional la confirmación de las resoluciones judiciales recurridas.</w:t>
      </w:r>
    </w:p>
    <w:p w:rsidR="00DE14C9" w:rsidRDefault="00DE14C9" w:rsidP="00DE14C9">
      <w:pPr>
        <w:pStyle w:val="TextoNormal"/>
      </w:pPr>
    </w:p>
    <w:p w:rsidR="00DE14C9" w:rsidRDefault="00DE14C9" w:rsidP="00DE14C9">
      <w:pPr>
        <w:pStyle w:val="TextoNormal"/>
      </w:pPr>
      <w:r w:rsidRPr="00DE14C9">
        <w:rPr>
          <w:rStyle w:val="NumeroAFNegritaCaracter"/>
        </w:rPr>
        <w:t>8</w:t>
      </w:r>
      <w:r>
        <w:t>. La representación procesal de la recurrente en amparo evacuó el trámite de alegaciones conferido mediante escrito presentado en fecha 22 de febrero de 2007 en el que sustancialmente reitera las formuladas en la demanda.</w:t>
      </w:r>
    </w:p>
    <w:p w:rsidR="00DE14C9" w:rsidRDefault="00DE14C9" w:rsidP="00DE14C9">
      <w:pPr>
        <w:pStyle w:val="TextoNormal"/>
      </w:pPr>
    </w:p>
    <w:p w:rsidR="00DE14C9" w:rsidRDefault="00DE14C9" w:rsidP="00DE14C9">
      <w:pPr>
        <w:pStyle w:val="TextoNormal"/>
      </w:pPr>
      <w:r w:rsidRPr="00DE14C9">
        <w:rPr>
          <w:rStyle w:val="NumeroAFNegritaCaracter"/>
        </w:rPr>
        <w:t>9</w:t>
      </w:r>
      <w:r>
        <w:t xml:space="preserve">. El Ministerio Fiscal evacuó el trámite de alegaciones conferido mediante escrito registrado en fecha 22 de febrero de 2007 que a continuación sucintamente se extracta: </w:t>
      </w:r>
    </w:p>
    <w:p w:rsidR="00DE14C9" w:rsidRDefault="00DE14C9" w:rsidP="00DE14C9">
      <w:pPr>
        <w:pStyle w:val="TextoNormal"/>
      </w:pPr>
      <w:r>
        <w:t xml:space="preserve">a) Aduce en primer término la posibilidad de un irregular agotamiento de la vía judicial previa como consecuencia de una prolongación artificial de los plazos para recurrir, ya que, una vez inadmitido el recurso de apelación, el recurso procedente contra esta decisión era el de queja, de modo que los dos ulteriores recursos que promovió la demandante de amparo antes del de queja eran improcedentes. A lo que además hay que añadir que ni siquiera se puede considerar recurso, en sentido técnico, el interpuesto contra la primera providencia de 15 de septiembre de 2003, puesto que en el documento se habla de escrito y no de recurso. </w:t>
      </w:r>
    </w:p>
    <w:p w:rsidR="00DE14C9" w:rsidRDefault="00DE14C9" w:rsidP="00DE14C9">
      <w:pPr>
        <w:pStyle w:val="TextoNormal"/>
      </w:pPr>
      <w:r>
        <w:t xml:space="preserve">En consecuencia se podría hablar de la falta del requisito del agotamiento de la vía judicial previa por prolongación artificial del plazo para recurrir en amparo [art. 44.1 a) LOTC]. </w:t>
      </w:r>
    </w:p>
    <w:p w:rsidR="00DE14C9" w:rsidRDefault="00DE14C9" w:rsidP="00DE14C9">
      <w:pPr>
        <w:pStyle w:val="TextoNormal"/>
      </w:pPr>
      <w:r>
        <w:t xml:space="preserve">b) En cuanto al fondo de la controversia, el Ministerio Fiscal, tras encuadrar la queja de la recurrente en amparo en la posible vulneración del derecho al recurso (art. 24.1 CE) y reproducir la doctrina constitucional en relación con este derecho, entiende que el Juzgado de Instrucción ha dictado resoluciones inmotivadas en unas ocasiones y erróneas en otras. Así, la providencia de 15 de septiembre de 2003 se limita a afirmar que se rechaza el recurso por estar presentado fuera de plazo y la providencia de 2 de octubre de 2003 se remite a la anterior. Ninguna de ellas examina ni la legislación aplicable ni el término inicial y final del plazo para recurrir. </w:t>
      </w:r>
    </w:p>
    <w:p w:rsidR="00DE14C9" w:rsidRDefault="00DE14C9" w:rsidP="00DE14C9">
      <w:pPr>
        <w:pStyle w:val="TextoNormal"/>
      </w:pPr>
      <w:r>
        <w:t xml:space="preserve">Por su parte la providencia de 2 de octubre de 2003, que resuelve el recurso de reforma interpuesto, aparte de ilustrar al recurrente sobre la denominación errónea del recurso, tampoco dice cual es el fundamento legal del carácter hábil del mes de agosto y declara extemporáneo el recurso interpuesto. </w:t>
      </w:r>
    </w:p>
    <w:p w:rsidR="00DE14C9" w:rsidRDefault="00DE14C9" w:rsidP="00DE14C9">
      <w:pPr>
        <w:pStyle w:val="TextoNormal"/>
      </w:pPr>
      <w:r>
        <w:t xml:space="preserve">A partir de este momento reina en la causa una considerable confusión procesal. La demandante de amparo interpone un recurso de queja por inadmisión del recurso de apelación, que es tramitado como tal por la Audiencia Provincial, es decir, como un recurso instrumental por inadmisión del recurso de apelación. La Sala, de acuerdo con el art. 233 LECrim, recaba informe al Juez inferior. Sin embargo el informe de éste no se refiere a la inadmisión </w:t>
      </w:r>
      <w:r>
        <w:lastRenderedPageBreak/>
        <w:t xml:space="preserve">del recurso de apelación, sino a la extemporaneidad del recurso de reforma. No puede entenderse que el Juez pensara al redactar el informe en la desestimación del recurso de reforma, ya que contra esta decisión no cabe recurso de queja. Por su parte la Audiencia Provincial en su Auto de 26 de abril de 2004 culmina la ceremonia de la confusión, ya que en su único fundamento jurídico señala que “visto el informe del Juzgador de Instancia aparece meridianamente claro que el recurso de apelación fue presentado fuera de plazo”, para acabar desestimando la queja. </w:t>
      </w:r>
    </w:p>
    <w:p w:rsidR="00DE14C9" w:rsidRDefault="00DE14C9" w:rsidP="00DE14C9">
      <w:pPr>
        <w:pStyle w:val="TextoNormal"/>
      </w:pPr>
      <w:r>
        <w:t xml:space="preserve">En definitiva, resulta que el Auto de la Audiencia Provincial es totalmente arbitrario por dos razones: la primera, porque se basa en un informe del Juez sobre la extemporaneidad de un recurso de reforma para rechazar la inadmisión del recurso de apelación; la segunda, porque no da razón alguna adicional para entender que no deba ser admitido el recurso de apelación. </w:t>
      </w:r>
    </w:p>
    <w:p w:rsidR="00DE14C9" w:rsidRDefault="00DE14C9" w:rsidP="00DE14C9">
      <w:pPr>
        <w:pStyle w:val="TextoNormal"/>
      </w:pPr>
      <w:r>
        <w:t>El Ministerio Fiscal concluye afirmando que nos encontramos con un conjunto de resoluciones que no explican al justiciable las razones jurídicas por las que no ha sido admitido el recurso de apelación interpuesto contra la Sentencia del Juzgado de Instrucción, lo que culmina en el confuso Auto de la Audiencia Provincial que desestimó el recurso de queja con base en un razonamiento referido a otro recurso. Este conjunto de circunstancias obliga, en su opinión, a anular todas las resoluciones referidas a la tramitación del recurso de queja con retroacción de las actuaciones a su interposición para que se tramite con arreglo a la ley. No procede, a su juicio, una retroacción mayor, ya que la falta de motivación de las resoluciones del Juzgado de Instrucción puede ser remediada por la Audiencia Provincial al resolver el recurso de queja.</w:t>
      </w:r>
    </w:p>
    <w:p w:rsidR="00DE14C9" w:rsidRDefault="00DE14C9" w:rsidP="00DE14C9">
      <w:pPr>
        <w:pStyle w:val="TextoNormal"/>
      </w:pPr>
    </w:p>
    <w:p w:rsidR="00DE14C9" w:rsidRDefault="00DE14C9" w:rsidP="00DE14C9">
      <w:pPr>
        <w:pStyle w:val="TextoNormal"/>
      </w:pPr>
      <w:r w:rsidRPr="00DE14C9">
        <w:rPr>
          <w:rStyle w:val="NumeroAFNegritaCaracter"/>
        </w:rPr>
        <w:t>10</w:t>
      </w:r>
      <w:r>
        <w:t>. Por providencia de 17 de mayo de 2007 se señaló para la deliberación y votación de la presente Sentencia el día 21 del mismo mes y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 presente demanda de amparo tiene por objeto la impugnación de la providencia del Juzgado de Instrucción núm. 4 de Granada de 15 de septiembre de 2003, confirmada en queja por el Auto de la Sección Segunda de la Audiencia Provincial de Granada núm.  187/2004, de 26 de abril, que inadmitió por extemporáneo el recurso de apelación que la solicitante de amparo interpuso contra la Sentencia del Juzgado de Instrucción núm. 4 de Granada núm. 241/2003, de 2 de julio, aclarada por Auto de 23 de julio de 2003, recaída en el juicio de faltas núm. 508-2000.</w:t>
      </w:r>
    </w:p>
    <w:p w:rsidR="00DE14C9" w:rsidRDefault="00DE14C9" w:rsidP="00DE14C9">
      <w:pPr>
        <w:pStyle w:val="TextoNormal"/>
      </w:pPr>
      <w:r>
        <w:t>La demandante de amparo imputa a la resolución judicial impugnada la vulneración del derecho a la tutela judicial efectiva, en su vertiente de derecho de acceso al recurso (art. 24.1 CE), como consecuencia de la inadmisión del recurso de apelación, pues afirma que el recurso se presentó dentro del plazo legalmente previsto (art. 212 de la Ley de enjuiciamiento criminal: LECrim) y que el mes de agosto era inhábil a los efectos de su interposición, ya que, ni puede considerarse una actuación judicial de carácter urgente, ni un acto de instrucción de una causa penal, únicos supuestos en los que resulta hábil el mes de agosto (arts. 183 y 184 de la Ley Orgánica del Poder Judicial: LOPJ). Además aduce que la resolución del Juzgado inadmitiendo el recurso de apelación debió revestir la forma de Auto y no la de providencia, por lo que también se ha infringido el art. 141 LECrim.</w:t>
      </w:r>
    </w:p>
    <w:p w:rsidR="00DE14C9" w:rsidRDefault="00DE14C9" w:rsidP="00DE14C9">
      <w:pPr>
        <w:pStyle w:val="TextoNormal"/>
      </w:pPr>
      <w:r>
        <w:t xml:space="preserve">La representación procesal de Munat Seguros Generales, tras señalar que contra la providencia de 15 de septiembre de 2003 la demandante de amparo interpuso un recurso de </w:t>
      </w:r>
      <w:r>
        <w:lastRenderedPageBreak/>
        <w:t>reposición equivocado y fuera de plazo, así como un improcedente recurso de queja, se opone a la estimación del recurso de amparo, ya que entiende que el recurso de apelación fue interpuesto fuera de plazo, como se indica en la resoluciones judiciales impugnadas, pues respecto a los plazos procesales el mes de agosto es hábil.</w:t>
      </w:r>
    </w:p>
    <w:p w:rsidR="00DE14C9" w:rsidRDefault="00DE14C9" w:rsidP="00DE14C9">
      <w:pPr>
        <w:pStyle w:val="TextoNormal"/>
      </w:pPr>
      <w:r>
        <w:t>Por su parte el Ministerio Fiscal invoca como causa de inadmisibilidad de la demanda de amparo su extemporaneidad, debido a la falta del agotamiento de la vía judicial previa por prolongación artificial de los plazos para recurrir [art. 44.1 a) LOTC].  Argumenta al respecto que la vía judicial previa se ha agotado de manera irregular, ya que el recurso procedente contra la decisión de inadmisión del recurso de apelación era el de queja, de modo que los dos recursos que promovió la demandante de amparo antes del de queja eran improcedentes. Con carácter subsidiario, en cuanto a la cuestión de fondo suscitada, el Ministerio Fiscal considera que se ha vulnerado el derecho de la recurrente en amparo a la tutela judicial efectiva, en su vertiente de derecho de acceso al recurso (art. 24.1 CE), dado que las resoluciones judiciales recurridas no explican al justiciable las razones jurídicas por las que no ha sido admitido el recurso de apelación.</w:t>
      </w:r>
    </w:p>
    <w:p w:rsidR="00DE14C9" w:rsidRDefault="00DE14C9" w:rsidP="00DE14C9">
      <w:pPr>
        <w:pStyle w:val="TextoNormal"/>
      </w:pPr>
    </w:p>
    <w:p w:rsidR="00DE14C9" w:rsidRDefault="00DE14C9" w:rsidP="00DE14C9">
      <w:pPr>
        <w:pStyle w:val="TextoNormal"/>
      </w:pPr>
      <w:r w:rsidRPr="00DE14C9">
        <w:rPr>
          <w:rStyle w:val="NumeroAFNegritaCaracter"/>
        </w:rPr>
        <w:t>2</w:t>
      </w:r>
      <w:r>
        <w:t>. Antes de entrar en el examen de las cuestiones de fondo planteadas hemos de dar respuesta al óbice de admisibilidad alegado por el Ministerio Fiscal, al que también ha aludido la representación procesal de Munat Seguros Generales aunque sin encuadrarlo en ninguna de las causas de inadmisibilidad legalmente previstas en la Ley Orgánica del Tribunal Constitucional, consistente en su extemporaneidad como consecuencia de una indebida prolongación de la vía judicial previa.</w:t>
      </w:r>
    </w:p>
    <w:p w:rsidR="00DE14C9" w:rsidRDefault="00DE14C9" w:rsidP="00DE14C9">
      <w:pPr>
        <w:pStyle w:val="TextoNormal"/>
      </w:pPr>
      <w:r>
        <w:t>Pues bien, ha de ser desestimado aquel óbice procesal. En efecto, aun siendo cierta la improcedencia de los recursos que la demandante de amparo interpuso ante el Juzgado de Instrucción núm. 4 de Granada contra la providencia de 15 de septiembre de 2003 que inadmitió a trámite el recurso de apelación, un innominado recurso y un recurso de reposición que el Juzgado calificó de reforma, que además se promovió extemporáneamente, no es menos cierto que la recurrente ha agotado la vía judicial previa, ya que contra la mencionada providencia interpuso, después de que aquellos improcedentes recursos fueran desestimados o inadmitidos, el recurso de queja legalmente procedente y dentro del plazo legalmente previsto (arts. 213 y 218 LECrim), recurso que fue admitido por la Audiencia Provincial, dando ocasión a que ésta se pronunciara (como efectivamente ha hecho) y, en su caso, reparara la vulneración del derecho fundamental denunciada, satisfaciéndose así la finalidad a la que obedece, de acuerdo con una reiterada doctrina constitucional, el cumplimiento del requisito del agotamiento de la vía judicial previa (SSTC 111/2000, de 5 de mayo, FJ 4; 8/2007, de 15 de enero, FJ 2). De otra parte ha de ser también rechazada la existencia de una supuesta extemporaneidad en la interposición del recurso de amparo, pues la demanda se presentó en el Registro General de este Tribunal dentro del plazo de veinte días que establece el art. 44.2 LOTC, habida cuenta que el Auto desestimatorio del recurso de queja, que agotaba la vía judicial previa, se notificó el día 25 de mayo de 2004, y el recurso tuvo entrada en el Registro General de este Tribunal el día 21 de junio siguiente.</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Desestimados los anteriores óbices procesales, procede enjuiciar las cuestiones de fondo suscitadas con ocasión de la presente demanda, que estriban, de una parte, en la supuesta vulneración del derecho de la solicitante de amparo a la tutela judicial (art. 24.1 CE), al haberse inadmitido por extemporáneo el recurso de apelación que interpuso contra la Sentencia del Juzgado de Instrucción núm. 4 de Granada núm. 241/2003, de 2 de julio y, de </w:t>
      </w:r>
      <w:r>
        <w:lastRenderedPageBreak/>
        <w:t>otra, en la infracción del art. 141 LECrim por haber revestido la forma de providencia y no de Auto la decisión de inadmisión del recurso de apelación.</w:t>
      </w:r>
    </w:p>
    <w:p w:rsidR="00DE14C9" w:rsidRDefault="00DE14C9" w:rsidP="00DE14C9">
      <w:pPr>
        <w:pStyle w:val="TextoNormal"/>
      </w:pPr>
      <w:r>
        <w:t>A fin de centrarnos en la que constituye la queja principal de la recurrente en amparo, ha de rechazarse, sin necesidad de un detenido esfuerzo argumental, que presente relevancia constitucional alguna la denunciada infracción procesal por haberse decidido por providencia y no por Auto la inadmisión del recurso de apelación. En efecto, este Tribunal ha desestimado reiteradamente la identificación entre defecto o irregularidad procesal e indefensión, pues no toda infracción procesal es causante de la vulneración del derecho recogido en el art. 24.1 CE, sino que sólo alcanza tal relevancia aquella que, por anular las posibilidades de alegación, defensa y prueba cause una verdadera y real situación de indefensión material (STC 15/2005, de 31 de enero, FJ 2, por todas). En concreto hemos afirmado que, para que alcance relevancia constitucional la utilización de la forma de providencia en vez de la de Auto, es preciso que ese defecto de forma determine la merma, limitación o la privación real o material del derecho de defensa (SSTC 113/1988, de 9 de junio, FJ 5; 40/2002, de 14 de febrero, FJ 5; 159/2004, de 4 de octubre, FJ 5; 15/2005, de 31 de enero, FJ 2), lo que no ha acontecido en este caso, en el que la demandante de amparo ha hecho uso del recurso legalmente procedente contra la resolución que ha denegado la admisión del recurso de apelación (art. 218 LECrim).</w:t>
      </w:r>
    </w:p>
    <w:p w:rsidR="00DE14C9" w:rsidRDefault="00DE14C9" w:rsidP="00DE14C9">
      <w:pPr>
        <w:pStyle w:val="TextoNormal"/>
      </w:pPr>
    </w:p>
    <w:p w:rsidR="00DE14C9" w:rsidRDefault="00DE14C9" w:rsidP="00DE14C9">
      <w:pPr>
        <w:pStyle w:val="TextoNormal"/>
      </w:pPr>
      <w:r w:rsidRPr="00DE14C9">
        <w:rPr>
          <w:rStyle w:val="NumeroAFNegritaCaracter"/>
        </w:rPr>
        <w:t>4</w:t>
      </w:r>
      <w:r>
        <w:t>. La cuestión nuclear planteada estriba en determinar si ha resultado vulnerado el derecho a la tutela judicial efectiva (art. 24.1 CE) de la demandante de amparo como consecuencia de la decisión judicial de inadmisión del recurso de apelación.</w:t>
      </w:r>
    </w:p>
    <w:p w:rsidR="00DE14C9" w:rsidRDefault="00DE14C9" w:rsidP="00DE14C9">
      <w:pPr>
        <w:pStyle w:val="TextoNormal"/>
      </w:pPr>
      <w:r>
        <w:t>La lesión constitucional denunciada se enmarca, por consiguiente, en la vertiente del derecho de acceso al recurso, que se integra, como es conocido, en el derecho a la tutela judicial efectiva (art. 24.1 CE), si bien es cierto que, a diferencia del acceso a la jurisdicción, que se alza como elemento esencial del mismo, el derecho de acceso a los recursos es un derecho de configuración legal que, con excepción de los recursos contra Sentencias penales de condena, se incorpora a aquel derecho en las condiciones fijadas por cada una de las leyes procesales. Esta caracterización tiene su reflejo forzosamente en la función de control atribuida a este Tribunal respecto de las resoluciones que vedan el paso a dicha fase, pues la decisión sobre la admisión o no del recurso y la comprobación del cumplimiento de los requisitos establecidos para ello es una cuestión de legalidad ordinaria que compete, según dispone el art. 117.3 CE, exclusivamente a los Jueces y Tribunales. Así pues a los Jueces y Tribunales corresponde determinar cuáles son los requisitos y presupuestos que la ley exige para el acceso a los recursos, así como la verificación y el control de su concurrencia en cada supuesto. El Tribunal Constitucional no puede entrar a enjuiciar la corrección jurídica de las resoluciones judiciales que interpretan y aplican las reglas procesales que regulan el acceso a los recursos, ya que, ni es una última instancia judicial, ni su jurisdicción se extiende al control del acierto de las decisiones adoptadas por los órganos judiciales en el ejercicio de su competencia exclusiva sobre la selección, interpretación y aplicación de las normas procesales, ex art. 117.3 CE, en lo que respecta al acceso a los recursos previstos en la ley. El control de estas resoluciones judiciales por la jurisdicción constitucional es meramente externo y debe limitarse a comprobar si tienen motivación y si han incurrido o no en error material patente, en arbitrariedad o en manifiesta irrazonabilidad lógica, evitando toda ponderación acerca de la corrección jurídica de las mismas (SSTC 258/2000, de 30 de octubre, FJ 2; 26/2001, de 15 de enero, FJ 3; 51/2003, de 17 de marzo, FJ 3; 74/2003, de 23 de abril, FJ 3; 222/2003, de 15 de diciembre, FJ 2; 57/2006, de 27 de febrero, FJ 3; 22/2007, de 12 de febrero, FJ 4).</w:t>
      </w:r>
    </w:p>
    <w:p w:rsidR="00DE14C9" w:rsidRDefault="00DE14C9" w:rsidP="00DE14C9">
      <w:pPr>
        <w:pStyle w:val="TextoNormal"/>
      </w:pPr>
      <w:r>
        <w:lastRenderedPageBreak/>
        <w:t>Asimismo, en relación con los plazos y su cómputo, este Tribunal tiene declarado que la interpretación y aplicación judicial de una norma relativa al cómputo de plazos es una cuestión de legalidad ordinaria que, no obstante, puede adquirir dimensión constitucional cuando la decisión judicial suponga la inadmisión de un proceso o de un recurso o la pérdida de algún trámite u oportunidad procesal prevista en el Ordenamiento jurídico para hacer valer los propios derechos o intereses de parte con entidad suficiente para considerar que su omisión es determinante de indefensión, siempre que tal decisión haya sido adoptada partiendo de un cómputo en el que sea apreciable error patente, fundamentación insuficiente, irrazonable o arbitraria o que se haya utilizado un criterio interpretativo desfavorable para la efectividad del derecho a la tutela judicial efectiva sin indefensión recogido en el art. 24.1 CE (SSTC 179/2003, de 13 de octubre, FJ 3; 222/2003, de 15 de diciembre, FJ 2; 314/2005, de 12 de diciembre, FJ 5; 57/2006, de 27 de febrero, FJ 3; 162/2006, de 22 de mayo, FJ 5, entre otras muchas).</w:t>
      </w:r>
    </w:p>
    <w:p w:rsidR="00DE14C9" w:rsidRDefault="00DE14C9" w:rsidP="00DE14C9">
      <w:pPr>
        <w:pStyle w:val="TextoNormal"/>
      </w:pPr>
    </w:p>
    <w:p w:rsidR="00DE14C9" w:rsidRDefault="00DE14C9" w:rsidP="00DE14C9">
      <w:pPr>
        <w:pStyle w:val="TextoNormal"/>
      </w:pPr>
      <w:r w:rsidRPr="00DE14C9">
        <w:rPr>
          <w:rStyle w:val="NumeroAFNegritaCaracter"/>
        </w:rPr>
        <w:t>5</w:t>
      </w:r>
      <w:r>
        <w:t>. En este caso la demandante de amparo promovió recurso de aclaración contra la Sentencia del Juzgado de Instrucción núm. 4 de Granada núm. 241/2003, de 2 de julio, que interrumpió el plazo para la interposición del recurso de apelación, de conformidad con lo acordado por providencia de 23 de julio de 2003. El Auto que resolvió el recurso de aclaración, dictado en la misma fecha que la mencionada providencia, le fue notificado a la ahora solicitante de amparo el día 30 de julio de 2003.</w:t>
      </w:r>
    </w:p>
    <w:p w:rsidR="00DE14C9" w:rsidRDefault="00DE14C9" w:rsidP="00DE14C9">
      <w:pPr>
        <w:pStyle w:val="TextoNormal"/>
      </w:pPr>
      <w:r>
        <w:t>La demandante de amparo interpuso recurso de apelación mediante escrito que tuvo entrada en el registro general del Decanato de los Juzgados de Granada el día 1 de septiembre de 2003. El Juzgado de Instrucción núm. 4 de Granada por providencia de 15 de septiembre de 2003 declaró no haber lugar a tener interpuesto el recurso de apelación “por estar presentado el recurso fuera de plazo”, resolución que fue notificada a la recurrente en fecha 22 de septiembre de 2003.</w:t>
      </w:r>
    </w:p>
    <w:p w:rsidR="00DE14C9" w:rsidRDefault="00DE14C9" w:rsidP="00DE14C9">
      <w:pPr>
        <w:pStyle w:val="TextoNormal"/>
      </w:pPr>
      <w:r>
        <w:t>La demandante de amparo presentó un escrito mediante el que decía recurrir la mencionada providencia, alegando, en síntesis, que el recurso de apelación se había interpuesto dentro del plazo legalmente previsto (art. 212 LECrim) y, con cita de los arts.  183 y 184 LOPJ, que el mes de agosto era inhábil para la presentación del recurso al no tratarse de una actuación judicial de carácter urgente ni correspondiente a la instrucción de una causa penal, únicos supuestos en los que, de conformidad con aquellos preceptos legales, puede considerarse hábil el mes de agosto. El Juzgado de Instrucción núm. 4 de Granada por providencia de 2 de octubre de 2003 ordenó estar a lo acordado en la providencia de 15 de septiembre de 2003.</w:t>
      </w:r>
    </w:p>
    <w:p w:rsidR="00DE14C9" w:rsidRDefault="00DE14C9" w:rsidP="00DE14C9">
      <w:pPr>
        <w:pStyle w:val="TextoNormal"/>
      </w:pPr>
      <w:r>
        <w:t>La demandante de amparo interpuso recurso de reposición contra la decisión judicial de inadmitir el recurso de apelación, reiterando las alegaciones efectuadas en su anterior escrito. El Juzgado de Instrucción núm. 4 de Granada por providencia de 22 de octubre de 2003, tras señalar que por tratarse de un proceso penal debía entenderse que el recurso interpuesto era el de reforma en vez de el de reposición, declaró su inadmisión por extemporáneo. En la providencia se hace referencia a que “el recurrente [confunde] nuevamente la jurisdicción civil con la penal en la que todos los días y horas son hábiles y en relación con los plazos procesales Agosto es igualmente hábil”.</w:t>
      </w:r>
    </w:p>
    <w:p w:rsidR="00DE14C9" w:rsidRDefault="00DE14C9" w:rsidP="00DE14C9">
      <w:pPr>
        <w:pStyle w:val="TextoNormal"/>
      </w:pPr>
      <w:r>
        <w:t xml:space="preserve">La demandante de amparo interpuso recurso de queja contra la decisión de inadmisión del recurso de apelación. La Sección Segunda de la Audiencia Provincial de Granada dictó el Auto núm. 187/2004, de 26 de abril, en cuyo único fundamento jurídico se afirma que “[v]isto el informe del Juzgador de Instancia parece meridianamente claro que el recurso de </w:t>
      </w:r>
      <w:r>
        <w:lastRenderedPageBreak/>
        <w:t>apelación fue presentado fuera de plazo, ello es suficiente para desestimar la queja formulada”.</w:t>
      </w:r>
    </w:p>
    <w:p w:rsidR="00DE14C9" w:rsidRDefault="00DE14C9" w:rsidP="00DE14C9">
      <w:pPr>
        <w:pStyle w:val="TextoNormal"/>
      </w:pPr>
    </w:p>
    <w:p w:rsidR="00DE14C9" w:rsidRDefault="00DE14C9" w:rsidP="00DE14C9">
      <w:pPr>
        <w:pStyle w:val="TextoNormal"/>
      </w:pPr>
      <w:r w:rsidRPr="00DE14C9">
        <w:rPr>
          <w:rStyle w:val="NumeroAFNegritaCaracter"/>
        </w:rPr>
        <w:t>6</w:t>
      </w:r>
      <w:r>
        <w:t>. El precedente relato procesal pone de manifiesto, en primer término, la absoluta falta de motivación tanto de la providencia del Juzgado de Instrucción núm. 4 de Granada de 15 de septiembre de 2003 como del Auto de la Sección Segunda de la Audiencia Provincial de Granada núm. 187/2004, de 26 de abril, que confirmó en queja aquella providencia, pues ni en una ni en otra resolución judicial se explicita razón o motivo alguno por los que se considera extemporánea la interposición del recurso de apelación, ni se invoca ningún precepto o causa legal en la que se pudiera fundar la decisión de inadmisibilidad, ni, en fin, siquiera se alude en algún momento al dies a quo y al dies ad quem del plazo de interposición del recurso. Aun en el supuesto de considerar que esta carencia absoluta de motivación pudiera entenderse subsanada por una implícita remisión a la providencia del Juzgado de Instrucción núm. 4 de Granada de 22 de octubre de 2003, en la que se alude a que en la jurisdicción penal “todos los días y horas son hábiles y en relación con los plazos procesales Agosto es igualmente hábil”, lo cierto es que en ninguna de las resoluciones judiciales dictadas ni el Juzgado de Instrucción ni la Audiencia Provincial ofrecen razonamiento alguno en el que sustenten que la interposición del recurso de apelación quede excepcionada en este caso de la regla general de los arts. 183 y 184 LOPJ, a cuyo tenor son inhábiles los días del mes de agosto para todas las actuaciones judiciales excepto las que se declaren urgentes por las leyes procesales y las relativas a la instrucción de las causas criminales y, en consecuencia, que permita considerar que se trata de una actuación judicial declarada urgente ex lege o de una actuación correspondiente a la instrucción de una causa penal. A mayor abundamiento, en el informe que el Juzgado de Instrucción ha elevado a la Audiencia Provincial con ocasión del recurso de queja (art. 233 LECrim) tampoco se ofrece razón o fundamento alguno al respecto, que permitiera considerar subsanado el déficit de motivación del Auto de la Audiencia Provincial por remisión a dicho informe. En definitiva, como el Ministerio Fiscal ha puesto de manifiesto en su escrito de alegaciones, las resoluciones judiciales impugnadas no explican al justiciable las razones jurídicas por las que no ha sido admitido el recurso de apelación.</w:t>
      </w:r>
    </w:p>
    <w:p w:rsidR="00DE14C9" w:rsidRDefault="00DE14C9" w:rsidP="00DE14C9">
      <w:pPr>
        <w:pStyle w:val="TextoNormal"/>
      </w:pPr>
      <w:r>
        <w:t>Así pues, desde la perspectiva externa de control que corresponde a este Tribunal, bien por adolecer de una absoluta falta de motivación, bien, de admitirse la antes referida motivación por remisión, por apreciarse en ese caso en una manifiestamente insuficiente motivación ante la expresa y explícita determinación de los preceptos legales aplicables (arts. 212 LECrim, 183 y 184 LOPJ), lo que resulta determinante de un vicio de arbitrariedad (STC 22/2007, de 12 de febrero, FJ 5) o, incluso, de irrazonabilidad, ha de concluirse que las resoluciones judiciales impugnadas han vulnerado el derecho de la demandante de amparo a la tutela judicial efectiva, en su vertiente de derecho de acceso al recurso (art. 24.1 CE).</w:t>
      </w:r>
    </w:p>
    <w:p w:rsidR="00DE14C9" w:rsidRDefault="00DE14C9" w:rsidP="00DE14C9">
      <w:pPr>
        <w:pStyle w:val="TextoNormal"/>
      </w:pPr>
      <w:r>
        <w:t>La estimación del recurso de amparo ha de determinar la declaración de nulidad de la resolución judicial a la que es imputable en su origen la denunciada lesión del derecho a la tutela judicial efectiva (art. 24.1 CE), esto es, la providencia del Juzgado de Instrucción núm. 4 de Granada de 15 de septiembre de 2003, así como la de aquellas resoluciones judiciales que la han venido a confirmar y no han reparado la lesión causada por aquella decisión judicial.</w:t>
      </w:r>
    </w:p>
    <w:p w:rsidR="00DE14C9" w:rsidRDefault="00DE14C9" w:rsidP="00DE14C9">
      <w:pPr>
        <w:pStyle w:val="TextoNormal"/>
      </w:pPr>
    </w:p>
    <w:p w:rsidR="00DE14C9" w:rsidRDefault="00DE14C9" w:rsidP="00DE14C9">
      <w:pPr>
        <w:pStyle w:val="TextoNormalCentrado"/>
        <w:keepNext/>
      </w:pPr>
      <w:r>
        <w:lastRenderedPageBreak/>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Estimar la demanda de amparo promovida por doña María de la Soledad Moreno López y, en su virtud:</w:t>
      </w:r>
    </w:p>
    <w:p w:rsidR="00DE14C9" w:rsidRDefault="00DE14C9" w:rsidP="00DE14C9">
      <w:pPr>
        <w:pStyle w:val="TextoNormal"/>
      </w:pPr>
      <w:r>
        <w:t>1º Declarar que se ha vulnerado el derecho de la demandante de amparo a la tutela judicial efectiva, en su vertiente de derecho de acceso al recurso (art. 24.1 CE).</w:t>
      </w:r>
    </w:p>
    <w:p w:rsidR="00DE14C9" w:rsidRDefault="00DE14C9" w:rsidP="00DE14C9">
      <w:pPr>
        <w:pStyle w:val="TextoNormal"/>
      </w:pPr>
      <w:r>
        <w:t>2º Restablecerla en su derecho y, a tal fin, declarar la nulidad de la providencia del Juzgado de Instrucción núm. 4 de Granada de 15 de septiembre de 2003 y del Auto de la Sección Segunda de la Audiencia Provincial de Granada núm. 187/2004, de 26 de abril, recaídos en el juicio de faltas núm. 508-2000, retrotrayendo las actuaciones al momento inmediatamente anterior al de haberse dictado la mencionada providencia para que se dicte otra resolución judicial respetuosa con el derecho a la tutela judicial efectiva de la demandante de amparo.</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veintiuno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36" w:name="SENTENCIA_2007_123"/>
      <w:r>
        <w:lastRenderedPageBreak/>
        <w:t>SENTENCIA 123/2007, de 21 de mayo de 2007</w:t>
      </w:r>
    </w:p>
    <w:bookmarkEnd w:id="36"/>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149, de 22 de junio de 2007)</w:t>
      </w:r>
    </w:p>
    <w:p w:rsidR="00DE14C9" w:rsidRDefault="00DE14C9" w:rsidP="00DE14C9">
      <w:pPr>
        <w:pStyle w:val="TtuloBOE"/>
      </w:pPr>
    </w:p>
    <w:p w:rsidR="00DE14C9" w:rsidRDefault="00DE14C9" w:rsidP="00DE14C9">
      <w:pPr>
        <w:pStyle w:val="SntesisDescriptiva"/>
      </w:pPr>
      <w:r>
        <w:t>ECLI:ES:TC:2007:123</w:t>
      </w:r>
    </w:p>
    <w:p w:rsidR="00DE14C9" w:rsidRDefault="00DE14C9" w:rsidP="00DE14C9">
      <w:pPr>
        <w:pStyle w:val="SntesisDescriptiva"/>
      </w:pPr>
    </w:p>
    <w:p w:rsidR="00DE14C9" w:rsidRDefault="00DE14C9" w:rsidP="00DE14C9">
      <w:pPr>
        <w:pStyle w:val="SntesisDescriptiva"/>
      </w:pPr>
      <w:r>
        <w:t>Recurso de amparo 563-2005. Promovido por La Requense de Autobuses Carmen Limorte, S.A., frente a los Autos de un Juzgado de lo Social de Albacete que admitieron el desistimiento de la demanda en litigio por reclamación de cantidad.</w:t>
      </w:r>
    </w:p>
    <w:p w:rsidR="00DE14C9" w:rsidRDefault="00DE14C9" w:rsidP="00DE14C9">
      <w:pPr>
        <w:pStyle w:val="SntesisDescriptiva"/>
      </w:pPr>
    </w:p>
    <w:p w:rsidR="00DE14C9" w:rsidRDefault="00DE14C9" w:rsidP="00DE14C9">
      <w:pPr>
        <w:pStyle w:val="SntesisAnaltica"/>
      </w:pPr>
      <w:r>
        <w:t>Supuesta vulneración del derecho a la tutela judicial efectiva: desistimiento de demanda social aceptado tras celebrar el juicio oral y practicar pruebas (STC 187/1990).</w:t>
      </w:r>
    </w:p>
    <w:p w:rsidR="00DE14C9" w:rsidRDefault="00DE14C9" w:rsidP="00DE14C9">
      <w:pPr>
        <w:pStyle w:val="SntesisAnaltica"/>
      </w:pPr>
    </w:p>
    <w:p w:rsidR="00DE14C9" w:rsidRDefault="00DE14C9" w:rsidP="00DE14C9">
      <w:pPr>
        <w:pStyle w:val="Extracto"/>
      </w:pPr>
      <w:r>
        <w:t>1.</w:t>
      </w:r>
      <w:r>
        <w:tab/>
        <w:t>La decisión judicial de aceptar el desistimiento de los trabajadores, tras incumplir éstos el requerimiento de subsanación de su demanda bajo apercibimiento de archivo en caso de no hacerlo, no puede tildarse de vulneradora del derecho a la tutela judicial efectiva de la empresa demandada sino que supone una conclusión enteramente lógica del decurso procesal habido (STC 187/1990) [FJ 3].</w:t>
      </w:r>
    </w:p>
    <w:p w:rsidR="00DE14C9" w:rsidRDefault="00DE14C9" w:rsidP="00DE14C9">
      <w:pPr>
        <w:pStyle w:val="Extracto"/>
      </w:pPr>
    </w:p>
    <w:p w:rsidR="00DE14C9" w:rsidRDefault="00DE14C9" w:rsidP="00DE14C9">
      <w:pPr>
        <w:pStyle w:val="Extracto"/>
      </w:pPr>
      <w:r>
        <w:t>2.</w:t>
      </w:r>
      <w:r>
        <w:tab/>
        <w:t>La circunstancia de que la parte actora pueda plantear nuevamente la demanda de reclamación conociendo la estrategia de la recurrente para oponerse a ella no supone la lesión de su derecho de defensa pues esa parte no ha visto menoscabado en los presentes autos el derecho a alegar y probar lo que a su derecho convenía (SSTC 263/2005, 115/2006) [FJ 3].</w:t>
      </w:r>
    </w:p>
    <w:p w:rsidR="00DE14C9" w:rsidRDefault="00DE14C9" w:rsidP="00DE14C9">
      <w:pPr>
        <w:pStyle w:val="Extracto"/>
      </w:pPr>
    </w:p>
    <w:p w:rsidR="00DE14C9" w:rsidRDefault="00DE14C9" w:rsidP="00DE14C9">
      <w:pPr>
        <w:pStyle w:val="Extracto"/>
      </w:pPr>
      <w:r>
        <w:t>3.</w:t>
      </w:r>
      <w:r>
        <w:tab/>
        <w:t>Las únicas pretensiones que pueden hacerse valer en el amparo constitucional son las dirigidas a restablecer o preservar los derechos o libertades por razón de los cuales se formuló el recurso, lo que únicamente acaece cuando se ha producido una lesión actual de un derecho fundamental y no cuando lo que se denuncia es una supuesta lesión futura [FJ 3].</w:t>
      </w:r>
    </w:p>
    <w:p w:rsidR="00DE14C9" w:rsidRDefault="00DE14C9" w:rsidP="00DE14C9">
      <w:pPr>
        <w:pStyle w:val="Extracto"/>
      </w:pPr>
    </w:p>
    <w:p w:rsidR="00DE14C9" w:rsidRDefault="00DE14C9" w:rsidP="00DE14C9">
      <w:pPr>
        <w:pStyle w:val="Extracto"/>
      </w:pPr>
      <w:r>
        <w:t>4.</w:t>
      </w:r>
      <w:r>
        <w:tab/>
        <w:t>La pertinencia o no del desistimiento sólo puede ser revisada en sede constitucional si el tribunal ordinario, al resolver cada caso concreto, cause indefensión o lesión de índole constitucional a la parte demandada [FJ 3].</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lastRenderedPageBreak/>
        <w:t>SENTENCIA</w:t>
      </w:r>
    </w:p>
    <w:p w:rsidR="00DE14C9" w:rsidRDefault="00DE14C9" w:rsidP="00DE14C9">
      <w:pPr>
        <w:pStyle w:val="TextoNormalCentrado"/>
        <w:keepNext/>
      </w:pPr>
    </w:p>
    <w:p w:rsidR="00DE14C9" w:rsidRDefault="00DE14C9" w:rsidP="00DE14C9">
      <w:pPr>
        <w:pStyle w:val="TextoNormal"/>
      </w:pPr>
      <w:r>
        <w:t>En el recurso de amparo núm. 563-2005, promovido por La Requense de Autobuses Carmen Limorte, S.A., representada por la Procuradora de los Tribunales doña María Luz Albacar Medina y bajo la asistencia del Letrado don Rafael Noguera Santamaría, contra el Auto del Juzgado de lo Social núm. 1 de Albacete, de 22 de diciembre de 2004, que desestima el recurso de reposición formulado contra su anterior Auto de 23 de noviembre de 2004 recaído en los autos núm. 258-2004. Ha intervenido el Ministerio Fiscal. Han comparecido don Vicente Tebar Ruiz, don José Fernández Orozco, don Juan Valcárcel Molina, don Emilio Ponce García, don Manuel Belmar López, don Pedro-Enrique Fernández Blanco, don Juan Gazulla Talaya, don Ángel García Guerrero, don Bartolomé Fernández Fernández, don Fernando-Darío Martínez Plaza, don Sabas Barba González, don Francisco Martínez Ortega, don Miguel Martínez Ballesteros, don Rafael Díaz Martínez y don Asensio Arjona Cambronero, representados por la Procuradora de los Tribunales doña Isabel Cañedo Vega y asistidos por el Letrado don Francisco García Jiménez. Ha sido Ponente el Magistrado don Ramón Rodríguez Arribas,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Por escrito registrado en este Tribunal el día 26 de enero de 2005, la Procuradora de los Tribunales doña Luz Albacar Medina interpuso el recurso de amparo del que se ha hecho mérito en el encabezamiento contra el Auto del Juzgado de lo Social núm. 1 de Albacete, de 22 de diciembre de 2004 (recaído en los autos núm. 258- 2004), que desestima el recurso de reposición interpuesto contra el anterior Auto de ese Juzgado de 23 de noviembre por entender que vulnera el derecho a la tutela judicial efectiva (art. 24.1 CE).</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Constituyen la base de la demanda los siguientes antecedentes de hecho: </w:t>
      </w:r>
    </w:p>
    <w:p w:rsidR="00DE14C9" w:rsidRDefault="00DE14C9" w:rsidP="00DE14C9">
      <w:pPr>
        <w:pStyle w:val="TextoNormal"/>
      </w:pPr>
      <w:r>
        <w:t xml:space="preserve">a) En el Juzgado de lo Social núm. 1 de Albacete se incoaron los autos núm. 258-2004 sobre reclamación de cantidad en virtud de demanda formulada por don Manuel Belmar López y otros contra la empresa La Requense de Autobuses Carmen Limorte, S.A. </w:t>
      </w:r>
    </w:p>
    <w:p w:rsidR="00DE14C9" w:rsidRDefault="00DE14C9" w:rsidP="00DE14C9">
      <w:pPr>
        <w:pStyle w:val="TextoNormal"/>
      </w:pPr>
      <w:r>
        <w:t xml:space="preserve">b) El acto de juicio se celebró el día 22 de octubre de 2004, y por providencia de 2 de noviembre siguiente se suspendió el término para dictar sentencia y se acordó por diligencia para mejor proveer que se requiriese a la parte actora para que, en el plazo de cuatro días, efectuase el desglose de las cantidades reclamadas para cada trabajador. </w:t>
      </w:r>
    </w:p>
    <w:p w:rsidR="00DE14C9" w:rsidRDefault="00DE14C9" w:rsidP="00DE14C9">
      <w:pPr>
        <w:pStyle w:val="TextoNormal"/>
      </w:pPr>
      <w:r>
        <w:t xml:space="preserve">c) Mediante escrito de 12 de noviembre de 2004 la parte demandante solicitó del Juzgado que se requiriesen a la empresa demandada los partes diarios de los trabajadores en los que se había basado para abonar los salarios correspondientes al periodo reclamado y que quedara en suspenso el término de cuatro días concedido. </w:t>
      </w:r>
    </w:p>
    <w:p w:rsidR="00DE14C9" w:rsidRDefault="00DE14C9" w:rsidP="00DE14C9">
      <w:pPr>
        <w:pStyle w:val="TextoNormal"/>
      </w:pPr>
      <w:r>
        <w:t xml:space="preserve">d) Por medio de providencia de 15 de noviembre de 2004 se requirió a la empresa demandada la documentación interesada por la parte actora, cumpliendo dicho requerimiento aquélla mediante escrito de 18 de noviembre de 2004. Por providencia de esa misma fecha se puso de manifiesto a las partes el resultado de las diligencias practicadas para mejor proveer y se les concedió un plazo de tres días para que efectuasen las alegaciones que tuvieran por convenientes. </w:t>
      </w:r>
    </w:p>
    <w:p w:rsidR="00DE14C9" w:rsidRDefault="00DE14C9" w:rsidP="00DE14C9">
      <w:pPr>
        <w:pStyle w:val="TextoNormal"/>
      </w:pPr>
      <w:r>
        <w:t xml:space="preserve">e) Por medio de escrito de 23 de noviembre de 2004, la parte actora formuló desistimiento de la demanda, solicitando asimismo que, con carácter anticipado y en orden a la interposición de un proceso posterior, se pusiera a su disposición copia testimoniada de los partes </w:t>
      </w:r>
      <w:r>
        <w:lastRenderedPageBreak/>
        <w:t xml:space="preserve">diarios de trabajo utilizados por la empresa para abonar los salarios de los actores, así como que se procediera igualmente al desglose de los documentos aportados por su parte a las actuaciones. </w:t>
      </w:r>
    </w:p>
    <w:p w:rsidR="00DE14C9" w:rsidRDefault="00DE14C9" w:rsidP="00DE14C9">
      <w:pPr>
        <w:pStyle w:val="TextoNormal"/>
      </w:pPr>
      <w:r>
        <w:t xml:space="preserve">f) Mediante providencia de 23 de noviembre de 2003 se acordó tener por desistida a la parte actora de la demanda, librándose al efecto el oportuno Auto de esa fecha. </w:t>
      </w:r>
    </w:p>
    <w:p w:rsidR="00DE14C9" w:rsidRDefault="00DE14C9" w:rsidP="00DE14C9">
      <w:pPr>
        <w:pStyle w:val="TextoNormal"/>
      </w:pPr>
      <w:r>
        <w:t xml:space="preserve">g) Frente al Auto de desistimiento de la demanda por la parte actora, la empresa demandada formuló recurso de reposición con fecha de 2 de diciembre de 2004. Asimismo presentó con fecha de 26 de noviembre escrito de alegaciones respecto de la práctica de la diligencia acordada para mejor proveer, interesando se dictara sentencia desestimatoria de la demanda. </w:t>
      </w:r>
    </w:p>
    <w:p w:rsidR="00DE14C9" w:rsidRDefault="00DE14C9" w:rsidP="00DE14C9">
      <w:pPr>
        <w:pStyle w:val="TextoNormal"/>
      </w:pPr>
      <w:r>
        <w:t>h) Por medio de Auto de 22 de diciembre de 2004 se desestimó el recurso de reposición formulado y se confirmó el Auto recurrido, acordándose el archivo de las actuaciones.</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Según la empresa recurrente en amparo la resolución impugnada ha vulnerado el derecho a la tutela judicial efectiva en varias de sus vertientes; esto es, considera que se ha infringido el derecho a obtener una resolución sobre el fondo del asunto, el principio de inmodificabilidad de las resoluciones firmes y que se le ha ocasionado indefensión. </w:t>
      </w:r>
    </w:p>
    <w:p w:rsidR="00DE14C9" w:rsidRDefault="00DE14C9" w:rsidP="00DE14C9">
      <w:pPr>
        <w:pStyle w:val="TextoNormal"/>
      </w:pPr>
      <w:r>
        <w:t xml:space="preserve">En este sentido comienza diciendo, en primer lugar, que se ha vulnerado el derecho a obtener una resolución fundada en Derecho que ponga fin al proceso al haber admitido el Juez el desistimiento unilateral de los actores una vez que ya se había celebrado la vista oral y las partes habían aportado sus pruebas e incluso se habían acordado y llevado a cabo diligencias para mejor proveer. Considera que, tras las distintas citaciones, subsanación de la demanda, celebración del juicio oral con aportación de todas las pruebas y práctica de diligencias para mejor proveer, esa parte tenía derecho a que se dictara sentencia sobre el fondo del asunto, y entiende que no resulta admisible que a la parte actora se le permita desistir cuando conoce la estrategia defensiva de la parte demandada, para plantear otra vez la demanda. </w:t>
      </w:r>
    </w:p>
    <w:p w:rsidR="00DE14C9" w:rsidRDefault="00DE14C9" w:rsidP="00DE14C9">
      <w:pPr>
        <w:pStyle w:val="TextoNormal"/>
      </w:pPr>
      <w:r>
        <w:t xml:space="preserve">Esta misma vulneración se habría producido, según la parte recurrente, por la aceptación judicial del desistimiento del actor fundamentándolo en que, de no admitírselo, se llegaría al mismo resultado de archivo por la falta de concreción de las pretensiones de la parte actora. Y a este respecto entiende que tales pretensiones se encuentran perfectamente determinadas y cuantificadas, y que, si bien el Juzgador es libre para proceder a la práctica de diligencias para mejor proveer, éstas nunca pueden consistir en una especie de nuevo plazo de subsanación de la demanda, ni puede constituir el traspaso a una de las partes de la función jurisdiccional que es propia del Juzgado que debe conocer. </w:t>
      </w:r>
    </w:p>
    <w:p w:rsidR="00DE14C9" w:rsidRDefault="00DE14C9" w:rsidP="00DE14C9">
      <w:pPr>
        <w:pStyle w:val="TextoNormal"/>
      </w:pPr>
      <w:r>
        <w:t xml:space="preserve">En segundo lugar se alega la infracción del derecho a la inmodificabilidad de las resoluciones judiciales y ello porque el Juzgado previamente había admitido la demanda a trámite, sobre la base de que la misma contenía los elementos necesarios para poder ser resuelta, entre ellos la concreción de las pretensiones de los actores. </w:t>
      </w:r>
    </w:p>
    <w:p w:rsidR="00DE14C9" w:rsidRDefault="00DE14C9" w:rsidP="00DE14C9">
      <w:pPr>
        <w:pStyle w:val="TextoNormal"/>
      </w:pPr>
      <w:r>
        <w:t>En tercer lugar aduce que la resolución recurrida le ha ocasionado una evidente indefensión, al generarle un perjuicio real y efectivo por limitarle el derecho a defenderse en condiciones de igualdad en el proceso que, como ya anunciaron los actores, presentarán nuevamente sobre el mismo objeto procesal, con identidad entre las cosas, las causas, las personas de los litigantes y la calidad en que lo fueron. Y añaden que, aun cuando las consecuencias de dicha indefensión se manifiesten en un futuro proceso, la vulneración del derecho de defensa es actual y real y debe ser denunciada desde este mismo momento, pues es el órgano judicial el que la ha provocado, al romper el equilibrio entre las partes y mermar las posibilidades de defensa de la demandada.</w:t>
      </w:r>
    </w:p>
    <w:p w:rsidR="00DE14C9" w:rsidRDefault="00DE14C9" w:rsidP="00DE14C9">
      <w:pPr>
        <w:pStyle w:val="TextoNormal"/>
      </w:pPr>
    </w:p>
    <w:p w:rsidR="00DE14C9" w:rsidRDefault="00DE14C9" w:rsidP="00DE14C9">
      <w:pPr>
        <w:pStyle w:val="TextoNormal"/>
      </w:pPr>
      <w:r w:rsidRPr="00DE14C9">
        <w:rPr>
          <w:rStyle w:val="NumeroAFNegritaCaracter"/>
        </w:rPr>
        <w:t>4</w:t>
      </w:r>
      <w:r>
        <w:t>. Por providencia de 17 de mayo de 2006 de la Sala Segunda se admitió a trámite la demanda y, en aplicación del art. 51 LOTC, se acordó dirigir comunicación al Juzgado de lo Social núm. 1 de Albacete a fin de que remitiera las correspondientes actuaciones, interesándose, al propio tiempo, que se emplazara a quienes fueron parte en el mencionado procedimiento con excepción del recurrente en amparo, para que en el plazo de diez días pudiesen comparecer en este proceso constitucional, con traslado a dichos efectos de copia de la demanda presentada. Todo ello condicionado a que por la Procuradora doña María Luz Albacar Medina se presentara, en el plazo de diez días, escritura de poder original acreditativa de la representación de la mercantil recurrente.</w:t>
      </w:r>
    </w:p>
    <w:p w:rsidR="00DE14C9" w:rsidRDefault="00DE14C9" w:rsidP="00DE14C9">
      <w:pPr>
        <w:pStyle w:val="TextoNormal"/>
      </w:pPr>
    </w:p>
    <w:p w:rsidR="00DE14C9" w:rsidRDefault="00DE14C9" w:rsidP="00DE14C9">
      <w:pPr>
        <w:pStyle w:val="TextoNormal"/>
      </w:pPr>
      <w:r w:rsidRPr="00DE14C9">
        <w:rPr>
          <w:rStyle w:val="NumeroAFNegritaCaracter"/>
        </w:rPr>
        <w:t>5</w:t>
      </w:r>
      <w:r>
        <w:t>. Por medio de escrito de 24 de mayo de 2006 la citada Procuradora cumplimentó el requerimiento efectuado, presentando escritura de poder original de la representación que ostenta.</w:t>
      </w:r>
    </w:p>
    <w:p w:rsidR="00DE14C9" w:rsidRDefault="00DE14C9" w:rsidP="00DE14C9">
      <w:pPr>
        <w:pStyle w:val="TextoNormal"/>
      </w:pPr>
    </w:p>
    <w:p w:rsidR="00DE14C9" w:rsidRDefault="00DE14C9" w:rsidP="00DE14C9">
      <w:pPr>
        <w:pStyle w:val="TextoNormal"/>
      </w:pPr>
      <w:r w:rsidRPr="00DE14C9">
        <w:rPr>
          <w:rStyle w:val="NumeroAFNegritaCaracter"/>
        </w:rPr>
        <w:t>6</w:t>
      </w:r>
      <w:r>
        <w:t>. Por escrito de 7 de junio de 2006 la Procuradora de los Tribunales doña Isabel Cañedo Vega se persona en nombre y representación de don Vicente Tebar Ruiz, don José Fernández Orozco, don Juan Valcárcel Molina, don Emilio Ponce García, don Manuel Belmar López, don Pedro-Enrique Fernández Blanco, don Juan Gazulla Talaya, don Ángel García Guerrero, don Bartolomé Fernández Fernández, don Fernando-Darío Martínez Plaza, don Sabas Barba González, don Francisco Martínez Ortega, don Miguel Martínez Ballesteros, don Rafael Díaz Martínez y don Asensio Arjona Cambronero.</w:t>
      </w:r>
    </w:p>
    <w:p w:rsidR="00DE14C9" w:rsidRDefault="00DE14C9" w:rsidP="00DE14C9">
      <w:pPr>
        <w:pStyle w:val="TextoNormal"/>
      </w:pPr>
    </w:p>
    <w:p w:rsidR="00DE14C9" w:rsidRDefault="00DE14C9" w:rsidP="00DE14C9">
      <w:pPr>
        <w:pStyle w:val="TextoNormal"/>
      </w:pPr>
      <w:r w:rsidRPr="00DE14C9">
        <w:rPr>
          <w:rStyle w:val="NumeroAFNegritaCaracter"/>
        </w:rPr>
        <w:t>7</w:t>
      </w:r>
      <w:r>
        <w:t>. Por diligencia de ordenación de 22 de junio de 2006 se tiene por recibido el escrito presentado por la Procuradora doña María Luz Albacar Medina y se concede a la Procuradora doña Isabel Cañedo Vega, conforme determina el art. 50.5 LOTC, un plazo de diez días para que acredite la representación que dice ostentar.</w:t>
      </w:r>
    </w:p>
    <w:p w:rsidR="00DE14C9" w:rsidRDefault="00DE14C9" w:rsidP="00DE14C9">
      <w:pPr>
        <w:pStyle w:val="TextoNormal"/>
      </w:pPr>
    </w:p>
    <w:p w:rsidR="00DE14C9" w:rsidRDefault="00DE14C9" w:rsidP="00DE14C9">
      <w:pPr>
        <w:pStyle w:val="TextoNormal"/>
      </w:pPr>
      <w:r w:rsidRPr="00DE14C9">
        <w:rPr>
          <w:rStyle w:val="NumeroAFNegritaCaracter"/>
        </w:rPr>
        <w:t>8</w:t>
      </w:r>
      <w:r>
        <w:t>. Por medio de escrito de 10 de julio de 2006 la citada Procuradora presenta escrito adjuntando el poder que acredita su representación.</w:t>
      </w:r>
    </w:p>
    <w:p w:rsidR="00DE14C9" w:rsidRDefault="00DE14C9" w:rsidP="00DE14C9">
      <w:pPr>
        <w:pStyle w:val="TextoNormal"/>
      </w:pPr>
    </w:p>
    <w:p w:rsidR="00DE14C9" w:rsidRDefault="00DE14C9" w:rsidP="00DE14C9">
      <w:pPr>
        <w:pStyle w:val="TextoNormal"/>
      </w:pPr>
      <w:r w:rsidRPr="00DE14C9">
        <w:rPr>
          <w:rStyle w:val="NumeroAFNegritaCaracter"/>
        </w:rPr>
        <w:t>9</w:t>
      </w:r>
      <w:r>
        <w:t>. Por diligencia de ordenación de 20 de julio de 2006 se tiene por personada y parte en el procedimiento a la Procuradora doña Isabel Cañedo Vega en la representación que ostenta, y conforme a lo dispuesto en el art. 52.1 LOTC se acuerda dar vista de las actuaciones recibidas a las partes personadas y al Ministerio Fiscal, por plazo común de veinte días para que puedan presentar las alegaciones que estimen pertinentes.</w:t>
      </w:r>
    </w:p>
    <w:p w:rsidR="00DE14C9" w:rsidRDefault="00DE14C9" w:rsidP="00DE14C9">
      <w:pPr>
        <w:pStyle w:val="TextoNormal"/>
      </w:pPr>
    </w:p>
    <w:p w:rsidR="00DE14C9" w:rsidRDefault="00DE14C9" w:rsidP="00DE14C9">
      <w:pPr>
        <w:pStyle w:val="TextoNormal"/>
      </w:pPr>
      <w:r w:rsidRPr="00DE14C9">
        <w:rPr>
          <w:rStyle w:val="NumeroAFNegritaCaracter"/>
        </w:rPr>
        <w:t>10</w:t>
      </w:r>
      <w:r>
        <w:t xml:space="preserve">. Por medio de escrito de 15 de septiembre de 2006 presenta su escrito de alegaciones la Procuradora de los Tribunales doña Isabel Cañedo Vega en representación de la parte actora en el proceso a quo, en el que interesa que se deniegue el amparo. En primer lugar, por falta de agotamiento de la vía previa conforme 50.1 a) en relación con el art. 44.1 a) LOTC, ya que frente al Auto de 22 de diciembre de 2004 no se formularon recurso de suplicación, yen caso de que hubiera sido denegado este, recurso de queja. En segundo lugar, y en cuanto al fondo, por falta de contenido constitucional de la demanda, al no haberse producido la vulneración del derecho a la tutela judicial efectiva que se denuncia. En este sentido sostiene que la empresa recurrente en amparo parte de una premisa equivocada al </w:t>
      </w:r>
      <w:r>
        <w:lastRenderedPageBreak/>
        <w:t>reprochar la unilateralidad del desistimiento, como si este último exigiese algún tipo de acuerdo entre las partes. Aduce que el único caso en el que la jurisprudencia deniega el desistimiento unilateral una vez emplazado el demandado es cuando advierta la existencia de fraude procesal y abuso de derecho, circunstancias que no concurren en el caso de autos, en el que tras la solicitud de aclaración de ciertos extremos de la demanda, solicitada por el Juzgado para mejor proveer, esa parte estimó conveniente desistir de la demanda inicial, con reserva de acciones, para volver a plantear adecuadamente la pretensión origen de las actuaciones. Finalmente considera que no se han producido las vulneraciones aducidas, ya que ningún perjuicio se le ha arrogado a la empresa por el hecho de que el Juzgado no haya entrado a conocer de la demanda y haya quedado imprejuzgada esa cuestión, que en definitiva, supone que los actores continúen sin cobrar las cantidades reclamadas en concepto de horas extraordinarias.</w:t>
      </w:r>
    </w:p>
    <w:p w:rsidR="00DE14C9" w:rsidRDefault="00DE14C9" w:rsidP="00DE14C9">
      <w:pPr>
        <w:pStyle w:val="TextoNormal"/>
      </w:pPr>
    </w:p>
    <w:p w:rsidR="00DE14C9" w:rsidRDefault="00DE14C9" w:rsidP="00DE14C9">
      <w:pPr>
        <w:pStyle w:val="TextoNormal"/>
      </w:pPr>
      <w:r w:rsidRPr="00DE14C9">
        <w:rPr>
          <w:rStyle w:val="NumeroAFNegritaCaracter"/>
        </w:rPr>
        <w:t>11</w:t>
      </w:r>
      <w:r>
        <w:t xml:space="preserve">. Con fecha de 26 de septiembre presenta su escrito de alegaciones el Ministerio Fiscal. Comienza diciendo que, aun cuando la demanda se dirige formalmente contra el Auto de 22 de diciembre de 2004 del Juzgado de lo Social núm. 1 de Albacete, al ser dicha resolución confirmatoria del anterior Auto de ese Juzgado de 23 de noviembre de 2004, también debe este entenderse cuestionado. Después descarta la existencia vulneración del derecho a la tutela judicial efectiva en su vertiente de derecho a la inmodificabilidad de las resoluciones judiciales, que la parte recurrente considera que se ha producido por haber estimado el órgano judicial que los actores no habían concretado sus pretensiones cuando con anterioridad sí había estimado que la demanda reunía los requisitos legales para admitirse a trámite. Señala que tal queja resulta inadmisible por los siguientes motivos: 1) las providencias que admiten a trámite una demanda tienen carácter de mero impulso procesal y carecen del carácter de resoluciones definitivas; 2) la necesidad del desglose de las cantidades se puso de manifiesto con posterioridad a la admisión de la demanda; 3) las diligencias para mejor proveer no fueron cuestionadas por la empresa demandada, que cumplimentó con prontitud la entrega de los documentos; y 4) en el recurso de reposición contra el Auto de 23 de noviembre de 2004 no se hizo alusión alguna a dicha vulneración, por lo que la queja que incurre en la causa de inadmisión de falta de agotamiento de la vía previa, conforme al art. 50.1 a) en relación con el art. 44.1 a) LOTC. </w:t>
      </w:r>
    </w:p>
    <w:p w:rsidR="00DE14C9" w:rsidRDefault="00DE14C9" w:rsidP="00DE14C9">
      <w:pPr>
        <w:pStyle w:val="TextoNormal"/>
      </w:pPr>
      <w:r>
        <w:t xml:space="preserve">Posteriormente, y en cuanto a la indefensión alegada, considera el Fiscal que tampoco puede ser analizada, dado su carácter de mera eventualidad, y señala que la posibilidad de instar un nuevo proceso es consustancial al instituto del desistimiento. Añade, además, que los reproches que se realizan respecto de las diligencias para mejor proveer acordadas, además de referirse a interpretaciones de legalidad ajenas al proceso de amparo, no fueron tampoco cuestionadas en el momento procesal oportuno ni aducidas en el recurso de reposición. </w:t>
      </w:r>
    </w:p>
    <w:p w:rsidR="00DE14C9" w:rsidRDefault="00DE14C9" w:rsidP="00DE14C9">
      <w:pPr>
        <w:pStyle w:val="TextoNormal"/>
      </w:pPr>
      <w:r>
        <w:t xml:space="preserve">Por todo ello entiende que la queja debe circunscribirse a la vulneración del derecho a la tutela judicial efectiva por la aceptación del desistimiento a pesar de la oposición de la empresa ahora demandante, que se ha visto privada de una resolución de fondo. Y a este respecto indica que ha de partirse del decurso procesal habido, esto es, hay que tener en cuenta que hubo unos previos requerimientos judiciales de concreción de cantidades a la parte actora con apercibimiento de tenerla por desistida en caso de no cumplimiento, requerimientos previos que la empresa, entonces parte demandada, no cuestionó y para cuya efectividad colaboró con prontitud. Por ello, a juicio del Fiscal, su pretensión de que el desistimiento de la actora no debió ser aceptado y que al haberlo sido se vulnera su tutela judicial efectiva resulta inadmisible. En definitiva concluye diciendo que la decisión judicial de aceptar el </w:t>
      </w:r>
      <w:r>
        <w:lastRenderedPageBreak/>
        <w:t>desistimiento de los trabajadores que se habían abstenido de atender al requerimiento judicial con apercibimiento de tenerles por desistidos en sus pretensiones en caso de no cumplimentarlo, con plena aquiescencia de la empresa ahora demandante, no puede tildarse de vulneradora del derecho a la tutela judicial efectiva de ésta, por cuanto supone una conclusión enteramente lógica del desarrollo del proceso. Y añade que la petición de que hubiera debido dictarse una sentencia que analizara el fondo de las pretensiones deducidas por los trabajadores no aparece como respetuosa de los derechos de tutela judicial efectiva de los mismos, dado que a éstos se les ha conminado para que realizasen un comportamiento procesal determinado so pena de enfrentarse con unas consecuencias jurídicas determinadas, y en esos estrictos términos decidieron actuar como estimaron lo más conveniente. Por todo ello el Fiscal interesa que se deniegue el amparo solicitado.</w:t>
      </w:r>
    </w:p>
    <w:p w:rsidR="00DE14C9" w:rsidRDefault="00DE14C9" w:rsidP="00DE14C9">
      <w:pPr>
        <w:pStyle w:val="TextoNormal"/>
      </w:pPr>
    </w:p>
    <w:p w:rsidR="00DE14C9" w:rsidRDefault="00DE14C9" w:rsidP="00DE14C9">
      <w:pPr>
        <w:pStyle w:val="TextoNormal"/>
      </w:pPr>
      <w:r w:rsidRPr="00DE14C9">
        <w:rPr>
          <w:rStyle w:val="NumeroAFNegritaCaracter"/>
        </w:rPr>
        <w:t>12</w:t>
      </w:r>
      <w:r>
        <w:t>. La parte recurrente en amparo no ha evacuado el trámite de alegaciones concedido en aplicación del art. 52.1 LOTC.</w:t>
      </w:r>
    </w:p>
    <w:p w:rsidR="00DE14C9" w:rsidRDefault="00DE14C9" w:rsidP="00DE14C9">
      <w:pPr>
        <w:pStyle w:val="TextoNormal"/>
      </w:pPr>
    </w:p>
    <w:p w:rsidR="00DE14C9" w:rsidRDefault="00DE14C9" w:rsidP="00DE14C9">
      <w:pPr>
        <w:pStyle w:val="TextoNormal"/>
      </w:pPr>
      <w:r w:rsidRPr="00DE14C9">
        <w:rPr>
          <w:rStyle w:val="NumeroAFNegritaCaracter"/>
        </w:rPr>
        <w:t>13</w:t>
      </w:r>
      <w:r>
        <w:t>. Por providencia de 17 de mayo de 2007 se señaló para deliberación y fallo de la presente Sentencia el día 21 del mismo mes y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 empresa recurrente en amparo, parte demandada en los autos sobre reclamación de cantidad núm. 258-2004 seguidos ante el Juzgado de lo Social núm. 1 de Albacete, imputa al Auto de ese Juzgado de 22 de diciembre de 2004 -que confirmando el anterior Auto de 23 de noviembre tuvo por desistida de su demanda a la parte actora- la vulneración del art. 24.1 CE al considerar que con la aceptación de tal desistimiento se le deniega injustificadamente una resolución sobre el fondo del asunto, se vulnera el derecho a la inmodificabilidad de las resoluciones judiciales y se le genera indefensión.</w:t>
      </w:r>
    </w:p>
    <w:p w:rsidR="00DE14C9" w:rsidRDefault="00DE14C9" w:rsidP="00DE14C9">
      <w:pPr>
        <w:pStyle w:val="TextoNormal"/>
      </w:pPr>
      <w:r>
        <w:t>Ante todo debemos comenzar señalando que, aun cuando formalmente el recurso de amparo se dirige únicamente contra el Auto de 22 de diciembre de 2004, hay que considerar igualmente recurrido el precedente Auto de 23 de noviembre al resultar aquél confirmatorio de este último. Según reiterada doctrina constitucional, cuando se impugna en amparo una resolución judicial confirmatoria de otras que han sido lógica y cronológicamente presupuesto de aquélla, como ocurre en este caso, han de tenerse también por recurridas las precedentes resoluciones confirmadas, aunque las mismas no lo hayan sido de forma expresa (SSTC 40/2002, de 14 de febrero, FJ 1, y 196/2006, de 3 de julio, FJ 2).</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Antes de entrar en el análisis de fondo de la cuestión planteada es preciso pronunciarse sobre los óbices procesales alegados. La parte comparecida en este recurso de amparo (parte actora en el proceso a quo) solicita la inadmisión del mismo por falta de agotamiento de la vía judicial previa conforme al art. 50.1 a) en relación con el art. 44.1 a) LOTC, por no haber planteado la empresa recurrente en amparo contra el Auto impugnado recurso de suplicación. Esta alegación debe ser rechazada ya que, en contra de lo mantenido por la parte, la resolución cuestionada no podía ser impugnada a través de ese extraordinario recurso conforme a lo dispuesto en el art. 189 del texto refundido de la Ley de procedimiento laboral, aprobado por Real Decreto Legislativo 2/1995, de 7 de abril, al no incluir este precepto entre </w:t>
      </w:r>
      <w:r>
        <w:lastRenderedPageBreak/>
        <w:t>los Autos que pueden ser impugnados en suplicación el que ahora se cuestiona. En consecuencia la no interposición del recurso de suplicación no puede constituir, en el presente caso, causa impeditiva de procedibilidad del recurso de amparo, a la luz de lo dispuesto en el art. 44.1 a) LOTC.</w:t>
      </w:r>
    </w:p>
    <w:p w:rsidR="00DE14C9" w:rsidRDefault="00DE14C9" w:rsidP="00DE14C9">
      <w:pPr>
        <w:pStyle w:val="TextoNormal"/>
      </w:pPr>
      <w:r>
        <w:t>Por su parte el Ministerio Fiscal sostiene con relación a la queja de la recurrente relativa a la vulneración del derecho a la inmodificabilidad de resoluciones firmes que resulta inadmisible por la falta de agotamiento de la vía judicial (arts.  50.1.a en relación con el art. 44.1.a LOTC), en tanto en cuanto no se hizo alusión alguna a dicha vulneración en el recurso de reposición formulado contra el Auto de 23 de noviembre de 2004. Conforme a lo dicho por el Fiscal lo que concurriría, en realidad, sería la causa de inadmisión prevista en el art. 50.1 a) en relación con el art. 44.1 c) LOTC, a saber, una falta de invocación previa respecto de esa concreta queja al no haberse denunciado previamente en la vía judicial. Y, efectivamente, el examen del recurso de reposición formulado contra el Auto de desistimiento por la ahora recurrente en amparo evidencia la invocación del derecho a la tutela judicial efectiva en sus concretas vertientes de derecho a obtener una resolución sobre el fondo e indefensión, pero falta cualquier referencia a la infracción del derecho a la inmodificabilidad de resoluciones firmes que ahora se denuncia en vía de amparo. En consecuencia la parte recurrente no ha posibilitado que el órgano judicial se pronunciase sobre esta concreta vulneración, lo que impide que pueda ser tomada en consideración en el presente recurso de amparo, por imperativo del carácter subsidiario de esta jurisdicción (por todas, STC 271/2006, de 25 de septiembre, FJ 1).</w:t>
      </w:r>
    </w:p>
    <w:p w:rsidR="00DE14C9" w:rsidRDefault="00DE14C9" w:rsidP="00DE14C9">
      <w:pPr>
        <w:pStyle w:val="TextoNormal"/>
      </w:pPr>
    </w:p>
    <w:p w:rsidR="00DE14C9" w:rsidRDefault="00DE14C9" w:rsidP="00DE14C9">
      <w:pPr>
        <w:pStyle w:val="TextoNormal"/>
      </w:pPr>
      <w:r w:rsidRPr="00DE14C9">
        <w:rPr>
          <w:rStyle w:val="NumeroAFNegritaCaracter"/>
        </w:rPr>
        <w:t>3</w:t>
      </w:r>
      <w:r>
        <w:t>. Como aduce el Ministerio Fiscal nuestro enjuiciamiento debe circunscribirse a la queja relativa a la vulneración del derecho a la tutela judicial efectiva por la falta de una resolución sobre el fondo debida a la aceptación del desistimiento a pesar de la oposición de la empresa ahora recurrente en amparo, así como la relativa a la indefensión que tal circunstancia le habría generado.</w:t>
      </w:r>
    </w:p>
    <w:p w:rsidR="00DE14C9" w:rsidRDefault="00DE14C9" w:rsidP="00DE14C9">
      <w:pPr>
        <w:pStyle w:val="TextoNormal"/>
      </w:pPr>
      <w:r>
        <w:t>A través de la invocación del derecho a la obtención de una resolución sobre el fondo la parte recurrente cuestiona la procedencia de la aceptación judicial del desistimiento, ya que, de un lado, esa parte (entonces demandada) se oponía a ella y, de otro, ya se había celebrado el juicio oral y practicado las pruebas. Se fundamenta de este modo la lesión tanto en la unilateralidad del acto de desistimiento como en el momento temporal en el que el mismo se produjo.</w:t>
      </w:r>
    </w:p>
    <w:p w:rsidR="00DE14C9" w:rsidRDefault="00DE14C9" w:rsidP="00DE14C9">
      <w:pPr>
        <w:pStyle w:val="TextoNormal"/>
      </w:pPr>
      <w:r>
        <w:t>Tales alegaciones resultan inadmisibles, ya que plantean en sede de amparo una cuestión de legalidad, sin relevancia constitucional, relacionada con la interpretación y aplicación de la regulación del desistimiento en nuestro ordenamiento procesal, interpretación que corresponde al Juez ordinario efectuar, sin que pueda revisarla este Tribunal. Ciertamente, como dijimos en nuestra STC 187/1990, de 26 de noviembre, FJ 5, los Tribunales ordinarios, al resolver en cada caso sobre la pertinencia o no del desistimiento, habrán de velar porque no se cause indefensión o lesión alguna de índole constitucional a la parte demandada. Y, a la vista de lo acontecido en el caso de autos, la decisión judicial de aceptar el desistimiento de los trabajadores, tras incumplir éstos el requerimiento de subsanación de su demanda bajo apercibimiento de archivo en caso de no hacerlo, no puede tildarse de vulneradora del derecho a la tutela judicial efectiva de la empresa demandada (ahora recurrente en amparo), sino que supone, como sostiene el Fiscal, una conclusión enteramente lógica del decurso procesal habido.</w:t>
      </w:r>
    </w:p>
    <w:p w:rsidR="00DE14C9" w:rsidRDefault="00DE14C9" w:rsidP="00DE14C9">
      <w:pPr>
        <w:pStyle w:val="TextoNormal"/>
      </w:pPr>
      <w:r>
        <w:lastRenderedPageBreak/>
        <w:t>Asimismo resulta igualmente inadmisible la denunciada indefensión, que se denuncia ya que la circunstancia de que la parte actora pueda plantear nuevamente la demanda de reclamación conociendo, según dice la recurrente, la "estrategia" de esa parte para oponerse a ella (los motivos de oposición y sus pruebas) no supone la lesión de su derecho de defensa (SSTC 263/2005, de 24 de octubre, FJ 6; y 115/2006, de 24 de abril, FJ 4), pues esa parte no ha visto menoscabado en los presentes autos el derecho a alegar y probar lo que a su derecho convenía. Ciertamente las únicas pretensiones que pueden hacerse valer en el amparo constitucional son las dirigidas a restablecer o preservar los derechos o libertades por razón de los cuales se formuló el recurso (arts. 41.3 y 43.3 en relación con 55.1 LOTC), lo que únicamente acaece cuando se ha producido una lesión actual de un derecho fundamental y no cuando, como ocurre en este caso, lo que se denuncia es una supuesta lesión futura.</w:t>
      </w:r>
    </w:p>
    <w:p w:rsidR="00DE14C9" w:rsidRDefault="00DE14C9" w:rsidP="00DE14C9">
      <w:pPr>
        <w:pStyle w:val="TextoNormal"/>
      </w:pPr>
      <w:r>
        <w:t>FA L L O</w:t>
      </w:r>
    </w:p>
    <w:p w:rsidR="00DE14C9" w:rsidRDefault="00DE14C9" w:rsidP="00DE14C9">
      <w:pPr>
        <w:pStyle w:val="TextoNormal"/>
      </w:pPr>
      <w:r>
        <w:t>En atención a todo lo expuesto, el Tribunal Constitucional, POR LA AUTORIDAD QUE LE CONFIERE LA CONSTITUCIÓN DE LA NACIÓN ESPAÑOLA,</w:t>
      </w:r>
    </w:p>
    <w:p w:rsidR="00DE14C9" w:rsidRDefault="00DE14C9" w:rsidP="00DE14C9">
      <w:pPr>
        <w:pStyle w:val="TextoNormal"/>
      </w:pPr>
      <w:r>
        <w:t>Ha decidido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Denegar el amparo solicitado por La Requense de Autobuses Carmen Limorte, S.A.</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veintiuno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37" w:name="SENTENCIA_2007_124"/>
      <w:r>
        <w:lastRenderedPageBreak/>
        <w:t>SENTENCIA 124/2007, de 21 de mayo de 2007</w:t>
      </w:r>
    </w:p>
    <w:bookmarkEnd w:id="37"/>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149, de 22 de junio de 2007)</w:t>
      </w:r>
    </w:p>
    <w:p w:rsidR="00DE14C9" w:rsidRDefault="00DE14C9" w:rsidP="00DE14C9">
      <w:pPr>
        <w:pStyle w:val="TtuloBOE"/>
      </w:pPr>
    </w:p>
    <w:p w:rsidR="00DE14C9" w:rsidRDefault="00DE14C9" w:rsidP="00DE14C9">
      <w:pPr>
        <w:pStyle w:val="SntesisDescriptiva"/>
      </w:pPr>
      <w:r>
        <w:t>ECLI:ES:TC:2007:124</w:t>
      </w:r>
    </w:p>
    <w:p w:rsidR="00DE14C9" w:rsidRDefault="00DE14C9" w:rsidP="00DE14C9">
      <w:pPr>
        <w:pStyle w:val="SntesisDescriptiva"/>
      </w:pPr>
    </w:p>
    <w:p w:rsidR="00DE14C9" w:rsidRDefault="00DE14C9" w:rsidP="00DE14C9">
      <w:pPr>
        <w:pStyle w:val="SntesisDescriptiva"/>
      </w:pPr>
      <w:r>
        <w:t>Recurso de amparo 711-2005. Promovido por don José Antonio López Ruiz frente a los Autos del Juzgado Central de Vigilancia Penitenciaria que desestimaron su queja contra el centro penitenciario de Algeciras por sanciones disciplinarias en relación con una huelga de higiene.</w:t>
      </w:r>
    </w:p>
    <w:p w:rsidR="00DE14C9" w:rsidRDefault="00DE14C9" w:rsidP="00DE14C9">
      <w:pPr>
        <w:pStyle w:val="SntesisDescriptiva"/>
      </w:pPr>
    </w:p>
    <w:p w:rsidR="00DE14C9" w:rsidRDefault="00DE14C9" w:rsidP="00DE14C9">
      <w:pPr>
        <w:pStyle w:val="SntesisAnaltica"/>
      </w:pPr>
      <w:r>
        <w:t>Vulneración del derecho a la tutela judicial efectiva (motivación): resoluciones judiciales estereotipadas.</w:t>
      </w:r>
    </w:p>
    <w:p w:rsidR="00DE14C9" w:rsidRDefault="00DE14C9" w:rsidP="00DE14C9">
      <w:pPr>
        <w:pStyle w:val="SntesisAnaltica"/>
      </w:pPr>
    </w:p>
    <w:p w:rsidR="00DE14C9" w:rsidRDefault="00DE14C9" w:rsidP="00DE14C9">
      <w:pPr>
        <w:pStyle w:val="Extracto"/>
      </w:pPr>
      <w:r>
        <w:t>1.</w:t>
      </w:r>
      <w:r>
        <w:tab/>
        <w:t>Las Resoluciones del Juzgado de Vigilancia Penitenciaria contienen tan solo una lacónica motivación referida a los hechos y a su calificación jurídica, sin que se encuentre en ellas alusión alguna a las irregularidades en la tramitación del expediente sancionador y a las vulneraciones de derechos fundamentales denunciadas [FJ 6].</w:t>
      </w:r>
    </w:p>
    <w:p w:rsidR="00DE14C9" w:rsidRDefault="00DE14C9" w:rsidP="00DE14C9">
      <w:pPr>
        <w:pStyle w:val="Extracto"/>
      </w:pPr>
    </w:p>
    <w:p w:rsidR="00DE14C9" w:rsidRDefault="00DE14C9" w:rsidP="00DE14C9">
      <w:pPr>
        <w:pStyle w:val="Extracto"/>
      </w:pPr>
      <w:r>
        <w:t>2.</w:t>
      </w:r>
      <w:r>
        <w:tab/>
        <w:t>La puesta en manifiesto ante el Juzgado de Vigilancia Penitenciaria de la falta de respuesta a alguna de las cuestiones planteadas por un interno, a través de la reiteración de la cuestión en el correspondiente recurso de reforma, es suficiente para entender salvaguardada la subsidiariedad de la demanda de amparo, sin necesidad de recurrir al incidente extraordinario de nulidad de actuaciones (SSTC 52/2005, 7/2006) [FJ 3].</w:t>
      </w:r>
    </w:p>
    <w:p w:rsidR="00DE14C9" w:rsidRDefault="00DE14C9" w:rsidP="00DE14C9">
      <w:pPr>
        <w:pStyle w:val="Extracto"/>
      </w:pPr>
    </w:p>
    <w:p w:rsidR="00DE14C9" w:rsidRDefault="00DE14C9" w:rsidP="00DE14C9">
      <w:pPr>
        <w:pStyle w:val="Extracto"/>
      </w:pPr>
      <w:r>
        <w:t>3.</w:t>
      </w:r>
      <w:r>
        <w:tab/>
        <w:t>En la medida en que los recursos presentados por los internos ante el Juez de Vigilancia Penitenciara contengan alegaciones relativas a un derecho fundamental, existirá denegación de tutela por incongruencia omisiva siempre que no exista respuesta expresa sobre las pretensiones (SSTC 83/1998, SSTC 52/2004) [FJ 4].</w:t>
      </w:r>
    </w:p>
    <w:p w:rsidR="00DE14C9" w:rsidRDefault="00DE14C9" w:rsidP="00DE14C9">
      <w:pPr>
        <w:pStyle w:val="Extracto"/>
      </w:pPr>
    </w:p>
    <w:p w:rsidR="00DE14C9" w:rsidRDefault="00DE14C9" w:rsidP="00DE14C9">
      <w:pPr>
        <w:pStyle w:val="Extracto"/>
      </w:pPr>
      <w:r>
        <w:t>4.</w:t>
      </w:r>
      <w:r>
        <w:tab/>
        <w:t>Nos encontramos ante uno de los denominados recursos mixtos (arts. 43 y 44 LOTC), en la medida que se impugnan tanto el Acuerdo sancionador de la comisión disciplinaria del centro penitenciario, como las resoluciones judiciales que lo confirman [FJ 2].</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lastRenderedPageBreak/>
        <w:t>SENTENCIA</w:t>
      </w:r>
    </w:p>
    <w:p w:rsidR="00DE14C9" w:rsidRDefault="00DE14C9" w:rsidP="00DE14C9">
      <w:pPr>
        <w:pStyle w:val="TextoNormalCentrado"/>
        <w:keepNext/>
      </w:pPr>
    </w:p>
    <w:p w:rsidR="00DE14C9" w:rsidRDefault="00DE14C9" w:rsidP="00DE14C9">
      <w:pPr>
        <w:pStyle w:val="TextoNormal"/>
      </w:pPr>
      <w:r>
        <w:t>En el recurso de amparo núm. 711-2005, promovido por don José Antonio López Ruiz, representado por la Procuradora de los Tribunales doña María Aranzazu López Orejas y asistido por la Letrada doña Leonor Huerta Palacios, contra los Autos del Juzgado Central de Vigilancia Penitenciaria de 1 de septiembre de 2004 y 28 de diciembre de 2004, que confirmaron en alzada y en reforma, respectivamente, el Acuerdo sancionador de la comisión disciplinaria del centro penitenciario de Algeciras, de 18 de marzo de 2004, recaído en el expediente disciplinario núm. 135-2004. Han intervenido el Ministerio Fiscal y el Abogado del Estado. Ha sido Ponente la Magistrada doña Elisa Pérez Vera,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que tuvo entrada en el Registro General de este Tribunal el día 2 de febrero de 2005, don José Antonio López Ruiz, interno en el centro penitenciario de Algeciras, manifestó su voluntad de interponer recurso de amparo contra las resoluciones que se citan en el encabezamiento. Solicita para ello la designación de Procurador y Abogado de turno de oficio. Por diligencia de ordenación de 17 de febrero de 2005 de la Secretaria de Justicia de la Sala Segunda de este Tribunal se tramita dicha petición, librando el correspondiente despacho al Colegio de Abogados de Madrid. Por diligencia de ordenación de 10 de marzo de 2005 se tienen por designadas a doña Leonor Huerta Palacios como Abogada y a doña María Aranzazu López Orejas como Procuradora, requiriéndose a la citada Procuradora para que en el plazo de veinte días formulase la correspondiente demanda de amparo. Demanda que efectivamente se presenta en el Registro General de este Tribunal el día 12 de abril de 2005.</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en los que tiene su origen el presente recurso y relevantes para su resolución son, sucintamente expuestos, los siguientes: </w:t>
      </w:r>
    </w:p>
    <w:p w:rsidR="00DE14C9" w:rsidRDefault="00DE14C9" w:rsidP="00DE14C9">
      <w:pPr>
        <w:pStyle w:val="TextoNormal"/>
      </w:pPr>
      <w:r>
        <w:t xml:space="preserve">a) Por resolución del día 26 de enero de 2004, el Director del centro penitenciario de Algeciras acordó iniciar procedimiento disciplinario contra el interno ahora demandante de amparo, a raíz de una serie de partes de los funcionarios del módulo de régimen especial y de informes de los jefes de servicios, en los que se hacía constar que los días 4, 6 y 8 de noviembre de 2003, este interno junto con otros de su galería arrojaron orina y excrementos por debajo de la puerta de sus celdas, inundando la galería y provocando un olor insoportable, ante lo cual se les dio la orden de que lo limpiaran, orden que se negaron a cumplir reiteradamente, por lo que hubo de procederse a la limpieza por parte de los ordenanzas, con el consiguiente trastorno regimental que ello conlleva. </w:t>
      </w:r>
    </w:p>
    <w:p w:rsidR="00DE14C9" w:rsidRDefault="00DE14C9" w:rsidP="00DE14C9">
      <w:pPr>
        <w:pStyle w:val="TextoNormal"/>
      </w:pPr>
      <w:r>
        <w:t xml:space="preserve">b) Tras el nombramiento de Instructor en la misma resolución que incoa el expediente, éste formula pliego de cargos, con fecha 2 de febrero de 2004, en el que se hacen constar los siguientes hechos imputados: </w:t>
      </w:r>
    </w:p>
    <w:p w:rsidR="00DE14C9" w:rsidRDefault="00DE14C9" w:rsidP="00DE14C9">
      <w:pPr>
        <w:pStyle w:val="TextoNormal"/>
      </w:pPr>
      <w:r>
        <w:t xml:space="preserve">“Con fecha 04/11/03; 06/11/03 y 08/11/03 Ud. y el resto de internos de su galería, todos internos FIES 3 BA, arrojan su orina y sus excrementos personales por debajo de su puerta, inundando toda la galería con los mismos, habiendo un olor insoportable. Tras ordenarle los funcionarios de servicio que limpiaran la galería, Ud. y el resto de internos FIES 3 de la </w:t>
      </w:r>
      <w:r>
        <w:lastRenderedPageBreak/>
        <w:t xml:space="preserve">galería se niegan a limpiar sus excrementos, manifestando todos la misma actitud. Finalmente, y ante el incumplimiento de las órdenes dadas a Ud., los internos ordenanzas tienen que baldear y limpiar sus excrementos”. </w:t>
      </w:r>
    </w:p>
    <w:p w:rsidR="00DE14C9" w:rsidRDefault="00DE14C9" w:rsidP="00DE14C9">
      <w:pPr>
        <w:pStyle w:val="TextoNormal"/>
      </w:pPr>
      <w:r>
        <w:t xml:space="preserve">Tales hechos se consideran constitutivos de una falta muy grave del art. 108.a y de una falta grave del art. 109.b del Reglamento penitenciario, proponiéndose una sanción de aislamiento de hasta siete fines de semana y de privación de paseos y actos recreativos de tres días a un mes. </w:t>
      </w:r>
    </w:p>
    <w:p w:rsidR="00DE14C9" w:rsidRDefault="00DE14C9" w:rsidP="00DE14C9">
      <w:pPr>
        <w:pStyle w:val="TextoNormal"/>
      </w:pPr>
      <w:r>
        <w:t xml:space="preserve">c) Del citado pliego de cargos se dio traslado al interno, quien el día 3 de febrero de 2004 solicitó el asesoramiento de un jurista del centro para la realización del pliego de descargos y tener acceso al material probatorio de cargo y/o copia del mismo, con paralización de los plazos hasta que pudiera tener dicho acceso. </w:t>
      </w:r>
    </w:p>
    <w:p w:rsidR="00DE14C9" w:rsidRDefault="00DE14C9" w:rsidP="00DE14C9">
      <w:pPr>
        <w:pStyle w:val="TextoNormal"/>
      </w:pPr>
      <w:r>
        <w:t xml:space="preserve">La solicitud de prueba es desestimada el día 11 de febrero de 2004, por entender el Instructor que, al habérsele entregado el pliego de cargos, en el que se verifican todos los extremos del art. 242.2 RP, la prueba solicitada no podría aportar ningún dato cuyo desconocimiento pudiera vulnerar el derecho de defensa; además se considera improcedente, atendidas las necesidades de seguridad y buen orden regimental a que atiende el art. 231.1 RP. </w:t>
      </w:r>
    </w:p>
    <w:p w:rsidR="00DE14C9" w:rsidRDefault="00DE14C9" w:rsidP="00DE14C9">
      <w:pPr>
        <w:pStyle w:val="TextoNormal"/>
      </w:pPr>
      <w:r>
        <w:t xml:space="preserve">El día 28 de febrero de 2004 el interno presentó sus alegaciones al Instructor, reiterando la solicitud de asesoramiento y el acceso al material probatorio, así como la paralización de los plazos. En dicho escrito manifiesta, asimismo, que entre los días 3 y 12 de noviembre de 2003 realizó una “huelga de higiene”, notificada a la Dirección del establecimiento, y que no es cierto que el funcionario le ordenara limpiar la galería, por lo que no le pueden acusar de la falta grave del art. 109.b. </w:t>
      </w:r>
    </w:p>
    <w:p w:rsidR="00DE14C9" w:rsidRDefault="00DE14C9" w:rsidP="00DE14C9">
      <w:pPr>
        <w:pStyle w:val="TextoNormal"/>
      </w:pPr>
      <w:r>
        <w:t xml:space="preserve">En las actuaciones consta un escrito de fecha 16 de febrero de 2004, firmado por el jurista del centro penitenciario con núm. de seguridad 178, en el que certifica haber asesorado al ahora demandante de amparo en el expediente disciplinario 135-2004. Igualmente consta un escrito del Instructor, cumplimentando el trámite de puesta de manifiesto previsto en el art. 244.4 RP, en el que certifica como actuaciones practicadas en el citado expediente las siguientes: parte escrito de funcionarios de cuyo contenido se dio traslado al interno; escrito del director del centro penitenciario nombrando instructor; pliego de cargos que le fue notificado en tiempo y forma; pliego de descargos; desestimación de acceso a pruebas de cargos y asesoramiento legal a través del jurista del centro penitenciario. </w:t>
      </w:r>
    </w:p>
    <w:p w:rsidR="00DE14C9" w:rsidRDefault="00DE14C9" w:rsidP="00DE14C9">
      <w:pPr>
        <w:pStyle w:val="TextoNormal"/>
      </w:pPr>
      <w:r>
        <w:t xml:space="preserve">d) El día 3 de marzo de 2004, el Instructor realiza la propuesta de resolución, en la que considera al interno autor de los hechos imputados descritos en el pliego de cargos, proponiendo las sanciones de siete fines de semana de aislamiento y treinta días de privación de paseos. </w:t>
      </w:r>
    </w:p>
    <w:p w:rsidR="00DE14C9" w:rsidRDefault="00DE14C9" w:rsidP="00DE14C9">
      <w:pPr>
        <w:pStyle w:val="TextoNormal"/>
      </w:pPr>
      <w:r>
        <w:t xml:space="preserve">Notificada dicha propuesta al interno ese mismo día, éste manifiesta su voluntad de no alegar verbalmente ante la comisión disciplinaria, afirmando que desea presentar alegaciones por escrito. Mediante un escrito solicita asesoramiento de jurista del centro a tal efecto. En las actuaciones consta un escrito del jurista del centro, de fecha 9 de marzo de 2004, en el que manifiesta que ha asesorado al interno para la alegación ante la comisión disciplinaria en el expediente disciplinario 135-2004. </w:t>
      </w:r>
    </w:p>
    <w:p w:rsidR="00DE14C9" w:rsidRDefault="00DE14C9" w:rsidP="00DE14C9">
      <w:pPr>
        <w:pStyle w:val="TextoNormal"/>
      </w:pPr>
      <w:r>
        <w:t xml:space="preserve">e) El día 18 de marzo de 2004 se dicta el Acuerdo sancionador, en el que se consideran hechos probados los mismos relatados en el pliego de cargos, calificados como falta muy grave del art. 108.a y como falta grave del art. 109.b, respectivamente, e imponiendo una sanción de siete fines de semana de aislamiento y otra de veinticinco días de privación de paseos y actos recreativos. </w:t>
      </w:r>
    </w:p>
    <w:p w:rsidR="00DE14C9" w:rsidRDefault="00DE14C9" w:rsidP="00DE14C9">
      <w:pPr>
        <w:pStyle w:val="TextoNormal"/>
      </w:pPr>
      <w:r>
        <w:lastRenderedPageBreak/>
        <w:t xml:space="preserve">En el acta de notificación del Acuerdo, se hace constar que (sic): “Desea realizar alegaciones ante la Comisión Disciplinaria, que no se ha celebrado, según palabras del interno, para el expediente 135-2004”. </w:t>
      </w:r>
    </w:p>
    <w:p w:rsidR="00DE14C9" w:rsidRDefault="00DE14C9" w:rsidP="00DE14C9">
      <w:pPr>
        <w:pStyle w:val="TextoNormal"/>
      </w:pPr>
      <w:r>
        <w:t xml:space="preserve">f) Contra el citado acuerdo el interno interpuso recurso de alzada ante el Juez Central de Vigilancia Penitenciaria, en el que denuncia la vulneración del derecho de defensa (art. 24.2 CE), por no haber tenido acceso al asesoramiento legal previsto en el art. 242.2 i) RP (alegación primera) y una nueva vulneración del art. 24.2 CE, por no habérsele permitido acceder al material probatorio de cargo, “imprescindible para poder desarrollar un procedimiento contradictorio con todas las garantías” (alegación segunda). Además manifiesta que los hechos que se le imputan no son ciertos tal y como se exponen, insistiendo en que, si bien realizó una “huelga de higiene”, no recibió orden alguna de limpiar el pasillo (por lo que en ningún caso puede ser sancionado por dos faltas); y combate la calificación jurídica de la conducta que sí admite haber realizado (ensuciar el pasillo) por considerar que no constituye una falta muy grave del art. 108.a RP, considerando lesiva del principio de tipicidad la subsunción de los hechos en la misma. También señala que el Acuerdo sancionador se adopta sin haberle dado opción de realizar alegaciones ante la comisión disciplinaria, vulnerando el art. 246.1 RP, el art. 44.2 LOGP y los principios básicos del procedimiento sancionador, vulnerando junto al derecho a la tutela judicial efectiva (art. 24.1 CE), de nuevo el derecho de defensa (art. 24.2 CE). </w:t>
      </w:r>
    </w:p>
    <w:p w:rsidR="00DE14C9" w:rsidRDefault="00DE14C9" w:rsidP="00DE14C9">
      <w:pPr>
        <w:pStyle w:val="TextoNormal"/>
      </w:pPr>
      <w:r>
        <w:t xml:space="preserve">El recurso fue desestimado por Auto de 1 de septiembre de 2004, con el siguiente razonamiento jurídico: “Está acreditado en las actuaciones la comisión de los hechos que dieron lugar a la sanción impuesta, correctamente calificada como constitutiva de una falta del art. 108-A del Reglamento Penitenciario aprobado por R.D. 1201/1981 de 8 de mayo, por lo que siendo la sanción impuesta proporcional a la entidad del hecho, procede confirmar el acuerdo impugnado”. </w:t>
      </w:r>
    </w:p>
    <w:p w:rsidR="00DE14C9" w:rsidRDefault="00DE14C9" w:rsidP="00DE14C9">
      <w:pPr>
        <w:pStyle w:val="TextoNormal"/>
      </w:pPr>
      <w:r>
        <w:t>g) Interpuesto recurso de reforma, en el que reitera la falsedad de la imputación, la falta de asesoramiento legal y la vulneración del derecho de defensa en la imposición de la sanción, así como el no amparo del Juzgado, vulnerador del art. 24.1 CE, fue igualmente desestimado por Auto del Juzgado Central de Vigilancia Penitenciaria de fecha 28 de diciembre de 2004, cuyo único razonamiento jurídico se limita a afirmar que “las alegaciones contenidas en el escrito del recurrente no aportan hechos, razones o argumentos distintos de los ya expuestos en el recurso de alzada sino que contienen una interpretación subjetiva y diferente de los hechos o [de] la valoración jurídica que se hacen en el auto recurrido, por lo que procede su desestimación”.</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En la demanda de amparo se denuncia la vulneración de los derechos fundamentales a la defensa, a la asistencia letrada, a utilizar los medios de prueba pertinentes para la defensa, a un proceso con todas las garantías y a la presunción de inocencia, todos ellos reconocidos en el art. 24.2 CE, así como del derecho a la tutela judicial efectiva (art. 24.1 CE). </w:t>
      </w:r>
    </w:p>
    <w:p w:rsidR="00DE14C9" w:rsidRDefault="00DE14C9" w:rsidP="00DE14C9">
      <w:pPr>
        <w:pStyle w:val="TextoNormal"/>
      </w:pPr>
      <w:r>
        <w:t xml:space="preserve">Señala la demanda que, durante la tramitación del expediente disciplinario, el interno solicitó ser asesorado por un jurista del centro penitenciario, así como tener acceso al material probatorio de cargo, sin que ello le fuera concedido. Si hubiera tenido asesoramiento legal hubiera podido solicitar pruebas mediante las cuales demostrar su inocencia y el fallo de las resoluciones hubiera podido ser otro, por lo que con ello se vulneró su derecho de defensa, a la tutela judicial efectiva (art. 24.1 CE) y a la presunción de inocencia (art. 24.2 CE). También se destaca que al no poder acceder a las pruebas obrantes en el expediente se lesionó el derecho de defensa y tales pruebas no se podían utilizar en su contra, pues ello es contrario a las garantías del proceso justo (art. 24.2 CE), al impedirse la contradicción. El </w:t>
      </w:r>
      <w:r>
        <w:lastRenderedPageBreak/>
        <w:t xml:space="preserve">Instructor, al denegar al acceso a las mismas, y pese a citar jurisprudencia constitucional, incurre en un grave error, al entender que el conocimiento del pliego de cargos es suficiente garantía, sin tener en cuenta que ello es así respecto del derecho a ser informado de la acusación, pero no cuando los partes de denuncia a los que no tuvo acceso el recurrente se utilizan como única prueba de cargo, como sucede en este caso, pues su conocimiento resulta ineludible para someterla a debate contradictorio. Se citan las SSTC 192/1987 y 93/1993. </w:t>
      </w:r>
    </w:p>
    <w:p w:rsidR="00DE14C9" w:rsidRDefault="00DE14C9" w:rsidP="00DE14C9">
      <w:pPr>
        <w:pStyle w:val="TextoNormal"/>
      </w:pPr>
      <w:r>
        <w:t>Por otra parte, se destaca que el recurrente denunció tanto la falta de asesoramiento legal como la denegación del acceso al material probatorio ante el Juzgado Central de Vigilancia Penitenciaria, que al resolver los recursos de alzada y reforma, respectivamente, omite todo pronunciamiento respecto de estas dos cuestiones, respondiendo a través de resoluciones modelo, que no reflejan el caso concreto y carecen de motivación alguna. Ni se describen los hechos, ni se analizan las alegaciones, ni se valoran las diligencias practicadas, reduciéndose la actuación judicial a un puro formulismo genérico igual para todos los internos. Con ello se produce una nueva vulneración del derecho a la tutela judicial (art. 24.1 CE), al incurrir en incongruencia omisiva manifiesta y en absoluta falta de motivación, generando indefensión al interno, pese a que al Juzgado de Vigilancia Penitenciaria le corresponde salvaguardar los derechos de los internos y corregir los abusos de poder de la Administración.</w:t>
      </w:r>
    </w:p>
    <w:p w:rsidR="00DE14C9" w:rsidRDefault="00DE14C9" w:rsidP="00DE14C9">
      <w:pPr>
        <w:pStyle w:val="TextoNormal"/>
      </w:pPr>
    </w:p>
    <w:p w:rsidR="00DE14C9" w:rsidRDefault="00DE14C9" w:rsidP="00DE14C9">
      <w:pPr>
        <w:pStyle w:val="TextoNormal"/>
      </w:pPr>
      <w:r w:rsidRPr="00DE14C9">
        <w:rPr>
          <w:rStyle w:val="NumeroAFNegritaCaracter"/>
        </w:rPr>
        <w:t>4</w:t>
      </w:r>
      <w:r>
        <w:t>. Por providencia de 13 de junio de 2006, la Sección Cuarta de este Tribunal, de conformidad con los dispuesto en el art. 50.3 LOTC, acordó conceder a la parte recurrente y al Ministerio Fiscal un plazo de diez días para formular alegaciones en relación con la posible carencia manifiesta de contenido constitucional de la demanda.</w:t>
      </w:r>
    </w:p>
    <w:p w:rsidR="00DE14C9" w:rsidRDefault="00DE14C9" w:rsidP="00DE14C9">
      <w:pPr>
        <w:pStyle w:val="TextoNormal"/>
      </w:pPr>
    </w:p>
    <w:p w:rsidR="00DE14C9" w:rsidRDefault="00DE14C9" w:rsidP="00DE14C9">
      <w:pPr>
        <w:pStyle w:val="TextoNormal"/>
      </w:pPr>
      <w:r w:rsidRPr="00DE14C9">
        <w:rPr>
          <w:rStyle w:val="NumeroAFNegritaCaracter"/>
        </w:rPr>
        <w:t>5</w:t>
      </w:r>
      <w:r>
        <w:t>. El día 27 de junio de 2006 la representación procesal del recurrente formula sus alegaciones, remitiéndose en su integridad a la demanda de amparo y a la documentación presentada con ella.</w:t>
      </w:r>
    </w:p>
    <w:p w:rsidR="00DE14C9" w:rsidRDefault="00DE14C9" w:rsidP="00DE14C9">
      <w:pPr>
        <w:pStyle w:val="TextoNormal"/>
      </w:pPr>
    </w:p>
    <w:p w:rsidR="00DE14C9" w:rsidRDefault="00DE14C9" w:rsidP="00DE14C9">
      <w:pPr>
        <w:pStyle w:val="TextoNormal"/>
      </w:pPr>
      <w:r w:rsidRPr="00DE14C9">
        <w:rPr>
          <w:rStyle w:val="NumeroAFNegritaCaracter"/>
        </w:rPr>
        <w:t>6</w:t>
      </w:r>
      <w:r>
        <w:t>. Tras solicitar el Fiscal la suspensión de dicho trámite hasta que se recibieran las actuaciones correspondientes, por providencia de 29 de junio de 2006 se acordó dirigir atenta comunicación al Juzgado Central de Vigilancia Penitenciaria a fin de que remitiera las actuaciones correspondientes al expediente disciplinario 135-2004, con suspensión del plazo para evacuar el traslado del art. 50.3 LOTC.</w:t>
      </w:r>
    </w:p>
    <w:p w:rsidR="00DE14C9" w:rsidRDefault="00DE14C9" w:rsidP="00DE14C9">
      <w:pPr>
        <w:pStyle w:val="TextoNormal"/>
      </w:pPr>
    </w:p>
    <w:p w:rsidR="00DE14C9" w:rsidRDefault="00DE14C9" w:rsidP="00DE14C9">
      <w:pPr>
        <w:pStyle w:val="TextoNormal"/>
      </w:pPr>
      <w:r w:rsidRPr="00DE14C9">
        <w:rPr>
          <w:rStyle w:val="NumeroAFNegritaCaracter"/>
        </w:rPr>
        <w:t>7</w:t>
      </w:r>
      <w:r>
        <w:t>. Una vez recibidas las actuaciones, mediante providencia de 5 de septiembre de 2006, se acordó conceder un nuevo plazo de diez días al demandante de amparo y al Ministerio Fiscal para formular alegaciones o completar las ya formuladas, evacuando el traslado conferido en la providencia de 13 de junio de 2006.</w:t>
      </w:r>
    </w:p>
    <w:p w:rsidR="00DE14C9" w:rsidRDefault="00DE14C9" w:rsidP="00DE14C9">
      <w:pPr>
        <w:pStyle w:val="TextoNormal"/>
      </w:pPr>
    </w:p>
    <w:p w:rsidR="00DE14C9" w:rsidRDefault="00DE14C9" w:rsidP="00DE14C9">
      <w:pPr>
        <w:pStyle w:val="TextoNormal"/>
      </w:pPr>
      <w:r w:rsidRPr="00DE14C9">
        <w:rPr>
          <w:rStyle w:val="NumeroAFNegritaCaracter"/>
        </w:rPr>
        <w:t>8</w:t>
      </w:r>
      <w:r>
        <w:t>. El día 21 de septiembre de 2006 se registró nuevo escrito de la representación procesal del recurrente, reiterando de nuevo lo expuesto en la demanda.</w:t>
      </w:r>
    </w:p>
    <w:p w:rsidR="00DE14C9" w:rsidRDefault="00DE14C9" w:rsidP="00DE14C9">
      <w:pPr>
        <w:pStyle w:val="TextoNormal"/>
      </w:pPr>
    </w:p>
    <w:p w:rsidR="00DE14C9" w:rsidRDefault="00DE14C9" w:rsidP="00DE14C9">
      <w:pPr>
        <w:pStyle w:val="TextoNormal"/>
      </w:pPr>
      <w:r w:rsidRPr="00DE14C9">
        <w:rPr>
          <w:rStyle w:val="NumeroAFNegritaCaracter"/>
        </w:rPr>
        <w:t>9</w:t>
      </w:r>
      <w:r>
        <w:t xml:space="preserve">. El día 28 de septiembre de 2006 tuvo entrada en el Registro General de este Tribunal el escrito de alegaciones del Ministerio Fiscal, en el que interesa la admisión a trámite de la demanda, por entender que inicialmente parece concurrir la lesión de los derechos a la tutela </w:t>
      </w:r>
      <w:r>
        <w:lastRenderedPageBreak/>
        <w:t xml:space="preserve">judicial efectiva (art. 24.1 CE) y a la prueba (art. 24.2 CE). Afirma el Fiscal que el interno no recibió respuesta fundamentada alguna frente a las pretensiones deducidas en sus recursos contra el Acuerdo sancionador ante el Juez de Vigilancia Penitenciaria, sin que de la argumentación contenida en los Autos se pueda desprender una desestimación tácita de las cuestiones por él planteadas, al resultar imposible conocer la ratio decidendi de la respuesta, lo que vulnera el art. 24.1 CE. También considera vulnerado el derecho a la prueba, en la medida en que la propuesta en tiempo y forma por el interno (examen íntegro de las actuaciones del expediente) era objetivamente relevante para aclarar extremos de su conducta y no se practicó sin que recibiera respuesta al respecto. </w:t>
      </w:r>
    </w:p>
    <w:p w:rsidR="00DE14C9" w:rsidRDefault="00DE14C9" w:rsidP="00DE14C9">
      <w:pPr>
        <w:pStyle w:val="TextoNormal"/>
      </w:pPr>
      <w:r>
        <w:t>En cuanto a las restantes alegaciones, carecerían de contenido. La relativa al derecho a la asistencia letrada (art. 24.2 CE), porque no puede constatarse una real y efectiva indefensión a la vista de las razonadas alegaciones y peticiones formuladas por el interno tanto ante la Administración penitenciaria como ante el Juez de Vigilancia (STC 91/2004, entre otras). Y la relativa al derecho a la presunción de inocencia (art. 24.2 CE) porque sí existió prueba de cargo, consistente en el parte del funcionario en el que da cuenta de la conducta del interno.</w:t>
      </w:r>
    </w:p>
    <w:p w:rsidR="00DE14C9" w:rsidRDefault="00DE14C9" w:rsidP="00DE14C9">
      <w:pPr>
        <w:pStyle w:val="TextoNormal"/>
      </w:pPr>
    </w:p>
    <w:p w:rsidR="00DE14C9" w:rsidRDefault="00DE14C9" w:rsidP="00DE14C9">
      <w:pPr>
        <w:pStyle w:val="TextoNormal"/>
      </w:pPr>
      <w:r w:rsidRPr="00DE14C9">
        <w:rPr>
          <w:rStyle w:val="NumeroAFNegritaCaracter"/>
        </w:rPr>
        <w:t>10</w:t>
      </w:r>
      <w:r>
        <w:t>. Por providencia de 20 de noviembre de 2006, la Sala Segunda acordó la admisión a trámite de la demanda así como, habiéndose ya recibido las actuaciones, comunicar dicha admisión al Juzgado Central de Vigilancia Penitenciaria a los efectos oportunos.</w:t>
      </w:r>
    </w:p>
    <w:p w:rsidR="00DE14C9" w:rsidRDefault="00DE14C9" w:rsidP="00DE14C9">
      <w:pPr>
        <w:pStyle w:val="TextoNormal"/>
      </w:pPr>
    </w:p>
    <w:p w:rsidR="00DE14C9" w:rsidRDefault="00DE14C9" w:rsidP="00DE14C9">
      <w:pPr>
        <w:pStyle w:val="TextoNormal"/>
      </w:pPr>
      <w:r w:rsidRPr="00DE14C9">
        <w:rPr>
          <w:rStyle w:val="NumeroAFNegritaCaracter"/>
        </w:rPr>
        <w:t>11</w:t>
      </w:r>
      <w:r>
        <w:t>. Mediante escrito registrado el día 24 de noviembre de 2006, se personó en el presente recurso el Abogado del Estado.</w:t>
      </w:r>
    </w:p>
    <w:p w:rsidR="00DE14C9" w:rsidRDefault="00DE14C9" w:rsidP="00DE14C9">
      <w:pPr>
        <w:pStyle w:val="TextoNormal"/>
      </w:pPr>
    </w:p>
    <w:p w:rsidR="00DE14C9" w:rsidRDefault="00DE14C9" w:rsidP="00DE14C9">
      <w:pPr>
        <w:pStyle w:val="TextoNormal"/>
      </w:pPr>
      <w:r w:rsidRPr="00DE14C9">
        <w:rPr>
          <w:rStyle w:val="NumeroAFNegritaCaracter"/>
        </w:rPr>
        <w:t>12</w:t>
      </w:r>
      <w:r>
        <w:t>. A través de una diligencia de ordenación de fecha 12 de diciembre de 2006 se acordó tener por personado y parte al Abogado del Estado y dar vista de las actuaciones recibidas a las partes personadas y al Ministerio Fiscal por término de veinte días, dentro de los cuales podrían presentar las alegaciones que estimasen pertinentes, conforme a lo establecido en el art. 52.1 LOTC.</w:t>
      </w:r>
    </w:p>
    <w:p w:rsidR="00DE14C9" w:rsidRDefault="00DE14C9" w:rsidP="00DE14C9">
      <w:pPr>
        <w:pStyle w:val="TextoNormal"/>
      </w:pPr>
    </w:p>
    <w:p w:rsidR="00DE14C9" w:rsidRDefault="00DE14C9" w:rsidP="00DE14C9">
      <w:pPr>
        <w:pStyle w:val="TextoNormal"/>
      </w:pPr>
      <w:r w:rsidRPr="00DE14C9">
        <w:rPr>
          <w:rStyle w:val="NumeroAFNegritaCaracter"/>
        </w:rPr>
        <w:t>13</w:t>
      </w:r>
      <w:r>
        <w:t xml:space="preserve">. El día 10 de enero de 2007 tuvo entrada en el Registro General del Tribunal el escrito de alegaciones del Abogado del Estado, en el que interesa la inadmisión del recurso y, subsidiariamente, su desestimación íntegra. </w:t>
      </w:r>
    </w:p>
    <w:p w:rsidR="00DE14C9" w:rsidRDefault="00DE14C9" w:rsidP="00DE14C9">
      <w:pPr>
        <w:pStyle w:val="TextoNormal"/>
      </w:pPr>
      <w:r>
        <w:t xml:space="preserve">Considera el Abogado del Estado que la queja de incongruencia omisiva que se imputa al Auto de 28 de diciembre de 2004 ha de ser inadmitida por concurrir el óbice procesal de falta de agotamiento, al no haber planteado el interno el incidente de nulidad de actuaciones [art. 50.1 a) en relación con el 44.1 a) LOTC]; que las quejas de incongruencia omisiva y falta de motivación atribuidas al Auto de 1 de septiembre de 2004 son inadmisibles por falta de invocación en el recurso de reforma [art. 50.1 a) en relación con el 44.1 c) LOTC] y, que la queja relativa a la denegación de acceso al material probatorio ha de inadmitirse porque, pese a haberse invocado en el recurso de alzada ante el Juzgado Central de Instrucción, no se reiteró en el recurso de reforma con el que se agotó la vía judicial. [art. 50.1 a) en relación con el 43.1 y el 44.1 c) LOTC]. </w:t>
      </w:r>
    </w:p>
    <w:p w:rsidR="00DE14C9" w:rsidRDefault="00DE14C9" w:rsidP="00DE14C9">
      <w:pPr>
        <w:pStyle w:val="TextoNormal"/>
      </w:pPr>
      <w:r>
        <w:t xml:space="preserve">En cuanto al fondo del asunto, y comenzando por las infracciones que se imputan a la Administración penitenciaria, destaca el Abogado del Estado que la relativa a la falta de asesoramiento jurídico debe rechazarse porque del examen del expediente disciplinario resulta que el interno sí recibió asesoramiento prestado por el jurista con número de seguridad </w:t>
      </w:r>
      <w:r>
        <w:lastRenderedPageBreak/>
        <w:t xml:space="preserve">178, tanto en la instrucción como para alegar ante la comisión disciplinaria. Y respecto de la petición de acceso al material probatorio, considera igualmente que debe rechazarse la queja al no haber existido lesión efectiva y material del derecho de defensa, puesto que el pliego de cargos resume perfectamente el contenido de los partes e informes ampliatorios a los que pretendía tener acceso el interno, por lo que dicho acceso no hubiera contribuido significativamente a mejorar las posibilidades de defensa del expedientado. Por ello, citando la STC 55/2006, afirma que el recurrente obtuvo una respuesta explícita y motivada a su solicitud, perfectamente respetuosa con el derecho fundamental invocado. </w:t>
      </w:r>
    </w:p>
    <w:p w:rsidR="00DE14C9" w:rsidRDefault="00DE14C9" w:rsidP="00DE14C9">
      <w:pPr>
        <w:pStyle w:val="TextoNormal"/>
      </w:pPr>
      <w:r>
        <w:t>Finalmente, analiza la motivación de los Autos del Juzgado de Vigilancia Penitenciaria, sosteniendo que los mismos están motivados aunque lacónicamente y que, si bien es cierto que el Auto de 1 de septiembre de 2004 no da respuesta a las alegaciones relativas a la (falsa) falta de asesoramiento y a la denegación de acceso al material probatorio, ambos motivos han de entenderse tácitamente desestimados, en la medida en que el Auto acoge en plenitud la resultancia del expediente disciplinario, en el que consta con claridad que el interno fue asesorado y que se le denegó motivadamente al acceso al material probatorio sin menoscabo de su derecho de defensa. El Auto de 28 de diciembre de 2004 no hizo sino exteriorizar que el recurso del interno no contenía ningún argumento nuevo que no hubiera sido ya rechazado en el recurso de reforma.</w:t>
      </w:r>
    </w:p>
    <w:p w:rsidR="00DE14C9" w:rsidRDefault="00DE14C9" w:rsidP="00DE14C9">
      <w:pPr>
        <w:pStyle w:val="TextoNormal"/>
      </w:pPr>
    </w:p>
    <w:p w:rsidR="00DE14C9" w:rsidRDefault="00DE14C9" w:rsidP="00DE14C9">
      <w:pPr>
        <w:pStyle w:val="TextoNormal"/>
      </w:pPr>
      <w:r w:rsidRPr="00DE14C9">
        <w:rPr>
          <w:rStyle w:val="NumeroAFNegritaCaracter"/>
        </w:rPr>
        <w:t>14</w:t>
      </w:r>
      <w:r>
        <w:t>. La representación procesal del demandante de amparo formuló sus alegaciones el día 12 de enero de 2007, reproduciendo sustancialmente los argumentos ya expuestos en la demanda y adhiriéndose a lo manifestado por el Ministerio Fiscal en cuanto al especial rigor en la motivación exigible a los Jueces de Vigilancia Penitenciaria al resolver recursos contra sanciones disciplinarias en el ámbito penitenciario y a la vulneración del derecho a la tutela judicial efectiva producida en el presente caso, al no poder considerarse que los Autos recurridos desestiman tácitamente las cuestiones planteadas en los recursos, pues de los mismos resulta imposible concluir cuál es la ratio decidendi de la desestimación de sus quejas. También se adhiere a lo manifestado por el Ministerio Fiscal en relación con el derecho a la prueba y se citan las SSTC 12/2002 y 316/2006.</w:t>
      </w:r>
    </w:p>
    <w:p w:rsidR="00DE14C9" w:rsidRDefault="00DE14C9" w:rsidP="00DE14C9">
      <w:pPr>
        <w:pStyle w:val="TextoNormal"/>
      </w:pPr>
    </w:p>
    <w:p w:rsidR="00DE14C9" w:rsidRDefault="00DE14C9" w:rsidP="00DE14C9">
      <w:pPr>
        <w:pStyle w:val="TextoNormal"/>
      </w:pPr>
      <w:r w:rsidRPr="00DE14C9">
        <w:rPr>
          <w:rStyle w:val="NumeroAFNegritaCaracter"/>
        </w:rPr>
        <w:t>15</w:t>
      </w:r>
      <w:r>
        <w:t>. El día 18 de enero de 2007 presentó sus alegaciones el Ministerio Fiscal, dando por reproducidos todos los extremos contenidos en el anterior informe evacuado en el trámite de admisión e interesando el otorgamiento del amparo por vulneración de los derechos a la tutela judicial efectiva (art. 24.1 CE) y a la utilización de los medios de prueba pertinentes para la defensa (art. 24.2 CE), así como la declaración de nulidad de los Autos recurridos, con retroacción de las actuaciones al momento anterior al de dictarse los mismos, a fin de que el órgano judicial se pronuncie sobre las cuestiones ante él planteadas con respeto del contenido de los derechos fundamentales lesionados.</w:t>
      </w:r>
    </w:p>
    <w:p w:rsidR="00DE14C9" w:rsidRDefault="00DE14C9" w:rsidP="00DE14C9">
      <w:pPr>
        <w:pStyle w:val="TextoNormal"/>
      </w:pPr>
    </w:p>
    <w:p w:rsidR="00DE14C9" w:rsidRDefault="00DE14C9" w:rsidP="00DE14C9">
      <w:pPr>
        <w:pStyle w:val="TextoNormal"/>
      </w:pPr>
      <w:r w:rsidRPr="00DE14C9">
        <w:rPr>
          <w:rStyle w:val="NumeroAFNegritaCaracter"/>
        </w:rPr>
        <w:t>16</w:t>
      </w:r>
      <w:r>
        <w:t>. Por providencia de 17 de mayo de 2007 se señaló para deliberación y votación de la presente Sentencia el día 21 del mismo mes y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xml:space="preserve">. El presente recurso se dirige contra los Autos del Juzgado Central de Vigilancia Penitenciaria de 1 de septiembre de 2004 y 28 de diciembre de 2004, que confirmaron en </w:t>
      </w:r>
      <w:r>
        <w:lastRenderedPageBreak/>
        <w:t>alzada y en reforma, respectivamente, el Acuerdo sancionador de la comisión disciplinaria del centro penitenciario de Algeciras, de 18 de marzo de 2004, recaído en el expediente disciplinario núm. 135-2004, que sancionó al ahora demandante de amparo como autor de una falta muy grave del art. 108.a y de una falta grave del art.  109.b del Reglamento penitenciario (RP), a siete fines de semana de aislamiento por la primera y veinticinco días de privación de paseos y actos recreativos por la segunda.</w:t>
      </w:r>
    </w:p>
    <w:p w:rsidR="00DE14C9" w:rsidRDefault="00DE14C9" w:rsidP="00DE14C9">
      <w:pPr>
        <w:pStyle w:val="TextoNormal"/>
      </w:pPr>
      <w:r>
        <w:t>En la demanda de amparo se denuncia, por una parte, la vulneración del derecho a la tutela judicial efectiva (art. 24.1 CE) y de los derechos a la defensa, a la asistencia letrada, a la prueba, a un proceso con todas las garantías y a la presunción de inocencia (art. 24.2 CE) en la tramitación del expediente disciplinario, quejas fundadas en que el interno solicitó asesoramiento legal que no se le concedió; solicitó el acceso al material probatorio, que se le denegó, y las únicas pruebas empleadas para fundamentar la sanción son contrarias a las garantías del proceso justo, al no haber podido someterlas a contradicción. Unas vulneraciones no reparadas por el Juzgado de Vigilancia Penitenciaria, al que se le imputa también una lesión autónoma del derecho a la tutela judicial efectiva (art. 24.1 CE), por cuanto al interponer los recursos de alzada y reforma se denunció tanto la falta de asesoramiento legal como la denegación del acceso al material probatorio, y que el órgano judicial omitió todo pronunciamiento respecto de estas cuestiones, respondiendo a través de resoluciones modelo, que no reflejan el caso concreto y carecen de motivación.</w:t>
      </w:r>
    </w:p>
    <w:p w:rsidR="00DE14C9" w:rsidRDefault="00DE14C9" w:rsidP="00DE14C9">
      <w:pPr>
        <w:pStyle w:val="TextoNormal"/>
      </w:pPr>
      <w:r>
        <w:t>El Abogado del Estado interesa la inadmisión de la demanda, por concurrir los óbices procesales de falta de agotamiento y falta de invocación. Subsidiariamente, interesa la desestimación íntegra del recurso.</w:t>
      </w:r>
    </w:p>
    <w:p w:rsidR="00DE14C9" w:rsidRDefault="00DE14C9" w:rsidP="00DE14C9">
      <w:pPr>
        <w:pStyle w:val="TextoNormal"/>
      </w:pPr>
      <w:r>
        <w:t>El Ministerio Fiscal entiende concurrentes las vulneraciones de los derechos a la tutela judicial efectiva (art. 24.1 CE) y a la utilización de los medios de prueba pertinentes para la defensa (art. 24.2 CE), por lo que interesa el otorgamiento del correspondiente amparo.</w:t>
      </w:r>
    </w:p>
    <w:p w:rsidR="00DE14C9" w:rsidRDefault="00DE14C9" w:rsidP="00DE14C9">
      <w:pPr>
        <w:pStyle w:val="TextoNormal"/>
      </w:pPr>
    </w:p>
    <w:p w:rsidR="00DE14C9" w:rsidRDefault="00DE14C9" w:rsidP="00DE14C9">
      <w:pPr>
        <w:pStyle w:val="TextoNormal"/>
      </w:pPr>
      <w:r w:rsidRPr="00DE14C9">
        <w:rPr>
          <w:rStyle w:val="NumeroAFNegritaCaracter"/>
        </w:rPr>
        <w:t>2</w:t>
      </w:r>
      <w:r>
        <w:t>. Dados los términos en que se plantean las peticiones de amparo, nos encontramos ante uno de los denominados recursos mixtos (arts. 43 y 44 LOTC), en la medida en que se impugnan tanto el Acuerdo sancionador de la comisión disciplinaria del centro penitenciario, como las resoluciones judiciales que lo confirman, denunciándose vulneraciones por parte del Juzgado de Vigilancia Penitenciaria que son autónomas, es decir, que van más allá de la mera falta de reparación de las que originariamente se imputan a la Administración penitenciaria sancionadora (por todas, SSTC 9/2003, de 20 de enero, FJ 2; 2/2004, de 14 de enero, FJ 1; 91/2004, de 19 de mayo, FJ 2; 346/2006, de 11 de diciembre, FJ 2). Ante lo cual, y en aras de la preservación del carácter subsidiario del recurso de amparo ante el Tribunal Constitucional, debemos comenzar nuestro examen por la queja relativa a la vulneración del derecho a la tutela judicial efectiva (art. 24.1 CE) por incongruencia y falta de motivación de las resoluciones judiciales, al no haber dado respuesta motivada a las cuestiones planteadas por el interno, entre ellas las atinentes a la posible vulneración de otros derechos fundamentales. Caso de estimarse, debemos detener en ese punto nuestro examen, para que sean los Tribunales ordinarios quienes se pronuncien sobre las vulneraciones atribuidas a la Administración penitenciaria (SSTC 67/2000, de 13 de marzo, FJ 1; 53/2001, de 26 de febrero, FJ 1; 128/2003, de 30 de junio, FJ 2; 2/2004, de 14 de enero, FJ 2; 2/2006, de 16 de enero, FJ 3)</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Con carácter previo al análisis de fondo han de despejarse los óbices procesales de falta de agotamiento (al no haberse interpuesto el incidente de nulidad de actuaciones previsto en el art. 241 de la Ley Orgánica del Poder Judicial, LOPJ —anterior 240.3— frente </w:t>
      </w:r>
      <w:r>
        <w:lastRenderedPageBreak/>
        <w:t>a la denunciada incongruencia omisiva que se imputa al Auto de 28 de diciembre de 2004) y falta de invocación (al entender que no se denuncia en el recurso de reforma la falta de motivación e incongruencia del Auto de 1 de septiembre de 2004, ni se reitera la queja relativa a la denegación de prueba) planteados por el Abogado del Estado.</w:t>
      </w:r>
    </w:p>
    <w:p w:rsidR="00DE14C9" w:rsidRDefault="00DE14C9" w:rsidP="00DE14C9">
      <w:pPr>
        <w:pStyle w:val="TextoNormal"/>
      </w:pPr>
      <w:r>
        <w:t>Del examen de las actuaciones se desprende —como quedó reflejado en los antecedentes— que el recurrente, al interponer recurso de alzada ante el Juez Central de Vigilancia Penitenciaria, junto a otras pretensiones, denuncia la vulneración de su derecho de defensa (art. 24.2 CE) en la tramitación del expediente disciplinario por no haber tenido acceso al asesoramiento legal previsto en el art. 242.2 i) RP (alegación primera) y una nueva vulneración del art. 24.2 CE por no habérsele permitido acceder al material probatorio de cargo, “imprescindible para poder desarrollar un procedimiento contradictorio con todas las garantías” (alegación segunda). A su vez, al interponer recurso de reforma contra el Auto de 1 de septiembre de 2004, reitera la queja relativa a la falta de asesoramiento legal, afirmando que vulnera su derecho de defensa, y “el no amparo de este Juzgado, el 24.1 CE”, añadiendo, por otra parte, que la sanción impuesta lo ha sido “sin permitirme haberme defendido”, lo que sin mayor esfuerzo puede razonablemente entenderse como una reiteración de la denuncia de la imposibilidad de acceder al material probatorio de cargo y de la falta de garantías de la prueba, teniendo en cuenta los términos en que se interpuso el recurso de alzada.</w:t>
      </w:r>
    </w:p>
    <w:p w:rsidR="00DE14C9" w:rsidRDefault="00DE14C9" w:rsidP="00DE14C9">
      <w:pPr>
        <w:pStyle w:val="TextoNormal"/>
      </w:pPr>
      <w:r>
        <w:t>A la vista de lo cual, y atendiendo a las circunstancias del caso —un recurrente lego en derecho, interno en un centro penitenciario y carente de defensa técnica al interponer los citados recursos, circunstancias que hemos tenido en cuenta en múltiples ocasiones a la hora de modular el grado de exigencia respecto de los óbices de procedibilidad; por todas, SSTC 65/2002, de 11 de marzo, FJ 5; 140/2000, de 29 de mayo, FJ 2; 235/2005, de 26 de septiembre, FJ 3; 7/2006, de 16 de enero, FJ 3— cabe afirmar que no sólo se invocaron inicialmente ante el Juzgado Central de Vigilancia las vulneraciones de derechos fundamentales que se imputan a la Administración penitenciaria y que ahora se denuncian ante este Tribunal, sino también que el interno reiteró sus quejas en el recurso de reforma ante el mismo órgano judicial.</w:t>
      </w:r>
    </w:p>
    <w:p w:rsidR="00DE14C9" w:rsidRDefault="00DE14C9" w:rsidP="00DE14C9">
      <w:pPr>
        <w:pStyle w:val="TextoNormal"/>
      </w:pPr>
      <w:r>
        <w:t>Pues bien, a través de la reiteración de sus quejas y de la denuncia de falta de tutela derivada del no amparo por parte del Juzgado, el actor puso de manifiesto la falta de respuesta respecto de estas pretensiones articuladas en el primero de los recursos en términos suficientes para considerar cumplido el requisito procesal previsto en el art. 44.1 c) LOTC, cuya finalidad no es otra que la de preservar la naturaleza subsidiaria del amparo constitucional, ofreciendo a los órganos de la jurisdicción ordinaria la oportunidad de reparar las vulneraciones de derechos fundamentales supuestamente cometidas (por todas, SSTC 132/2006, de 24 de abril, FJ 3; 7/2007, de 15 de enero, FJ 3), oportunidad que, sin duda, tuvo el órgano judicial en el presente caso.</w:t>
      </w:r>
    </w:p>
    <w:p w:rsidR="00DE14C9" w:rsidRDefault="00DE14C9" w:rsidP="00DE14C9">
      <w:pPr>
        <w:pStyle w:val="TextoNormal"/>
      </w:pPr>
      <w:r>
        <w:t xml:space="preserve">Por otra parte, esa reiteración de las quejas en el recurso de reforma permite entender correctamente cumplido el requisito del agotamiento de la vía judicial previsto en el art. 44.1 a) LOTC, sin necesidad de recurrir al incidente extraordinario de nulidad de actuaciones respecto de las quejas relativas a la falta de respuesta en relación con la vulneración de derechos fundamentales. La jurisprudencia constitucional ha declarado que el agotamiento de la vía judicial previa al amparo tiene también como finalidad preservar la subsidiariedad de la intervención de este Tribunal en orden a la eventual reparación de derechos fundamentales, reparación que corresponde, en primer término, a los Jueces y Tribunales ordinarios, ante los cuales y a tal fin debe instarla el recurrente. Un criterio que hemos mantenido respecto del incidente de nulidad de actuaciones, atendiendo a su carácter excepcional y a su específica función, y que obliga a su planteamiento, dando al órgano judicial la oportunidad </w:t>
      </w:r>
      <w:r>
        <w:lastRenderedPageBreak/>
        <w:t>de subsanar, en su caso, las resoluciones pretendidamente incongruentes que hubieran adquirido firmeza (SSTC 218/2003, de 15 de diciembre, FJ 5; 13/2005, de 31 de enero, FJ 3; 23/2007, de 12 de febrero, FJ 3, por todas). Ahora bien, en supuestos equiparables al presente, hemos afirmado que ante la falta de respuesta del Juzgado de Vigilancia Penitenciaria a alguna de las cuestiones planteadas por un interno, ha de entenderse que la puesta de manifiesto ante el órgano judicial de dicha falta de respuesta a través de la reiteración de la cuestión en el correspondiente recurso de reforma es suficiente para entender salvaguardada la subsidiariedad de la demanda de amparo, sin necesidad de recurrir al incidente extraordinario de nulidad de actuaciones (así, SSTC 52/2005, de 14 de marzo, FJ 4; 235/2005, de 26 de septiembre, FJ 3; 7/2006, de 16 de enero, FJ 3).</w:t>
      </w:r>
    </w:p>
    <w:p w:rsidR="00DE14C9" w:rsidRDefault="00DE14C9" w:rsidP="00DE14C9">
      <w:pPr>
        <w:pStyle w:val="TextoNormal"/>
      </w:pPr>
      <w:r>
        <w:t>Todo lo cual nos lleva a rechazar la concurrencia de las causas de inadmisión planteadas por el Abogado del Estado.</w:t>
      </w:r>
    </w:p>
    <w:p w:rsidR="00DE14C9" w:rsidRDefault="00DE14C9" w:rsidP="00DE14C9">
      <w:pPr>
        <w:pStyle w:val="TextoNormal"/>
      </w:pPr>
    </w:p>
    <w:p w:rsidR="00DE14C9" w:rsidRDefault="00DE14C9" w:rsidP="00DE14C9">
      <w:pPr>
        <w:pStyle w:val="TextoNormal"/>
      </w:pPr>
      <w:r w:rsidRPr="00DE14C9">
        <w:rPr>
          <w:rStyle w:val="NumeroAFNegritaCaracter"/>
        </w:rPr>
        <w:t>4</w:t>
      </w:r>
      <w:r>
        <w:t>. Nos corresponde analizar ya la denunciada vulneración del derecho a la tutela judicial efectiva (art. 24.1 CE) que se imputa a las resoluciones judiciales, que se tachan de incongruentes e inmotivadas.</w:t>
      </w:r>
    </w:p>
    <w:p w:rsidR="00DE14C9" w:rsidRDefault="00DE14C9" w:rsidP="00DE14C9">
      <w:pPr>
        <w:pStyle w:val="TextoNormal"/>
      </w:pPr>
      <w:r>
        <w:t>El derecho fundamental reconocido en el art. 24.1 CE tiene como contenido primario el que sus titulares puedan obtener de los órganos judiciales una respuesta razonada, motivada y congruente con las pretensiones oportunamente deducidas en el proceso.  Ello significa que la resolución ha de contener los elementos y razones de juicio que permitan conocer cuáles han sido los criterios jurídicos que fundamentan la decisión y que ese fundamento de la decisión ha de resultar de la aplicación no arbitraria, manifiestamente irrazonable o incursa en error patente de las normas que se consideren aplicables al caso (por todas, SSTC 147/1999, de 4 de agosto, FJ 3; 223/2005, de 12 de septiembre, FJ 3; 363/2006, de 18 de diciembre, FJ 2).</w:t>
      </w:r>
    </w:p>
    <w:p w:rsidR="00DE14C9" w:rsidRDefault="00DE14C9" w:rsidP="00DE14C9">
      <w:pPr>
        <w:pStyle w:val="TextoNormal"/>
      </w:pPr>
      <w:r>
        <w:t>Estas exigencias generales adquieren perfiles propios respecto de los Juzgados de Vigilancia Penitenciaria, debido a su fundamental papel en la preservación y salvaguarda de los derechos fundamentales de los reclusos. Por ello, y teniendo en cuenta la particular intensidad de las garantías exigibles en el ámbito de la potestad disciplinaria sobre los internos penitenciarios —por cuanto cualquier sanción supone de por sí una grave limitación a la ya restringida libertad inherente al cumplimiento de una pena—, la exigencia de una respuesta a las pretensiones formuladas en el mismo y fundadas en una eventual lesión de derechos fundamentales cobra particular intensidad. Y —en situaciones asimilables a la del ahora demandante de amparo— hemos fijado con precisión el alcance de la exigencia constitucional de congruencia, al afirmar que en la medida en que los recursos presentados por los internos ante el Juez de Vigilancia Penitenciaria contengan alegaciones relativas a un derecho fundamental, existirá denegación de tutela por incongruencia omisiva siempre que no exista respuesta expresa, cuando menos, sobre tales pretensiones (por todas, SSTC 83/1998, de 20 de abril, FJ 3; 153/1998, de 13 de julio, FJ 2; 67/2000, de 13 de marzo, FJ 3; 53/2001, de 26 de febrero, FJ 3; 104/2002, de 6 de mayo, FJ 3; 2/2004, de 14 de enero, FJ 4; 52/2004, de 13 de abril, FJ 5).</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En el presente caso, como venimos señalando, frente a la sanción impuesta por la comisión disciplinaria del centro penitenciario de Algeciras, el recurrente interpuso recurso de alzada ante el Juzgado Central de Vigilancia Penitenciaria en el que, además de combatir los hechos y su calificación jurídica, denunciaba —como primer motivo del recurso— la vulneración del derecho de defensa por no habérsele proporcionado asesoramiento legal y —como segundo motivo del recurso—, la vulneración del art.  24.2 CE por no habérsele </w:t>
      </w:r>
      <w:r>
        <w:lastRenderedPageBreak/>
        <w:t>permitido acceder al material probatorio de cargo, imprescindible para desarrollar un procedimiento contradictorio con todas las garantías. La respuesta del órgano judicial a dicho recurso, en el Auto de 1 de septiembre de 2004, fue la siguiente: “Está acreditado en las actuaciones la comisión de los hechos que dieron lugar a la sanción impuesta, correctamente calificada como constitutiva de una falta del art. 108-A del Reglamento Penitenciario aprobado por R.D. 1201/1981 de 8 de mayo, por lo que siendo la sanción impuesta proporcional a la entidad del hecho, procede confirmar el acuerdo impugnado”.</w:t>
      </w:r>
    </w:p>
    <w:p w:rsidR="00DE14C9" w:rsidRDefault="00DE14C9" w:rsidP="00DE14C9">
      <w:pPr>
        <w:pStyle w:val="TextoNormal"/>
      </w:pPr>
      <w:r>
        <w:t>Interpuesto recurso de reforma en el que, reiterando la inexactitud de los datos y la falsedad de la acusación, el interno se queja fundamentalmente de la falta de asesoramiento legal, afirmando que vulnera su derecho de defensa, y “el no amparo de este Juzgado, el 24.1 CE”, añadiendo que la sanción impuesta lo ha sido “sin permitirme haberme defendido”, el mismo es desestimado por Auto de 28 de diciembre de 2004, con la siguiente fundamentación: “las alegaciones contenidas en el escrito del recurrente no aportan hechos, razones o argumentos distintos de los ya expuestos en el recurso de alzada sino que contienen una interpretación subjetiva y diferente de los hechos o la valoración jurídica que se hacen en el auto recurrido, por lo que procede su desestimación”.</w:t>
      </w:r>
    </w:p>
    <w:p w:rsidR="00DE14C9" w:rsidRDefault="00DE14C9" w:rsidP="00DE14C9">
      <w:pPr>
        <w:pStyle w:val="TextoNormal"/>
      </w:pPr>
    </w:p>
    <w:p w:rsidR="00DE14C9" w:rsidRDefault="00DE14C9" w:rsidP="00DE14C9">
      <w:pPr>
        <w:pStyle w:val="TextoNormal"/>
      </w:pPr>
      <w:r w:rsidRPr="00DE14C9">
        <w:rPr>
          <w:rStyle w:val="NumeroAFNegritaCaracter"/>
        </w:rPr>
        <w:t>6</w:t>
      </w:r>
      <w:r>
        <w:t>. De la mera lectura de la fundamentación jurídica que acaba de transcribirse se desprende que las resoluciones del Juzgado de Vigilancia Penitenciaria contienen tan sólo una lacónica motivación referida a los hechos y a su calificación jurídica, sin que se encuentre en ellas alusión alguna a las irregularidades en la tramitación del expediente sancionador y a las vulneraciones de derechos fundamentales denunciadas: así no dan cuenta de los fundamentos de estas quejas del interno, ni los toman en consideración en absoluto, aunque fuera para desestimarlas; de este modo, se ignoran por muy razonables que pudieran ser, los argumentos que avalarían una eventual desestimación.</w:t>
      </w:r>
    </w:p>
    <w:p w:rsidR="00DE14C9" w:rsidRDefault="00DE14C9" w:rsidP="00DE14C9">
      <w:pPr>
        <w:pStyle w:val="TextoNormal"/>
      </w:pPr>
      <w:r>
        <w:t>En consecuencia, el ahora demandante de amparo no obtuvo —como denuncia— respuesta judicial alguna en relación con la vulneración de su derecho de defensa, vinculada a falta de asesoramiento legal en la tramitación del expediente, ni en relación con la denegación del acceso a los medios de prueba. Dos pretensiones articuladas en sus recursos ante el Juzgado de Vigilancia Penitenciaria y que se encuentran entre las garantías contenidas en el art. 24.2 CE que hemos considerado aplicables no sólo al proceso penal, sino también al procedimiento disciplinario penitenciario (por todas, SSTC 81/2000, de 27 de marzo, FJ 2; 27/2001, de 29 de enero, FJ 8; 116/2002, de 20 de mayo, FJ 4; 236/2002, de 9 de diciembre, FJ 2; 9/2003, de 20 de enero, FJ 3; 91/2004, de 19 de mayo, FFJJ 3 y 5; 346/2006, de 11 de diciembre, FJ 3). Con ello, las resoluciones judiciales incurren en incongruencia omisiva causante de indefensión y vulneran el derecho a la tutela judicial efectiva reconocido en el art. 24.1 CE.</w:t>
      </w:r>
    </w:p>
    <w:p w:rsidR="00DE14C9" w:rsidRDefault="00DE14C9" w:rsidP="00DE14C9">
      <w:pPr>
        <w:pStyle w:val="TextoNormal"/>
      </w:pPr>
    </w:p>
    <w:p w:rsidR="00DE14C9" w:rsidRDefault="00DE14C9" w:rsidP="00DE14C9">
      <w:pPr>
        <w:pStyle w:val="TextoNormal"/>
      </w:pPr>
      <w:r w:rsidRPr="00DE14C9">
        <w:rPr>
          <w:rStyle w:val="NumeroAFNegritaCaracter"/>
        </w:rPr>
        <w:t>7</w:t>
      </w:r>
      <w:r>
        <w:t>. La estimación de la vulneración del derecho a la tutela judicial efectiva sin indefensión (art. 24.1 CE) determina —como ya anticipamos— que nuestro análisis deba detenerse en este punto, procediendo a la anulación de los Autos del Juzgado Central de Vigilancia Penitenciaria y a la retroacción de las actuaciones al momento anterior al de dictarse el primero de ellos, a fin de que se dicte nueva resolución en la que se resuelva fundadamente sobre las pretensiones deducidas por el interno en su recurso de alzada.</w:t>
      </w:r>
    </w:p>
    <w:p w:rsidR="00DE14C9" w:rsidRDefault="00DE14C9" w:rsidP="00DE14C9">
      <w:pPr>
        <w:pStyle w:val="TextoNormal"/>
      </w:pPr>
    </w:p>
    <w:p w:rsidR="00DE14C9" w:rsidRDefault="00DE14C9" w:rsidP="00DE14C9">
      <w:pPr>
        <w:pStyle w:val="TextoNormalCentrado"/>
        <w:keepNext/>
      </w:pPr>
      <w:r>
        <w:lastRenderedPageBreak/>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don José Antonio López Ruiz y, en su virtud:</w:t>
      </w:r>
    </w:p>
    <w:p w:rsidR="00DE14C9" w:rsidRDefault="00DE14C9" w:rsidP="00DE14C9">
      <w:pPr>
        <w:pStyle w:val="TextoNormal"/>
      </w:pPr>
      <w:r>
        <w:t>1º Declarar que se ha vulnerado el derecho a la tutela judicial efectiva sin indefensión (art. 24.1 CE) del recurrente.</w:t>
      </w:r>
    </w:p>
    <w:p w:rsidR="00DE14C9" w:rsidRDefault="00DE14C9" w:rsidP="00DE14C9">
      <w:pPr>
        <w:pStyle w:val="TextoNormal"/>
      </w:pPr>
      <w:r>
        <w:t>2º Restablecerlo en su derecho y, a tal fin, anular los Autos del Juzgado Central de Vigilancia Penitenciaria de 1 de octubre de 2004 y 28 de diciembre de 2004, retrotrayendo las actuaciones al momento anterior al de dictarse el primero de los mencionados Autos, a fin de que se dicte nueva resolución respetuosa con el derecho fundamental vulnerado.</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veintiuno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38" w:name="SENTENCIA_2007_125"/>
      <w:r>
        <w:lastRenderedPageBreak/>
        <w:t>SENTENCIA 125/2007, de 21 de mayo de 2007</w:t>
      </w:r>
    </w:p>
    <w:bookmarkEnd w:id="38"/>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149, de 22 de junio de 2007)</w:t>
      </w:r>
    </w:p>
    <w:p w:rsidR="00DE14C9" w:rsidRDefault="00DE14C9" w:rsidP="00DE14C9">
      <w:pPr>
        <w:pStyle w:val="TtuloBOE"/>
      </w:pPr>
    </w:p>
    <w:p w:rsidR="00DE14C9" w:rsidRDefault="00DE14C9" w:rsidP="00DE14C9">
      <w:pPr>
        <w:pStyle w:val="SntesisDescriptiva"/>
      </w:pPr>
      <w:r>
        <w:t>ECLI:ES:TC:2007:125</w:t>
      </w:r>
    </w:p>
    <w:p w:rsidR="00DE14C9" w:rsidRDefault="00DE14C9" w:rsidP="00DE14C9">
      <w:pPr>
        <w:pStyle w:val="SntesisDescriptiva"/>
      </w:pPr>
    </w:p>
    <w:p w:rsidR="00DE14C9" w:rsidRDefault="00DE14C9" w:rsidP="00DE14C9">
      <w:pPr>
        <w:pStyle w:val="SntesisDescriptiva"/>
      </w:pPr>
      <w:r>
        <w:t>Recurso de amparo 1609-2005. Promovido por don Francisco Frechoso Bajodo frente a la Sentencia de la Sala de lo Social del Tribunal Superior de Justicia de Madrid que desestimó su demanda contra Unidad Editorial, S.A., sobre autorización para participar en la tertulia televisiva "La mirada crítica".</w:t>
      </w:r>
    </w:p>
    <w:p w:rsidR="00DE14C9" w:rsidRDefault="00DE14C9" w:rsidP="00DE14C9">
      <w:pPr>
        <w:pStyle w:val="SntesisDescriptiva"/>
      </w:pPr>
    </w:p>
    <w:p w:rsidR="00DE14C9" w:rsidRDefault="00DE14C9" w:rsidP="00DE14C9">
      <w:pPr>
        <w:pStyle w:val="SntesisAnaltica"/>
      </w:pPr>
      <w:r>
        <w:t>Vulneración del derecho a la libertad de expresión: denegación de autorización al redactor de un periódico con dedicación exclusiva para que siga participando en un programa de televisión tras haber criticado a su empresa en relación con una huelga general.</w:t>
      </w:r>
    </w:p>
    <w:p w:rsidR="00DE14C9" w:rsidRDefault="00DE14C9" w:rsidP="00DE14C9">
      <w:pPr>
        <w:pStyle w:val="SntesisAnaltica"/>
      </w:pPr>
    </w:p>
    <w:p w:rsidR="00DE14C9" w:rsidRDefault="00DE14C9" w:rsidP="00DE14C9">
      <w:pPr>
        <w:pStyle w:val="Extracto"/>
      </w:pPr>
      <w:r>
        <w:t>1.</w:t>
      </w:r>
      <w:r>
        <w:tab/>
        <w:t>La decisión de un medio de comunicación de impedir a un periodista que continúe participando como contertulio en un programa de televisión, con motivo de las críticas emitidas por él en contra de la empresa, supone una lesión de su derecho a la libertad de expresión [FJ 3].</w:t>
      </w:r>
    </w:p>
    <w:p w:rsidR="00DE14C9" w:rsidRDefault="00DE14C9" w:rsidP="00DE14C9">
      <w:pPr>
        <w:pStyle w:val="Extracto"/>
      </w:pPr>
    </w:p>
    <w:p w:rsidR="00DE14C9" w:rsidRDefault="00DE14C9" w:rsidP="00DE14C9">
      <w:pPr>
        <w:pStyle w:val="Extracto"/>
      </w:pPr>
      <w:r>
        <w:t>2.</w:t>
      </w:r>
      <w:r>
        <w:tab/>
        <w:t>La empresa demandada no cumplió con la carga de acreditar la existencia de una causa seria y real justificativa de su actuación, que hubiera permitido destruir la apariencia discriminatoria creada y alcanzar la necesaria convicción de que su decisión había sido ajena a todo propósito atentatorio del derecho fundamental invocado [FJ 4].</w:t>
      </w:r>
    </w:p>
    <w:p w:rsidR="00DE14C9" w:rsidRDefault="00DE14C9" w:rsidP="00DE14C9">
      <w:pPr>
        <w:pStyle w:val="Extracto"/>
      </w:pPr>
    </w:p>
    <w:p w:rsidR="00DE14C9" w:rsidRDefault="00DE14C9" w:rsidP="00DE14C9">
      <w:pPr>
        <w:pStyle w:val="Extracto"/>
      </w:pPr>
      <w:r>
        <w:t>3.</w:t>
      </w:r>
      <w:r>
        <w:tab/>
        <w:t>La genérica invocación de facultades legales o convencionales o la aparente cobertura legal de un acto empresarial no bastan para neutralizar la prueba indiciaria de una lesión de derechos fundamentales [FJ 4].</w:t>
      </w:r>
    </w:p>
    <w:p w:rsidR="00DE14C9" w:rsidRDefault="00DE14C9" w:rsidP="00DE14C9">
      <w:pPr>
        <w:pStyle w:val="Extracto"/>
      </w:pPr>
    </w:p>
    <w:p w:rsidR="00DE14C9" w:rsidRDefault="00DE14C9" w:rsidP="00DE14C9">
      <w:pPr>
        <w:pStyle w:val="Extracto"/>
      </w:pPr>
      <w:r>
        <w:t>4.</w:t>
      </w:r>
      <w:r>
        <w:tab/>
        <w:t>Doctrina sobre libertad de expresión en el ámbito de la relación laboral (SSTC 181/2006, 41/2006, 342/2006) [FFJJ 1, 2].</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lastRenderedPageBreak/>
        <w:t>SENTENCIA</w:t>
      </w:r>
    </w:p>
    <w:p w:rsidR="00DE14C9" w:rsidRDefault="00DE14C9" w:rsidP="00DE14C9">
      <w:pPr>
        <w:pStyle w:val="TextoNormalCentrado"/>
        <w:keepNext/>
      </w:pPr>
    </w:p>
    <w:p w:rsidR="00DE14C9" w:rsidRDefault="00DE14C9" w:rsidP="00DE14C9">
      <w:pPr>
        <w:pStyle w:val="TextoNormal"/>
      </w:pPr>
      <w:r>
        <w:t>En el recurso de amparo núm. 1609-2005, promovido por don Francisco Frechoso Bajodo, representado por la Procuradora de los Tribunales doña Pilar Pérez González y bajo la asistencia de la Letrada doña Belén Villalba Salvador; interpuesto contra la Sentencia de la Sala de lo Social del Tribunal Superior de Justicia de Madrid, de 28 de diciembre de 2004, que resuelve el recurso de suplicación núm. 5738-2004 formulado contra la Sentencia del Juzgado de lo Social núm. 11 de Madrid, de 26 de mayo de 2003, recaída en los autos sobre tutela de derechos fundamentales núm. 946-2002. Ha intervenido el Ministerio Fiscal y ha comparecido Unidad Editorial, S.A., representada por la Procuradora de los Tribunales doña Amparo Ramírez Plaza y por el Letrado don Carlos Molero Manglano. Ha sido Ponente el Magistrado don Jorge Rodríguez-Zapata Pérez,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Por escrito registrado en el Tribunal el 8 de marzo de 2005 se interpuso recurso de amparo, en el que se formula queja de que la resolución judicial impugnada ha vulnerado los derechos fundamentales a la igualdad ante la Ley (art. 14 CE) y a la libertad de expresión (art. 20.1.a CE).</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La demanda se basa en los siguientes fundamentos de hecho: </w:t>
      </w:r>
    </w:p>
    <w:p w:rsidR="00DE14C9" w:rsidRDefault="00DE14C9" w:rsidP="00DE14C9">
      <w:pPr>
        <w:pStyle w:val="TextoNormal"/>
      </w:pPr>
      <w:r>
        <w:t xml:space="preserve">a) El solicitante de amparo presta servicios desde el año 1989 para Unidad Editorial, S.A. (en adelante, empresa demandada) que es editora del periódico “El Mundo”. El recurrente presta sus servicios en dicho medio desde su fundación, primero como corresponsal político y después como redactor jefe (en el momento de la demanda, redactor jefe de cierre). </w:t>
      </w:r>
    </w:p>
    <w:p w:rsidR="00DE14C9" w:rsidRDefault="00DE14C9" w:rsidP="00DE14C9">
      <w:pPr>
        <w:pStyle w:val="TextoNormal"/>
      </w:pPr>
      <w:r>
        <w:t xml:space="preserve">b) En la cláusula cuarta de su contrato de trabajo se establece que la actividad profesional del trabajador será realizada en régimen de dedicación exclusiva, por lo que don Francisco se compromete de manera expresa a no desempeñar cualquier otra, aun ajena al ámbito de la profesión periodística. Como contraprestación de tal compromiso, el trabajador percibirá un complemento anual del salario recogido en la cláusula anterior de 1.450.000 pesetas, distribuidas igualmente en quince pagas. </w:t>
      </w:r>
    </w:p>
    <w:p w:rsidR="00DE14C9" w:rsidRDefault="00DE14C9" w:rsidP="00DE14C9">
      <w:pPr>
        <w:pStyle w:val="TextoNormal"/>
      </w:pPr>
      <w:r>
        <w:t xml:space="preserve">c) Distintos periodistas, que también prestan sus servicios para esa empresa en régimen de exclusividad, vienen colaborando sin embargo en programas de televisión y radio, a través de la participación en tertulias por las que son retribuidos, aunque perciben de la empresa el referido complemento de exclusividad. Por lo que se refiere al recurrente, tiene suscrito desde el 14 de septiembre de 1998 un contrato con Telecinco TV (Gestevisión Telecinco, S.A.) de prestación de servicios como comentarista en el espacio informativo “Las Noticias. Buenos días”, a cambio de una retribución (420,71 euros por colaboración y una media mensual de 1.332,24 euros brutos), siendo éste el único medio fuera del diario “El Mundo” en el que colaboraba. Dicho contrato fue prorrogado hasta el 31 de diciembre de 2002, suscribiéndose el contrato con la empresa subrogada Agencia de Televisión Latino Americana de servicios y noticias España, S.A. (ATLAS), pasando a denominarse el espacio informativo anterior “La mirada crítica”. La dirección de dicho programa está a cargo de doña Montserrat Domínguez, quien, con fecha de 5 de septiembre de 2002, envió un correo electrónico al actor y a otros periodistas más, entre los que se encuentran don Fernando Garea y don Justino Sinova (ambos pertenecientes a la plantilla del diario “El Mundo”), dándoles la bienvenida a la nueva temporada que comenzaba a partir de esas fechas. </w:t>
      </w:r>
    </w:p>
    <w:p w:rsidR="00DE14C9" w:rsidRDefault="00DE14C9" w:rsidP="00DE14C9">
      <w:pPr>
        <w:pStyle w:val="TextoNormal"/>
      </w:pPr>
      <w:r>
        <w:lastRenderedPageBreak/>
        <w:t xml:space="preserve">d) Tanto el recurrente como el resto de los periodistas que colaboran en otros medios como comentaristas-contertulios son llamados por cada uno de los distintos medios a título personal. Los medios no se dirigen a la empresa para que ésta designe qué periodistas son los que han de acudir a dichos programas, sino que directa y personalmente la oferta se hace con la persona que interesa a dicho medio. </w:t>
      </w:r>
    </w:p>
    <w:p w:rsidR="00DE14C9" w:rsidRDefault="00DE14C9" w:rsidP="00DE14C9">
      <w:pPr>
        <w:pStyle w:val="TextoNormal"/>
      </w:pPr>
      <w:r>
        <w:t xml:space="preserve">e) Los sindicatos más representativos convocaron una huelga general para el 20 de junio de 2002. Dicha convocatoria tuvo difusión en todos los medios de comunicación, con información y opiniones de editorialistas y columnistas, tanto de los que convenían en el seguimiento, como los que consideraban que no era necesaria la convocatoria. Unos y otros ejercitaron su libertad de expresión y se manifestaron a favor o en contra de la huelga general. Se considera práctica habitual entre los trabajadores de la prensa diaria escrita que decidan secundar una huelga, que el ejercicio de ese derecho lo realicen el día anterior a su convocatoria para que de esa forma el día convocado para la huelga el periódico no salga a la calle y, a su vez, ese mismo día (el señalado para la huelga), se pueda cubrir la información del seguimiento, de tal modo que al día siguiente los periódicos cumplan con su obligación de informar lo acontecido el día de la convocatoria. </w:t>
      </w:r>
    </w:p>
    <w:p w:rsidR="00DE14C9" w:rsidRDefault="00DE14C9" w:rsidP="00DE14C9">
      <w:pPr>
        <w:pStyle w:val="TextoNormal"/>
      </w:pPr>
      <w:r>
        <w:t xml:space="preserve">f) En la empresa demandada se convocó por el comité de empresa (en el que es mayoritario el sindicato de periodistas de Madrid) el 5 de junio de 2002 una asamblea informativa en la que se votó el apoyo a la huelga general del 20 de junio de 2002, con resultado de 117 asistentes de los cuales 116 votó a favor de apoyar la huelga y uno se abstuvo. Pusieron en el tablón de anuncios folletos con el llamamiento a secundar la huelga y el actor fue uno de los que repartió los citados folletos entre la plantilla. </w:t>
      </w:r>
    </w:p>
    <w:p w:rsidR="00DE14C9" w:rsidRDefault="00DE14C9" w:rsidP="00DE14C9">
      <w:pPr>
        <w:pStyle w:val="TextoNormal"/>
      </w:pPr>
      <w:r>
        <w:t xml:space="preserve">g) En su edición de 19 de junio de 2002, el periódico “El Mundo”, en primera y en un pequeño recuadro, publicaba: </w:t>
      </w:r>
    </w:p>
    <w:p w:rsidR="00DE14C9" w:rsidRDefault="00DE14C9" w:rsidP="00DE14C9">
      <w:pPr>
        <w:pStyle w:val="TextoNormal"/>
      </w:pPr>
      <w:r>
        <w:t xml:space="preserve">“El Mundo mañana, en edición reducida. Ante la decisión de una parte importante de nuestra plantilla de ejercer su derecho a la huelga, El Mundo publicará mañana una edición reducida de 48 páginas. Los lectores podrán obtenerla en aquellos puntos de venta que permanezcan abiertos y en los que se haga reparto de prensa. Asimismo, El Mundo mantendrá su servicio de actualización informativa permanente. El viernes El Mundo publicará una amplia cobertura de cuanto ocurra el 20- J.” </w:t>
      </w:r>
    </w:p>
    <w:p w:rsidR="00DE14C9" w:rsidRDefault="00DE14C9" w:rsidP="00DE14C9">
      <w:pPr>
        <w:pStyle w:val="TextoNormal"/>
      </w:pPr>
      <w:r>
        <w:t xml:space="preserve">Con motivo de la huelga anunciada, el periódico “El Mundo” publica una serie de artículos haciendo referencia a la inoportunidad de la convocatoria de la huelga general (dada su coincidencia con la cita internacional en Madrid de la cumbre de los quince de la Unión Europea) y la falta de motivos reales para hacer una huelga que se califica de injustificada. </w:t>
      </w:r>
    </w:p>
    <w:p w:rsidR="00DE14C9" w:rsidRDefault="00DE14C9" w:rsidP="00DE14C9">
      <w:pPr>
        <w:pStyle w:val="TextoNormal"/>
      </w:pPr>
      <w:r>
        <w:t xml:space="preserve">h) El 21 de junio de 2002, día siguiente al de la huelga general, el periódico, en un artículo sobre la huelga, reseñaba: “La policía tuvo que escoltar a ‘El Mundo’ en Torrejón y, según el sindicato UGT a ‘El País’ entre Valencia y Barcelona”. En uno de los párrafos de dicho artículo se dice: “Por la noche, piquetes violentos cercaron la rotativa que tiene ‘El Mundo’ en Torrejón de Ardoz (Madrid), tratando de impedir el reparto de los diarios. La salida de los ejemplares se realizó gracias a furgonetas policiales, que trasladaron los paquetes a un punto de distribución seguro, situado a escasa distancia de la planta impresora”. </w:t>
      </w:r>
    </w:p>
    <w:p w:rsidR="00DE14C9" w:rsidRDefault="00DE14C9" w:rsidP="00DE14C9">
      <w:pPr>
        <w:pStyle w:val="TextoNormal"/>
      </w:pPr>
      <w:r>
        <w:t xml:space="preserve">i) Con relación a este asunto de la escolta policial protegiendo el reparto del periódico, el Sindicato Unificado de Policía manifestó a la Agencia EFE el 20 de junio: “El SUP, denuncia hoy que varias furgonetas de Policías se han trasladado esta madrugada a las rotativas del diario El Mundo para sacar dos palés con periódicos y llevarlos hasta un centro policial de Moratalaz en Madrid, donde fueron recogidos por los distribuidores. Según declaró a EFE el Secretario General del SUP, José María Benito, esto es una barbaridad que </w:t>
      </w:r>
      <w:r>
        <w:lastRenderedPageBreak/>
        <w:t xml:space="preserve">no deberíamos haber hecho. Al centro policial de Moratalaz de Madrid, según el SUP han acudido los distribuidores de periódicos para llevárselos de allí”. </w:t>
      </w:r>
    </w:p>
    <w:p w:rsidR="00DE14C9" w:rsidRDefault="00DE14C9" w:rsidP="00DE14C9">
      <w:pPr>
        <w:pStyle w:val="TextoNormal"/>
      </w:pPr>
      <w:r>
        <w:t xml:space="preserve">j) El día 21 de junio de 2002, el programa de Telecinco, T.V., “La mirada crítica” se emitió con la asistencia de su directora, doña Monserrat Domínguez y los periodistas que colaboran, don Ernesto Ekaizer, don Juan Carlos Viloria y el recurrente en amparo, don Francisco Frechoso. La directora del programa invitó a los asistentes a valorar y reflexionar sobre la huelga del día anterior, preguntando a cada uno de los tres: “¿Fue un fracaso, o un éxito la huelga general o no fue una huelga general, fue una huelga parcial?” A tal pregunta, la respuesta del recurrente fue la siguiente: “Creo que la huelga fue un éxito ... el día 19 en la práctica totalidad de las redacciones de la prensa española, a pesar de que las direcciones de esos diarios se empeñaron en sacar ediciones clandestinas, que en muchos casos tuvieron que ser escoltadas o repartidas por la policía ... Es la primera vez en la historia de la democracia que se hace una huelga no sólo contra el Gobierno, sino en contra con la oposición de las empresas ... yo creo que ayer hubo más trabajadores que no pudieron ir a la huelga por las coacciones que sufrieron en sus respectivas empresas, que trabajadores que no pudieron ejercer su derecho al trabajo por la acción de los piquetes”. </w:t>
      </w:r>
    </w:p>
    <w:p w:rsidR="00DE14C9" w:rsidRDefault="00DE14C9" w:rsidP="00DE14C9">
      <w:pPr>
        <w:pStyle w:val="TextoNormal"/>
      </w:pPr>
      <w:r>
        <w:t xml:space="preserve">La Directora del citado programa en una de sus intervenciones dice: “Vamos a saber además, en qué condiciones salieron los periódicos ayer, que salieron a la calle cuando lo habitual ha sido en todas las huelgas que hemos vivido anteriormente que no lo hubiera, y esa denuncia que hubo de que en concreto el diario El Mundo para el que tú trabajas, había sido distribuido en furgones policiales como escuchamos ayer denunciar a los sindicatos policiales”. Y respecto a tal cuestión, el recurrente manifiesta lo que sigue: “Vamos a ver, una redacción de un periódico no es una fábrica en la que se ponen tornillos; es decir las direcciones de los periódicos tienen que contar diariamente con el esfuerzo intelectual de la mayoría de la redacción ... Yo creo que después de lo ocurrido, las direcciones de los periódicos se tenían que plantear muy seriamente por qué el 80 %, el 90 % de su plantilla, de sus redacciones decidieron ir a la huelga y por qué ellos sacaron el periódico. De todas formas, ya que yo pertenezco a El Mundo, y El Mundo fue la punta de lanza en el empeño por parte de su dirección de sacar el periódico, quería decir que hoy se sigue desinformando en el periódico sobre la incidencia que tuvo la huelga en la redacción. Así como se recoge que el 80 % de los trabajadores de El País, hicieron huelga en ese periódico, no se dice que el 90 % de la redacción El Mundo se sumó a la huelga, esto motivó que, anoche los representantes de los trabajadores hicieran un comunicado que repartieron a las agencias y a algún medio que informó de que había normalidad ese día en El Mundo, explicando que el 90 % de la plantilla no trabajó. Bueno pues hoy, ni siquiera en el propio periódico se recoge eso, y a mí sí me gustaría recordarlo para que la gente se entere, que parece que hay algún interés en ocultarlo, de que el 90 % de la plantilla de El Mundo se sumó a la huelga general”. </w:t>
      </w:r>
    </w:p>
    <w:p w:rsidR="00DE14C9" w:rsidRDefault="00DE14C9" w:rsidP="00DE14C9">
      <w:pPr>
        <w:pStyle w:val="TextoNormal"/>
      </w:pPr>
      <w:r>
        <w:t xml:space="preserve">Entonces, la Directora del programa pregunta al recurrente: ¿Es verdad, porque además se han recibido denuncias de los sindicatos, que el diario El Mundo salió en furgones de la Policía?. Y él responde: “Yo me remito a la información que facilitó ayer el Sindicato Unificado de Policía, cuya secretaria de comunicación Mónica Gracia, confirmó que dos furgonetas de la policía fueron a la rotativa del diario El Mundo, donde cargaron ejemplares de la edición y los trasladaron a un sitio seguro desde donde se distribuyó. Como trabajador del El Mundo, no puedo por menos que decir que me siento avergonzado de que el periódico en el que trabajo haya tenido que salir en furgones de la policía, que lo lamento mucho, que pido disculpas desde aquí a los policías que tuvieron que hacer eso y que supongo que se exigirán responsabilidades porque la función de la policía, obviamente no es cargar ejemplares de un periódico en furgones y lIevarlos a un punto seguro de distribución ... Otra cosa </w:t>
      </w:r>
      <w:r>
        <w:lastRenderedPageBreak/>
        <w:t xml:space="preserve">es, como también denunció ayer CGT, que en este caso, el diario El País, tuviera que ser escoltado durante una parte de su recorrido hasta Barcelona. Eso es más discutible”. </w:t>
      </w:r>
    </w:p>
    <w:p w:rsidR="00DE14C9" w:rsidRDefault="00DE14C9" w:rsidP="00DE14C9">
      <w:pPr>
        <w:pStyle w:val="TextoNormal"/>
      </w:pPr>
      <w:r>
        <w:t xml:space="preserve">k) En la empresa se comentaba después del día 21 de junio de 2002 que se iba a controlar la participación en las tertulias y, en concreto, en la que intervenía el recurrente. Hasta el mes de julio del 2002, la participación en otros medios por parte de periodistas pertenecientes a la plantilla de la demandada era abierta, participaba quien estaba interesado y a título personal se lo proponía determinada cadena de radio o televisión, sin control por parte de la empresa, y con su aquiescencia tácita porque daba prestigio al periódico. Es a partir de esa fecha, cuando el Director planteó la necesidad de denegar o autorizar esa actividad. La decisión se adoptó en julio de 2002, y se hizo efectiva en el mes de septiembre siguiente. De tal forma que con fecha de 22 de julio de 2002, la dirección de El Mundo, mediante correo electrónico, comunica a la plantilla de redactores lo siguiente: “Ante la necesidad de concertar todos los esfuerzos en el desarrollo del periódico en un entorno más difícil y competitivo que el de los años anteriores, ninguna persona que perciba el complemento por dedicación exclusiva podrá colaborar a partir del 1 de septiembre en ningún otro medio de comunicación escrito, audiovisual o electrónico sin una autorización expresa de la dirección del periódico. Esta autorización se concederá por escrito y de forma restrictiva, considerando los intereses del periódico de cara a la proyección de su línea editorial e informativa en los restantes medios de comunicación”. Dada la anterior comunicación, el Presidente del comité de empresa y delegado sindical del sindicato de periodistas comunicó a los miembros del comité su preocupación por el contenido de la nota. Posteriormente, el comité de empresa indicó que aquéllos que a partir de entonces fuesen a intervenir en alguna tertulia o conferencia debían tramitar los permisos a través de las personas que se especificaban. También se señaló que el comité había pedido a la empresa que elaborase un documento donde se estableciesen los requisitos objetivos que se necesitaban para poder tramitar estas peticiones. </w:t>
      </w:r>
    </w:p>
    <w:p w:rsidR="00DE14C9" w:rsidRDefault="00DE14C9" w:rsidP="00DE14C9">
      <w:pPr>
        <w:pStyle w:val="TextoNormal"/>
      </w:pPr>
      <w:r>
        <w:t xml:space="preserve">l) Ante el requerimiento del comité, la dirección de El Mundo le remitió con fecha de 16 de septiembre de 2002, lo siguiente: “Regulación de la presencia de periodistas de El Mundo en otros medios: Si bien hasta ahora el seguimiento y la autorización de esas participaciones se venían haciendo de manera informal, la Dirección desea a partir de este momento, hacerlo de manera expresa mediante el requerimiento de una solicitud por escrito, para así poder estudiar caso por caso la correspondiente aprobación o denegación. Los criterios a los que se atenderá en el estudio de las solicitudes son las siguientes: 1.- La presencia de periodistas de El Mundo en otros medios tiene que servir a la proyección de la línea informativa y editorial del periódico, reflejando naturalmente su enorme pluralismo interno. 2.- Se velará por la aplicación del criterio ya vigente, de que ningún trabajador debe aprovechar su presencia en otros medios para lesionar los intereses de su propio periódico. 3.- En ningún caso estas colaboraciones externas pueden repercutir en la disponibilidad para el periódico, bien sea a la hora de realizar su trabajo cotidiano en el diario, de conseguir información, de viajar o de cualquier otra actividad profesional en El Mundo. 4.- Las autorizaciones serán concedidas atendiendo también al contexto de las relaciones institucionales de El Mundo y su empresa editora con el resto de los medios. 5.- El Mundo se reserva el derecho de intervenir en la forma en que los otros medios presentan a sus periodistas”. </w:t>
      </w:r>
    </w:p>
    <w:p w:rsidR="00DE14C9" w:rsidRDefault="00DE14C9" w:rsidP="00DE14C9">
      <w:pPr>
        <w:pStyle w:val="TextoNormal"/>
      </w:pPr>
      <w:r>
        <w:t>m) El recurrente, con fecha de 12 de septiembre de 2002, remite a don Juan Carlos Laviana (persona indicada por el comité de empresa para atender a las solicitudes) el siguiente correo electrónico: “Tal y como me indica el Comité de Empresa, te comunico que a partir de la próxima semana participaré, como vengo haciendo desde hace cuatro años, en el pro</w:t>
      </w:r>
      <w:r>
        <w:lastRenderedPageBreak/>
        <w:t xml:space="preserve">grama de Telecinco, La mirada crítica”. Con la misma fecha, se le responde: “Siento comunicarte que, una vez estudiada tu solicitud, hemos decidido no concederte autorización para participar como tertuliano en el programa ‘La mirada crítica’ de Telecinco. Y lo hemos decidido así considerando que no sería beneficioso para los intereses del periódico”. </w:t>
      </w:r>
    </w:p>
    <w:p w:rsidR="00DE14C9" w:rsidRDefault="00DE14C9" w:rsidP="00DE14C9">
      <w:pPr>
        <w:pStyle w:val="TextoNormal"/>
      </w:pPr>
      <w:r>
        <w:t xml:space="preserve">n) Ante tal negativa, el recurrente interesó del comité de empresa que pidiera explicaciones a la Dirección sobre la prohibición de que participara en el programa de Telecinco. Miembros del comité de empresa (entre ellos, don Agustín Pery Riera) tuvieron una entrevista con el Sr. Laviana. Y con fecha 3 de octubre de 2002 comunica al actor el resultado de la entrevista, en el que entre otras cosas dice: “La decisión irrevocable la sustentan en el hecho de que tú no eres corresponsal político del diario El Mundo, sino redactor jefe de la noche y que consideran que con Fernando Garea y Justino Sinova la representación de este periódico en el programa de Telecinco, es más que suficiente. El comité de empresa transmitió a Juan Carlos Laviana sus sospechas de que tras esta decisión se escondía una suerte de purga, algo que ellos niegan”. </w:t>
      </w:r>
    </w:p>
    <w:p w:rsidR="00DE14C9" w:rsidRDefault="00DE14C9" w:rsidP="00DE14C9">
      <w:pPr>
        <w:pStyle w:val="TextoNormal"/>
      </w:pPr>
      <w:r>
        <w:t xml:space="preserve">ñ) Con fecha 17 de octubre de 2002, don Agustín Pery Riera, que había mantenido una reunión con el Director del periódico, en unión de otras dos personas más, comunica al actor lo siguiente mediante un correo electrónico: “Voy a tratar de explicarte las razones esgrimidas por Pedro J., algo difícil ya que él no sacó tu nombre a debate, fuimos nosotros ... sacamos tu tema, con nombre y apellidos, recordando que en tu condición de redactor/jefe de noche era difícil que tu horario chocara con el de La Mirada crítica y le insistimos en que si todas estas decisiones no escondían otra cosa que el impedirte a ti seguir colaborando con Telecinco, por unas críticas a la actuación de la empresa con respecto a la huelga general. Nos comentó que tú no ibas a ser el único que viera recortadas las colaboraciones y sí nos reconoció que no se iba a dar facilidades a aquellos que se dedican a criticar las decisiones del periódico en unos medios en los que colaboran gracias a su condición de periodistas del El Mundo. Que eso era un contrasentido. Te insisto en que es lo que el Director nos dijo”. </w:t>
      </w:r>
    </w:p>
    <w:p w:rsidR="00DE14C9" w:rsidRDefault="00DE14C9" w:rsidP="00DE14C9">
      <w:pPr>
        <w:pStyle w:val="TextoNormal"/>
      </w:pPr>
      <w:r>
        <w:t xml:space="preserve">o) Las personas que asisten a tertulias en televisión o radio, a partir de septiembre de 2002 no han renunciado al percibo del complemento de dedicación exclusiva, que siguen cobrando como parte del salario fijo. </w:t>
      </w:r>
    </w:p>
    <w:p w:rsidR="00DE14C9" w:rsidRDefault="00DE14C9" w:rsidP="00DE14C9">
      <w:pPr>
        <w:pStyle w:val="TextoNormal"/>
      </w:pPr>
      <w:r>
        <w:t xml:space="preserve">p) El recurrente y doña María Peral Parrado tenían una colaboración en un solo programa y se les denegó su participación en él en el mes de noviembre de 2002. A otros compañeros que tenían varios programas de televisión o radio, se les ha reducido su participación en algunos de ellos y no han renunciado al complemento de exclusividad. El actor continúa sin participar en ningún otro medio ajeno a la empresa demandada y ha dejado de percibir en el periodo que estaba contratado para Telecinco TV, a partir de septiembre de 2002, la cantidad de 420,71 euros por colaboración, con una media mensual de 1332,24 euros. </w:t>
      </w:r>
    </w:p>
    <w:p w:rsidR="00DE14C9" w:rsidRDefault="00DE14C9" w:rsidP="00DE14C9">
      <w:pPr>
        <w:pStyle w:val="TextoNormal"/>
      </w:pPr>
      <w:r>
        <w:t xml:space="preserve">q) El 29 de noviembre de 2002 se presentó un escrito a don Pedro J. Ramírez firmado por cincuenta y cinco trabajadores del departamento de redacción, con el siguiente texto: “Te hacemos llegar nuestra preocupación por la situación de discriminación que sufre Francisco Frechoso, al ser el único miembro de la redacción de El Mundo a quien se ha denegado el permiso para participar en una tertulia ‘La mirada Critica’ de Telecinco, en la que colabora desde hace cuatro años. Consideramos especialmente grave, por lo que podría suponer de limitación de su libertad de expresión, que se fundamente la negativa en unas supuestas críticas de Francisco Frechoso a la actitud de la empresa durante la huelga de 20-J, realizadas en el mencionado programa. Nuestro compañero ha intentado por medio del Comité de Empresa y de uno de los directores adjuntos designados como interlocutores para estas cuestiones, Jorge Fernández, llegar a un acuerdo con la dirección, sin que hasta el momento haya </w:t>
      </w:r>
      <w:r>
        <w:lastRenderedPageBreak/>
        <w:t xml:space="preserve">sido posible. Te pedimos encarecidamente que hagas un último esfuerzo para tratar de solucionar este delicado asunto”. </w:t>
      </w:r>
    </w:p>
    <w:p w:rsidR="00DE14C9" w:rsidRDefault="00DE14C9" w:rsidP="00DE14C9">
      <w:pPr>
        <w:pStyle w:val="TextoNormal"/>
      </w:pPr>
      <w:r>
        <w:t>r) La sección sindical del sindicato de periodistas de Madrid, en el diario El Mundo, con fecha de 10 de diciembre siguiente, difundió un comunicado denunciando “el doble rasero que tiene la dirección de este diario a la hora de medir el derecho a la libertad de expresión”. Y entre otros puntos dice: “Cuando un miembro de la redacción (cuya profesionalidad y rigor no ofrecen ni han ofrecido nunca la menor duda) ha lamentado, también en público, que los ejemplares de El Mundo tuvieran que ser sacados de la imprenta en furgones de la policía el día de la huelga general de 20-J, la dirección del periódico responde impidiéndole continuar en un programa con el que colaboraba desde hace cuatro años: La mirada crítica de Telecinco. Esto es lo que ha ocurrido con Francisco Frechoso, redactor jefe de noche, único miembro de la redacción de El Mundo a quien no se ha autorizado a que participe en una tertulia de televisión”. Los Sindicatos UGT y CC OO manifestaron su apoyo al actor con fecha 24 de enero y 3 de febrero de 2003, respectivamente.</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El recurrente en amparo presentó demanda sobre tutela de derechos fundamentales alegando la vulneración de los derechos de huelga (art. 28.2 CE) y libertad de expresión (art. 20.1.a CE), dando lugar a los autos núm. 946-2002 seguidos ante el Juzgado de lo Social núm. 11 de Madrid, que por Sentencia de 9 de julio de 2004 la estimó parcialmente. En la citada Sentencia se aprecia la concurrencia de indicios suficientes y no meras conjeturas de que pudo existir en la actuación de la empresa una conducta tendente a limitar o cercenar el derecho a la libertad de expresión del actor por las críticas efectuadas por éste en el programa “La Mirada Crítica” del día 21 de junio de 2002. Para ello, valora circunstancias tales como la prolongada participación del actor en ese programa, truncada por la negativa de la empresa a que siguiese interviniendo en él tras haber realizado críticas respecto de la actuación de la dirección del periódico “El Mundo” en la huelga general del 20 de junio, con relación a los esfuerzos efectuados por el periódico para salir a la calle ese día, así como sobre la incidencia de la huelga en el periódico (manifestaciones que contrastaban con las duras expresiones del Director de “El Mundo” en su carta de 23 de junio con motivo de la huelga). También se indica que el actor fue el único periodista de ese diario al que se le denegó su participación en la única tertulia en que participaba, si bien otros vieron mermada su participación en algunas de las tertulias de las que formaban parte. Asimismo, se tienen en cuenta, de un lado, las manifestaciones del Director del periódico que con referencia al caso del actor, había dicho que “no se iban a dar facilidades a aquellos que se dedicaban a criticar las decisiones del periódico en unos medios en los que colaboran gracias a su condición de periodistas en El Mundo, que eso era un contrasentido”; de otro lado, que en reuniones mantenidas por el Sr. Pery (miembro del comité de empresa) y altos responsables del periódico, les hicieron llegar la creencia de que la actuación de la empresa en relación con el demandante se podría deber a las críticas vertidas por éste en “La Mirada Crítica”. </w:t>
      </w:r>
    </w:p>
    <w:p w:rsidR="00DE14C9" w:rsidRDefault="00DE14C9" w:rsidP="00DE14C9">
      <w:pPr>
        <w:pStyle w:val="TextoNormal"/>
      </w:pPr>
      <w:r>
        <w:t xml:space="preserve">Comprobada la existencia de indicios, se prosigue diciendo que le correspondía a la empresa aportar una justificación objetiva y razonable de la medida adoptada y su proporcionalidad. La empresa alegó como razones las siguientes: 1) El carácter general de la medida adoptada; 2) La situación económica negativa de la empresa que hacía necesario racionalizar la participación de sus periodistas como contertulios en otros medios y hacer efectivo el pacto de exclusividad por el que estaban cobrando una cantidad de dinero; y 3) El actor no tenía el prestigio de otros periodistas de “El Mundo”, los cuales aportaban un plus de imagen y prestigio al periódico con su participación en las tertulias de otros medios. </w:t>
      </w:r>
    </w:p>
    <w:p w:rsidR="00DE14C9" w:rsidRDefault="00DE14C9" w:rsidP="00DE14C9">
      <w:pPr>
        <w:pStyle w:val="TextoNormal"/>
      </w:pPr>
      <w:r>
        <w:lastRenderedPageBreak/>
        <w:t>A la vista de los argumentos ofrecidos por la parte demandada para justificar su decisión, el Juez entiende que resultaban inadmisibles para contrarrestar el panorama indiciario. Con relación a la primera justificación, se dice que la aplicación de la medida ni había sido general ni había tenida la misma incidencia en el actor que para el resto, pues a éste se le privó de participar en la única tertulia en la que intervenía; con referencia a la segunda justificación, se rechaza que el problema planteado fuese, como mantenía la empresa, únicamente de dedicación exclusiva, ya que la mayor parte de los contertulios seguían participando en los programas y seguían cobrando el complemento de dedicación exclusiva, a lo que había que añadir que el actor participaba en un programa con horario distinto al de su trabajo en el periódico, que era nocturno, lo que no sucedía con el resto de los contertulios. Con relación al tercer argumento, se señala que el mayor o menor prestigio del actor debía ser ponderado por la empresa de televisión que le contrataba como tertuliano, que era la que debía valorar su idoneidad como tal. Se concluye, en consecuencia, diciendo que las razones aducidas por la empresa no contrarrestaban el panorama indiciario y que no se había logrado acreditar que la actuación cuestionada fuese extraña a la pretendida vulneración constitucional, lo que condujo al Juzgado a declarar la lesión del derecho a la libertad de expresión de la parte actora.</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Contra esta Sentencia se formuló por la parte demandada recurso de suplicación que fue estimado por Sentencia de la Sala de lo Social del Tribunal Superior de Justicia de Madrid, de 28 de diciembre de 2004. En primer término, la Sala aceptó algunas de las revisiones fácticas alegadas por la demandada, referidas a las denegaciones de solicitudes de participación en tertulias (que figuraban en los hechos 3 al 7 de la Sentencia de instancia), así como que se hiciera constar las referencias profesionales de las personas que participaban en las tertulias. También se modificó la primera parte del hecho probado 29 en el sentido de incorporar a la Sra. Peral Parrado junto al actor como los trabajadores que tenían colaboración en un solo programa y se les había denegado su participación en él. </w:t>
      </w:r>
    </w:p>
    <w:p w:rsidR="00DE14C9" w:rsidRDefault="00DE14C9" w:rsidP="00DE14C9">
      <w:pPr>
        <w:pStyle w:val="TextoNormal"/>
      </w:pPr>
      <w:r>
        <w:t xml:space="preserve">En cuanto al fondo, comienza recordando la Sala la obligación que tiene el actor como empleado de la empresa demandada de cumplir las obligaciones pactadas en el contrato de trabajo, en este caso, la referente a la dedicación exclusiva por la que recibe una específica remuneración, a la que no había renunciado, y el derecho que le asiste a la empresa de exigirle el cumplimiento. Tras hacer referencia a las facultades directivas que la ley reconoce al empresario, la Sala, centrándose en los criterios mantenidos por la empresa para conceder o no las autorizaciones cuestionadas, afirma que se ajustan a la doctrina del Tribunal Europeo de Derechos Humanos de Estrasburgo, sentada en la Sentencia de 8 de julio de 1999, en la que, refiriéndose a la línea editorial de un periódico y al derecho a la libertad de expresión de uno de sus redactores, reconoció la facultad de un empresario de la comunicación a que los periodistas que trabajaban para él en los medios de su propiedad se ajustasen y siguiesen su línea editorial. De este modo, tras una extensa referencia a lo mantenido en la citada Sentencia, se vuelve a incidir en el pacto de no concurrencia con la empresa y se dice que la concesión de la autorización para participar en las tertulias de otros medios de comunicación era una “liberalidad” de la empresa, por lo que el hecho de no concederse no podía suponer la lesión de derechos fundamentales. </w:t>
      </w:r>
    </w:p>
    <w:p w:rsidR="00DE14C9" w:rsidRDefault="00DE14C9" w:rsidP="00DE14C9">
      <w:pPr>
        <w:pStyle w:val="TextoNormal"/>
      </w:pPr>
      <w:r>
        <w:t xml:space="preserve">En este sentido, continúa diciendo que “por el contrario, lo que si violenta y gravemente los derechos del Editorialista demandado es obligarle a conceder la repetida autorización a uno de sus empleados que ha pactado cobrar el complemento salarial de dedicación exclusiva cuando no ha renunciado a dicho complemento específico y, además, se ha probado </w:t>
      </w:r>
      <w:r>
        <w:lastRenderedPageBreak/>
        <w:t>que otros periodistas del medio ... que no han dado muestras públicas, o al menos no constan, de discrepar con la línea editorial también les ha sido denegada esa autorización ... siendo personajes tan relevantes para la entidad demandada como la Subdirectora Sra. Prego de Oliver, y Sra. Gurruchaga. Lo que denota que la política empresarial sobre este particular de conceder o denegar autorizaciones no ha tenido un fin discriminatorio ni limitativo de la libertad de expresión”. Dicho lo que antecede, prosigue diciendo la Sala que “si la empresa demandada ha actuado conforme a derecho en base a los preceptos legales —artículos 3, 5, 20 y 21 del Estatuto de los trabajadores— antes citados en lo que respecta a la denegación de la autorización que el actor le pidió para intervenir o trabajar como periodista en un medio de comunicación diverso, esta actuación imposibilita por sí misma hacerla causante a la vez de la violación de derechos fundamentales del demandante o de cualquier otro derecho de cualquier índole. La base de cualquier responsabilidad legal, ya sea penal, administrativa, civil o laboral en el sentido de exigir a uno o a sus autores que respondan de sus conductas no es otra que el incumplimiento por acción u omisión de aquello que vienen legalmente obligados a observar. Así, si la propia ley no sólo no le exige al demandado que le conceda la autorización pedida de pluri-ocupación sino que, por el contrario, le faculta para exigirle la dedicación exclusiva, es un contrasentido declararle responsable por esa negativa a autorizar aquello que la ley le permite desautorizar como es que sus trabajadores no concurran con su empresa. Mantener como mantiene el actor que con su decisión la empresa le ha discriminado es olvidar que a otros empleados no les ha concedido la autorización para intervenir en otros medios de comunicación. En particular a otra periodista del mismo medio demandado que no pertenecía al Consejo de Dirección ni editorial, dña. María Peral, también se la denegó”. Por todo lo cual, la Sala estima el recurso de Unidad Editorial, S.A., y la absuelve de las pretensiones formuladas en su contra.</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El recurrente en amparo imputa a la Sentencia recurrida la vulneración de los derechos a la libertad de expresión (art. 20.1.a CE) y a la igualdad (art. 14 CE). Expone, en este sentido, una síntesis de la doctrina de este Tribunal relativa al derecho a la libertad de expresión y da cuenta de resoluciones recaídas con relación a los profesionales de la información, que —dice— tienen reforzado su derecho a través de la garantía adicional de la cláusula de conciencia, por ser directos formadores de la opinión pública. Tras ello, el recurrente recuerda los hechos declarados probados que quedaron inalterados en suplicación, y que la Sala parece orillar al resolver la cuestión litigiosa. Señala que en ningún momento se ha cuestionado que las manifestaciones o expresiones vertidas por el actor en el programa de televisión “La mirada crítica” excedieran de los límites exigibles para el lícito ejercicio de la libertad de expresión. Por tanto, aduce que sólo ha de resolverse si el hecho de que la sentencia recurrida considere causa justificativa de la negativa a continuar en dicha tertulia la exigencia del cumplimiento de la dedicación exclusiva, hasta entonces no requerida al demandante (su participación en el programa se inició en 1998 y su exigencia se produce en el 2002), aplicó adecuadamente el juicio de ponderación exigido por la doctrina constitucional. </w:t>
      </w:r>
    </w:p>
    <w:p w:rsidR="00DE14C9" w:rsidRDefault="00DE14C9" w:rsidP="00DE14C9">
      <w:pPr>
        <w:pStyle w:val="TextoNormal"/>
      </w:pPr>
      <w:r>
        <w:t>Son dos —prosigue— las razones en las que la Sala basa su decisión; de un lado, en el sometimiento de los profesionales de la información a la “línea editorial” de la empleadora; de otro lado, en la aplicación de principios de jerarquía y subordinación, solo aceptables, entiende, en el ámbito de la función pública de la seguridad del Estado. Señala que la Sentencia recurrida viene a dar por sentado la existencia de una “línea editorial” de la que se aparta el demandante, cosa que no ha ocurrido, pues simplemente ha manifestado una dis</w:t>
      </w:r>
      <w:r>
        <w:lastRenderedPageBreak/>
        <w:t xml:space="preserve">crepancia con una decisión concreta de la Dirección (la de sacar a la calle el periódico utilizando furgones policiales). Más sorprendente, si cabe, es la aplicación al caso de una Sentencia del Tribunal de Estrasburgo relativa a unos escritos calificados por las autoridades de Turquía como incitadores de actos de terrorismo. De tal Sentencia, se entresaca una frase relativa a la “línea editorial” para justificar, fuera de contexto, la exigencia de que al recurrente en amparo no se apartara de la línea editorial del periódico, o dicho de otro modo, para justificar que la empresa demandada denegase el permiso a continuar en una tertulia por tal causa, en aplicación de una doctrina que nada tenía que ver con el caso de autos, en el que no se le imputan manifestaciones o expresiones al actor de carácter delictivo. </w:t>
      </w:r>
    </w:p>
    <w:p w:rsidR="00DE14C9" w:rsidRDefault="00DE14C9" w:rsidP="00DE14C9">
      <w:pPr>
        <w:pStyle w:val="TextoNormal"/>
      </w:pPr>
      <w:r>
        <w:t xml:space="preserve">El recurrente hace referencia a la doctrina del Tribunal Europeo de Derechos Humanos contenida en la Sentencia de 29 de febrero de 2000, y recuerda la necesidad de analizar el contexto particular en que se produjeron los hechos, para saber si la injerencia en el derecho fundamental estaba o no justificada. Aduce que nos encontramos con unas declaraciones del demandante formuladas el mismo día en que se celebra la huelga general, en un debate público, televisado en directo, después de que su empresa periodística, el mismo día de la huelga y pese al seguimiento casi absoluto de la misma por parte de su plantilla, sacara los periódicos a la calle utilizando furgones policiales. Ese mismo día, en el periódico se comentó que se iban a reducir las tertulias, en directa relación con las manifestaciones del actor; y mientras que el resto de empleados no ven denegada su participación, ni se les exige la renuncia al complemento de dedicación exclusiva (que siguen percibiendo), al actor se le niega su continuidad en la tertulia en la que venía interviniendo desde hacía años, con el pretexto de la falta de renuncia al complemento o de la exigencia de una dedicación exclusiva hasta entonces no requerida. A la vista de todo ello, no cabe considerar que la prohibición empresarial fuese proporcionada a los fines supuestamente legítimos perseguidos por la demandada. </w:t>
      </w:r>
    </w:p>
    <w:p w:rsidR="00DE14C9" w:rsidRDefault="00DE14C9" w:rsidP="00DE14C9">
      <w:pPr>
        <w:pStyle w:val="TextoNormal"/>
      </w:pPr>
      <w:r>
        <w:t xml:space="preserve">También se alega que la doctrina constitucional que cita la Sentencia impugnada no resulta aplicable al caso al tratarse de supuestos sobre manifestaciones de funcionarios públicos del Cuerpo Nacional de Policía, para los que el Tribunal Constitucional moduló su derecho a la libertad de expresión en virtud de los principios recogidos en el art. 103.1 CE (jerarquía, respeto y obediencia a las autoridades y superiores jerárquicos). Alega el recurrente que trasladar los criterios mantenidos en aquellas ocasiones al ámbito del contrato de trabajo constituye una vuelta al feudalismo y desconoce la doctrina constitucional sobre el ejercicio de la libertad de expresión en el ámbito de la relación laboral, sobre todo, teniendo en cuenta la condición de periodista del afectado. </w:t>
      </w:r>
    </w:p>
    <w:p w:rsidR="00DE14C9" w:rsidRDefault="00DE14C9" w:rsidP="00DE14C9">
      <w:pPr>
        <w:pStyle w:val="TextoNormal"/>
      </w:pPr>
      <w:r>
        <w:t>Tras cuestionar la aplicación de la jurisprudencia realizada en la Sentencia recurrida, recuerda que según la doctrina constitucional, el ejercicio de las facultades organizativas del empleador no puede servir en ningún caso a la producción de resultados inconstitucionales, lesivo de los derechos fundamentales del trabajador (cita la STC 20/2002), y que tampoco puede encontrar justificación el que la medida se haya adoptado en el ámbito de discrecionalidad que permite el Estatuto de los trabajadores. El recurrente niega que la actuación empresarial pueda justificarse por el ejercicio de los poderes de dirección teniendo en cuenta que durante más de cuatro años el cobro del complemento de dedicación exclusiva no ha resultado impedimento para su participación como tertuliano, y que justamente cuando critica a la dirección del periódico es cuando se le alega tal compromiso sin comunicación previa, sin justificación de la causa del cambio y de forma que no se exige al resto de los compañeros (que continúan en tertulias y siguen cobrando el complemento). De este modo, y, a pesar de la aportación de una prueba indiciaria contundente y de la falta de jus</w:t>
      </w:r>
      <w:r>
        <w:lastRenderedPageBreak/>
        <w:t xml:space="preserve">tificación por parte de la demandada de la medida adoptada, la Sala niega la lesión del derecho a la libertad de expresión sin que aquélla haya cumplido con la carga probatoria de acreditar una causa justificativa de su actuación ajena al móvil denunciado. </w:t>
      </w:r>
    </w:p>
    <w:p w:rsidR="00DE14C9" w:rsidRDefault="00DE14C9" w:rsidP="00DE14C9">
      <w:pPr>
        <w:pStyle w:val="TextoNormal"/>
      </w:pPr>
      <w:r>
        <w:t xml:space="preserve">En cuanto a la modificación fáctica relativa a que también a la Sra. Peral Parrado, que tenía colaboración en un solo programa, se le denegó la autorización, aduce que hay que tener en cuenta que el cese con relación a ella se produjo en noviembre de 2002, cuando al recurrente se había denegado su petición el 12 de septiembre de 2002; que no consta ni la solicitud de autorización ni la causa de la negativa; que se daba la circunstancia de que la citada periodista participaba en el primer café de Antena 3 y que P. J. Ramírez cesó en esa tertulia a raíz de un caso investigado por El Mundo que dio lugar a la ruptura de relaciones entre ambos medios. </w:t>
      </w:r>
    </w:p>
    <w:p w:rsidR="00DE14C9" w:rsidRDefault="00DE14C9" w:rsidP="00DE14C9">
      <w:pPr>
        <w:pStyle w:val="TextoNormal"/>
      </w:pPr>
      <w:r>
        <w:t>Finalmente, se aduce la vulneración del derecho reconocido en el art. 14 CE en relación con el derecho a la libertad de expresión, ya que conforme a los hechos declarados probados, al resto de los contertulios se les permite la participación en las tertulias sin que hayan tenido que renunciar al pacto de exclusividad y sin que hayan renunciado al complemento abonado por tal concepto. Sin embargo, es al recurrente al único que se le exige el cumplimiento de tal obligación, trato distinto que deviene del ejercicio legítimo de su derecho a la libertad de expresión.</w:t>
      </w:r>
    </w:p>
    <w:p w:rsidR="00DE14C9" w:rsidRDefault="00DE14C9" w:rsidP="00DE14C9">
      <w:pPr>
        <w:pStyle w:val="TextoNormal"/>
      </w:pPr>
    </w:p>
    <w:p w:rsidR="00DE14C9" w:rsidRDefault="00DE14C9" w:rsidP="00DE14C9">
      <w:pPr>
        <w:pStyle w:val="TextoNormal"/>
      </w:pPr>
      <w:r w:rsidRPr="00DE14C9">
        <w:rPr>
          <w:rStyle w:val="NumeroAFNegritaCaracter"/>
        </w:rPr>
        <w:t>6</w:t>
      </w:r>
      <w:r>
        <w:t>. Por providencia de 25 de julio de 2006 la Sección Segunda acordó la admisión a trámite de la demanda y, en aplicación del art. 51 LOTC, acordó dirigir comunicación a la Sala de lo Social del Tribunal Superior de Justicia de Madrid y al Juzgado de lo Social núm. 11 de Madrid para que remitiesen las correspondientes actuaciones, interesándose al propio tiempo que se emplazase a quienes fueron parte en el mencionado procedimiento, con excepción de la recurrente en amparo, para que en el plazo de diez días pudiesen comparecer en este proceso constitucional, con traslado a dichos efectos de copia de la demanda presentada.</w:t>
      </w:r>
    </w:p>
    <w:p w:rsidR="00DE14C9" w:rsidRDefault="00DE14C9" w:rsidP="00DE14C9">
      <w:pPr>
        <w:pStyle w:val="TextoNormal"/>
      </w:pPr>
    </w:p>
    <w:p w:rsidR="00DE14C9" w:rsidRDefault="00DE14C9" w:rsidP="00DE14C9">
      <w:pPr>
        <w:pStyle w:val="TextoNormal"/>
      </w:pPr>
      <w:r w:rsidRPr="00DE14C9">
        <w:rPr>
          <w:rStyle w:val="NumeroAFNegritaCaracter"/>
        </w:rPr>
        <w:t>7</w:t>
      </w:r>
      <w:r>
        <w:t>. El 28 de septiembre de 2006 se presenta escrito por el que la Procuradora de los Tribunales doña Amparo Ramírez Plaza se persona en nombre de la empresa Unidad Editorial, S.A.</w:t>
      </w:r>
    </w:p>
    <w:p w:rsidR="00DE14C9" w:rsidRDefault="00DE14C9" w:rsidP="00DE14C9">
      <w:pPr>
        <w:pStyle w:val="TextoNormal"/>
      </w:pPr>
    </w:p>
    <w:p w:rsidR="00DE14C9" w:rsidRDefault="00DE14C9" w:rsidP="00DE14C9">
      <w:pPr>
        <w:pStyle w:val="TextoNormal"/>
      </w:pPr>
      <w:r w:rsidRPr="00DE14C9">
        <w:rPr>
          <w:rStyle w:val="NumeroAFNegritaCaracter"/>
        </w:rPr>
        <w:t>8</w:t>
      </w:r>
      <w:r>
        <w:t>. Por diligencia de ordenación de 24 de octubre de 2006 se tienen por recibidos los testimonios de las actuaciones y el escrito de la citada Procuradora de los Tribunales, a quien se tiene por personada y parte en la representación que ostenta. Asimismo, a tenor de lo dispuesto en el art. 52 LOTC se da vista de las actuaciones del presente recurso de amparo por un plazo común de veinte días al Ministerio Fiscal y a las partes personadas para que dentro de dicho término pudiesen presentar alegaciones.</w:t>
      </w:r>
    </w:p>
    <w:p w:rsidR="00DE14C9" w:rsidRDefault="00DE14C9" w:rsidP="00DE14C9">
      <w:pPr>
        <w:pStyle w:val="TextoNormal"/>
      </w:pPr>
    </w:p>
    <w:p w:rsidR="00DE14C9" w:rsidRDefault="00DE14C9" w:rsidP="00DE14C9">
      <w:pPr>
        <w:pStyle w:val="TextoNormal"/>
      </w:pPr>
      <w:r w:rsidRPr="00DE14C9">
        <w:rPr>
          <w:rStyle w:val="NumeroAFNegritaCaracter"/>
        </w:rPr>
        <w:t>9</w:t>
      </w:r>
      <w:r>
        <w:t xml:space="preserve">. Con fecha de 27 de noviembre presenta su escrito de alegaciones la representación procesal de la empresa Unidad Editorial, S.A., que interesa la desestimación del recurso de amparo por falta de vulneración de los derechos fundamentales invocados. Incidiendo en los argumentos ofrecidos en la vía judicial, aduce que la denegación de autorizaciones para participar en otros medios de comunicación fue una medida general adoptada por la empresa y no individual para el recurrente y que el criterio utilizado para la concesión de tales autorizaciones fue el del puesto y relevancia del solicitante, otorgándose a periodistas que desempeñan tareas vinculadas a la información política (pues es la participación de estos en </w:t>
      </w:r>
      <w:r>
        <w:lastRenderedPageBreak/>
        <w:t xml:space="preserve">tertulias la que puede reportar beneficio y prestigio a esa empresa). Aduce que esa parte se ha limitado a ejercitar, respecto al actor y resto de periodistas, sus facultades directivas y a exigir el pacto de dedicación exclusiva que hasta esa fecha no se venía respetando a pesar de que los periodistas venían percibiendo una retribución por tal concepto. </w:t>
      </w:r>
    </w:p>
    <w:p w:rsidR="00DE14C9" w:rsidRDefault="00DE14C9" w:rsidP="00DE14C9">
      <w:pPr>
        <w:pStyle w:val="TextoNormal"/>
      </w:pPr>
      <w:r>
        <w:t xml:space="preserve">En este sentido, sostiene que el pleito se ha situado artificialmente en el terreno del derecho a la libertad de expresión, sin fundamento suficiente y sin que se haya acreditado de forma mínima una relación de causalidad entre las manifestaciones vertidas por el actor el día 21 de junio y la iniciativa adoptada por la Dirección de la empresa respecto a la participación en las tertulias de otros medios de comunicación. Discrepando de la fundamentación jurídica contenida en la Sentencia impugnada, sostiene que no se ha denegado el permiso al recurrente por falta de respeto de la línea editorial del periódico, por lo que no resulta de aplicación al caso la STEDH de 29 de febrero de 2000 que la Sentencia impugnada utilizada para negar la lesión constitucional. </w:t>
      </w:r>
    </w:p>
    <w:p w:rsidR="00DE14C9" w:rsidRDefault="00DE14C9" w:rsidP="00DE14C9">
      <w:pPr>
        <w:pStyle w:val="TextoNormal"/>
      </w:pPr>
      <w:r>
        <w:t xml:space="preserve">Prosigue diciendo que no puede sostenerse la vulneración de derechos fundamentales teniendo en cuenta que existía un compromiso bilateral en materia de dedicación exclusiva, que la situación económica de la empresa era desfavorable lo que propició el cambio de actitud en la aplicación del pacto de exclusividad, y dado que esa parte ni ha requerido nunca al recurrente para que no manifieste sus opiniones ni por haberlo hecho ha resultado perjudicado en su estabilidad profesional o en cualquiera de sus condiciones laborales. Asimismo, añade que la opinión manifestada en la tertulia en cuestión hacía referencia a una noticia que había sido objeto previamente de publicación, por lo que no podía “molestar” al periódico. De este modo, niega que se hayan aportados indicios de que se haya producido la lesión constitucional, en todo caso, se trataría de meras sospechas o conjeturas. Y, por consiguiente, no cabe la inversión de la carga probatoria. </w:t>
      </w:r>
    </w:p>
    <w:p w:rsidR="00DE14C9" w:rsidRDefault="00DE14C9" w:rsidP="00DE14C9">
      <w:pPr>
        <w:pStyle w:val="TextoNormal"/>
      </w:pPr>
      <w:r>
        <w:t>Finalmente, y en cuanto a la alegación de la vulneración del art. 14 CE, se interesa la desestimación conforme al art. 44.1.c LOTC por falta de invocación previa, puesto que el recurrente conocía desde que interpuso la demanda que a otros periodistas se les había concedido la autorización para colaborar en otros programas y conservaban la percepción del complemento de exclusividad, y, sin embargo, no fue invocado en el momento oportuno. En cualquier caso, se considera que no cabe apreciar la lesión de ese derecho fundamental ya que se comparan situaciones diferentes. Y, en este sentido, se señala que se ha concedido la autorización para participar en tertulias a periodistas de mayor categoría profesional que el recurrente, esto es, a comentaristas políticos, que redactan artículos o reportajes en el periódico y que le reportan mayor interés. A diferencia de ellos, el recurrente no es corresponsal político, no redacta desde hace cuatro años y carece de notoriedad a efectos de mejorar la difusión y consideración del periódico.</w:t>
      </w:r>
    </w:p>
    <w:p w:rsidR="00DE14C9" w:rsidRDefault="00DE14C9" w:rsidP="00DE14C9">
      <w:pPr>
        <w:pStyle w:val="TextoNormal"/>
      </w:pPr>
    </w:p>
    <w:p w:rsidR="00DE14C9" w:rsidRDefault="00DE14C9" w:rsidP="00DE14C9">
      <w:pPr>
        <w:pStyle w:val="TextoNormal"/>
      </w:pPr>
      <w:r w:rsidRPr="00DE14C9">
        <w:rPr>
          <w:rStyle w:val="NumeroAFNegritaCaracter"/>
        </w:rPr>
        <w:t>10</w:t>
      </w:r>
      <w:r>
        <w:t xml:space="preserve">. El 29 de noviembre de 2006 el Ministerio Fiscal presenta su escrito cumplimentando el trámite de alegaciones conferido. Comienza diciendo que la ratio decidendi de la Sentencia recurrida es que el empresario puede exigir ex lege la dedicación exclusiva de sus empleados y que su no exigencia era una mera liberalidad, de cuya no concesión no podía derivarse una pretensión de vulneración de derechos fundamentales. De este modo, a partir de una normativa empresarial interna (posterior a que los hechos enjuiciados hubieran acaecido ya que no existía cuando el recurrente simultaneaba ambas prestaciones laborales y cuando se le desautorizó a participar en la tertulia en cuestión), se desestimó la demanda del recurrente con el solo argumento de que se trataba de una decisión empresarial que se acomodaba a la regulación legal. </w:t>
      </w:r>
    </w:p>
    <w:p w:rsidR="00DE14C9" w:rsidRDefault="00DE14C9" w:rsidP="00DE14C9">
      <w:pPr>
        <w:pStyle w:val="TextoNormal"/>
      </w:pPr>
      <w:r>
        <w:lastRenderedPageBreak/>
        <w:t>Prosigue diciendo que la Sentencia se construye fuera del factum acreditado y de su análisis jurídico y que aunque el recurrente afirmaba ser víctima de una decisión empresarial adoptada en represalia a unas opiniones por él manifestadas y cubiertas por su libertad de expresión, se redujo lo debatido a un pacto de exclusividad, a pesar de que su cumplimiento no era exigido por la empresa ni antes de que acaecieran los hechos ni con posterioridad a los mismos. De este modo, la Sentencia sostiene que el trabajador no podía esgrimir lesiones de derechos fundamentales ya que la empresa le estaba exigiendo el cumplimiento de la legalidad, y eso, con independencia de que tal exigencia apareciese contradicha por el propio comportamiento empresarial. A juicio del Fiscal, con tales razonamientos se olvida que ni la capacidad organizativa del empresario ni el uso de sus facultades discrecionales puede servir para producir resultados lesivos de derechos fundamentales de los trabajadores, y que las razones aducidas por el empresario, es decir, los intereses del periódico o la renuncia al percibo del complemento de exclusividad aparecían contradichas por el propio comportamiento empresarial, dado que a otros trabajadores del periódico se les autorizó a seguir en el mismo programa que al demandante se le denegó, y ninguno de los trabajadores que simultaneaban la prestación había renunciado al complemento de exclusividad, por no habérselo exigido así el empresario. Por todo ello, interesa la estimación del amparo por lesión del derecho a la libertad de expresión (art. 20.1.a CE). Finalmente y en cuanto a las alegaciones del recurrente referidas a la vulneración del derecho a la igualdad (art. 14 CE) sobre la base de un trato discriminatorio por ser aquél el único a la que se le exigió el pacto de dedicación exclusiva, señala el Fiscal que de lo hechos probados no se desprende tal cosa ya que no ha sido el único al que se le ha denegado la pluriocupación, y entiende que la alegación esgrimida al respecto debe reconducirse a la vulneración del derecho a la libertad de expresión en tanto que la pretendida exigencia del cumplimiento del pacto de dedicación exclusiva era falaz.</w:t>
      </w:r>
    </w:p>
    <w:p w:rsidR="00DE14C9" w:rsidRDefault="00DE14C9" w:rsidP="00DE14C9">
      <w:pPr>
        <w:pStyle w:val="TextoNormal"/>
      </w:pPr>
    </w:p>
    <w:p w:rsidR="00DE14C9" w:rsidRDefault="00DE14C9" w:rsidP="00DE14C9">
      <w:pPr>
        <w:pStyle w:val="TextoNormal"/>
      </w:pPr>
      <w:r w:rsidRPr="00DE14C9">
        <w:rPr>
          <w:rStyle w:val="NumeroAFNegritaCaracter"/>
        </w:rPr>
        <w:t>11</w:t>
      </w:r>
      <w:r>
        <w:t>. El 30 de noviembre de 2006, el recurrente presenta escrito por el que reitera las alegaciones realizadas en su demanda de amparo y se ratifica en ellas.</w:t>
      </w:r>
    </w:p>
    <w:p w:rsidR="00DE14C9" w:rsidRDefault="00DE14C9" w:rsidP="00DE14C9">
      <w:pPr>
        <w:pStyle w:val="TextoNormal"/>
      </w:pPr>
    </w:p>
    <w:p w:rsidR="00DE14C9" w:rsidRDefault="00DE14C9" w:rsidP="00DE14C9">
      <w:pPr>
        <w:pStyle w:val="TextoNormal"/>
      </w:pPr>
      <w:r w:rsidRPr="00DE14C9">
        <w:rPr>
          <w:rStyle w:val="NumeroAFNegritaCaracter"/>
        </w:rPr>
        <w:t>12</w:t>
      </w:r>
      <w:r>
        <w:t>. Por providencia de 3 de mayo de 2007 se señaló para deliberación y fallo de la presente Sentencia el día 21 del mismo mes y año trámite que ha finalizado en el día de hoy.</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xml:space="preserve">. Se aduce en amparo una lesión del derecho a la libertad de expresión en el ámbito de la relación laboral dimanante de un contrato de trabajo. Sostiene el recurrente que la decisión del empresario de negarle su participación como contertulio en un programa en el que venía interviniendo desde hacía cuatro años (“La mirada crítica”, de Telecinco) ha sido consecuencia de las manifestaciones críticas que realizó en el referido programa al día siguiente de la huelga general del día 20 de junio de 2002, con relación a lo acontecido en esa jornada de huelga, y, en concreto, respecto de la actuación que mantuvo el diario “El Mundo” (para el que trabaja como redactor jefe de cierre) para poder sacar al público el periódico ese día. Por tal motivo, considera que se ha producido lesión de su derecho a la libertad de expresión reconocido en el art. 20.1.a CE (también del art. 14 CE, en tanto en cuanto a los demás trabajadores del mencionado periódico se les permite la participación en otros medios de comunicación). Imputa estas vulneraciones a la Sentencia recurrida en amparo por rechazarlas a través de lo que considera una incorrecta aplicación de la doctrina constitucional </w:t>
      </w:r>
      <w:r>
        <w:lastRenderedPageBreak/>
        <w:t>sobre la inversión de la carga de la prueba en los casos en los que se alega la lesión de un derecho fundamental y una fundamentación que desconoce el relato fáctico.</w:t>
      </w:r>
    </w:p>
    <w:p w:rsidR="00DE14C9" w:rsidRDefault="00DE14C9" w:rsidP="00DE14C9">
      <w:pPr>
        <w:pStyle w:val="TextoNormal"/>
      </w:pPr>
      <w:r>
        <w:t>El Ministerio Fiscal pide la estimación del amparo por vulneración del derecho a la libertad de expresión; considera inadmisibles los argumentos ofrecidos por la resolución judicial impugnada para negar tal lesión constitucional, al haberse limitado a enjuiciar la cuestión litigiosa desde los estrictos términos de la cobertura legal de la decisión empresarial (existencia de un pacto de exclusividad que podía hacer cumplir el empresario) sin realizar ponderación alguna del panorama indiciario que se había reconocido en la instancia y acepta sin más las razones ofrecidas por la empresa para justificar su actuación, aunque las mismas contradecían el relato de hechos que había resultado acreditado.</w:t>
      </w:r>
    </w:p>
    <w:p w:rsidR="00DE14C9" w:rsidRDefault="00DE14C9" w:rsidP="00DE14C9">
      <w:pPr>
        <w:pStyle w:val="TextoNormal"/>
      </w:pPr>
    </w:p>
    <w:p w:rsidR="00DE14C9" w:rsidRDefault="00DE14C9" w:rsidP="00DE14C9">
      <w:pPr>
        <w:pStyle w:val="TextoNormal"/>
      </w:pPr>
      <w:r w:rsidRPr="00DE14C9">
        <w:rPr>
          <w:rStyle w:val="NumeroAFNegritaCaracter"/>
        </w:rPr>
        <w:t>2</w:t>
      </w:r>
      <w:r>
        <w:t>. El recurrente se queja tanto de la vulneración de su derecho fundamental a la libertad de expresión del art. 20.1 a) CE, como de la lesión de su derecho a la igualdad del art. 14 CE. Esta última queja resulta, sin embargo, plenamente subsumible en la primera, en tanto en cuanto la alegación de la lesión del derecho a la igualdad incide únicamente en la queja sobre la lesión del derecho a la libertad de expresión, en la medida en que el recurrente la invoca como prueba de que la actuación empresarial constituye una represalia por el legítimo ejercicio de este último derecho el hecho de que la demandada haya permitido a otros trabajadores seguir participando en las tertulias sin que haya sido óbice para ello la existencia del pacto de exclusividad que se le ha opuesto a él. En consecuencia, el recurrente utiliza la invocación de la desigualdad de trato como argumento para sustentar y reforzar la denuncia nuclear que plantea en este amparo, es decir, que la conducta empresarial cuestionada lesiona el ejercicio de su derecho fundamental a la libertad de expresión.</w:t>
      </w:r>
    </w:p>
    <w:p w:rsidR="00DE14C9" w:rsidRDefault="00DE14C9" w:rsidP="00DE14C9">
      <w:pPr>
        <w:pStyle w:val="TextoNormal"/>
      </w:pPr>
      <w:r>
        <w:t>Centrado así el objeto de nuestro enjuiciamiento, resulta pertinente efectuar un recordatorio breve de nuestra jurisprudencia en la materia.</w:t>
      </w:r>
    </w:p>
    <w:p w:rsidR="00DE14C9" w:rsidRDefault="00DE14C9" w:rsidP="00DE14C9">
      <w:pPr>
        <w:pStyle w:val="TextoNormal"/>
      </w:pPr>
      <w:r>
        <w:t>El derecho fundamental a la libertad de expresión tiene por objeto la libre expresión de pensamientos, ideas y opiniones, concepto amplio dentro del cual deben incluirse las creencias y juicios de valor. Según hemos dicho con reiteración, este derecho comprende la crítica de la conducta de otro, aun cuando la misma sea desabrida y pueda molestar, inquietar o disgustar a quien se dirige (por todas, SSTC 6/2000, de 17 de enero, FJ 5; 49/2001, de 26 de febrero, FJ 4; 204/2001, de 15 de octubre, FJ 4; y 181/2006, de 19 de junio, FFJJ 4 y 5).</w:t>
      </w:r>
    </w:p>
    <w:p w:rsidR="00DE14C9" w:rsidRDefault="00DE14C9" w:rsidP="00DE14C9">
      <w:pPr>
        <w:pStyle w:val="TextoNormal"/>
      </w:pPr>
      <w:r>
        <w:t xml:space="preserve">También hemos declarado que la celebración de un contrato de trabajo no implica la privación para una de las partes, el trabajador, de los derechos que la Constitución le reconoce como ciudadano, así como también que la libertad de empresa (art.  38 CE) no legitima que los trabajadores hayan de soportar limitaciones injustificadas de sus derechos fundamentales y libertades públicas (por todas, STC 196/2004, de 15 de noviembre, FJ 3). En este sentido, nuestra doctrina (sintetizada recientemente en la STC 41/2006, de 13 de febrero, FJ 4), sostiene que el ejercicio de las facultades organizativas del empleador no puede traducirse en la producción de resultados inconstitucionales, lesivos de los derechos fundamentales del trabajador, ni en la sanción del ejercicio legítimo de tales derechos por parte de aquél, de manera que no neutraliza el panorama indiciario la genérica invocación de facultades legales o convencionales. Por ello, venimos reiterando desde la STC 38/1981, de 23 de noviembre, que cuando se prueba indiciariamente que una decisión empresarial puede enmascarar una lesión de derechos fundamentales incumbe al empresario acreditar que su decisión obedece a motivos razonables y ajenos a todo propósito atentatorio del derecho de que se trate y que es preciso garantizar en tales supuestos que los derechos fundamentales del trabajador no sean desconocidos por el empresario bajo la cobertura formal del ejercicio por parte de éste de los derechos y facultades reconocidos por las normas laborales (entre </w:t>
      </w:r>
      <w:r>
        <w:lastRenderedPageBreak/>
        <w:t>las más recientes, recogiendo esa doctrina, SSTC 41/2006, de 13 de febrero, FJ 4; y 342/2006, de 11 de diciembre, FJ 4).</w:t>
      </w:r>
    </w:p>
    <w:p w:rsidR="00DE14C9" w:rsidRDefault="00DE14C9" w:rsidP="00DE14C9">
      <w:pPr>
        <w:pStyle w:val="TextoNormal"/>
      </w:pPr>
    </w:p>
    <w:p w:rsidR="00DE14C9" w:rsidRDefault="00DE14C9" w:rsidP="00DE14C9">
      <w:pPr>
        <w:pStyle w:val="TextoNormal"/>
      </w:pPr>
      <w:r w:rsidRPr="00DE14C9">
        <w:rPr>
          <w:rStyle w:val="NumeroAFNegritaCaracter"/>
        </w:rPr>
        <w:t>3</w:t>
      </w:r>
      <w:r>
        <w:t>. La aplicación de la doctrina expuesta al caso de autos aboca, de conformidad con lo pedido por el Ministerio Fiscal, a la concesión de este amparo por vulneración del derecho a la libertad de expresión del solicitante de amparo (art. 20.1.a CE). En efecto, tal y como se apreció por el Juzgado de lo Social, en el presente caso concurren indicios reveladores de la posibilidad de que el acto empresarial discutido vulneró el derecho a la libertad de expresión del recurrente. En este sentido, resulta indicativa de la verosimilitud de tal alegación la conexión temporal entre las manifestaciones realizadas por el recurrente en el programa “La Mirada Crítica” de Telecinco y la ulterior negativa empresarial a la participación del mismo en tal medio de comunicación. Como se ha expresado en los antecedentes de hecho, el recurrente venía participando en ese programa desde hacía cuatro años, intervención que sólo fue impedida por la empresa tras sus declaraciones críticas hacia ésta con relación a la huelga general del 20 de junio de 2002. Después de tales manifestaciones, se comentaba en la empresa que se iba a controlar la participación en las tertulias, y, en concreto, en la que el recurrente intervenía. Y, en efecto, con fecha de 22 de julio siguiente, la dirección de la empresa puso en conocimiento de su personal la decisión de someter a autorización la posibilidad de que se interviniese en otros medios de comunicación, lo que se pondría en práctica a partir del mes de septiembre, que fue cuando se le denegó al recurrente su solicitud, sin ofrecerle mayor explicación que el que se había decidido así “considerando que no sería beneficioso para los intereses del periódico”. Posteriormente, solicitada una explicación al respecto por los representantes legales de los trabajadores, se les comunicó que se trataba de una decisión irrevocable, pero no se adujó como justificación de la negativa de autorización la necesidad del cumplimiento del pacto de exclusividad, la falta de renuncia al complemento percibido por tal concepto, o una supuesta falta de prestigio profesional del recurrente para intervenir en tal tipo de programas en representación del periódico. Por el contrario, la demandada permitió que otros periodistas que intervenían en la misma tertulia que el recurrente siguiese participando en ese mismo programa, al considerar que con ellos el periódico estaba suficientemente representado en ese medio. Y a otros trabajadores se les permitió también seguir interviniendo en distintas tertulias, aunque, eso sí, reduciéndose el número de las que participaban. Finalmente, resultaba significativo para ponderar la queja del recurrente el escrito que fue elaborado por cincuenta y cinco trabajadores en su apoyo y en denuncia de su situación, así como la respuesta ofrecida por el Director del periódico a raíz de un comentario del Comité de empresa relativo a la situación del recurrente, en la que reconoció que no se iba a dar facilidades a aquellos que se dedicaban a criticar las decisiones del periódico  en unos medios en los que colaboraban gracias a su condición de periodistas de “El Mundo”, ya que eso era un contrasentido.</w:t>
      </w:r>
    </w:p>
    <w:p w:rsidR="00DE14C9" w:rsidRDefault="00DE14C9" w:rsidP="00DE14C9">
      <w:pPr>
        <w:pStyle w:val="TextoNormal"/>
      </w:pPr>
    </w:p>
    <w:p w:rsidR="00DE14C9" w:rsidRDefault="00DE14C9" w:rsidP="00DE14C9">
      <w:pPr>
        <w:pStyle w:val="TextoNormal"/>
      </w:pPr>
      <w:r w:rsidRPr="00DE14C9">
        <w:rPr>
          <w:rStyle w:val="NumeroAFNegritaCaracter"/>
        </w:rPr>
        <w:t>4</w:t>
      </w:r>
      <w:r>
        <w:t>. Pues bien, a pesar del claro panorama indiciario expuesto, la demandada en el proceso a quo no cumplió con su carga de acreditar la existencia de una causa, seria y real justificativa de su actuación, que hubiera permitido destruir la apariencia discriminatoria creada y alcanzar la necesaria convicción de que su decisión había sido ajena a todo propósito atentatorio del derecho fundamental invocado. En efecto, siguiendo lo postulado por la empresa demandada, la Sala recondujo el debate al análisis de la cobertura legal de la actuación empresarial, al considerar que lo que se cuestionaba era la exigencia del cumplimiento de un pacto de exclusividad libremente pactado por las partes y cuya exigencia no podía repro</w:t>
      </w:r>
      <w:r>
        <w:lastRenderedPageBreak/>
        <w:t>charse a la empresa demandada por tener fundamento en el ejercicio regular de sus funciones directivas. El enjuiciamiento en sede de suplicación adquirió tal enfoque a pesar de que traía causa de una demanda sobre tutela de derechos fundamentales en la que se denunciaba que la actuación empresarial era consecuencia del previo ejercicio del derecho a la libertad de expresión, y de que la pretensión del recurrente había tenido una favorable acogida en la instancia al comprobarse en ella un panorama indiciario que no logró desvirtuar la demandada.</w:t>
      </w:r>
    </w:p>
    <w:p w:rsidR="00DE14C9" w:rsidRDefault="00DE14C9" w:rsidP="00DE14C9">
      <w:pPr>
        <w:pStyle w:val="TextoNormal"/>
      </w:pPr>
      <w:r>
        <w:t>Como indica el Ministerio Fiscal, la resolución judicial recurrida efectuó su enjuiciamiento desde un estricto plano de legalidad, revocando la Sentencia de instancia al tener en cuenta que la actuación de la empresa era conforme a derecho (arts.  3.1.c, 5.c, y 20.1 del Estatuto de los trabajadores), circunstancia que, a juicio de la Sala, “imposibilitaba por sí misma hacerle causante a la vez de la violación de los derechos fundamentales del recurrente”, y permitía afirmar no sólo eso, sino que, además, lo que en realidad se violentaba gravemente en el caso de autos eran los derechos de la empresa demandada, en tanto que se pretendía obligarla a la concesión de una autorización a un empleado que había acordado un pacto de exclusividad y no había renunciado al abono del complemento salarial por este último convenido.</w:t>
      </w:r>
    </w:p>
    <w:p w:rsidR="00DE14C9" w:rsidRDefault="00DE14C9" w:rsidP="00DE14C9">
      <w:pPr>
        <w:pStyle w:val="TextoNormal"/>
      </w:pPr>
      <w:r>
        <w:t>Con ese razonamiento, la Sentencia recurrida en esta vía de amparo obvió cualquier ponderación sobre la lesión del derecho constitucional del recurrente, sobre la base de que la cobertura legal de la actuación empresarial resultaba incompatible con la posibilidad de la lesión constitucional que el recurrente alegaba. Le bastó, pues, para negar la lesión, la existencia de un pacto de exclusividad y la percepción por el recurrente de un complemento por tal concepto, sin valorar que, conforme al relato fáctico, tales circunstancias no habían impedido al resto de la plantilla obtener la autorización que a él se le denegaba. Ciertamente, aunque otros trabajadores estaban sujetos al mismo pacto de exclusividad y cobraban por tal concepto la cantidad pactada, tales circunstancias no fueron óbice para que la demandada les autorizase a seguir participando en otros medios de comunicación. En definitiva, con ello se comprueba que los argumentos ofrecidos en la resolución impugnada resultaban carentes de fundamento al no corresponderse con los presupuestos fácticos contenidos en el relato de hechos probados.</w:t>
      </w:r>
    </w:p>
    <w:p w:rsidR="00DE14C9" w:rsidRDefault="00DE14C9" w:rsidP="00DE14C9">
      <w:pPr>
        <w:pStyle w:val="TextoNormal"/>
      </w:pPr>
      <w:r>
        <w:t>A la vista de lo cual, la Sala no ponderó, tal y como le correspondía, si existía, a la vista de los indicios aportados, una lesión constitucional encubierta tras la legalidad aparente del acto empresarial, sino que se limitó a justificar la conducta discutida en el ejercicio de las facultades organizativas y directivas del empleador, partiendo de la premisa de que tal ejercicio resulta incompatible con la producción de resultados inconstitucionales. Tal razonamiento contradice de forma palmaria la doctrina de este Tribunal, según la cual, como ha quedado expuesto anteriormente, la genérica invocación de facultades legales o convencionales o la aparente cobertura legal de un acto empresarial no basta para neutralizar el panorama indiciario.</w:t>
      </w:r>
    </w:p>
    <w:p w:rsidR="00DE14C9" w:rsidRDefault="00DE14C9" w:rsidP="00DE14C9">
      <w:pPr>
        <w:pStyle w:val="TextoNormal"/>
      </w:pPr>
      <w:r>
        <w:t>En definitiva, hemos de concluir que las razones en las que se basa la resolución impugnada en amparo resultan inadmisibles para negar la vulneración constitucional alegada, y, en consecuencia, hemos de afirmar que no resulta respetuosa con el contenido del art. 20.1 a) CE. Procede por ello declarar la nulidad de la Sentencia recurrida en amparo.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don Francisco Frechoso Bajo y, en consecuencia:</w:t>
      </w:r>
    </w:p>
    <w:p w:rsidR="00DE14C9" w:rsidRDefault="00DE14C9" w:rsidP="00DE14C9">
      <w:pPr>
        <w:pStyle w:val="TextoNormal"/>
      </w:pPr>
      <w:r>
        <w:t>1º Reconocer su derecho a la libertad de expresión (art. 20.1.a CE).</w:t>
      </w:r>
    </w:p>
    <w:p w:rsidR="00DE14C9" w:rsidRDefault="00DE14C9" w:rsidP="00DE14C9">
      <w:pPr>
        <w:pStyle w:val="TextoNormal"/>
      </w:pPr>
      <w:r>
        <w:t>2º Declarar la nulidad de la Sentencia de la Sala de lo Social del Tribunal Superior de Justicia de Madrid, de 28 de diciembre de 2004 (recurso núm. 5738-2004).</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veintiuno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39" w:name="SENTENCIA_2007_126"/>
      <w:r>
        <w:lastRenderedPageBreak/>
        <w:t>SENTENCIA 126/2007, de 21 de mayo de 2007</w:t>
      </w:r>
    </w:p>
    <w:bookmarkEnd w:id="39"/>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149, de 22 de junio de 2007)</w:t>
      </w:r>
    </w:p>
    <w:p w:rsidR="00DE14C9" w:rsidRDefault="00DE14C9" w:rsidP="00DE14C9">
      <w:pPr>
        <w:pStyle w:val="TtuloBOE"/>
      </w:pPr>
    </w:p>
    <w:p w:rsidR="00DE14C9" w:rsidRDefault="00DE14C9" w:rsidP="00DE14C9">
      <w:pPr>
        <w:pStyle w:val="SntesisDescriptiva"/>
      </w:pPr>
      <w:r>
        <w:t>ECLI:ES:TC:2007:126</w:t>
      </w:r>
    </w:p>
    <w:p w:rsidR="00DE14C9" w:rsidRDefault="00DE14C9" w:rsidP="00DE14C9">
      <w:pPr>
        <w:pStyle w:val="SntesisDescriptiva"/>
      </w:pPr>
    </w:p>
    <w:p w:rsidR="00DE14C9" w:rsidRDefault="00DE14C9" w:rsidP="00DE14C9">
      <w:pPr>
        <w:pStyle w:val="SntesisDescriptiva"/>
      </w:pPr>
      <w:r>
        <w:t>Recursos de amparo 4532-2005 y 4673-2005 (acumulados). Promovidos por don Francisco Javier González Martín y otro frente a la Sentencia de la Audiencia Provincial de Barcelona que, en grado de apelación, les condenó por delito de lesiones al proceder a una detención.</w:t>
      </w:r>
    </w:p>
    <w:p w:rsidR="00DE14C9" w:rsidRDefault="00DE14C9" w:rsidP="00DE14C9">
      <w:pPr>
        <w:pStyle w:val="SntesisDescriptiva"/>
      </w:pPr>
    </w:p>
    <w:p w:rsidR="00DE14C9" w:rsidRDefault="00DE14C9" w:rsidP="00DE14C9">
      <w:pPr>
        <w:pStyle w:val="SntesisAnaltica"/>
      </w:pPr>
      <w:r>
        <w:t>Vulneración de los derechos a un proceso con garantías y a la presunción de inocencia: citación de los absueltos en la instancia a la vista oral del recurso no solicitada; condena pronunciada en apelación, tras haber celebrado vista pública sin practicar todas las pruebas de cargo (STC 167/2002).</w:t>
      </w:r>
    </w:p>
    <w:p w:rsidR="00DE14C9" w:rsidRDefault="00DE14C9" w:rsidP="00DE14C9">
      <w:pPr>
        <w:pStyle w:val="SntesisAnaltica"/>
      </w:pPr>
    </w:p>
    <w:p w:rsidR="00DE14C9" w:rsidRDefault="00DE14C9" w:rsidP="00DE14C9">
      <w:pPr>
        <w:pStyle w:val="Extracto"/>
      </w:pPr>
      <w:r>
        <w:t>1.</w:t>
      </w:r>
      <w:r>
        <w:tab/>
        <w:t>El término de la comparación sobre el que se proyecta el juicio de proporcionalidad, esto es, la intensidad de la violencia ejercida en la intervención desarrollada, resulta apreciado por la Audiencia Provincial a través de las declaraciones de los acusados y las de los testigos ante el órgano judicial de instancia, pruebas practicadas exclusivamente ante el Juez de lo Penal, y no reiteradas ante la Audiencia Provincial [FJ 5].</w:t>
      </w:r>
    </w:p>
    <w:p w:rsidR="00DE14C9" w:rsidRDefault="00DE14C9" w:rsidP="00DE14C9">
      <w:pPr>
        <w:pStyle w:val="Extracto"/>
      </w:pPr>
    </w:p>
    <w:p w:rsidR="00DE14C9" w:rsidRDefault="00DE14C9" w:rsidP="00DE14C9">
      <w:pPr>
        <w:pStyle w:val="Extracto"/>
      </w:pPr>
      <w:r>
        <w:t>2.</w:t>
      </w:r>
      <w:r>
        <w:tab/>
        <w:t>La valoración del material probatorio que hace la Audiencia Provincial y que  conduce a la eliminación de la circunstancia eximente apreciada por el Juez de lo Penal no resulta constitucionalmente conforme, por lo que, al no haberse practicado otras pruebas ante la Audiencia Provincial, necesariamente ha de concluirse que la condena dictada carece de soporte probatorio, resultando así vulnerado el derecho a la presunción de inocencia (art. 24.2 CE) [FJ 6].</w:t>
      </w:r>
    </w:p>
    <w:p w:rsidR="00DE14C9" w:rsidRDefault="00DE14C9" w:rsidP="00DE14C9">
      <w:pPr>
        <w:pStyle w:val="Extracto"/>
      </w:pPr>
    </w:p>
    <w:p w:rsidR="00DE14C9" w:rsidRDefault="00DE14C9" w:rsidP="00DE14C9">
      <w:pPr>
        <w:pStyle w:val="Extracto"/>
      </w:pPr>
      <w:r>
        <w:t>3.</w:t>
      </w:r>
      <w:r>
        <w:tab/>
        <w:t>Doctrina sobre el derecho a un proceso con todas las garantías (SSTC 167/2002, 272/2005, 80/2006) [FFJJ 4, 5].</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 xml:space="preserve">En los recursos de amparo acumulados núms. 4532-2005 y 4673-2005, promovidos, respectivamente, por don Francisco Javier González Martín, representado por la Procuradora </w:t>
      </w:r>
      <w:r>
        <w:lastRenderedPageBreak/>
        <w:t>de los Tribunales doña Ana de la Corte Macias y asistido por el Letrado don Javier Carnero, y por don José Aguilera Ocaña, representado por el Procurador de los Tribunales don José María Rico Maesso y asistido por el Letrado don Fernando Rodríguez Rodríguez, contra la Sentencia de la Sección Tercera de la Audiencia Provincial de Barcelona, de 10 de enero de 2005, pronunciada en el recurso de apelación interpuesto contra la dictada en el procedimiento abreviado núm. 270-2002 por el Juez de lo Penal núm. 1 de Sabadell. Han sido partes el Abogado del Estado y don Antonio Santiago Torres, representado por la Procuradora de los Tribunal doña Carmen García Rubio y asistido por el Letrado don Manuel Espinosa Espinosa. Ha intervenido el Ministerio Fiscal. Ha sido Ponente el Magistrado don Guillermo Jiménez Sánchez,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escritos presentados en el Registro General de este Tribunal, respectivamente, los días 17 y 22 de junio de 2005, don Francisco Javier González Martín y don José Aguilera Ocaña interpusieron sendos recursos de amparo contra la Sentencia de la que se deja hecho mérito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de los que la presente demanda de amparo trae causa son, sucintamente expuestos, los siguientes: </w:t>
      </w:r>
    </w:p>
    <w:p w:rsidR="00DE14C9" w:rsidRDefault="00DE14C9" w:rsidP="00DE14C9">
      <w:pPr>
        <w:pStyle w:val="TextoNormal"/>
      </w:pPr>
      <w:r>
        <w:t xml:space="preserve">a) Tras la instrucción del procedimiento abreviado núm. 270-2002 seguido ante el Juzgado de Instrucción núm. 1 de Sabadell, y celebrado el correspondiente juicio oral ante el Juez de lo Penal núm. 1 de aquella localidad, se dictó por éste Sentencia de 29 de mayo de 2003 en la cual, en lo que ahora interesa, declaraba probado que los demandantes de amparo, actuando en su condición de miembros del Cuerpo Nacional de Policía, acudieron a cierto establecimiento público requeridos por su titular, que adujo al efecto que dos personas estaban alterando gravemente el orden en el local. Una vez fuera del establecimiento, los demandantes de amparo solicitaron a aquellas personas que se identificasen, requerimiento ante el cual éstas mostraron una actitud reticente. En un momento dado una de ellas trató de agredir con una navaja a don José Aguilera Ocaña, y tras ser esquivado el intento por éste, los dos cuya identificación se quería obtener propinaron un puñetazo y una patada a los dos policías nacionales, quienes, como consecuencia de estos hechos, resultaron con lesiones de diversa consideración. </w:t>
      </w:r>
    </w:p>
    <w:p w:rsidR="00DE14C9" w:rsidRDefault="00DE14C9" w:rsidP="00DE14C9">
      <w:pPr>
        <w:pStyle w:val="TextoNormal"/>
      </w:pPr>
      <w:r>
        <w:t xml:space="preserve">A continuación la Sentencia declara expresamente probado que, “con intención de reducir a Antonio S. T. y a Juan Ramón S., los agentes les golpearon resultando Antonio S. con lesiones consistentes en hematoma en el ojo izquierdo, erosiones en la mejilla derecha, dos líneas equimóticas paralelas en la espalda, habiendo precisado de analgésicos y tardado en curar 14 días. Juan Ramón S. A. resultó con lesiones consistentes en hematoma en ambos ojos, hemorragia conjuntival derecha, herida contusa en el pómulo derecho y en el labio superior izquierdo, hematomas en el hombro izquierdo, región infraescapular izquierda, hombro derecho, torácica y región renal izquierda, habiendo precisado para su curación de sutura y cura tópica tardando en curar 21 días”. </w:t>
      </w:r>
    </w:p>
    <w:p w:rsidR="00DE14C9" w:rsidRDefault="00DE14C9" w:rsidP="00DE14C9">
      <w:pPr>
        <w:pStyle w:val="TextoNormal"/>
      </w:pPr>
      <w:r>
        <w:t xml:space="preserve">El Juez de lo Penal absolvió a los demandantes de amparo de los delitos de lesiones, torturas e injurias por los que habían sido acusados, condenando a los otros dos individuos por delitos de atentado, así como por un delito y por una falta de lesiones. La absolución de los demandantes de amparo encontró fundamento en la apreciación de la circunstancia eximente completa de obrar en cumplimiento de un deber (art. 20.7 CP), razonándose en la </w:t>
      </w:r>
      <w:r>
        <w:lastRenderedPageBreak/>
        <w:t xml:space="preserve">Sentencia a tal efecto que “el uso de la fuerza empleada por los policías acusados fue la racionalmente necesaria, dado que para reducir a los acusados, que no sólo se resistieron con agresividad, sino que portaban una navaja, hacía falta el empleo de la violencia utilizada, sin que ésta pueda estimarse como desproporcionada habida cuenta del número de contendientes en cada uno de los bandos, del uso de un medio especialmente peligroso por parte de los agredidos (navaja) y de la similitud en la gravedad de las lesiones padecidas en cada uno de los grupos intervinientes, visto el tiempo de sanidad, secuelas resultantes y tipo de intervención médica llevada a cabo para la curación. Por otra parte, si bien Antonio S. y Juan Ramón S. manifiestan que aquél quedó inconsciente y por tanto no pudo efectuar acto alguno agresivo, versión esta avalada por el testigo Manuel M., en vista de la efectiva causación de lesiones y del testimonio prestado por el agente de la policía local mencionado, se estima probado el estado consciente en el que se hallaba dicho agredido”. </w:t>
      </w:r>
    </w:p>
    <w:p w:rsidR="00DE14C9" w:rsidRDefault="00DE14C9" w:rsidP="00DE14C9">
      <w:pPr>
        <w:pStyle w:val="TextoNormal"/>
      </w:pPr>
      <w:r>
        <w:t xml:space="preserve">b) La Sentencia absolutoria de los demandantes de amparo fue recurrida en apelación por los otros dos condenados. A solicitud de los apelantes se practicó prueba en la segunda instancia, consistente en el visionado de un vídeo en el que se reflejaba la situación física de los apelantes, así como prueba pericial del médico forense sobre la naturaleza y alcance de las lesiones padecidas por los apelantes. </w:t>
      </w:r>
    </w:p>
    <w:p w:rsidR="00DE14C9" w:rsidRDefault="00DE14C9" w:rsidP="00DE14C9">
      <w:pPr>
        <w:pStyle w:val="TextoNormal"/>
      </w:pPr>
      <w:r>
        <w:t xml:space="preserve">La Audiencia Provincial dictó la Sentencia ahora impugnada en amparo en la cual, estimando parcialmente el recurso de apelación, revocó parcialmente la Sentencia de instancia y condenó a don José Aguilera Ocaña, como responsable de un delito de lesiones, a la pena de seis meses de prisión, suspensión de cargo o empleo público durante el tiempo de la condena e inhabilitación especial para el derecho de sufragio pasivo por el mismo período y, como responsable de una falta de lesiones, a la pena de multa de tres meses con cuota diaria de 3 €. Del mismo modo la Sentencia condenó a don Francisco Javier González Martín, como responsable de un delito de lesiones, a la misma pena y, como responsable de una falta de lesiones, a la pena de multa de un mes con cuota diaria de 3 €. La Sentencia condenaba también a los demandantes de amparo a satisfacer una indemnización a favor de los lesionados, de la que respondería directamente el Estado, según el Auto de aclaración dictado por la misma Sección con fecha 8 de febrero de 2005. </w:t>
      </w:r>
    </w:p>
    <w:p w:rsidR="00DE14C9" w:rsidRDefault="00DE14C9" w:rsidP="00DE14C9">
      <w:pPr>
        <w:pStyle w:val="TextoNormal"/>
      </w:pPr>
      <w:r>
        <w:t xml:space="preserve">Para llegar a esta conclusión la Audiencia Provincial altera el relato de hechos probados única y exclusivamente en el párrafo literalmente antes reproducido, de modo que el mismo, en lugar de comenzar diciendo que “con intención de reducir a Antonio S. T. y a Juan Ramón S.”, pasa a comenzar del siguiente modo: “los agentes cuando procedieron a reducir a Antonio S. T. y a Juan Ramón S. los golpearon”. El resto del párrafo permanece inalterado. En la fundamentación jurídica de la Sentencia, tras recoger la doctrina constitucional que, arrancando de la STC 167/2002, de 18 de septiembre, proscribe que los órganos de segunda instancia funden sus resoluciones condenatorias en pruebas que requieren inmediación pero que no han sido practicadas ante ellos, entiende que ha de limitar la revisión probatoria que los apelantes solicitan a la que fue practicada en la segunda instancia. “En este sentido, de la prueba pericial médica hay que concluir que no concurre la circunstancia eximente de la responsabilidad criminal de obrar en cumplimiento de un deber que se aprecia en la Sentencia. En efecto, los informes de los forenses que comparecieron al acto de la vista del recurso de apelación expusieron que las lesiones que presentaban Antonio S. T. y Juan Ramón S., en especial las de la cara, habían sido ocasionadas probablemente con puñetazos, y que no era posible que se produjesen por una caída al suelo. Por su parte el Tribunal en el mismo acto de la vista pública procedió al visionado de una cinta de vídeo en la cual se refleja el estado en que se encontraban los referidos lesionados después de los hechos. De la prueba pericial referida y la grabación sobre el estado físico de los detenidos se desprende que la </w:t>
      </w:r>
      <w:r>
        <w:lastRenderedPageBreak/>
        <w:t>afirmación que se realizaba en la Sentencia apelada en el sentido de que los funcionarios policiales utilizaron únicamente sólo la fuerza necesaria a Antonio S. T. y Juan Ramón S. no se puede sostener, ya que las múltiples lesiones y la etiología expuesta por los forenses pone de manifiesto que los agentes no se limitaron a reducir a los referidos Antonio y Juan Ramón sino que los golpearon, ya que en ningún caso se puede inferir que el estado de múltiples lesiones que presentaban sea compatible con la acción de reducirlos, por más violentos que se presentasen. Por ello … se estima que no se puede apreciar la circunstancia justificativa de obrar en cumplimiento de un deber, ya que existió una absoluta desconexión y desproporción entre la conducta legítima, la detención, y una actuación de agresión constitutiva del delito de lesiones en el caso de Antonio S. y de una falta en el caso de José Ramón S. Puesto que la única modificación en los factum que se expresaba en la Sentencia apelada es la que se ha referido relativa a la supresión de la base fáctica de la circunstancia justificativa, no es preciso entrar en las otras calificaciones típicas que formulaba la parte recurrente en sus conclusiones definitivas”.</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En la demanda formulada por don Francisco Javier González Martín se aduce vulneración del derecho a un proceso son todas las garantías legales y a la presunción de inocencia, pues la condena pronunciada en su contra por la Audiencia Provincial se produjo sin que en la vista oral celebrada en la segunda instancia se oyera a los acusados, que en todo momento afirmaron encontrarse en cumplimiento de un deber. Si bien es cierto que el órgano judicial dispuso de prueba pericial, también lo es que el órgano de apelación llevó a cabo una nueva valoración de los medios de prueba personales (sobre las declaraciones prestadas en descargo por los acusados en el juicio oral) sin la necesaria inmediación probatoria, lo que contradice la jurisprudencia de este Tribunal y del Tribunal Europeo de Derechos Humanos. La Audiencia Provincial llegó a una Sentencia condenatoria sobre la base de realizar una nueva valoración probatoria de la pericial forense que obraba en los autos, pero también efectuó una nueva apreciación de medios de prueba personales (interpretación de las declaraciones de los acusados realizadas en su descargo) sin que el órgano judicial estimara preciso oír en la vista la versión exculpatoria de los demandantes de amparo. </w:t>
      </w:r>
    </w:p>
    <w:p w:rsidR="00DE14C9" w:rsidRDefault="00DE14C9" w:rsidP="00DE14C9">
      <w:pPr>
        <w:pStyle w:val="TextoNormal"/>
      </w:pPr>
      <w:r>
        <w:t xml:space="preserve">En segundo término el demandante de amparo aduce vulneración del derecho a un proceso con todas las garantías porque la Audiencia Provincial practicó la prueba consistente en el visionado de una cinta de vídeo, prueba denegada por el Juez de lo Penal, sin que el demandante de amparo se encontrara presente en la Sala y sin ser oído sobre tal prueba de cargo de la acusación, vulnerando así la necesaria inmediación probatoria y el principio de contradicción. </w:t>
      </w:r>
    </w:p>
    <w:p w:rsidR="00DE14C9" w:rsidRDefault="00DE14C9" w:rsidP="00DE14C9">
      <w:pPr>
        <w:pStyle w:val="TextoNormal"/>
      </w:pPr>
      <w:r>
        <w:t>Finalmente el demandante de amparo entiende vulnerado su derecho a la tutela judicial efectiva y a la presunción de inocencia porque el órgano judicial de apelación llegó a un resultado condenatorio sin realizar variación sustancial alguna en los hechos probados, lo que convierte a la Sentencia de la Audiencia en una resolución que carece de la motivación suficiente y pone de manifiesto la inexistencia de prueba de cargo suficiente. Resulta irrazonable afirmar que las lesiones de los perjudicados se produjeron como consecuencia del necesario uso de la fuerza para reducirlos y luego no apreciar, como lo hizo el Juez de lo Penal, la eximente de cumplimiento de un deber oficio o cargo.</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La demanda formulada por don José Aguilera Ocaña denuncia la vulneración del derecho a un proceso con todas las garantías (art. 24.2 CE), pues la condena que pronunció la Audiencia Provincial al conocer del recurso de apelación se basó esencialmente en la valoración de la prueba pericial médico-forense que se practicó en la segunda instancia sin la </w:t>
      </w:r>
      <w:r>
        <w:lastRenderedPageBreak/>
        <w:t>presencia y, en consecuencia, sin la intervención de los demandantes de amparo. Tal forma de proceder vulnera, según entiende el recurrente en amparo, el principio de contradicción, pues se vio privado de la posibilidad de contradecir o de contrarrestar las conclusiones ofrecidas por el médico forense, posibilidad reclamada por principios constitucionales, tal y como se recoge en la doctrina de la que es exponente la STC 40/2004. Todo lo cual supone, además, conforme a su criterio, la vulneración del principio de presunción de inocencia, pues la alteración de los hechos probados se basa en las conclusiones de los médicos forenses, no tanto sobre las lesiones que presentaban las dos personas que tuvieron que ser reducidas por los demandantes, sino sobre el modo en el que se produjeron estas lesiones, cuestión sobre la que nada tiene que decir el médico forense.</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Mediante providencia de 10 de mayo de 2006 la Sección Primera de este Tribunal acordó admitir a trámite el recurso de amparo núm. 4673-2005 y, de conformidad con lo dispuesto en el art. 51 LOTC, dirigir atenta comunicación a la Sección Tercera de la Audiencia Provincial de Barcelona y al Juzgado de lo Penal núm. 1 de Sabadell a fin de que, en término no superior a diez días, remitiesen testimonio o fotocopia adverada del rollo 1041-2003, correspondiente a la apelación penal núm. 710-2003, y del procedimiento abreviado núm. 270-2002, debiendo además el Juzgado emplazar a quienes hubieran sido parte en el proceso a fin de que, en el término de diez días, pudiesen comparecer en el presente recurso de amparo si así lo desearen. </w:t>
      </w:r>
    </w:p>
    <w:p w:rsidR="00DE14C9" w:rsidRDefault="00DE14C9" w:rsidP="00DE14C9">
      <w:pPr>
        <w:pStyle w:val="TextoNormal"/>
      </w:pPr>
      <w:r>
        <w:t>Posteriormente, por providencia de 30 de mayo de 2006, la Sala Segunda de este Tribunal acordó admitir a trámite el recurso de amparo núm. 4532-2005 y, en aplicación de lo dispuesto en el art. 51 LOTC, dirigir atenta comunicación a la Sección Tercera de la Audiencia Provincial de Barcelona y al Juzgado de lo Penal núm. 1 de Sabadell con idéntico contenido.</w:t>
      </w:r>
    </w:p>
    <w:p w:rsidR="00DE14C9" w:rsidRDefault="00DE14C9" w:rsidP="00DE14C9">
      <w:pPr>
        <w:pStyle w:val="TextoNormal"/>
      </w:pPr>
    </w:p>
    <w:p w:rsidR="00DE14C9" w:rsidRDefault="00DE14C9" w:rsidP="00DE14C9">
      <w:pPr>
        <w:pStyle w:val="TextoNormal"/>
      </w:pPr>
      <w:r w:rsidRPr="00DE14C9">
        <w:rPr>
          <w:rStyle w:val="NumeroAFNegritaCaracter"/>
        </w:rPr>
        <w:t>6</w:t>
      </w:r>
      <w:r>
        <w:t>. Mediante providencias de 7 de septiembre de 2006, de conformidad con lo dispuesto en el art. 52 LOTC, se dio traslado de las actuaciones recibidas al Ministerio Fiscal y a las partes personadas, por término de veinte días, para que durante él pudieran formular las alegaciones que estimasen procedentes.</w:t>
      </w:r>
    </w:p>
    <w:p w:rsidR="00DE14C9" w:rsidRDefault="00DE14C9" w:rsidP="00DE14C9">
      <w:pPr>
        <w:pStyle w:val="TextoNormal"/>
      </w:pPr>
    </w:p>
    <w:p w:rsidR="00DE14C9" w:rsidRDefault="00DE14C9" w:rsidP="00DE14C9">
      <w:pPr>
        <w:pStyle w:val="TextoNormal"/>
      </w:pPr>
      <w:r w:rsidRPr="00DE14C9">
        <w:rPr>
          <w:rStyle w:val="NumeroAFNegritaCaracter"/>
        </w:rPr>
        <w:t>7</w:t>
      </w:r>
      <w:r>
        <w:t>. En estas mismas providencias se concedió traslado por diez días al Ministerio Fiscal y a las partes personadas para que, de conformidad con el art. 83 LOTC, alegasen lo que estimaran oportuno acerca de la acumulación de los recursos de amparo núm. 4673-2005 y núm. 4532-2005. Evacuado el tralado conferido por todas las partes en sentido favorable a la acumulación de los dos recursos, la Sala Segunda de este Tribunal, mediante Auto de 14 de noviembre de 2006, acordó la acumulación del recurso de amparo núm. 4673-2005 al recurso núm. 4532-2005.</w:t>
      </w:r>
    </w:p>
    <w:p w:rsidR="00DE14C9" w:rsidRDefault="00DE14C9" w:rsidP="00DE14C9">
      <w:pPr>
        <w:pStyle w:val="TextoNormal"/>
      </w:pPr>
    </w:p>
    <w:p w:rsidR="00DE14C9" w:rsidRDefault="00DE14C9" w:rsidP="00DE14C9">
      <w:pPr>
        <w:pStyle w:val="TextoNormal"/>
      </w:pPr>
      <w:r w:rsidRPr="00DE14C9">
        <w:rPr>
          <w:rStyle w:val="NumeroAFNegritaCaracter"/>
        </w:rPr>
        <w:t>8</w:t>
      </w:r>
      <w:r>
        <w:t xml:space="preserve">. El Abogado del Estado, mediante escritos presentados el 18 de septiembre de 2006, interesó el otorgamiento del amparo en los dos recursos acumulados. Razona que la doctrina plasmada en la STC 167/2002, de 18 de septiembre, aborda no tanto el alcance revisor de las apelaciones cuanto las condiciones en que ha de exigirse en su tramitación la aplicación de los principios de inmediación y contradicción. Ambos principios reclaman básicamente la presencia física del acusado, que en hechos personales (los que ha conocido por su intervención o presencia en determinados sucesos) es el único que puede contradecir eficazmente lo que digan las otras partes o lo que informen los peritos o testigos. Tras recordar los pasajes </w:t>
      </w:r>
      <w:r>
        <w:lastRenderedPageBreak/>
        <w:t xml:space="preserve">de la indicada Sentencia constitucional y la doctrina del Tribunal Europeo de Derechos Humanos que en ella se recoge, concluye que la Sentencia recurrida ha conculcado doblemente las garantías procesales de contradicción por parte del recurrente. Por un lado porque en el caso se ha impedido toda posibilidad de contradicción respecto de las pruebas practicadas en la segunda instancia (informe pericial y visionado de un vídeo), puesto que ni siquiera se citó al recurrente al acto. Por otro lado porque se ha deducido la culpabilidad de los policías exclusivamente de dichas pruebas, sin posibilidad de plantear contradicción alguna respecto de la inferencia efectuada en base a ellas. Cualquiera de estas dos circunstancias (práctica de prueba en la segunda instancia y juicio de culpabilidad) hubieran requerido, a la luz de la doctrina afirmada en la STC 167/2002, la presencia del condenado con posibilidades efectivas de contradicción. A lo que añade el Abogado del Estado que incluso la legitimidad del medio probatorio quedó excluida del mismo debate, como lo muestra, a título de ejemplo, que en el acta de la sesión celebrada ante la Audiencia Provincial, al procederse a la reproducción del vídeo aportado por la parte proponente, fue el Letrado de dicha parte quien tuvo que identificar a los supuestos maltratados en función del orden de su aparición en la escena. Ningún otro de los asistentes pudo desmentir la identificación ni cuestionar la veracidad de los hechos que allí se querían reflejar; siendo así que la presencia de los Agentes de policía hubiera podido aclarar muchas cosas. </w:t>
      </w:r>
    </w:p>
    <w:p w:rsidR="00DE14C9" w:rsidRDefault="00DE14C9" w:rsidP="00DE14C9">
      <w:pPr>
        <w:pStyle w:val="TextoNormal"/>
      </w:pPr>
      <w:r>
        <w:t>Respecto de la aducida vulneración del derecho a la presunción de inocencia el Abogado del Estado sostiene que, en efecto, tal vulneración se produjo, porque las pruebas practicadas en la segunda instancia son las únicas que soportan la condena de los demandantes y las mismas sólo indican que las lesiones se produjeron, no justifican que no se causaron precisamente como consecuencia de la necesidad de neutralizar la actitud violenta de los lesionados, quienes incluso acometieron a los policías demandantes de amparo esgrimiendo navajas y propinándoles diversos golpes.</w:t>
      </w:r>
    </w:p>
    <w:p w:rsidR="00DE14C9" w:rsidRDefault="00DE14C9" w:rsidP="00DE14C9">
      <w:pPr>
        <w:pStyle w:val="TextoNormal"/>
      </w:pPr>
    </w:p>
    <w:p w:rsidR="00DE14C9" w:rsidRDefault="00DE14C9" w:rsidP="00DE14C9">
      <w:pPr>
        <w:pStyle w:val="TextoNormal"/>
      </w:pPr>
      <w:r w:rsidRPr="00DE14C9">
        <w:rPr>
          <w:rStyle w:val="NumeroAFNegritaCaracter"/>
        </w:rPr>
        <w:t>9</w:t>
      </w:r>
      <w:r>
        <w:t>. La representación procesal de don José Aguilera Ocaña, en escrito presentado en el Registro General de este Tribunal el día 9 de octubre de 2006, formuló alegaciones insistiendo en la argumentación vertida en su demanda de amparo.</w:t>
      </w:r>
    </w:p>
    <w:p w:rsidR="00DE14C9" w:rsidRDefault="00DE14C9" w:rsidP="00DE14C9">
      <w:pPr>
        <w:pStyle w:val="TextoNormal"/>
      </w:pPr>
    </w:p>
    <w:p w:rsidR="00DE14C9" w:rsidRDefault="00DE14C9" w:rsidP="00DE14C9">
      <w:pPr>
        <w:pStyle w:val="TextoNormal"/>
      </w:pPr>
      <w:r w:rsidRPr="00DE14C9">
        <w:rPr>
          <w:rStyle w:val="NumeroAFNegritaCaracter"/>
        </w:rPr>
        <w:t>10</w:t>
      </w:r>
      <w:r>
        <w:t xml:space="preserve">. El Ministerio público formuló alegaciones en escritos presentados los días 2 y 16 de octubre de 2006. </w:t>
      </w:r>
    </w:p>
    <w:p w:rsidR="00DE14C9" w:rsidRDefault="00DE14C9" w:rsidP="00DE14C9">
      <w:pPr>
        <w:pStyle w:val="TextoNormal"/>
      </w:pPr>
      <w:r>
        <w:t xml:space="preserve">a) En el primero de ellos descarta que se haya vulnerado el derecho a la presunción de inocencia de don José Aguilera Ocaña, pues en la demanda de amparo de éste no se niega la concurrencia de los elementos objetivos y subjetivos del delito por el que fue condenado (realidad de las lesiones e intención de producirlas), sino que se combate la negación por el órgano judicial de apelación de la existencia de una causa de justificación; pero esto no será ya un elemento que resulte necesario acreditar mediante prueba de cargo válida, sino una valoración jurídica sobre la proporcionalidad o desproporcionalidad de la acción, que al constituir una parte integradora de la calificación jurídica del delito carece de relevancia en el ámbito de protección del derecho fundamental invocado. </w:t>
      </w:r>
    </w:p>
    <w:p w:rsidR="00DE14C9" w:rsidRDefault="00DE14C9" w:rsidP="00DE14C9">
      <w:pPr>
        <w:pStyle w:val="TextoNormal"/>
      </w:pPr>
      <w:r>
        <w:t xml:space="preserve">Tras resumir los rasgos básicos de la jurisprudencia constitucional sobre el juego de la garantía de inmediación en los casos en que se pretende la condena en apelación de quien ha sido absuelto en la instancia, aborda el Fiscal la aplicación de tal doctrina al caso enjuiciado, llegando a la conclusión de que no cabe afirmar que para la nueva composición de los hechos probados que realiza la Audiencia Provincial ésta haya tomado exclusivamente en cuenta la prueba practicada en la fase de apelación, única respecto de la cual concurre la </w:t>
      </w:r>
      <w:r>
        <w:lastRenderedPageBreak/>
        <w:t xml:space="preserve">exigencia de inmediación constitucionalmente precisa. De la lectura de la Sentencia se desprende, antes bien, que valora implícitamente las pruebas practicadas en la instancia. No resulta posible que a partir de la prueba practicada ante la Audiencia (visionado del vídeo e informe pericial forense) pueda describirse una nueva sucesión de hechos sin tomar en consideración las declaraciones de todos los intervinientes ante el Juez de lo Penal, pues los forenses tan sólo aluden a la existencia de puñetazos, pero en modo alguno puede derivarse de ahí que las lesiones se causaran tras la reducción de los individuos cuyo comportamiento motivó el requerimiento a los funcionarios policiales para que acudieran al lugar de los hechos. De ahí que, en opinión del Ministerio público, haya de apreciarse vulneración del derecho a un proceso con todas las garantías por la nueva valoración que implícitamente se efectuó de unas pruebas que, requiriendo inmediación para su apreciación, no fueron practicadas ante el órgano que no obstante las valoró para emitir su Sentencia condenatoria. </w:t>
      </w:r>
    </w:p>
    <w:p w:rsidR="00DE14C9" w:rsidRDefault="00DE14C9" w:rsidP="00DE14C9">
      <w:pPr>
        <w:pStyle w:val="TextoNormal"/>
      </w:pPr>
      <w:r>
        <w:t xml:space="preserve">Por lo demás la Sentencia habría vulnerado también el derecho a la tutela judicial efectiva (art. 24.1 CE) por la manifiesta incongruencia en que habría incurrido, de un lado, al apreciar una cierta desconexión temporal en el desarrollo de la dinámica comitiva, y, de otro, entender que existió una respuesta coetánea a las agresiones aunque excesiva en su intensidad. Si es esto último a lo que el órgano judicial se refiere, resulta arbitrario sostener que es desproporcionado responder con golpes a una agresión, como si la reducción policial de un individuo hubiera de limitarse a una actitud meramente pasiva de interrupción del curso de los golpes dirigidos hacia el Agente de la autoridad. </w:t>
      </w:r>
    </w:p>
    <w:p w:rsidR="00DE14C9" w:rsidRDefault="00DE14C9" w:rsidP="00DE14C9">
      <w:pPr>
        <w:pStyle w:val="TextoNormal"/>
      </w:pPr>
      <w:r>
        <w:t xml:space="preserve">b) En el segundo de los escritos de alegaciones, presentado en el recurso de amparo interpuesto por don Francisco Javier González Martín, el Fiscal argumenta que la modificación de los hechos probados realizada por la Audiencia Provincial se limitó a cambiar la referencia a que las lesiones producidas a los dos lesionados se produjeran con intención de reducirlos, sustituyéndola por la indicación de que tales lesiones fueron causadas cuando los agentes procedían a reducir a los lesionados. Tal alteración de hechos probados, que tuvo la virtualidad de privar de base fáctica a la eximente de responsabilidad criminal que la Sentencia del Juez de lo Penal apreciaba, fue consecuencia de la práctica de prueba en la apelación consistente en el visionado de un vídeo y en la presentación de los informes periciales de un médico y un médico forense. Ahora bien, tales medios probatorios resultan idóneos para la apreciación de hechos (la naturaleza y alcance de las lesiones) que ya se encontraban acreditados e incorporados a los hechos probados, a partir de lo cual el Ministerio público extrae dos consecuencias: 1) de un lado, que la falta de intervención de los demandantes de amparo en la práctica de la prueba ninguna indefensión real les produjo, en la medida en que dicha prueba no sirvió para variar los hechos para cuya apreciación resulta idónea; y 2) que, en consecuencia, la prueba practicada en la segunda instancia no era idónea para producir la alteración de hechos probados que realizó la Audiencia Provincial, y que lo en realidad acontecido es que la Sala de apelación ha negado virtualidad a las pruebas personales tenidas en cuenta por el Juez de lo Penal y se la ha concedido a otras pruebas personales que aquél rechazó. </w:t>
      </w:r>
    </w:p>
    <w:p w:rsidR="00DE14C9" w:rsidRDefault="00DE14C9" w:rsidP="00DE14C9">
      <w:pPr>
        <w:pStyle w:val="TextoNormal"/>
      </w:pPr>
      <w:r>
        <w:t xml:space="preserve">En cuanto a la aducida vulneración del derecho a la tutela judicial efectiva (art. 24.1 CE), el Fiscal, tras recordar la doctrina constitucional relativa a este derecho fundamental y que, en concreto, la apreciación de la concurrencia de circunstancias modificativas de la responsabilidad criminal es cuestión de legalidad ordinaria, señala que la Sentencia de apelación rechazó la concurrencia de la circunstancia eximente de actuar en el ejercicio legítimo de un oficio o cargo (art. 20.7 CP) fijándose exclusivamente en las lesiones padecidas por la víctimas, en su número y etiología, pero sin ponderar (como había hecho la Sentencia de instancia) la actitud violenta de las víctimas, las propias lesiones causadas a los demandantes </w:t>
      </w:r>
      <w:r>
        <w:lastRenderedPageBreak/>
        <w:t xml:space="preserve">y, en definitiva, el ataque del que éstos fueron objeto, a cuya neutralización se enderezó la fuerza empleada por ellos. Al omitir toda ponderación, afirma el Ministerio público, la Sentencia de la Audiencia Provincial incurre en irrazonabilidad y arbitrariedad, pues basa su decisión en un extremo erróneo, cual es el de que por el mero hecho de que los policías nacionales emplearan fuerza, ésta habría de resultar desproporcionada, cualquiera que fuese la agresión a la que estaban haciendo frente. </w:t>
      </w:r>
    </w:p>
    <w:p w:rsidR="00DE14C9" w:rsidRDefault="00DE14C9" w:rsidP="00DE14C9">
      <w:pPr>
        <w:pStyle w:val="TextoNormal"/>
      </w:pPr>
      <w:r>
        <w:t>Como consecuencia de lo expuesto el Fiscal estima vulnerados los derechos a un proceso con todas las garantías (art. 24.2 CE) y a la tutela judicial efectiva (art. 24.1 CE) de los demandantes, interesando el otorgamiento del amparo y, como forma de restablecimiento de los citados derechos fundamentales, la anulación de la Sentencia impugnada y del Auto de aclaración que la completó.</w:t>
      </w:r>
    </w:p>
    <w:p w:rsidR="00DE14C9" w:rsidRDefault="00DE14C9" w:rsidP="00DE14C9">
      <w:pPr>
        <w:pStyle w:val="TextoNormal"/>
      </w:pPr>
    </w:p>
    <w:p w:rsidR="00DE14C9" w:rsidRDefault="00DE14C9" w:rsidP="00DE14C9">
      <w:pPr>
        <w:pStyle w:val="TextoNormal"/>
      </w:pPr>
      <w:r w:rsidRPr="00DE14C9">
        <w:rPr>
          <w:rStyle w:val="NumeroAFNegritaCaracter"/>
        </w:rPr>
        <w:t>11</w:t>
      </w:r>
      <w:r>
        <w:t>. Mediante providencia de 17 de mayo de 2007 se señaló para votación y fallo el día 21 del mismo mes y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En el proceso judicial del que los presentes recursos de amparo traen causa el Juez de lo Penal núm. 1 de Sabadell había absuelto a los demandantes de amparo, funcionarios del Cuerpo Nacional de Policía, de los delitos de lesiones, torturas e injurias de los que habían sido acusados por la acusación particular, acogiendo así la alegación del Ministerio público de que concurría en los acusados la eximente prevista en el art. 20.7 del Código penal. En la misma Sentencia se condenaba a don Antonio Santiago Torres y a don Juan Ramón Santiago Amador[M1] como autores de un delito de atentado, un delito y una falta de lesiones. Deducido recurso de apelación por la acusación particular, la Audiencia Provincial de Barcelona dictó la Sentencia frente a la cual se demanda amparo, resolución que, estimando parcialmente el recurso de apelación, condenó a los demandantes, como autores de un delito y de una falta de lesiones, a las penas que quedan expuestas en los antecedentes. La Audiencia Provincial llega a un pronunciamiento condenatorio al rechazar que las lesiones causadas por los dos demandantes de amparo a don Antonio Santiago Torres y a don Juan Ramón Santiago Amador[M2] fuesen una respuesta proporcionada a la violencia ejercida por estos últimos al resistirse a su identificación y detención, y negar, en consecuencia, que el resultado lesivo producido estuviera cubierto por la causa de justificación contemplada en el art. 20.7 CP (obrar en el cumplimiento de un deber o en el ejercicio legítimo de un derecho, oficio o cargo).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En las demandas de amparo acumuladas se aduce vulneración del derecho a un juicio con todas las garantías (art. 24.2 CE) porque, de un lado, la prueba pericial y la documental consistente en el visionado de un vídeo, que fueron principalmente tenidas en cuenta para llegar al pronunciamiento condenatorio, se practicaron sin que los demandantes de amparo fuesen citados a la vista para su intervención personal y porque, de otra parte, aun cuando la Sentencia de la Audiencia Provincial basa la condena en la valoración de la prueba practicada en la segunda instancia, no es menos cierto que en ella se efectúa también una nueva valoración de las declaraciones de los imputados y testigos que no se practicaron ante la Audiencia sino ante el Juzgado de lo Penal, razón por la cual se infringiría la garantía de inmediación en los términos en que ha sido interpretada por la doctrina constitucional que </w:t>
      </w:r>
      <w:r>
        <w:lastRenderedPageBreak/>
        <w:t>se inicia con la STC 167/2002, de 18 de septiembre. Las anteriores vulneraciones de derechos fundamentales llevan consigo que se haya producido, además, la quiebra del derecho de los demandantes a la presunción de inocencia (art. 24.2 CE). Finalmente se entiende por los demandantes que la Sentencia de la Audiencia Provincial vulneró el derecho a la tutela judicial efectiva. Tal vulneración se ha producido, en primer término, por falta de motivación suficiente, dado que la Sentencia, sin alterar sustancialmente los hechos, ha llegado en el caso a un resultado condenatorio; y, en segundo término, porque resulta arbitrario que la Sentencia afirme que las lesiones de los perjudicados se produjeron como consecuencia del uso necesario de la fuerza para reducir a los lesionados y luego no aprecie la eximente de cumplimiento de un deber, oficio o cargo.</w:t>
      </w:r>
    </w:p>
    <w:p w:rsidR="00DE14C9" w:rsidRDefault="00DE14C9" w:rsidP="00DE14C9">
      <w:pPr>
        <w:pStyle w:val="TextoNormal"/>
      </w:pPr>
      <w:r>
        <w:t>Tanto el Abogado del Estado como el Ministerio público solicitan la estimación de los recursos de amparo por vulneración del derecho a la tutela judicial efectiva y a un proceso con todas las garantías (art. 24, párrafos 1 y 2 CE).</w:t>
      </w:r>
    </w:p>
    <w:p w:rsidR="00DE14C9" w:rsidRDefault="00DE14C9" w:rsidP="00DE14C9">
      <w:pPr>
        <w:pStyle w:val="TextoNormal"/>
      </w:pPr>
    </w:p>
    <w:p w:rsidR="00DE14C9" w:rsidRDefault="00DE14C9" w:rsidP="00DE14C9">
      <w:pPr>
        <w:pStyle w:val="TextoNormal"/>
      </w:pPr>
      <w:r w:rsidRPr="00DE14C9">
        <w:rPr>
          <w:rStyle w:val="NumeroAFNegritaCaracter"/>
        </w:rPr>
        <w:t>3</w:t>
      </w:r>
      <w:r>
        <w:t>. Comenzaremos por el análisis de la queja relativa a la vulneración del derecho a un proceso con todas las garantías, vulneración que , como ha quedado expuesto, se entiende producida por dos hechos bien diferenciados que, en consecuencia, se estudian separadamente.</w:t>
      </w:r>
    </w:p>
    <w:p w:rsidR="00DE14C9" w:rsidRDefault="00DE14C9" w:rsidP="00DE14C9">
      <w:pPr>
        <w:pStyle w:val="TextoNormal"/>
      </w:pPr>
      <w:r>
        <w:t>Los recurrentes sostienen que, al no haber sido citados personalmente a la vista oral, no tuvieron ocasión de intervenir personalmente en la práctica de la prueba acordada en la apelación, de suerte que se vieron imposibilitados de contradecir las manifestaciones de los médicos que informaron acerca de las lesiones que presentaban los apelantes, así como de formular alegaciones en relación con las imágenes de la cinta de vídeo que mostraba las lesiones causadas. Ello habría ocasionado, según los demandantes de amparo, la vulneración de su derecho a un proceso con todas las garantías.</w:t>
      </w:r>
    </w:p>
    <w:p w:rsidR="00DE14C9" w:rsidRDefault="00DE14C9" w:rsidP="00DE14C9">
      <w:pPr>
        <w:pStyle w:val="TextoNormal"/>
      </w:pPr>
      <w:r>
        <w:t xml:space="preserve">En la vertiente acabada de apuntar la denuncia de la vulneración del aludido derecho resulta inatendible. Forzoso es reconocer que el examen de las actuaciones judiciales revela que a la defensa de los demandantes de amparo, asumida en el proceso a quo por el Abogado del Estado, le fueron notificados el Auto de admisión de la prueba propuesta por los apelantes y la designación del médico que habría de reconocer a los lesionados antes de la celebración de la vista del recurso de apelación. Igualmente resulta de las actuaciones que el Abogado del Estado, en calidad de defensor de los demandantes de amparo, tuvo conocimiento de los preparativos técnicos precisos para la práctica de la prueba consistente en el visionado del vídeo en el cual se reflejaba el estado de los lesionados después de los hechos, sin que, pese al conocimiento de todas estas actuaciones procesales, se formulara solicitud alguna para que, pese a no estar ello legalmente previsto, los acusados fuesen citados para su comparecencia personalmente en el acto de la vista del recurso de apelación. Y, sobre todo, la defensa de los demandantes de amparo intervino en la práctica de las pruebas ante la Audiencia Provincial sin formular ninguna solicitud en orden a lograr la intervención personal en ella de los hoy demandantes de amparo; y concluido el informe pericial y el visionado del vídeo informó acerca del resultado de las pruebas practicadas y sobre cuanto estimó oportuno para oponerse al recurso de apelación formulado de contrario. Por lo demás ha de advertirse que la regulación del recurso de apelación en el art.  791.2 de la Ley de enjuiciamiento criminal (LECrim) no prevé expresamente que los acusados intervengan personalmente en la práctica de la prueba que se acuerde en segunda instancia, de modo que quien pretenda que, no obstante esta falta de previsión específica debiera habérsele dado intervención, no puede luego denunciar válidamente que la ausencia de ella le ha colocado </w:t>
      </w:r>
      <w:r>
        <w:lastRenderedPageBreak/>
        <w:t>en situación de indefensión cuando tuvo ocasión de solicitar su intervención personal en momento razonablemente idóneo y no lo hizo.</w:t>
      </w:r>
    </w:p>
    <w:p w:rsidR="00DE14C9" w:rsidRDefault="00DE14C9" w:rsidP="00DE14C9">
      <w:pPr>
        <w:pStyle w:val="TextoNormal"/>
      </w:pPr>
      <w:r>
        <w:t>Una segunda consideración nos lleva también a rechazar la queja relativa a la vulneración del derecho a un proceso con todas las garantías en la vertiente ahora estudiada. Nos referimos a que, bajo la alegación de haberse vulnerado el principio de contradicción en la práctica de la prueba en la segunda instancia, los demandantes vienen a sostener la necesidad de que hubieran prestado declaración personalmente ante la Audiencia Provincial, lo que supondría que hubiera de considerarse inexcusable en todo caso la práctica de una prueba que en ningún momento fue propuesta por los demandantes. Es decir, en realidad la queja formulada tendría un mejor encaje en el ámbito del derecho a la utilización de los medios de prueba pertinentes (art. 24.2 CE), ubicación correcta que determina que la denuncia de parte afectada, obvio resulta decirlo, no podría prosperar, en la medida en que el referido derecho exige que la prueba cuya falta de práctica se denuncia sea una prueba admitida y no practicada o una prueba denegada, lo cual necesariamente ha de partir de una previa solicitud en tal sentido formulada al órgano judicial en tiempo y forma oportunos, requisito que no fue cumplido en el caso por los demandantes de amparo.</w:t>
      </w:r>
    </w:p>
    <w:p w:rsidR="00DE14C9" w:rsidRDefault="00DE14C9" w:rsidP="00DE14C9">
      <w:pPr>
        <w:pStyle w:val="TextoNormal"/>
      </w:pPr>
    </w:p>
    <w:p w:rsidR="00DE14C9" w:rsidRDefault="00DE14C9" w:rsidP="00DE14C9">
      <w:pPr>
        <w:pStyle w:val="TextoNormal"/>
      </w:pPr>
      <w:r w:rsidRPr="00DE14C9">
        <w:rPr>
          <w:rStyle w:val="NumeroAFNegritaCaracter"/>
        </w:rPr>
        <w:t>4</w:t>
      </w:r>
      <w:r>
        <w:t>. La segunda vertiente del derecho a un proceso con todas las garantías que, en opinión de los demandantes de amparo, habría resultado vulnerada por la Sentencia de la Audiencia Provincial se refiere a la necesidad de que las pruebas en las que el órgano judicial se basa para pronunciar una condena penal se practiquen ante él si, por su naturaleza y circunstancias concretas, su adecuada valoración así lo exige, de acuerdo con la doctrina constitucional que se inicia en la STC 167/2002, de 18 de septiembre, seguida luego en otras muchas hasta constituir ya un cuerpo de doctrina consolidado. Tal doctrina, en los términos expresos del fundamento jurídico 2 de la STC 272/2005, de 24 de octubre (seguida luego en otras, como las SSTC 15/2007, de 12 de febrero; 336/2006, de 11 de diciembre; y 80/2006, de 13 de marzo), puede sintetizarse así:</w:t>
      </w:r>
    </w:p>
    <w:p w:rsidR="00DE14C9" w:rsidRDefault="00DE14C9" w:rsidP="00DE14C9">
      <w:pPr>
        <w:pStyle w:val="TextoNormal"/>
      </w:pPr>
      <w:r>
        <w:t>“[Resulta] contrario a un proceso con todas las garantías que un órgano judicial, conociendo en vía de recurso, condene a quien había sido absuelto en la instancia como consecuencia de una nueva fijación de los hechos probados que encuentre su origen en la reconsideración de pruebas cuya correcta y adecuada apreciación exija necesariamente que se practiquen a presencia del órgano judicial que las valora. Corolario de lo anterior será que la determinación de en qué supuestos se ha producido vulneración del derecho fundamental a un proceso con todas las garantías (cristalizado ahora en la garantía de inmediación) es eminentemente circunstancial, pues lo decisivo es si la condena de quien había sido absuelto en la instancia trae causa en primer lugar de una alteración sustancial de los hechos probados y, de ser así, si tal apreciación probatoria encuentra fundamento en una nueva reconsideración de medios probatorios cuya correcta y adecuada apreciación exige la inmediación; esto es, que sea el órgano judicial que las valora el órgano ante quien se practican. Contrariamente no cabrá entender vulnerado el principio de inmediación cuando, por utilizar una proposición comprensiva de toda una idea, el órgano de apelación no pronuncie su Sentencia condenatoria a base de sustituir al órgano de instancia en aspectos de la valoración de la prueba en los que éste se encuentra en mejor posición para el correcto enjuiciamiento de los hechos sobre los que se funda la condena debido a que la práctica de tales pruebas se realizó en su presencia.</w:t>
      </w:r>
    </w:p>
    <w:p w:rsidR="00DE14C9" w:rsidRDefault="00DE14C9" w:rsidP="00DE14C9">
      <w:pPr>
        <w:pStyle w:val="TextoNormal"/>
      </w:pPr>
      <w:r>
        <w:t xml:space="preserve">Por ello no cabrá efectuar reproche constitucional alguno cuando la condena pronunciada en apelación (tanto si el apelado hubiese sido absuelto en la instancia como si la Sentencia de apelación empeora su situación) no altera el sustrato fáctico sobre el que se asienta la </w:t>
      </w:r>
      <w:r>
        <w:lastRenderedPageBreak/>
        <w:t>Sentencia del órgano a quo, o cuando, a pesar de darse tal alteración, ésta no resulta del análisis de medios probatorios que exijan presenciar su práctica para su valoración o, finalmente, cuando el órgano de apelación se separe del pronunciamiento fáctico del Juez de instancia por no compartir el proceso deductivo empleado a partir de hechos base tenidos por acreditados en la Sentencia de instancia y no alterados en la de apelación, pero a partir de los cuales el órgano ad quem deduce otras conclusiones distintas a las alcanzadas por el órgano de instancia, pues este proceso deductivo, en la medida en que se basa en reglas de experiencia no dependientes de la inmediación, es plenamente fiscalizable por los órganos que conocen en vía de recurso sin merma de garantías constitucionales. En consecuencia serán las resoluciones judiciales pronunciadas en el proceso sometido a revisión constitucional y los hechos sobre los que se proyectó el enjuiciamiento de los Tribunales ordinarios los que condicionarán la perspectiva con la que haya de abordarse el enjuiciamiento constitucional y el resultado mismo de tal enjuiciamiento, sin que quepa adelantar soluciones rígidas o estereotipadas. En este análisis casuístico, además del examen riguroso de las Sentencias pronunciadas en instancia y apelación por los Tribunales ordinarios, resultará imprescindible la consideración de la totalidad del proceso judicial para situarnos en el contexto global en el que se produjo el debate procesal, y así comprender primero y enjuiciar después la respuesta judicial ofrecida. Y es que, con frecuencia, la respuesta global dada por los órganos judiciales no puede entenderse en su verdadero alcance sin considerar las alegaciones de las partes a las que se da contestación y el curso procesal al que las Sentencias ponen fin. No debemos perder de vista que, aun cuando sólo en la medida en que así resulta preciso para proteger los derechos fundamentales, en el recurso de amparo se enjuicia la actividad de los órganos judiciales y que, precisamente por ello, el acto final que es objeto de impugnación en amparo no es sino el precipitado de todo el proceso, aunque con frecuencia no todas sus incidencias se hagan explícitas en la resolución final”.</w:t>
      </w:r>
    </w:p>
    <w:p w:rsidR="00DE14C9" w:rsidRDefault="00DE14C9" w:rsidP="00DE14C9">
      <w:pPr>
        <w:pStyle w:val="TextoNormal"/>
      </w:pPr>
    </w:p>
    <w:p w:rsidR="00DE14C9" w:rsidRDefault="00DE14C9" w:rsidP="00DE14C9">
      <w:pPr>
        <w:pStyle w:val="TextoNormal"/>
      </w:pPr>
      <w:r w:rsidRPr="00DE14C9">
        <w:rPr>
          <w:rStyle w:val="NumeroAFNegritaCaracter"/>
        </w:rPr>
        <w:t>5</w:t>
      </w:r>
      <w:r>
        <w:t>. Descendiendo al análisis del supuesto concretamente enjuiciado en los presentes recursos de amparo, se constata que la Audiencia Provincial condenó a los ahora recurrentes al no apreciar que en las lesiones causadas por ellos concurriese la eximente del art. 20.7 CP, esto es, “obrar en el cumplimiento de un deber o en el ejercicio legítimo de un derecho, oficio o cargo”, eximente que había sido apreciada por el Juez de lo Penal cuya Sentencia se recurría en apelación. Para ello alteró los hechos declarados probados exclusivamente en el sentido de eliminar la referencia a que las lesiones se causaron “con intención de reducir” a los lesionados, sustituyendo dicha expresión por la más neutra de que tales lesiones se produjeron por los ahora demandantes de amparo “cuando procedieron a reducir” a las personas cuya conducta violenta había motivado que el dueño del establecimiento avisara a la fuerza pública, quienes, a la postre, resultaron lesionados junto con los propios policías nacionales.</w:t>
      </w:r>
    </w:p>
    <w:p w:rsidR="00DE14C9" w:rsidRDefault="00DE14C9" w:rsidP="00DE14C9">
      <w:pPr>
        <w:pStyle w:val="TextoNormal"/>
      </w:pPr>
      <w:r>
        <w:t xml:space="preserve">Esta alteración de los hechos probados, en sí misma considerada y por sí sola, no es determinante de la apreciación o no de la causa de justificación contenida en el mencionado art. 20.7 CP, sino que la razón por la cual se rechaza la concurrencia de dicha eximente de responsabilidad penal ha de encontrarse en la consideración, incorporada a los fundamentos jurídicos de la Sentencia, según la cual las lesiones objetivamente producidas (que no se pusieron en cuestión en ningún momento) ponían de manifiesto que los demandantes de amparo sobrepasaron el límite de lo racionalmente preciso para neutralizar el comportamiento violento de los sujetos sobre los que se proyectaba su intervención profesional para adentrarse en el ámbito del injustificado quebranto de la integridad física de éstos, razón por </w:t>
      </w:r>
      <w:r>
        <w:lastRenderedPageBreak/>
        <w:t>la cual las lesiones producidas no quedaban cubiertas por la causa de justificación tan reiteradamente aludida. En otras palabras, a partir del resultado lesivo producido por los demandantes de amparo en los dos lesionados, apreciado por la Audiencia Provincial en virtud de la pericial médica y del visionado de la cinta de vídeo, pruebas practicadas con inmediación, el órgano judicial realiza un juicio de adecuación de la actuación de los demandantes de amparo a las circunstancias del caso que le conduce a afirmar que las lesiones fueron causadas mediante golpes que excedían de lo necesario para neutralizar la violencia ejercida de contrario. Se parte así de una ponderación fáctica que pone en relación la fuerza ejercida por los policías demandantes de amparo en el curso de su intervención profesional y la que resultaba racionalmente precisa para neutralizar la actitud violenta que desarrollaron los sujetos sobre los que se proyectaba la actuación policial justificativa del empleo de la fuerza por éstos.</w:t>
      </w:r>
    </w:p>
    <w:p w:rsidR="00DE14C9" w:rsidRDefault="00DE14C9" w:rsidP="00DE14C9">
      <w:pPr>
        <w:pStyle w:val="TextoNormal"/>
      </w:pPr>
      <w:r>
        <w:t>Pues bien, así como cabe admitir que a la valoración de la intensidad de la respuesta de los demandantes de amparo en el ejercicio de sus funciones policiales contribuyó (sin carácter exclusivo) la valoración de la prueba practicada en la segunda instancia con pleno respeto al principio de inmediación (pericial médica y visionado de un vídeo), no puede desconocerse que el otro término de la comparación sobre el que se proyecta el juicio de proporcionalidad, esto es, la intensidad de la violencia ejercida en la intervención desarrollada en el caso por los oponentes de los demandantes de amparo, resulta apreciado por la Audiencia Provincial a través de las pruebas practicadas exclusivamente ante el Juez de lo Penal, pues sobre tal extremo ninguna prueba se practicó ante la Audiencia Provincial. Consecuentemente cabe afirmar que, para llegar a la condena de los demandantes de amparo como consecuencia de no entender aplicable la eximente apreciada por el Juez de lo Penal, la Audiencia Provincial valoró tanto la violencia ejercida por los demandantes de amparo como la desarrollada por las personas a quienes aquéllos trataban de reducir, y que sobre este segundo hecho no tuvieron en cuenta otras pruebas que las declaraciones de los acusados y las de los testigos ante el órgano judicial de instancia, esto es, unos elementos probatorios practicados sin la necesaria inmediación que para su adecuada valoración resulta precisa a efectos de respetar el derecho a un proceso con todas las garantías (art.  24.2 CE), el cual, consiguientemente, resultó vulnerado en el caso.</w:t>
      </w:r>
    </w:p>
    <w:p w:rsidR="00DE14C9" w:rsidRDefault="00DE14C9" w:rsidP="00DE14C9">
      <w:pPr>
        <w:pStyle w:val="TextoNormal"/>
      </w:pPr>
    </w:p>
    <w:p w:rsidR="00DE14C9" w:rsidRDefault="00DE14C9" w:rsidP="00DE14C9">
      <w:pPr>
        <w:pStyle w:val="TextoNormal"/>
      </w:pPr>
      <w:r w:rsidRPr="00DE14C9">
        <w:rPr>
          <w:rStyle w:val="NumeroAFNegritaCaracter"/>
        </w:rPr>
        <w:t>6</w:t>
      </w:r>
      <w:r>
        <w:t>. Las reflexiones anteriormente efectuadas conducen además a estimar vulnerado el derecho a la presunción de inocencia de los demandantes de amparo. En efecto, dado que la condena pronunciada por la Audiencia Provincial descansa exclusivamente en la eliminación de la circunstancia eximente apreciada por el Juez de lo Penal, que la valoración del material probatorio que conduce a tal eliminación no resulta constitucionalmente conforme, por lo acabado de exponer, y, finalmente, que no se practicaron otras pruebas ante la Audiencia Provincial cuya valoración deba ser remitida a dicho órgano judicial, único competente para realizar tal valoración [art. 44.1 b) LOTC], necesariamente ha de concluirse que la condena dictada por la Audiencia Provincial en la Sentencia impugnada carece de soporte probatorio, resultando así vulnerado el derecho a la presunción de inocencia (art. 24.2 CE). De acuerdo con la constante doctrina de este Tribunal (por todas STC 309/2006, de 23 de octubre), cuando “no existen otras pruebas de cargo sobre las que el órgano judicial pueda efectuar su enjuiciamiento, la constatación de la anterior vulneración debe llevarnos también a considerar vulnerado el derecho a la presunción de inocencia (art. 24.2 CE), cuyo restablecimiento determina la anulación de la Sentencia impugnada. Todo lo cual determina que no procede, en el caso, la retroacción de las actuaciones.”</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7</w:t>
      </w:r>
      <w:r>
        <w:t>. Finamente, el otorgamiento del amparo por las razones hasta ahora expuestas hace innecesaria cualquier decisión sobre la aducida vulneración del derecho a la tutela judicial efectiva en la cual habría incurrido la Sentencia de la Audiencia Provincial por una insuficiente motivación y por haber incurrido en arbitrariedad.</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Estimar las demandas de amparo interpuestas por don Francisco Javier González Martín y por don José Aguilera Ocaña y, en consecuencia:</w:t>
      </w:r>
    </w:p>
    <w:p w:rsidR="00DE14C9" w:rsidRDefault="00DE14C9" w:rsidP="00DE14C9">
      <w:pPr>
        <w:pStyle w:val="TextoNormal"/>
      </w:pPr>
      <w:r>
        <w:t>1º Declarar que se han vulnerado los derechos a un proceso con todas las garantías y a la presunción de inocencia (art. 24.2 CE) de los demandantes de amparo.</w:t>
      </w:r>
    </w:p>
    <w:p w:rsidR="00DE14C9" w:rsidRDefault="00DE14C9" w:rsidP="00DE14C9">
      <w:pPr>
        <w:pStyle w:val="TextoNormal"/>
      </w:pPr>
      <w:r>
        <w:t>2º Restablecerlos en la integridad de sus derechos y, a tal fin, declarar la nulidad de la Sentencia de la Sección Tercera de la Audiencia Provincial de Barcelona, de 10 de enero de 2005, pronunciada en el recurso de apelación interpuesto contra la dictada en el procedimiento abreviado núm. 270-2002 por el Juez de lo Penal núm. 1 de Sabadell.</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veintiuno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40" w:name="SENTENCIA_2007_127"/>
      <w:r>
        <w:lastRenderedPageBreak/>
        <w:t>SENTENCIA 127/2007, de 22 de mayo de 2007</w:t>
      </w:r>
    </w:p>
    <w:bookmarkEnd w:id="40"/>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149, de 22 de junio de 2007)</w:t>
      </w:r>
    </w:p>
    <w:p w:rsidR="00DE14C9" w:rsidRDefault="00DE14C9" w:rsidP="00DE14C9">
      <w:pPr>
        <w:pStyle w:val="TtuloBOE"/>
      </w:pPr>
    </w:p>
    <w:p w:rsidR="00DE14C9" w:rsidRDefault="00DE14C9" w:rsidP="00DE14C9">
      <w:pPr>
        <w:pStyle w:val="SntesisDescriptiva"/>
      </w:pPr>
      <w:r>
        <w:t>ECLI:ES:TC:2007:127</w:t>
      </w:r>
    </w:p>
    <w:p w:rsidR="00DE14C9" w:rsidRDefault="00DE14C9" w:rsidP="00DE14C9">
      <w:pPr>
        <w:pStyle w:val="SntesisDescriptiva"/>
      </w:pPr>
    </w:p>
    <w:p w:rsidR="00DE14C9" w:rsidRDefault="00DE14C9" w:rsidP="00DE14C9">
      <w:pPr>
        <w:pStyle w:val="SntesisDescriptiva"/>
      </w:pPr>
      <w:r>
        <w:t>Recurso de amparo electoral 4513-2007. Promovido por don Norberto Pedro Pico Sanabria frente a la Sentencia del Juzgado Contencioso-Administrativo núm. 6 de Madrid que desestimó nuevamente su demanda sobre proclamación de la candidatura de Falange Española de las JONS en las elecciones locales por la circunscripción de Brunete (STC 108/2007).</w:t>
      </w:r>
    </w:p>
    <w:p w:rsidR="00DE14C9" w:rsidRDefault="00DE14C9" w:rsidP="00DE14C9">
      <w:pPr>
        <w:pStyle w:val="SntesisDescriptiva"/>
      </w:pPr>
    </w:p>
    <w:p w:rsidR="00DE14C9" w:rsidRDefault="00DE14C9" w:rsidP="00DE14C9">
      <w:pPr>
        <w:pStyle w:val="SntesisAnaltica"/>
      </w:pPr>
      <w:r>
        <w:t>Supuesta vulneración del derecho a acceder a los cargos representativos: denegación de proclamación de candidatura electoral por infringir la paridad entre mujeres y hombres para poner en cuestión la ley. Voto particular.</w:t>
      </w:r>
    </w:p>
    <w:p w:rsidR="00DE14C9" w:rsidRDefault="00DE14C9" w:rsidP="00DE14C9">
      <w:pPr>
        <w:pStyle w:val="SntesisAnaltica"/>
      </w:pPr>
    </w:p>
    <w:p w:rsidR="00DE14C9" w:rsidRDefault="00DE14C9" w:rsidP="00DE14C9">
      <w:pPr>
        <w:pStyle w:val="Extracto"/>
      </w:pPr>
      <w:r>
        <w:t>1.</w:t>
      </w:r>
      <w:r>
        <w:tab/>
        <w:t>Admitiendo que, efectivamente, Falange Española de las JONS disponga solamente de tres afiliados varones en Brunete, lo cierto es que existen indicios consistentes de las mujeres incluidas en la candidatura no se encuentran afiliadas en dicha localidad, por lo que la citada lista electoral bien pudo haber sido completada, con otros candidatos varones de fuera de Brunete [FJ 3].</w:t>
      </w:r>
    </w:p>
    <w:p w:rsidR="00DE14C9" w:rsidRDefault="00DE14C9" w:rsidP="00DE14C9">
      <w:pPr>
        <w:pStyle w:val="Extracto"/>
      </w:pPr>
    </w:p>
    <w:p w:rsidR="00DE14C9" w:rsidRDefault="00DE14C9" w:rsidP="00DE14C9">
      <w:pPr>
        <w:pStyle w:val="Extracto"/>
      </w:pPr>
      <w:r>
        <w:t>2.</w:t>
      </w:r>
      <w:r>
        <w:tab/>
        <w:t>El que un partido político pretenda que le resulta imposible cumplir las exigencias de la LOREG, cuando más parece que su intención es cuestionar la constitucionalidad de dicha normativa presentando una candidatura que la incumple, cuando es evidente que bien podía haber hecho lo contrario, conduce a la desestimación del recurso de amparo [FJ 4 ].</w:t>
      </w:r>
    </w:p>
    <w:p w:rsidR="00DE14C9" w:rsidRDefault="00DE14C9" w:rsidP="00DE14C9">
      <w:pPr>
        <w:pStyle w:val="Extracto"/>
      </w:pPr>
    </w:p>
    <w:p w:rsidR="00DE14C9" w:rsidRDefault="00DE14C9" w:rsidP="00DE14C9">
      <w:pPr>
        <w:pStyle w:val="Extracto"/>
      </w:pPr>
      <w:r>
        <w:t>3.</w:t>
      </w:r>
      <w:r>
        <w:tab/>
        <w:t>La pretensión del recurrente de que planteemos, ex art. 55.2 LOTC, la cuestión interna de inconstitucionalidad respecto a la normativa que le ha sido aplicada, se revela como un uso indebido de dicha posibilidad, puesto que no nos asaltan, en este concreto procedimiento y en los limitados términos en los que hemos debido enjuiciarla, dudas sobre la adecuación a la norma suprema de los preceptos contenidos en el art. 44 bis LOREG [FJ 4].</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lastRenderedPageBreak/>
        <w:t>SENTENCIA</w:t>
      </w:r>
    </w:p>
    <w:p w:rsidR="00DE14C9" w:rsidRDefault="00DE14C9" w:rsidP="00DE14C9">
      <w:pPr>
        <w:pStyle w:val="TextoNormalCentrado"/>
        <w:keepNext/>
      </w:pPr>
    </w:p>
    <w:p w:rsidR="00DE14C9" w:rsidRDefault="00DE14C9" w:rsidP="00DE14C9">
      <w:pPr>
        <w:pStyle w:val="TextoNormal"/>
      </w:pPr>
      <w:r>
        <w:t>En el recurso de amparo electoral núm. 4513-2007, promovido por don Norberto Pedro Pico Sanabria, representado por el Procurador de los Tribunales don Pablo Domínguez Maestro y asistido por el Abogado don Javier Juárez del Amo, contra la Sentencia núm. 33/2007 dictada el 16 de abril de 2007 por el Juzgado Contencioso-Administrativo núm. 28 de los de Madrid en los autos de procedimiento electoral 7-2007 sobre proclamación de la candidatura de Falange Española de las JONS a las elecciones municipales de 27 de mayo de 2007 en la localidad de Brunete. Ha intervenido el Ministerio Fiscal. Ha sido Ponente el Magistrado don Roberto García-Calvo y Montiel,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El 18 de mayo de 2007 tuvo entrada en el Registro General de este Tribunal escrito de demanda de amparo constitucional promovido por don Norberto Pedro Pico Sanabria, representado por el Procurador de los Tribunales don Pablo Domínguez Maestro y asistido por el Abogado don Javier Juárez del Amo, contra Sentencia núm. 33/2007 dictada el 16 de mayo de 2007 por el Juzgado Contencioso-Administrativo núm. 28 de los de Madrid en los autos de procedimiento electoral 7-2007 sobre proclamación de la candidatura de Falange Española de las JONS a las elecciones municipales de 27 de mayo de 2007 en la localidad de Brunete.</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relevantes para la resolución de dicho recurso son, en síntesis, los siguientes: </w:t>
      </w:r>
    </w:p>
    <w:p w:rsidR="00DE14C9" w:rsidRDefault="00DE14C9" w:rsidP="00DE14C9">
      <w:pPr>
        <w:pStyle w:val="TextoNormal"/>
      </w:pPr>
      <w:r>
        <w:t xml:space="preserve">a) Don Norberto Pedro Pico Sanabria, hoy demandante de amparo, presentó su candidatura por el partido Falange Española de las JONS en el municipio de Brunete (Madrid) para las elecciones municipales y autonómicas cuya celebración está fijada para el día 27 de mayo de 2007. En la misma figuran diez mujeres y tres varones, hecho este que se puso de relieve telefónicamente por responsables de la Junta electoral de zona de Navalcanero a don Julián Martín Ricote, representante general ante la Junta Electoral Central de Falange Española de las JONS, por si pudiera incumplir el art. 44 bis LOREG, producto de la modificación prevista en la Ley Orgánica 3/2007, de 22 de marzo, para la igualdad efectiva de mujeres y hombres, en lo que se refiere a la exigida composición equilibrada de las listas electorales en municipios de más de 5.000 habitantes. Por el citado representante se dirigió, el 28 de abril de 2007, notificación a la Junta electoral de zona de Navalcarnero en el sentido de que no se podría cumplir la citada Ley, tanto por imposibilidad física, al no haber encontrado candidatos masculinos suficientes que quisieran figurar en la candidatura, como porque democráticamente se configuró la candidatura tal y como aparece en la lista electoral. b) En fecha 30 de abril de 2007, la Junta electoral de zona de Navalcarnero hizo pública la proclamación de los candidatos, excluyendo la candidatura electoral de Falange Española de las JONS en la localidad de Brunete, alegando como motivo de exclusión el no mantener la misma la composición equilibrada de cada uno de los sexos de forma que suponga el mínimo del 40 por 100. </w:t>
      </w:r>
    </w:p>
    <w:p w:rsidR="00DE14C9" w:rsidRDefault="00DE14C9" w:rsidP="00DE14C9">
      <w:pPr>
        <w:pStyle w:val="TextoNormal"/>
      </w:pPr>
      <w:r>
        <w:t xml:space="preserve">c) El 3 de mayo de 2007 interpuso el demandante de amparo recurso contencioso-administrativo electoral contra el mencionado acuerdo de la Junta electoral de zona de Navalcarnero, solicitando al Juzgado de lo Contencioso-Administrativo que procediese a dictar Sentencia por la que anulase dicho acuerdo en cuanto a su exclusión, y le reconociese el derecho </w:t>
      </w:r>
      <w:r>
        <w:lastRenderedPageBreak/>
        <w:t xml:space="preserve">a ser proclamado candidato por Falange Española de las JONS en las próximas elecciones municipales por el término municipal de Brunete, y en consecuencia admitiera en su totalidad la candidatura que éste encabezaba. </w:t>
      </w:r>
    </w:p>
    <w:p w:rsidR="00DE14C9" w:rsidRDefault="00DE14C9" w:rsidP="00DE14C9">
      <w:pPr>
        <w:pStyle w:val="TextoNormal"/>
      </w:pPr>
      <w:r>
        <w:t xml:space="preserve">d) El mismo día la Junta electoral de zona de Navalcarnero elevó informe sobre dicho recurso en el que se manifestaba que si bien es cierto que no advirtió por error al representante de la candidatura de la existencia del defecto a los efectos de una posible subsanación, en fecha de 29 de abril se recibió comunicación procedente del citado partido en que se mostraba su voluntad de no proceder a cumplir las exigencias del art. 44 bis LOREG. En caso contrario se hubiera proporcionado a la citada candidatura un período adicional de subsanación. </w:t>
      </w:r>
    </w:p>
    <w:p w:rsidR="00DE14C9" w:rsidRDefault="00DE14C9" w:rsidP="00DE14C9">
      <w:pPr>
        <w:pStyle w:val="TextoNormal"/>
      </w:pPr>
      <w:r>
        <w:t xml:space="preserve">e) El 5 de mayo de 2007 dictó Sentencia el Juzgado Contencioso-Administrativo núm. 6 de Madrid por la que se desestimaba el recurso presentado, ratificando la decisión tomada por la Junta electoral de zona de Navalcarnero, en el sentido de no proclamar la candidatura presentada en el término municipal de Brunete por el hoy demandante de amparo, representante electoral de Falange Española de las JONS, por no mantener la composición equilibrada de cada uno de los sexos de forma que suponga el mínimo del 40 por 100, incumpliendo lo establecido en el art. 44 bis de la LOREG. </w:t>
      </w:r>
    </w:p>
    <w:p w:rsidR="00DE14C9" w:rsidRDefault="00DE14C9" w:rsidP="00DE14C9">
      <w:pPr>
        <w:pStyle w:val="TextoNormal"/>
      </w:pPr>
      <w:r>
        <w:t xml:space="preserve">f) Contra esta resolución se interpuso el recurso de amparo electoral núm. 4039-2007, que fue resuelto por Sentencia de la Sala Primera de este Tribunal, de 10 de mayo de 2007, en la que se estimó el mismo, ordenando la retroacción de las actuaciones al momento en que la Junta electoral de zona de Navalcarnero debió ofrecer al recurrente la posibilidad de subsanar los defectos advertidos en su candidatura. </w:t>
      </w:r>
    </w:p>
    <w:p w:rsidR="00DE14C9" w:rsidRDefault="00DE14C9" w:rsidP="00DE14C9">
      <w:pPr>
        <w:pStyle w:val="TextoNormal"/>
      </w:pPr>
      <w:r>
        <w:t xml:space="preserve">g) Tras sustanciarse este trámite, y al no reparar el recurrente dichos defectos, la citada Junta electoral, en acuerdo de 13 de mayo de 2007, nuevamente dispuso la no proclamación de la candidatura por no cumplir la composición equilibrada de sexos que exige la LOREG. </w:t>
      </w:r>
    </w:p>
    <w:p w:rsidR="00DE14C9" w:rsidRDefault="00DE14C9" w:rsidP="00DE14C9">
      <w:pPr>
        <w:pStyle w:val="TextoNormal"/>
      </w:pPr>
      <w:r>
        <w:t xml:space="preserve">h) Contra dicha resolución se interpuso por el recurrente recurso contencioso-administrativo electoral, recurso que fue resuelto por Sentencia de 16 de mayo de 2007 del Juzgado de lo Contencioso-Administrativo núm. 28 de Madrid por la que se desestimaba, confirmando, por considerarla ajustada a derecho, la decisión tomada por la Junta electoral de zona de Navalcarnero. </w:t>
      </w:r>
    </w:p>
    <w:p w:rsidR="00DE14C9" w:rsidRDefault="00DE14C9" w:rsidP="00DE14C9">
      <w:pPr>
        <w:pStyle w:val="TextoNormal"/>
      </w:pPr>
      <w:r>
        <w:t>i) Contra esta última resolución judicial se interpone el presente recurso de amparo.</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En la demanda de amparo electoral se alega, en primer lugar, la vulneración, en la Sentencia recurrida, del derecho del demandante de amparo al acceso a los cargos públicos en condiciones de igualdad, lesionando su derecho fundamental de sufragio pasivo, tutelado por el art. 23.2 CE. Argumenta que ese derecho de sufragio pasivo sufre una grave restricción cuando una lista electoral puede ser perfectamente completada por personas en plenitud de sus derechos políticos y, sin embargo, por la no aceptación de un determinado porcentaje de mujeres o de varones, deviene inválida. </w:t>
      </w:r>
    </w:p>
    <w:p w:rsidR="00DE14C9" w:rsidRDefault="00DE14C9" w:rsidP="00DE14C9">
      <w:pPr>
        <w:pStyle w:val="TextoNormal"/>
      </w:pPr>
      <w:r>
        <w:t xml:space="preserve">Aduce, asimismo, que se ha lesionado el art. 6 CE que exige que el funcionamiento interno de los partidos sea democrático. Falange Española de las JONS, siguiendo dicho mandato constitucional, optó por un sistema de celebración de primarias con listas abiertas para elegir a sus candidatos en Brunete. El rechazo de la candidatura así elegida supone una restricción del funcionamiento democrático de dicha organización política, enfrentando al valor de la democracia, el valor de la paridad. </w:t>
      </w:r>
    </w:p>
    <w:p w:rsidR="00DE14C9" w:rsidRDefault="00DE14C9" w:rsidP="00DE14C9">
      <w:pPr>
        <w:pStyle w:val="TextoNormal"/>
      </w:pPr>
      <w:r>
        <w:t xml:space="preserve">Considera, igualmente, vulnerado el art. 9.2 CE, pues la exclusión, por el mero hecho de no introducir elementos diferenciadores según el sexo de sus componentes, de una lista de candidatos completada con personas en plenitud de sus derechos políticos, impide por causa </w:t>
      </w:r>
      <w:r>
        <w:lastRenderedPageBreak/>
        <w:t xml:space="preserve">ajena a todos y cada uno de los candidatos su presentación a las elecciones. Falange Española de las JONS solo dispone de tres hombres afiliados en la localidad de Brunete, siéndole imposible presentar una lista de candidatos en condiciones paritarias por razón de sexo. Por otra parte, el legislador debe poner cuidado para que la protección de la mujer no se vuelva en contra perpetuando su situación discriminatoria; de ser así, la medida sería doblemente vulneradora de la igualdad, pues discriminaría al varón en el presente prolongando la desigualdad de la mujer en el futuro. </w:t>
      </w:r>
    </w:p>
    <w:p w:rsidR="00DE14C9" w:rsidRDefault="00DE14C9" w:rsidP="00DE14C9">
      <w:pPr>
        <w:pStyle w:val="TextoNormal"/>
      </w:pPr>
      <w:r>
        <w:t xml:space="preserve">También entiende infringido el art. 13, en relación con el art. 23.2, ambos de la CE, que atribuye los derechos de sufragio activo y pasivo reconocidos en este último artículo a los españoles sin distinción alguna por razón de sexo. Al ser excluida la candidatura citada en base exclusivamente a criterios de diferenciación por razón de sexo, se recorta drásticamente el derecho de sufragio pasivo del demandante de amparo, así como el de los demás candidatos que gozan de la plenitud de sus derechos políticos. </w:t>
      </w:r>
    </w:p>
    <w:p w:rsidR="00DE14C9" w:rsidRDefault="00DE14C9" w:rsidP="00DE14C9">
      <w:pPr>
        <w:pStyle w:val="TextoNormal"/>
      </w:pPr>
      <w:r>
        <w:t>Por último, alega el demandante de amparo que se ha vulnerado el art. 14, en relación con los arts. 23.2 y 68, todos ellos de la CE, puesto que la resolución recurrida al exigir, por aplicación estricta de la Ley Orgánica 3/2007, de 22 de marzo, que la lista excluida presente una composición equilibrada de hombres y mujeres, introduce un elemento discriminatorio por razón de sexo, violando el derecho mismo de acceso a los cargos públicos en condiciones de igualdad.</w:t>
      </w:r>
    </w:p>
    <w:p w:rsidR="00DE14C9" w:rsidRDefault="00DE14C9" w:rsidP="00DE14C9">
      <w:pPr>
        <w:pStyle w:val="TextoNormal"/>
      </w:pPr>
    </w:p>
    <w:p w:rsidR="00DE14C9" w:rsidRDefault="00DE14C9" w:rsidP="00DE14C9">
      <w:pPr>
        <w:pStyle w:val="TextoNormal"/>
      </w:pPr>
      <w:r w:rsidRPr="00DE14C9">
        <w:rPr>
          <w:rStyle w:val="NumeroAFNegritaCaracter"/>
        </w:rPr>
        <w:t>4</w:t>
      </w:r>
      <w:r>
        <w:t>. Mediante diligencia de ordenación de 18 de mayo de 2007 se tuvo por interpuesto el presente recurso de amparo, y el Secretario de Justicia de la Sala Primera acordó, de conformidad con lo dispuesto en el art. 49 LOREG y el Acuerdo del Pleno de 20 de enero de 2000, recabar del Juzgado de lo Contencioso-Administrativo las actuaciones correspondientes y certificación acreditativa de la fecha de notificación de la Sentencia, previo emplazamiento de las partes, excepto el recurrente en amparo, para que pudieran personarse ante este Tribunal formulando las alegaciones que estimen pertinentes. Igualmente se acordó dar vista al Ministerio Fiscal para que en el plazo de un día natural formulase las alegaciones pertinentes.</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El Ministerio Fiscal presentó sus alegaciones el 19 de mayo de 2007. En las mismas interesa la desestimación del amparo. En primer lugar, siguiendo la argumentación de la Sentencia del Juzgado de lo Contencioso-Administrativo, razona que no hay tal imposibilidad material de cumplir el requisito de paridad exigido por la ley, puesto que la candidatura puede formarse también con candidatos independientes y no ha de restringirse tampoco a candidatos residentes o inscritos en dicha localidad, lo que desdibuja o hace perder fuerza al argumento de la parte en dimensión constitucional. Por otro lado, para el Ministerio Fiscal el art. 23.2 CE protege un derecho de configuración legal desarrollado por la LOREG y ésta implica una exigencia de requisitos que han de cumplir quienes deseen participar en las elecciones. Los de exigencia de un 40 por 100 mínimo de candidatos de un sexo buscan una composición equilibrada de las listas, en aras de una promoción de la mujer en la vida pública. Así, no puede decirse que la interpretación, que hace la Sentencia recurrida de los requisitos de la candidatura presentada y no subsanada, con respecto a la paridad exigida por el art. 44 bis LOREG, posea ribetes arbitrarios, irracionales o claramente restrictivos de los derechos del art. 23.2 CE, ni conduce inevitablemente a una consideración de desigualdad, en el contexto de acceso a los derechos electorales en los que nos movemos. A ello cabe añadir que las razones que ofrece la candidatura no proclamada para no cumplir con la </w:t>
      </w:r>
      <w:r>
        <w:lastRenderedPageBreak/>
        <w:t>exigencia legal tampoco parecen suficientes, ya que ni concreta con un mínimo de argumentación real y suficiente el alegato de imposibilidad física, salvo la genérica indicación de no haber encontrado candidatos masculinos —afiliados—, defecto que se resalta aún más en el amparo, ni el funcionamiento democrático de un partido puede justificar que éste no cumpla lo preceptuado por la ley.</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Se impugna en el presente recurso de amparo electoral la Sentencia núm. 33/2007, dictada el 16 de mayo de 2007 por el Juzgado Contencioso-Administrativo núm. 28 de los de Madrid, en los autos de procedimiento electoral 7-2007, sobre proclamación de la candidatura de Falange Española de las JONS a las elecciones municipales de 27 de mayo de 2007 en la localidad de Brunete, Sentencia que acordó desestimar el recurso contra el Acuerdo de no proclamación de dicha candidatura tomado por la Junta electoral de zona de Navalcarnero, por no mantener la composición equilibrada de cada uno de los sexos de forma que suponga el mínimo del 40 por 100, incumpliendo los requisitos establecidos por la Ley Orgánica del régimen electoral general (LOREG).</w:t>
      </w:r>
    </w:p>
    <w:p w:rsidR="00DE14C9" w:rsidRDefault="00DE14C9" w:rsidP="00DE14C9">
      <w:pPr>
        <w:pStyle w:val="TextoNormal"/>
      </w:pPr>
      <w:r>
        <w:t>El demandante de amparo se queja de que se han vulnerado el derecho al acceso a los cargos públicos en condiciones de igualdad (art. 23.2 CE), el deber de funcionamiento democrático de los partidos políticos (art. 6 CE), el deber de los poderes públicos de promover las condiciones para que la libertad e igualdad del individuo y de los grupos en los que se integra sean reales y efectivas facilitando la participación de todos los ciudadanos en la vida política, económica, cultural y social de la nación (art. 9.2 CE), el derecho de sufragio activo y pasivo (arts. 13 y 23.2 CE), y el derecho a la igualdad y a la no discriminación del art. 14 CE, en relación con los arts. 23.2 y 68 CE.</w:t>
      </w:r>
    </w:p>
    <w:p w:rsidR="00DE14C9" w:rsidRDefault="00DE14C9" w:rsidP="00DE14C9">
      <w:pPr>
        <w:pStyle w:val="TextoNormal"/>
      </w:pPr>
      <w:r>
        <w:t>El Ministerio Fiscal interesa la denegación del amparo porque no está clara la imposibilidad material alegada para completar la lista con suficientes candidatos varones, y los requisitos establecidos en el art. 44 bis LOREG no vulneran el derecho de configuración legal previsto en el art. 23.2 CE. Además, las razones que ofrece la candidatura no proclamada para no cumplir con la exigencia legal tampoco parecen suficientes.</w:t>
      </w:r>
    </w:p>
    <w:p w:rsidR="00DE14C9" w:rsidRDefault="00DE14C9" w:rsidP="00DE14C9">
      <w:pPr>
        <w:pStyle w:val="TextoNormal"/>
      </w:pPr>
    </w:p>
    <w:p w:rsidR="00DE14C9" w:rsidRDefault="00DE14C9" w:rsidP="00DE14C9">
      <w:pPr>
        <w:pStyle w:val="TextoNormal"/>
      </w:pPr>
      <w:r w:rsidRPr="00DE14C9">
        <w:rPr>
          <w:rStyle w:val="NumeroAFNegritaCaracter"/>
        </w:rPr>
        <w:t>2</w:t>
      </w:r>
      <w:r>
        <w:t>. La primera operación que debemos realizar para resolver el presente recurso de amparo es fijar de qué alegaciones, de las muchas que realiza el recurrente en su escrito de demanda, podemos ocuparnos en el presente procedimiento. Salta inmediatamente a la vista que las supuestas vulneraciones de los arts. 6, 9.2 y 13 CE no pueden ser examinadas en esta sede, desde el momento que el recurso de amparo, de acuerdo con lo previsto en los arts. 53.2 CE y 41.1 LOTC, se limita a proteger los derechos y libertades reconocidos en los arts. 14 a 29 CE y la objeción de conciencia reconocida en el art. 30 CE (por todas, SSTC 10/1985, de 28 de enero, FJ 4; 120/1990, de 27 de junio, FJ 4; 54/1993, de 15 de febrero, FJ 1; y, entre las más recientes, SSTC 59/2006, de 27 de febrero, FJ 5; 72/2006, de 13 de marzo, FJ 1; y 320/2006, de 15 de noviembre, FJ 2).</w:t>
      </w:r>
    </w:p>
    <w:p w:rsidR="00DE14C9" w:rsidRDefault="00DE14C9" w:rsidP="00DE14C9">
      <w:pPr>
        <w:pStyle w:val="TextoNormal"/>
      </w:pPr>
      <w:r>
        <w:t>Por tanto, respecto a todo este grupo de alegaciones del demandante de amparo concurre la causa de inadmisión, prevista en el art. 50.1 b) LOTC, y consistente en que la demanda se deduzca respecto de derechos o libertades no susceptibles de amparo constitucional.</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Hay que convenir con el Ministerio Fiscal en que, despejada la línea argumentativa del recurso de amparo que examinamos, el núcleo del mismo consiste en resolver si se ha </w:t>
      </w:r>
      <w:r>
        <w:lastRenderedPageBreak/>
        <w:t>vulnerado el derecho de acceso a cargos públicos en condiciones de igualdad y el derecho de sufragio, ambos ex art. 23.2 CE, pues, aparte de los que ya hemos declarado que no son susceptibles de amparo, la alegación del art. 14 CE se imbrica necesariamente en aquel, puesto que se ha dicho repetidas veces (por todas, en la STC 107/2003, de 2 de junio, FJ 4) que las genéricas alegaciones del art. 14 CE deben entenderse comprendidas en las más específicas invocaciones del art. 23.2 CE.</w:t>
      </w:r>
    </w:p>
    <w:p w:rsidR="00DE14C9" w:rsidRDefault="00DE14C9" w:rsidP="00DE14C9">
      <w:pPr>
        <w:pStyle w:val="TextoNormal"/>
      </w:pPr>
      <w:r>
        <w:t>Para el recurrente en amparo esto ha sido así porque, enfrentado a la tarea de elaborar la candidatura electoral en la localidad de Brunete, y teniendo solo tres afiliados varones en la misma, ha debido completarla con diez mujeres, lo que le impide cumplir los criterios del art. 44 bis LOREG en cuanto al equilibrio entre los sexos que deben cumplir las listas electorales.</w:t>
      </w:r>
    </w:p>
    <w:p w:rsidR="00DE14C9" w:rsidRDefault="00DE14C9" w:rsidP="00DE14C9">
      <w:pPr>
        <w:pStyle w:val="TextoNormal"/>
      </w:pPr>
      <w:r>
        <w:t>Del examen detallado de las actuaciones se deduce, sin embargo, y de manera indubitada, que dicha imposibilidad material que se alega no ha existido. Admitiendo que, efectivamente, Falange Española de las JONS disponga solamente de tres afiliados varones en Brunete, lo cierto es que existen indicios consistentes de que el resto de los miembros de la candidatura —mujeres todas ellas— no se encuentran afiliadas en dicha localidad, por lo que la citada lista electoral bien pudo haber sido completada, respetando lo previsto en la Ley Orgánica del régimen electoral general, con otros candidatos varones de fuera de Brunete, sin que sea de recibo la alegación de que se ha dado una verdadera y cierta imposibilidad de cumplir las prescripciones de dicha Ley, ello sin perjuicio de que no es requisito necesario el de que los miembros de las candidaturas hayan de ser afiliados a los partidos políticos.</w:t>
      </w:r>
    </w:p>
    <w:p w:rsidR="00DE14C9" w:rsidRDefault="00DE14C9" w:rsidP="00DE14C9">
      <w:pPr>
        <w:pStyle w:val="TextoNormal"/>
      </w:pPr>
      <w:r>
        <w:t>En los folios 33 y siguientes de las actuaciones se contienen las declaraciones de aceptación de formar parte de la candidatura, acompañadas de fotocopia del documento nacional de identidad de cada uno de los candidatos. De las diez mujeres candidatas constan los siguientes datos: 1) doña Sara de Frutos Martínez, domiciliada en Alcorcón; 2) doña Beatriz García Brugos, de la que no consta domicilio alguno en la ficha de aceptación y tampoco se aporta fotocopia del reverso del DNI, en que el mismo debía figurar; 3) doña Laura López Pizarro, domiciliada en Madrid; 4) doña Cristina Márquez Díez, domiciliada en Madrid; 5) doña Pilar Melendo Bustos, domiciliada en Móstoles; 6) doña Maximina Perea Madrid, domiciliada en Madrid; 7) doña Amalia Pico Sanabria, domiciliada en Madrid; 8) doña Carmen Plaza Martínez, domiciliada en Madrid; 9) doña Esperanza Rodríguez Pérez, domiciliada en Madrid; y 10) doña Gloria Sanabria Albarran, domiciliada en Madrid.</w:t>
      </w:r>
    </w:p>
    <w:p w:rsidR="00DE14C9" w:rsidRDefault="00DE14C9" w:rsidP="00DE14C9">
      <w:pPr>
        <w:pStyle w:val="TextoNormal"/>
      </w:pPr>
      <w:r>
        <w:t xml:space="preserve">Existen, por tanto, indicios claros de que ninguna de las candidatas que integran la lista electoral en Brunete se encuentra afiliada en dicha localidad y, desde luego, según consta en sus documentos de identidad y en su declaración en la hoja en la que aceptan formar parte de la candidatura, no están empadronadas en la misma. Es cierto que eso no constituye obstáculo para presentarse a las elecciones locales en dicha circunscripción, pero también lo es que constituye una prueba incontestable de que su relación con la misma se limita a integrar la lista de Falange Española de las JONS, y de que este partido, del mismo modo que optó por incluir diez mujeres en su candidatura, pudo también cumplir con las exigencias de la Ley Orgánica del régimen electoral general e integrar en la misma el número suficiente de varones para que se diera el equilibrio entre ambos sexos, puesto que parece claramente demostrado que no es que dicha agrupación política se viera constreñida, dada la composición de sus afiliados en Brunete, a presentar una lista electoral con diez mujeres, sino que esta decisión es, pura y simplemente, un intento de poner en cuestión la normativa prevista en la Ley Orgánica del régimen electoral general, que Falange Española de las JONS pudo haber cumplido sin mayores esfuerzos recurriendo a la posibilidad de integrar </w:t>
      </w:r>
      <w:r>
        <w:lastRenderedPageBreak/>
        <w:t>en su candidatura suficientes varones, fueran estos afiliados al partido de otras zonas del país o, como apunta el Juzgado de lo Contencioso, personalidades independientes.</w:t>
      </w:r>
    </w:p>
    <w:p w:rsidR="00DE14C9" w:rsidRDefault="00DE14C9" w:rsidP="00DE14C9">
      <w:pPr>
        <w:pStyle w:val="TextoNormal"/>
      </w:pPr>
    </w:p>
    <w:p w:rsidR="00DE14C9" w:rsidRDefault="00DE14C9" w:rsidP="00DE14C9">
      <w:pPr>
        <w:pStyle w:val="TextoNormal"/>
      </w:pPr>
      <w:r w:rsidRPr="00DE14C9">
        <w:rPr>
          <w:rStyle w:val="NumeroAFNegritaCaracter"/>
        </w:rPr>
        <w:t>4</w:t>
      </w:r>
      <w:r>
        <w:t>. La aplicación del art. 44 bis LOREG puede suponer ciertas dificultades para el cumplimiento del mismo por parte de los actores políticos —partidos y agrupaciones de electores— que se presentan a las elecciones. Buena prueba de ello son las mismas previsiones del legislador en el sentido de que el precepto solamente es aplicable, al menos en las elecciones municipales que se produzcan antes del año 2011, en poblaciones de más de cinco mil habitantes (disposición transitoria séptima LOREG, añadida por la disposición adicional segunda de la Ley Orgánica 3/2007, de 22 de marzo, para la igualdad efectiva de mujeres y hombres), previsiones que pretenden que el equilibrio de los sexos allí preceptuado no suponga una barrera infranqueable en comunidades en las que es más difícil de alcanzar.</w:t>
      </w:r>
    </w:p>
    <w:p w:rsidR="00DE14C9" w:rsidRDefault="00DE14C9" w:rsidP="00DE14C9">
      <w:pPr>
        <w:pStyle w:val="TextoNormal"/>
      </w:pPr>
      <w:r>
        <w:t>También sería posible sostener que el contraste con el derecho de sufragio pasivo de dicha norma podría, en algunas determinadas situaciones, llevar a considerar que era una exigencia, derivada de la Constitución, la de obviar el cumplimiento de dichos requisitos en el caso concreto, sin que fuera necesario plantear la inconstitucionalidad del art. 44 bis citado, entendido como expresión de una política de promoción de la igualdad efectiva entre hombres y mujeres en principio constitucionalmente admisible.</w:t>
      </w:r>
    </w:p>
    <w:p w:rsidR="00DE14C9" w:rsidRDefault="00DE14C9" w:rsidP="00DE14C9">
      <w:pPr>
        <w:pStyle w:val="TextoNormal"/>
      </w:pPr>
      <w:r>
        <w:t>Pero las circunstancias del caso que nos ocupa son muy diferentes, y conducen derechamente a la desestimación del recurso de amparo. En ellas un partido político pretende que le resulta imposible cumplir las exigencias de la Ley Orgánica del régimen electoral general cuando más parece que su intención, perfectamente legítima, es cuestionar por esta vía la constitucionalidad de dicha normativa, presentando una candidatura que la incumple cuando es, a todas luces, evidente que bien podía haber hecho lo contrario. En el limitado ámbito del recurso de amparo electoral nos basta con constatar que dicha imposibilidad no existe, como hemos hecho en el fundamento jurídico anterior, para rechazar las pretensiones del recurrente.</w:t>
      </w:r>
    </w:p>
    <w:p w:rsidR="00DE14C9" w:rsidRDefault="00DE14C9" w:rsidP="00DE14C9">
      <w:pPr>
        <w:pStyle w:val="TextoNormal"/>
      </w:pPr>
      <w:r>
        <w:t>Debemos apoyarnos, en procedimientos como éste, sumarios y en los que la resolución debe adoptarse en un plazo muy breve de tiempo, en las consideraciones tanto referentes a los hechos como al derecho aplicable que haga la jurisdicción ordinaria, que ha alcanzado en este caso la convicción, que solo limitadamente nos corresponde revisar, de que el demandante de amparo pudo formalizar una candidatura correcta, y que la negativa a proclamar la que finalmente presentó no vulnera sus derechos constitucionales.</w:t>
      </w:r>
    </w:p>
    <w:p w:rsidR="00DE14C9" w:rsidRDefault="00DE14C9" w:rsidP="00DE14C9">
      <w:pPr>
        <w:pStyle w:val="TextoNormal"/>
      </w:pPr>
      <w:r>
        <w:t>En este sentido, la pretensión del recurrente de que planteemos, ex art. 55.2 LOTC, la cuestión interna de inconstitucionalidad respecto a la normativa que le ha sido aplicada, se revela como un uso indebido de dicha posibilidad, puesto que no nos asaltan, en este concreto procedimiento y en los limitados términos en los que hemos debido enjuiciarla, dudas sobre la adecuación a la norma suprema de los preceptos contenidos en el art. 44 bis LOREG.</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lastRenderedPageBreak/>
        <w:t>Ha decidido</w:t>
      </w:r>
    </w:p>
    <w:p w:rsidR="00DE14C9" w:rsidRDefault="00DE14C9" w:rsidP="00DE14C9">
      <w:pPr>
        <w:pStyle w:val="TextoNormalCentrado"/>
        <w:keepNext/>
      </w:pPr>
    </w:p>
    <w:p w:rsidR="00DE14C9" w:rsidRDefault="00DE14C9" w:rsidP="00DE14C9">
      <w:pPr>
        <w:pStyle w:val="TextoNormal"/>
      </w:pPr>
      <w:r>
        <w:t>Denegar al amparo solicitado por don Norberto Pedro Pico Sanabria.</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veintidós de mayo de dos mil siete.</w:t>
      </w:r>
    </w:p>
    <w:p w:rsidR="00DE14C9" w:rsidRDefault="00DE14C9" w:rsidP="00DE14C9">
      <w:pPr>
        <w:pStyle w:val="ParrafoNormal"/>
      </w:pPr>
    </w:p>
    <w:p w:rsidR="00DE14C9" w:rsidRDefault="00DE14C9" w:rsidP="00DE14C9">
      <w:pPr>
        <w:pStyle w:val="TextoNormalNegritaCentrado"/>
        <w:keepNext/>
      </w:pPr>
      <w:r>
        <w:t>Voto particular que formula el Magistrado don Jorge Rodríguez-Zapata Pérez a la Sentencia dictada el 22 de mayo de 2007 en el recurso de amparo núm. 4513-2007.</w:t>
      </w:r>
    </w:p>
    <w:p w:rsidR="00DE14C9" w:rsidRDefault="00DE14C9" w:rsidP="00DE14C9">
      <w:pPr>
        <w:pStyle w:val="TextoNormalNegritaCentrado"/>
        <w:keepNext/>
      </w:pPr>
    </w:p>
    <w:p w:rsidR="00DE14C9" w:rsidRDefault="00DE14C9" w:rsidP="00DE14C9">
      <w:pPr>
        <w:pStyle w:val="TextoNormal"/>
      </w:pPr>
      <w:r>
        <w:t>1. La demanda de amparo se sustenta en la alegación acerca de la imposibilidad de integrar la candidatura del partido político Falange Española de las JONS al Ayuntamiento de Brunete con el número de varones necesario para cumplir la exigencia de paridad fijada por el art. 44 bis LOREG, al tiempo que se aduce la inconstitucionalidad misma del precepto. Sin embargo, la Sentencia de la que discrepo no enjuicia verdaderamente esta última cuestión, pese a su relevante alcance constitucional y a su carácter sustancial para la decisión del propio recurso de amparo.</w:t>
      </w:r>
    </w:p>
    <w:p w:rsidR="00DE14C9" w:rsidRDefault="00DE14C9" w:rsidP="00DE14C9">
      <w:pPr>
        <w:pStyle w:val="TextoNormal"/>
      </w:pPr>
      <w:r>
        <w:t>La Sentencia descarta la inconstitucionalidad del precepto y rechaza la pretensión de que planteemos cuestión interna de inconstitucionalidad (art. 55.2 LOTC) con el argumento de que “no nos asaltan, en este concreto procedimiento y en los limitados términos en los que hemos debido enjuiciarla, dudas sobre la adecuación a la norma suprema de los preceptos contenidos en el art. 44 bis LOREG”.</w:t>
      </w:r>
    </w:p>
    <w:p w:rsidR="00DE14C9" w:rsidRDefault="00DE14C9" w:rsidP="00DE14C9">
      <w:pPr>
        <w:pStyle w:val="TextoNormal"/>
      </w:pPr>
      <w:r>
        <w:t>A mi juicio se trata de una respuesta insuficiente por apodíctica. Las notas de preferencia y celeridad que acompañan al denominado recurso de amparo electoral no excluyen que sea un recurso de amparo más (STC 24/1990, de 15 de febrero, FJ 2). La perentoriedad de la pretensión de amparo no excluye el deber para el Tribunal de dar una completa solución al litigio, tan plena como la de cualquier otro amparo y al mismo tiempo tan urgente como resulta de su incrustación en el curso de un proceso electoral en marcha (ATC 668/1987, de 1 de junio, FJ único).</w:t>
      </w:r>
    </w:p>
    <w:p w:rsidR="00DE14C9" w:rsidRDefault="00DE14C9" w:rsidP="00DE14C9">
      <w:pPr>
        <w:pStyle w:val="TextoNormal"/>
      </w:pPr>
      <w:r>
        <w:t xml:space="preserve">Nos encontramos así con que cuando un Juez ha suscitado una cuestión de inconstitucionalidad sobre el art. 44 bis LOREG, hemos apreciado que, por no estar agotada la vía judicial, nos estaba vedado el examen de la cuestión en el proceso de amparo (recurso de amparo núm. 4040-2007). Ahora, cuando la vía judicial ha quedado debidamente agotada, se elude un análisis de fondo y se deniega el amparo mediante una argumentación que no puedo suscribir. Ya antes habíamos perdido la oportunidad de pronunciarnos sobre la misma cuestión al admitir —con mi Voto particular discrepante al ATC 359/2006, de 10 de octubre— el desistimiento del recurso de inconstitucionalidad planteado en relación con el art. 1 de la Ley balear 6/2002, de 21 de junio, en el que el Pleno entendió que no concurría interés constitucional que justificara la prosecución del proceso. Pero lo cierto es que el art. 44 bis LOREG incide en contenidos tan relevantes como los del derecho de sufragio activo y pasivo (art. 23 CE), la libertad de asociación política (art. 22 CE) en relación con el derecho de autoorganización de los partidos políticos o el incremento de la participación política de la mujer como elemento de enriquecimiento de la propia sociedad española, aspiración ensombrecida por supuestos como el ahora planteado, en el que se produce una especie de retrodiscriminación contraria a las mujeres por la consecuencia perversa, opuesta al espíritu </w:t>
      </w:r>
      <w:r>
        <w:lastRenderedPageBreak/>
        <w:t>y finalidad de la norma, de que diez mujeres no podrán ejercer su derecho de sufragio pasivo por falta de compañeros de lista de sexo masculino.</w:t>
      </w:r>
    </w:p>
    <w:p w:rsidR="00DE14C9" w:rsidRDefault="00DE14C9" w:rsidP="00DE14C9">
      <w:pPr>
        <w:pStyle w:val="TextoNormal"/>
      </w:pPr>
      <w:r>
        <w:t>2. Debo también destacar que la Sentencia (FJ 4), pese a no advertir sospecha de inconstitucionalidad en el precepto, paradójicamente, admite que los órganos judiciales puedan obviar el cumplimiento de los requisitos del art. 44 bis LOREG —sin necesidad de plantear cuestión de inconstitucionalidad— en determinados supuestos, que no especifica. Entiendo que tal posibilidad de inaplicar el precepto va más allá de lo que permite la interpretación de las leyes conforme a la Constitución, para incurrir, por el contrario, en un supuesto de interpretación contra legem, que hemos vedado a los órganos judiciales (por todas, SSTC 24/2004, de 24 de febrero, FJ 6; y 138/2005, de 26 de mayo, FJ 5) así como a nosotros mismos cuando hemos afirmado que no nos corresponde la creación de una norma nueva, con la consiguiente asunción de una función de legislador positivo que institucionalmente no corresponde a este Tribunal (SSTC 45/1989, de 20 de febrero, FJ 11; 96/1996, de 30 de mayo, FJ 22; 184/2003, de 23 de octubre, FJ 7).</w:t>
      </w:r>
    </w:p>
    <w:p w:rsidR="00DE14C9" w:rsidRDefault="00DE14C9" w:rsidP="00DE14C9">
      <w:pPr>
        <w:pStyle w:val="TextoNormal"/>
      </w:pPr>
      <w:r>
        <w:t>3. Mi discrepancia no se limita a que la Sala haya omitido un verdadero enjuiciamiento de fondo sobre la constitucionalidad del art. 44 bis LOREG sino que se extiende también a la motivación empleada para desestimar el recurso de amparo. En efecto, la Sentencia deniega el amparo solicitado por entender que no ha existido la aducida imposibilidad material de formar una candidatura electoral paritaria. De lo que se infiere que de haber existido tal imposibilidad nuestro pronunciamiento sí hubiera sido diferente.</w:t>
      </w:r>
    </w:p>
    <w:p w:rsidR="00DE14C9" w:rsidRDefault="00DE14C9" w:rsidP="00DE14C9">
      <w:pPr>
        <w:pStyle w:val="TextoNormal"/>
      </w:pPr>
      <w:r>
        <w:t>Pese a reconocer que el partido político afectado sólo cuenta en la circunscripción electoral con tres varones afiliados, la Sentencia afirma la posibilidad de cumplir el requisito de la paridad “sin mayores esfuerzos recurriendo a la posibilidad de integrar en su candidatura suficientes varones, fueran estos afiliados al partido de otras zonas del país o … personalidades independientes” (FJ 3 de la Sentencia).</w:t>
      </w:r>
    </w:p>
    <w:p w:rsidR="00DE14C9" w:rsidRDefault="00DE14C9" w:rsidP="00DE14C9">
      <w:pPr>
        <w:pStyle w:val="TextoNormal"/>
      </w:pPr>
      <w:r>
        <w:t>De este modo se le exige a la parte demandante una prueba imposible, verdadera probatio diabolica, de acreditar que en la candidatura no quiso integrarse ningún varón elegible, con residencia en cualquier parte del territorio nacional, afiliado o no al partido político correspondiente. Sin embargo el propio legislador —y la Sentencia de la mayoría así lo reconoce— ha sido sensible a las dificultades de aplicar la exigencia paritaria en municipios que no superen los cinco mil residentes, excluyendo en estas elecciones locales la aplicación del precepto en esas circunscripciones. Pues bien, con el modo de razonar de la Sentencia aprobada tal exención legal no estaría justificada, pues en todos los casos habría que presumir la posibilidad de cumplir el requisito de la paridad “sin mayores esfuerzos recurriendo a la posibilidad de integrar en la candidatura suficientes varones, fueran estos afiliados al partido de otras zonas del país o … personalidades independientes” (FJ 3 antes indicado).</w:t>
      </w:r>
    </w:p>
    <w:p w:rsidR="00DE14C9" w:rsidRDefault="00DE14C9" w:rsidP="00DE14C9">
      <w:pPr>
        <w:pStyle w:val="TextoNormal"/>
      </w:pPr>
      <w:r>
        <w:t>Madrid, a veintidós de mayo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41" w:name="SENTENCIA_2007_128"/>
      <w:r>
        <w:lastRenderedPageBreak/>
        <w:t>SENTENCIA 128/2007, de 4 de junio de 2007</w:t>
      </w:r>
    </w:p>
    <w:bookmarkEnd w:id="41"/>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161, de 6 de julio de 2007)</w:t>
      </w:r>
    </w:p>
    <w:p w:rsidR="00DE14C9" w:rsidRDefault="00DE14C9" w:rsidP="00DE14C9">
      <w:pPr>
        <w:pStyle w:val="TtuloBOE"/>
      </w:pPr>
    </w:p>
    <w:p w:rsidR="00DE14C9" w:rsidRDefault="00DE14C9" w:rsidP="00DE14C9">
      <w:pPr>
        <w:pStyle w:val="SntesisDescriptiva"/>
      </w:pPr>
      <w:r>
        <w:t>ECLI:ES:TC:2007:128</w:t>
      </w:r>
    </w:p>
    <w:p w:rsidR="00DE14C9" w:rsidRDefault="00DE14C9" w:rsidP="00DE14C9">
      <w:pPr>
        <w:pStyle w:val="SntesisDescriptiva"/>
      </w:pPr>
    </w:p>
    <w:p w:rsidR="00DE14C9" w:rsidRDefault="00DE14C9" w:rsidP="00DE14C9">
      <w:pPr>
        <w:pStyle w:val="SntesisDescriptiva"/>
      </w:pPr>
      <w:r>
        <w:t>Recurso de amparo 1656-2001. Promovido por don José Antonio Fernández Martínez frente a la Sentencia de la Sala de lo Social del Tribunal Superior de Justicia de Murcia que desestimó su demanda contra el Obispado de Cartagena y otros sobre despido.</w:t>
      </w:r>
    </w:p>
    <w:p w:rsidR="00DE14C9" w:rsidRDefault="00DE14C9" w:rsidP="00DE14C9">
      <w:pPr>
        <w:pStyle w:val="SntesisDescriptiva"/>
      </w:pPr>
    </w:p>
    <w:p w:rsidR="00DE14C9" w:rsidRDefault="00DE14C9" w:rsidP="00DE14C9">
      <w:pPr>
        <w:pStyle w:val="SntesisAnaltica"/>
      </w:pPr>
      <w:r>
        <w:t>Supuesta vulneración de los derechos a la igualdad, la intimidad personal y familiar, la libertad religiosa y de expresión: cese como profesor de religión católica de un sacerdote secularizado por hacerse pública su condición de casado y con hijos y su pertenencia a un movimiento contrario a la ortodoxia (STC 38/2007). Voto particular.</w:t>
      </w:r>
    </w:p>
    <w:p w:rsidR="00DE14C9" w:rsidRDefault="00DE14C9" w:rsidP="00DE14C9">
      <w:pPr>
        <w:pStyle w:val="SntesisAnaltica"/>
      </w:pPr>
    </w:p>
    <w:p w:rsidR="00DE14C9" w:rsidRDefault="00DE14C9" w:rsidP="00DE14C9">
      <w:pPr>
        <w:pStyle w:val="Extracto"/>
      </w:pPr>
      <w:r>
        <w:t>1.</w:t>
      </w:r>
      <w:r>
        <w:tab/>
        <w:t>La decisión tomada por un Obispado de cesar a un profesor de religión no es expresión del ejercicio de potestad pública alguna, sin embargo, pese a que el autor real de la decisión a la que originariamente se imputa la supuesta lesión de derechos fundamentales no es un poder público, basta la intervención de éste en un momento posterior para que se entienda satisfecho el presupuesto de recurso de amparo exigido por el art. 41.2 LOTC (STC 51/1988) [FJ 1].</w:t>
      </w:r>
    </w:p>
    <w:p w:rsidR="00DE14C9" w:rsidRDefault="00DE14C9" w:rsidP="00DE14C9">
      <w:pPr>
        <w:pStyle w:val="Extracto"/>
      </w:pPr>
    </w:p>
    <w:p w:rsidR="00DE14C9" w:rsidRDefault="00DE14C9" w:rsidP="00DE14C9">
      <w:pPr>
        <w:pStyle w:val="Extracto"/>
      </w:pPr>
      <w:r>
        <w:t>2.</w:t>
      </w:r>
      <w:r>
        <w:tab/>
        <w:t>La especial idoneidad para la enseñanza de la religión católica no es una condición subjetiva, derivada de la hipotética aplicación de una norma jurídica estatal, cuyo no reconocimiento por la autoridad eclesiástica pueda, en su caso, vulnerar tal norma, sino que es una condición que se inserta en un ámbito puramente religioso, y depende de una valoración del mismo signo [FJ 4].</w:t>
      </w:r>
    </w:p>
    <w:p w:rsidR="00DE14C9" w:rsidRDefault="00DE14C9" w:rsidP="00DE14C9">
      <w:pPr>
        <w:pStyle w:val="Extracto"/>
      </w:pPr>
    </w:p>
    <w:p w:rsidR="00DE14C9" w:rsidRDefault="00DE14C9" w:rsidP="00DE14C9">
      <w:pPr>
        <w:pStyle w:val="Extracto"/>
      </w:pPr>
      <w:r>
        <w:t>3.</w:t>
      </w:r>
      <w:r>
        <w:tab/>
        <w:t>Se parte de una opción personal que lógicamente implica una autolimitación respecto de opciones diferentes, opción previa que a la hora del posible ejercicio de otros derechos fundamentales puede justificar la modulación de las consecuencias de éstos para no desvirtuar o desnaturalizar dicha opción inicial [FJ 4].</w:t>
      </w:r>
    </w:p>
    <w:p w:rsidR="00DE14C9" w:rsidRDefault="00DE14C9" w:rsidP="00DE14C9">
      <w:pPr>
        <w:pStyle w:val="Extracto"/>
      </w:pPr>
    </w:p>
    <w:p w:rsidR="00DE14C9" w:rsidRDefault="00DE14C9" w:rsidP="00DE14C9">
      <w:pPr>
        <w:pStyle w:val="Extracto"/>
      </w:pPr>
      <w:r>
        <w:t>4.</w:t>
      </w:r>
      <w:r>
        <w:tab/>
        <w:t>El juicio del Tribunal Constitucional no se circunscribe a un examen externo de la suficiencia y consistencia de la motivación de la resolución o las resoluciones judiciales impugnadas bajo el prisma del art. 24.1 CE, sino que debe resolver el eventual conflicto entre los derechos afectados determinando si, efectivamente, aquéllos se han vulnerado atendiendo al contenido que constitucionalmente corresponda a cada uno de ellos (STC 240/1992) [FJ 8].</w:t>
      </w:r>
    </w:p>
    <w:p w:rsidR="00DE14C9" w:rsidRDefault="00DE14C9" w:rsidP="00DE14C9">
      <w:pPr>
        <w:pStyle w:val="Extracto"/>
      </w:pPr>
    </w:p>
    <w:p w:rsidR="00DE14C9" w:rsidRDefault="00DE14C9" w:rsidP="00DE14C9">
      <w:pPr>
        <w:pStyle w:val="Extracto"/>
      </w:pPr>
      <w:r>
        <w:t>5.</w:t>
      </w:r>
      <w:r>
        <w:tab/>
        <w:t>Reitera la doctrina elaborada en STC 38/2007 con ocasión del enjuiciamiento de la constitucionalidad del sistema de contratación y selección del profesorado de religión católica en los centros de enseñanza pública [FFJJ 5, 9, 10, 11].</w:t>
      </w:r>
    </w:p>
    <w:p w:rsidR="00DE14C9" w:rsidRDefault="00DE14C9" w:rsidP="00DE14C9">
      <w:pPr>
        <w:pStyle w:val="Extracto"/>
      </w:pPr>
    </w:p>
    <w:p w:rsidR="00DE14C9" w:rsidRDefault="00DE14C9" w:rsidP="00DE14C9">
      <w:pPr>
        <w:pStyle w:val="Extracto"/>
      </w:pPr>
      <w:r>
        <w:t>6.</w:t>
      </w:r>
      <w:r>
        <w:tab/>
        <w:t xml:space="preserve">Al Tribunal únicamente le compete constatar la naturaleza estrictamente religiosa de las razones en las que la autoridad religiosa ha fundado la no propuesta como </w:t>
      </w:r>
      <w:r>
        <w:lastRenderedPageBreak/>
        <w:t>profesor de religión y moral católicas y que sus derechos fundamentales a la libertad ideológica y religiosa y a la libertad de expresión sólo se han visto afectados y modulados en la estricta medida necesaria para salvaguardar su compatibilidad con la libertad religiosa de la Iglesia católica [FJ 12].</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1656-2001, promovido por don José Antonio Fernández Martínez, representado por la Procuradora de los Tribunales doña Mónica de la Paloma Fente Delgado y asistido por la Letrada doña Raquel Rodríguez Sánchez, contra la Sentencia de la Sala de lo Social del Tribunal Superior de Justicia de la Comunidad Autónoma de Murcia núm. 262/2001, de 26 de febrero, recaída en el rollo de suplicación núm. 158- 2001 contra la Sentencia del Juzgado de lo Social núm. 3 de Murcia núm. 279/2000, de 28 de septiembre, en autos núm. 557-2000 sobre despido. Han comparecido y formulado alegaciones el Obispado de Cartagena, representado por el Procurador de los Tribunales don Jorge Deleito García y asistido por el Letrado don Pedro Manuel López Romero, la Comunidad Autónoma de la Región de Murcia, representada por la Letrada de la Comunidad Autónoma doña María José Hernández Pérez, el Abogado del Estado y el Ministerio Fiscal. Ha actuado como Ponente el Magistrado don Vicente Conde Martín de Hijas,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el Registro General de este Tribunal el día 23 de marzo de 2001 doña Mónica de la Paloma Fente Delgado, Procuradora de los Tribunales, en nombre y representación de don José Antonio Fernández Martínez, interpuso recurso de amparo contra la resolución judicial a la que se ha hecho mención en el encabezamiento de esta Sentencia.</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En la demanda de amparo se recoge la relación de antecedentes fácticos que a continuación sucintamente se extracta: </w:t>
      </w:r>
    </w:p>
    <w:p w:rsidR="00DE14C9" w:rsidRDefault="00DE14C9" w:rsidP="00DE14C9">
      <w:pPr>
        <w:pStyle w:val="TextoNormal"/>
      </w:pPr>
      <w:r>
        <w:t xml:space="preserve">a) El demandante de amparo se ordenó sacerdote en el año 1961 y en el año 1984 pidió la dispensa al sacerdocio, que le fue concedida en agosto de 1997. </w:t>
      </w:r>
    </w:p>
    <w:p w:rsidR="00DE14C9" w:rsidRDefault="00DE14C9" w:rsidP="00DE14C9">
      <w:pPr>
        <w:pStyle w:val="TextoNormal"/>
      </w:pPr>
      <w:r>
        <w:lastRenderedPageBreak/>
        <w:t xml:space="preserve">b) En mayo de 1985 contrajo matrimonio civil, del cual han nacido cinco hijos. Además el demandante de amparo es miembro activo del Movimiento Pro-celibato Opcional (MOCEOP), integrado por sacerdotes y ex-sacerdotes católicos. </w:t>
      </w:r>
    </w:p>
    <w:p w:rsidR="00DE14C9" w:rsidRDefault="00DE14C9" w:rsidP="00DE14C9">
      <w:pPr>
        <w:pStyle w:val="TextoNormal"/>
      </w:pPr>
      <w:r>
        <w:t xml:space="preserve">c) El demandante de amparo el día 1 de octubre de 1991, a propuesta del Obispo de Cartagena, inició la prestación de servicios como profesor de religión y moral católicas en el Instituto de Formación Profesional de Caravaca (Murcia), continuando en los cursos sucesivos en los centros de dicha ciudad hasta el año 1995. En el curso 1996-1997 pasó a prestar servicio como profesor de religión y moral católicas en el Instituto de Mula (Murcia), siendo cesado por el Obispo en virtud de un oficio de 29 de noviembre de 1997, que dispuso la no renovación de su contrato actual. </w:t>
      </w:r>
    </w:p>
    <w:p w:rsidR="00DE14C9" w:rsidRDefault="00DE14C9" w:rsidP="00DE14C9">
      <w:pPr>
        <w:pStyle w:val="TextoNormal"/>
      </w:pPr>
      <w:r>
        <w:t xml:space="preserve">d) En el comunicado de prensa remitido por el Obispado a diversos medios de comunicación en fecha 11 de noviembre de 1997 se justificaba el despido del demandante de amparo como profesor de religión y moral católicas por su participación en el Movimiento Pro-celibato Opcional o, como dice el comunicado, por hacer pública su situación, añadiendo que a los sacerdotes secularizados no les está permitido impartir clases de religión y moral católicas según la norma preceptiva (rescriptos), a no ser en casos muy excepcionales en los que el Obispo, ante circunstancias especiales y siempre que no exista peligro de escándalo, lo conceda como una gracia. </w:t>
      </w:r>
    </w:p>
    <w:p w:rsidR="00DE14C9" w:rsidRDefault="00DE14C9" w:rsidP="00DE14C9">
      <w:pPr>
        <w:pStyle w:val="TextoNormal"/>
      </w:pPr>
      <w:r>
        <w:t xml:space="preserve">El rescripto que concede la dispensa ha sido adoptado en fecha 20 de agosto de 1997, en extraña coincidencia temporal con el inicio del curso 1997-1998, para justificar, como base canónica, el despido del demandante de amparo que sí podía impartir clases de religión católica siendo un cura casado, pero no al extinguirse la condición de sacerdote. </w:t>
      </w:r>
    </w:p>
    <w:p w:rsidR="00DE14C9" w:rsidRDefault="00DE14C9" w:rsidP="00DE14C9">
      <w:pPr>
        <w:pStyle w:val="TextoNormal"/>
      </w:pPr>
      <w:r>
        <w:t xml:space="preserve">La decisión del Obispo de cesar al demandante de amparo ha causado un vivo rechazo entre los profesores y padres de alumnos, con la repercusión que aparece en los reportajes periodísticos que se adjuntan a la demanda. </w:t>
      </w:r>
    </w:p>
    <w:p w:rsidR="00DE14C9" w:rsidRDefault="00DE14C9" w:rsidP="00DE14C9">
      <w:pPr>
        <w:pStyle w:val="TextoNormal"/>
      </w:pPr>
      <w:r>
        <w:t xml:space="preserve">e) El demandante de amparo, tras haber interpuesto recurso contencioso-administrativo contra la decisión de su cese, que concluyó con la declaración de incompetencia de este orden jurisdiccional, promovió demanda de despido, alegando la vulneración de los derechos a no sufrir discriminación (art. 14 CE), a la vida privada (art. 18 CE) y a las libertades ideológica y de expresión (arts. 16 y 20 CE), que fue estimada por la Sentencia del Juzgado de lo Social núm. 3 de Murcia núm. 279/2000, de 28 de septiembre, que declaró nulo el despido y, en consecuencia, condenó a la Comunidad Autónoma de la Región de Murcia a la inmediata readmisión del trabajador en su antiguo puesto de trabajo y a la Administración del Estado a que le abonase los salarios dejados de percibir desde la fecha de su cese hasta que tuviera lugar la readmisión, con absolución del Obispado de Cartagena. </w:t>
      </w:r>
    </w:p>
    <w:p w:rsidR="00DE14C9" w:rsidRDefault="00DE14C9" w:rsidP="00DE14C9">
      <w:pPr>
        <w:pStyle w:val="TextoNormal"/>
      </w:pPr>
      <w:r>
        <w:t>f) El Obispado de Cartagena, la Comunidad Autónoma de la Región de Murcia y la Administración del Estado interpusieron recursos de suplicación contra la anterior Sentencia, que fueron estimados por la Sentencia de la Sala de lo Social del Tribunal Superior de Justicia de la Región de Murcia, núm. 262/2001, de 26 de febrero, que absolvió a los demandados, al considerar, en síntesis, que no había existido despido, sino sólo una no renovación de un contrato temporal, descartando la vulneración de los derechos fundamentales invocados en la demanda.</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En la fundamentación jurídica de la demanda de amparo se invoca frente a la Sentencia de la Sala de lo Social del Tribunal Superior de Justicia de la Región de Murcia, la vulneración del derecho a no sufrir discriminación (art. 14 CE), del derecho a la vida privada (art. 18 CE) y de la libertad de expresión [art. 20.1 a) CE]. </w:t>
      </w:r>
    </w:p>
    <w:p w:rsidR="00DE14C9" w:rsidRDefault="00DE14C9" w:rsidP="00DE14C9">
      <w:pPr>
        <w:pStyle w:val="TextoNormal"/>
      </w:pPr>
      <w:r>
        <w:lastRenderedPageBreak/>
        <w:t xml:space="preserve">Se reproduce al respecto la fundamentación jurídica de la Sentencia del Juzgado de lo Social, según la cual “efectivamente a la luz de los hechos reiterados el Sr. Fernández Martínez, ha sido discriminado por razón de su estado civil y por su pertenencia a la asociación Movimiento pro-celibato opcional, cuya aparición en la prensa ha sido el detonante de su cese, y así se ha vulnerado por el Obispado de Cartagena art. 14 [sic] que encabeza el capítulo II del título II de la Constitución española”, “aparecen también vulnerados el derecho a la vida privada recogido en el artículo 18.1 y a la libertad de expresión del art. 20.1 a), ambos del texto constitucional”. </w:t>
      </w:r>
    </w:p>
    <w:p w:rsidR="00DE14C9" w:rsidRDefault="00DE14C9" w:rsidP="00DE14C9">
      <w:pPr>
        <w:pStyle w:val="TextoNormal"/>
      </w:pPr>
      <w:r>
        <w:t xml:space="preserve">A continuación en la demanda de amparo, bajo la rúbrica “Vulneración del derecho a la libertad de expresión art. 20.1 a) CE, 10.1 CEDH y 19 PIDCP”, se afirma que la jurisprudencia del Tribunal Europeo de Derechos Humanos ha resaltado la importancia que la libertad de expresión tiene en una sociedad democrática. Para sustentar tal aseveración se reproduce la doctrina de la STEDH de 20 de septiembre de 1999, caso Bobo contra España, § 43. </w:t>
      </w:r>
    </w:p>
    <w:p w:rsidR="00DE14C9" w:rsidRDefault="00DE14C9" w:rsidP="00DE14C9">
      <w:pPr>
        <w:pStyle w:val="TextoNormal"/>
      </w:pPr>
      <w:r>
        <w:t xml:space="preserve">El art. 19 PIDCP, se argumenta seguidamente, es sin duda el texto más explícito, al disponer que nadie podrá ser molestado a causa de sus opiniones y que toda persona tiene derecho a la libertad de expresión, que incluye el derecho a difundir informaciones e ideas de toda índole por cualquier procedimiento de difusión. El Comité de Derechos Humanos de Naciones Unidas en su comentario general 10 ha dicho que este derecho a no ser molestado a causa de las opiniones es “un derecho para el que el Pacto no admite excepciones ni restricciones”. En este mismo comentario general ha declarado que las limitaciones a esa libertad han de cumplir como requisito que estén fijadas por la ley, que únicamente pueden imponerse por algunas de las razones contempladas en los apartados a) y b) del art. 9.3, y, por último, que deben justificarse como socialmente necesarias a fin de que el Estado parte pueda alcanzar uno de esos propósitos. </w:t>
      </w:r>
    </w:p>
    <w:p w:rsidR="00DE14C9" w:rsidRDefault="00DE14C9" w:rsidP="00DE14C9">
      <w:pPr>
        <w:pStyle w:val="TextoNormal"/>
      </w:pPr>
      <w:r>
        <w:t xml:space="preserve">En el presente caso el demandante de amparo se ha visto privado de sus medios laborales de subsistencia a consecuencia de haber participado en una reunión del Movimiento Pro-celibato Opcional y del simple hecho de aparecer junto a su familia en una información gráfica del diario “La Verdad” de Murcia en noviembre de 1996, un año antes de producirse el despido. Despido que tiene como punto de partida una concepción desfasada y poco realista del ámbito de autonomía propio de un profesor de religión católica en un centro público, pues el Obispo conocía que el demandante de amparo era un cura casado, con cinco hijos y pendiente de dispensa; el centro, los alumnos y los padres de los alumnos también conocían esa condición; y, en fin, sabían además que era miembro del Movimiento Pro-Celibato Opcional. Sin embargo el acto maldito que da lugar a esta especie de anatema es aparecer por azar en una fotografía que acompaña a una información sobre las actividades de los curas casados integrantes de dicho Movimiento. </w:t>
      </w:r>
    </w:p>
    <w:p w:rsidR="00DE14C9" w:rsidRDefault="00DE14C9" w:rsidP="00DE14C9">
      <w:pPr>
        <w:pStyle w:val="TextoNormal"/>
      </w:pPr>
      <w:r>
        <w:t xml:space="preserve">En relación con el derecho a la vida privada se invoca en la demanda la STEDH de 16 de diciembre de 1992, caso Nimietz, en la que el Tribunal declaró que, aun cuando no era necesario establecer un concepto de vida privada, sería muy restrictivo limitarlo al círculo íntimo en donde cada uno puede desenvolver su vida personal, pues el derecho a la vida privada también engloba el derecho del individuo a establecer relaciones con sus semejantes, incluyendo las actividades comerciales o profesionales. Es evidente que el cese del demandante de amparo por hacer pública su condición de miembro del Movimiento Pro-Celibato Opcional constituye una injerencia no justificada en su vida privada, pues la pertenencia a dicho movimiento es un asunto atinente exclusivamente a la vida privada del actor, sin que sea incompatible con su condición de profesor de religión y moral católicas. </w:t>
      </w:r>
    </w:p>
    <w:p w:rsidR="00DE14C9" w:rsidRDefault="00DE14C9" w:rsidP="00DE14C9">
      <w:pPr>
        <w:pStyle w:val="TextoNormal"/>
      </w:pPr>
      <w:r>
        <w:lastRenderedPageBreak/>
        <w:t xml:space="preserve">El cese del demandante de amparo constituye un acto discriminatorio, pues el factor utilizado para el trato desigual (aparecer públicamente como cura casado) no es razonable ni legítimo en una sociedad basada en la preeminencia de los derechos fundamentales. </w:t>
      </w:r>
    </w:p>
    <w:p w:rsidR="00DE14C9" w:rsidRDefault="00DE14C9" w:rsidP="00DE14C9">
      <w:pPr>
        <w:pStyle w:val="TextoNormal"/>
      </w:pPr>
      <w:r>
        <w:t>Concluye el escrito de demanda interesando del Tribunal Constitucional que declare la nulidad de la Sentencia de la Sala de lo Social del Tribunal Superior de Justicia de la Región de Murcia núm. 262/2001, de 26 de febrero, y que debe ser ejecutada la Sentencia del Juzgado de lo Social núm. 3 de Murcia núm. 279/2000, de 28 de septiembre.</w:t>
      </w:r>
    </w:p>
    <w:p w:rsidR="00DE14C9" w:rsidRDefault="00DE14C9" w:rsidP="00DE14C9">
      <w:pPr>
        <w:pStyle w:val="TextoNormal"/>
      </w:pPr>
    </w:p>
    <w:p w:rsidR="00DE14C9" w:rsidRDefault="00DE14C9" w:rsidP="00DE14C9">
      <w:pPr>
        <w:pStyle w:val="TextoNormal"/>
      </w:pPr>
      <w:r w:rsidRPr="00DE14C9">
        <w:rPr>
          <w:rStyle w:val="NumeroAFNegritaCaracter"/>
        </w:rPr>
        <w:t>4</w:t>
      </w:r>
      <w:r>
        <w:t>. La Sala Segunda del Tribunal Constitucional, por providencia de 30 de enero de 2003, acordó admitir a trámite la demanda y, en aplicación de lo dispuesto en el art. 51 LOTC, dirigir sendas comunicaciones a la Sala de lo Social del Tribunal Superior de Justicia de la Región de Murcia y al Juzgado de lo Social núm. 3 de Murcia, a fin de que, en plazo que no excediera de diez días, remitiesen, respectivamente, certificación o fotocopia adverada de las actuaciones correspondientes al rollo de suplicación núm. 158-2001 y a los autos núm. 557-2000, debiendo previamente el Juzgado de lo Social emplazar a quienes hubieran sido parte en el proceso, con excepción del demandante de amparo, para que, si lo deseasen, pudieran comparecer en el plazo de diez días en este recurso de amparo.</w:t>
      </w:r>
    </w:p>
    <w:p w:rsidR="00DE14C9" w:rsidRDefault="00DE14C9" w:rsidP="00DE14C9">
      <w:pPr>
        <w:pStyle w:val="TextoNormal"/>
      </w:pPr>
    </w:p>
    <w:p w:rsidR="00DE14C9" w:rsidRDefault="00DE14C9" w:rsidP="00DE14C9">
      <w:pPr>
        <w:pStyle w:val="TextoNormal"/>
      </w:pPr>
      <w:r w:rsidRPr="00DE14C9">
        <w:rPr>
          <w:rStyle w:val="NumeroAFNegritaCaracter"/>
        </w:rPr>
        <w:t>5</w:t>
      </w:r>
      <w:r>
        <w:t>. Por providencia de la Sala Segunda del Tribunal Constitucional, de 6 de marzo de 2003, se tuvo por personado y parte al Procurador de los Tribunales don Jorge Deleito García, en nombre y representación del Obispado de Cartagena, así como al Abogado del Estado y a la Letrada de la Comunidad Autónoma de la Región de Murcia; se acordó dar vista de las actuaciones recibidas a las partes personadas y al Ministerio Fiscal por plazo común de veinte días, dentro del cual pudieron efectuar las alegaciones que tuvieron por conveniente, de conformidad con lo dispuesto en el art. 52.1 LOTC; y se puso de manifiesto a las partes personadas y al Ministerio Fiscal la posible existencia de una vulneración del art. 16.1 CE (libertad ideológica y religiosa), concediéndoles un plazo de diez días para que formulasen las alegaciones que estimaran pertinentes respecto a la posible existencia de dicha vulneración.</w:t>
      </w:r>
    </w:p>
    <w:p w:rsidR="00DE14C9" w:rsidRDefault="00DE14C9" w:rsidP="00DE14C9">
      <w:pPr>
        <w:pStyle w:val="TextoNormal"/>
      </w:pPr>
    </w:p>
    <w:p w:rsidR="00DE14C9" w:rsidRDefault="00DE14C9" w:rsidP="00DE14C9">
      <w:pPr>
        <w:pStyle w:val="TextoNormal"/>
      </w:pPr>
      <w:r w:rsidRPr="00DE14C9">
        <w:rPr>
          <w:rStyle w:val="NumeroAFNegritaCaracter"/>
        </w:rPr>
        <w:t>6</w:t>
      </w:r>
      <w:r>
        <w:t xml:space="preserve">. El Abogado del Estado evacuó los trámites de alegaciones conferidos mediante escritos de fecha 21 de marzo y 2 de abril de 2003, respectivamente, que a continuación sucintamente se extractan: </w:t>
      </w:r>
    </w:p>
    <w:p w:rsidR="00DE14C9" w:rsidRDefault="00DE14C9" w:rsidP="00DE14C9">
      <w:pPr>
        <w:pStyle w:val="TextoNormal"/>
      </w:pPr>
      <w:r>
        <w:t xml:space="preserve">a) Comienza por resaltar la relación que existe entre el presente recurso de amparo y la cuestión de inconstitucionalidad núm. 4831-2002, a cuyo escrito de alegaciones se remite, para insistir en los puntos de especial interés en orden a la resolución del caso que ahora nos ocupa. </w:t>
      </w:r>
    </w:p>
    <w:p w:rsidR="00DE14C9" w:rsidRDefault="00DE14C9" w:rsidP="00DE14C9">
      <w:pPr>
        <w:pStyle w:val="TextoNormal"/>
      </w:pPr>
      <w:r>
        <w:t xml:space="preserve">Los dos primeros párrafos del art. III del Acuerdo sobre enseñanza y asuntos culturales entre el Estado español y la Santa Sede de 3 de enero de 1979 deben entenderse en indisociable relación con diversos cánones y, sobre todo, con el parágrafo 2 del canon 804 y con el canon 805 del Código de Derecho canónico (CDC), normas canónicas cuyo destinatario directo es el Ordinario diocesano al que el art. III del Acuerdo de 1979 atribuye el poder de propuesta. Es más, ese poder de propuesta reservado a la autoridad eclesiástica sólo se explica como vehículo para la aplicación de los cánones 804.2 y 805 CDC. En España el poder de propuesta del Ordinario presupone la apreciación positiva de idoneidad concretada en la declaración episcopal de idoneidad o DEI, habilitación docente creada por la Conferencia Episcopal Española y recogida en la cláusula cuarta del Convenio aprobado por Orden de 9 </w:t>
      </w:r>
      <w:r>
        <w:lastRenderedPageBreak/>
        <w:t xml:space="preserve">de abril de 1999. La declaración episcopal de idoneidad puede ser revocada o retirada, caso de que el profesor de religión católica se entienda eclesiásticamente inhabilitado para la docencia y no sea incluido en la propuesta anual de designaciones. </w:t>
      </w:r>
    </w:p>
    <w:p w:rsidR="00DE14C9" w:rsidRDefault="00DE14C9" w:rsidP="00DE14C9">
      <w:pPr>
        <w:pStyle w:val="TextoNormal"/>
      </w:pPr>
      <w:r>
        <w:t xml:space="preserve">El canon 805 atribuye al Ordinario del lugar el derecho a nombrar o aprobar a los profesores de religión, y le impone en términos absolutos el deber de removerlos o de exigir su remoción si religionis morumve ratio id requirat, es decir, “si lo requiere una razón o motivo religioso o moral [lit., una razón de religión o costumbres]”. El canon 804.2 nos precisa algo más en qué puede consistir esa religionis morumve ratio id requirat para el Ordinario diocesano, cuando le exhorta a que procure solícitamente que los profesores de religión católica recta doctrina, vitae christianae testimonio atque arte pedagógica sint praestantes, “destaquen por su recta doctrina, testimonio de vida cristiana y aptitud pedagógica”. Resulta, pues, claro que, cuando la doctrina o vida de un profesor de religión católica no se conformen con las pautas que el Ordinario diocesano aprecie y juzgue como rectas y cristianas habrá de ser removido, lo que en nuestro Derecho significa que, de acuerdo con el art. III del acuerdo de la Santa Sede, no será propuesto para el siguiente curso escolar. </w:t>
      </w:r>
    </w:p>
    <w:p w:rsidR="00DE14C9" w:rsidRDefault="00DE14C9" w:rsidP="00DE14C9">
      <w:pPr>
        <w:pStyle w:val="TextoNormal"/>
      </w:pPr>
      <w:r>
        <w:t xml:space="preserve">b) La apreciación del Ordinario del lugar acerca de si un profesor de religión católica imparte o no recta doctrina y si da o no testimonio de vida cristiana es inmune, en su núcleo, al control de los Tribunales españoles. Pero, lejos de ser contraria a la Constitución, esa inmunidad es mera y necesaria consecuencia del derecho fundamental a la libertad religiosa y del principio de neutralidad religiosa del Estado. </w:t>
      </w:r>
    </w:p>
    <w:p w:rsidR="00DE14C9" w:rsidRDefault="00DE14C9" w:rsidP="00DE14C9">
      <w:pPr>
        <w:pStyle w:val="TextoNormal"/>
      </w:pPr>
      <w:r>
        <w:t xml:space="preserve">La libertad religiosa, además de un aspecto individual, muestra otro que cabría llamar comunitario o colectivo. En esta segunda faceta son titulares de la libertad religiosa las iglesias, confesiones y comunidades religiosas (art. 2.2 Ley Orgánica 7/1980, de 5 de julio, de libertad religiosa —LOLR; SSTC 64/1988, de 12 de abril, FJ 2; 46/2001, de 15 de febrero, FJ 5; 128/2002, de 4 de junio, FJ 3). En el aspecto individual el art. 2.1 c) LOLR reconoce el derecho a recibir enseñanza religiosa y a elegir —para sí y para los menores incapacitados bajo dependencia “dentro y fuera del ámbito escolar”— la educación religiosa y moral que esté de acuerdo con las propias convicciones (art. 27.3 CE). En la faceta comunitaria o colectiva las iglesias, confesiones y comunidades gozan del derecho fundamental a “designar y formar a sus ministros” y a “divulgar y propagar su propio credo” (art. 2.2 LOLR). La formación religiosa en los centros docentes públicos es, según el art. 2.3 LOLR, una medida “para la aplicación real y efectiva de estos derechos”, tanto los individuales del art. 2.1 LOLR como los comunitarios o colectivos del art. 2.2 LOLR. Finalmente el art. 6.1 LOLR reconoce plena autonomía a las iglesias, confesiones y comunidades, cuyas normas internas, como el CDC, “podrán incluir cláusulas de salvaguardia de su identidad religiosa y carácter propio, así como del debido respeto a sus creencias”, pero “sin perjuicio del respeto a los derechos y libertades reconocidos por la Constitución y, en especial, los de libertad, igualdad y no discriminación”. </w:t>
      </w:r>
    </w:p>
    <w:p w:rsidR="00DE14C9" w:rsidRDefault="00DE14C9" w:rsidP="00DE14C9">
      <w:pPr>
        <w:pStyle w:val="TextoNormal"/>
      </w:pPr>
      <w:r>
        <w:t xml:space="preserve">El art. 16.3 CE recoge, por su parte, el principio de neutralidad religiosa o aconfesionalidad del Estado, si bien se trata de una neutralidad complementada con dos mandatos a los poderes públicos: tener en cuenta “las creencias religiosas de la sociedad española” y mantener “relaciones de cooperación con la Iglesia Católica y las demás confesiones”. Al citado precepto se ha referido el Tribunal Constitucional, afirmando que declara la neutralidad religiosa del Estado —la cual veda “cualquier tipo de confusión entre funciones religiosas y estatales— aunque en un contexto de laicidad positiva o cooperativa” (SSTC 42/2001, de 15 de febrero, FJ 4; 154/2002, de 18 de julio, FJ 6). Debe considerarse exigencia derivada directamente de la neutralidad religiosa del Estado y, por ende, imperativo constitucional, </w:t>
      </w:r>
      <w:r>
        <w:lastRenderedPageBreak/>
        <w:t xml:space="preserve">que los órganos estatales (incluidos los Tribunales del justicia) no se inmiscuyan o entrometan en asuntos religiosos o puramente eclesiásticos. </w:t>
      </w:r>
    </w:p>
    <w:p w:rsidR="00DE14C9" w:rsidRDefault="00DE14C9" w:rsidP="00DE14C9">
      <w:pPr>
        <w:pStyle w:val="TextoNormal"/>
      </w:pPr>
      <w:r>
        <w:t xml:space="preserve">Sería ciertamente incompatible, tanto con la libertad religiosa colectiva o comunitaria como con el principio de neutralidad religiosa del Estado, que un Juez o Tribunal del Poder Judicial español pudiera revisar, controlar o modificar la apreciación de un obispo católico o evangélico, de un rabino o de un imán acerca de lo que es o no es la recta doctrina cristiana (católica o evangélica), judía o islámica, o decidir acerca de lo que es o no es testimonio de auténtica vida cristiana, cumplimiento de la Torá o vida conforme al modelo del Profeta. Estas son materias religiosas inaccesibles para el Juez estatal. Las iglesias, confesiones y comunidades tienen derecho a divulgar y propagar su propio credo (art. 2.2 LOLR), tanto en lo que atañe al dogma y doctrina como en lo que toca a la moral religiosamente fundamentada que profesen; pero el propio credo es lo que definen como tal las autoridades religiosas competentes para ello, según las reglas de la propia iglesia, confesión o comunidad. Por otro lado el derecho individual a recibir enseñanza o a elegir educación religiosa [arts. 27.3 CE y 2.1 c) LOLR] sólo puede ser satisfecho entendiéndolo como derecho a una correcta enseñanza de la doctrina de una religión y a una correcta formación moral de base religiosa, pero, al menos en términos generales, la doctrina y moral religiosas correctas son aquellas que las autoridades de cada religión estiman y califican como tales. La libertad religiosa, tanto individual como colectiva o comunitaria, y el principio constitucional de neutralidad religiosa del Estado vedan de consuno a todos los poderes públicos españoles cualesquiera intromisiones en materias religiosas. </w:t>
      </w:r>
    </w:p>
    <w:p w:rsidR="00DE14C9" w:rsidRDefault="00DE14C9" w:rsidP="00DE14C9">
      <w:pPr>
        <w:pStyle w:val="TextoNormal"/>
      </w:pPr>
      <w:r>
        <w:t xml:space="preserve">De lo expuesto se sigue que la determinación del Ordinario diocesano de si la enseñanza de un profesor de religión católica se ajusta o no a la recta doctrina es inmune a toda fiscalización jurisdiccional. Lo mismo debe decirse respecto a si el profesor da o no el testimonio de vida cristiana que según el canon 804.2 le es exigible. Si la razón de religión o moral en cuya virtud el Ordinario diocesano puede remover o exigir que se remueva a un profesor de religión católica se fundamenta en tales apreciaciones, propiamente religiosas o basadas en la religión, el Juez estatal no puede entrar a examinarlas en cuanto tales. Allí donde los Jueces y Tribunales deben respetar la decisión de una autoridad religiosa, la deferencia se sustenta no sólo y no tanto en una norma internacional convencional cuanto en fundamentos constitucionales (libertad religiosa individual y colectiva, principio de neutralidad religiosa como prohibición de inmiscuirse en asuntos religiosos o eclesiásticos), a los que los Jueces y Tribunales españoles están vinculados (arts. 9.1, 10.1 y 53.1 CE; 5.1 y 7.1 LOPJ). </w:t>
      </w:r>
    </w:p>
    <w:p w:rsidR="00DE14C9" w:rsidRDefault="00DE14C9" w:rsidP="00DE14C9">
      <w:pPr>
        <w:pStyle w:val="TextoNormal"/>
      </w:pPr>
      <w:r>
        <w:t xml:space="preserve">Es preciso concordar el respeto a la libertad religiosa en su vertiente colectiva y la neutralidad religiosa del Estado con la protección jurisdiccional de los derechos constitucionales y laborales de los profesores, atendida la modulación que los derechos fundamentales sufren en la relación de trabajo (SSTC 98/2000, de 10 de abril, FJ 6; 20/2002, de 28 de enero, FJ 4). Para quedar amparada por la libertad religiosa colectiva o comunitaria, una decisión de la autoridad religiosa que trae por consecuencia la no renovación de un contrato laboral (al no proponer la contratación de quien venía ejerciendo como profesor de religión en cursos anteriores) necesita estar claramente justificada en motivos de carácter religioso, incluidos aquí los principios morales aceptados por la religión de que se trate. </w:t>
      </w:r>
    </w:p>
    <w:p w:rsidR="00DE14C9" w:rsidRDefault="00DE14C9" w:rsidP="00DE14C9">
      <w:pPr>
        <w:pStyle w:val="TextoNormal"/>
      </w:pPr>
      <w:r>
        <w:t xml:space="preserve">Por otro lado la religionis morumve ratio del canon 805 CDC nunca puede amparar decisiones episcopales discriminatorias o contrarias a los derechos fundamentales, puesto que la doctrina de la Iglesia Católica condena “toda forma de discriminación en los derechos fundamentales de las personas” y considera “lamentable” que “los derechos fundamentales no estén todavía bien protegidos en todas las partes” (Constitución pastoral Gaudium et Spes del Concilio Vaticano II, núm. 29, párrafo segundo; similarmente Catecismo de la </w:t>
      </w:r>
      <w:r>
        <w:lastRenderedPageBreak/>
        <w:t xml:space="preserve">Iglesia Católica, núm. 1935). Los quebrantamientos de tales derechos por el Ordinario diocesano con ocasión del uso del poder episcopal de propuesta reconocido por el art. III del acuerdo con la Santa Sede necesariamente supondrán mal uso de la potestad y serán perfectamente controlables por los Jueces y Tribunales españoles. En otras palabras, el orden público constitucional representa un límite al poder de propuesta del Ordinario diocesano incluso sin salir de la perspectiva intraeclesiástica católica. </w:t>
      </w:r>
    </w:p>
    <w:p w:rsidR="00DE14C9" w:rsidRDefault="00DE14C9" w:rsidP="00DE14C9">
      <w:pPr>
        <w:pStyle w:val="TextoNormal"/>
      </w:pPr>
      <w:r>
        <w:t xml:space="preserve">De acuerdo con la doctrina constitucional (desde la STC 5/1981, de 13 de febrero, FFJJ 7 y 9) la neutralidad religiosa de los puestos docentes en los centros públicos tiene, pues, la excepción de las enseñanzas religiosas de “seguimiento libre”. En la enseñanza religiosa coinciden y se potencian recíprocamente los derechos fundamentales de los artículos 16.1 y 27.3 CE: derecho de la libertad religiosa del individuo a recibir enseñanza religiosa [arts. 2.1 c) LOLR y 6.1 c) Ley Orgánica 8/1985, de 2 de julio, sobre el derecho a la educación (LODE)], derecho de libertad religiosa y educativo de los padres a que sus hijos se eduquen según sus propias creencias religiosas [arts. 2.1 c) LOLR y 4 c) LODE]; derecho de las iglesias, confesiones y comunidades a propagar su propio credo (art. 2.2 LOLR). </w:t>
      </w:r>
    </w:p>
    <w:p w:rsidR="00DE14C9" w:rsidRDefault="00DE14C9" w:rsidP="00DE14C9">
      <w:pPr>
        <w:pStyle w:val="TextoNormal"/>
      </w:pPr>
      <w:r>
        <w:t xml:space="preserve">Los puestos de profesores de religión requieren una determinada cualificación profesional, como la requieren otros tipos de puestos administrativos. En el caso de la religión católica la DEI es simplemente un reconocimiento eclesiástico de esa cualificación profesional. Exigir que los profesores de religión católica cuenta con una DEI y que ésta pueda ser retirada o revocada por razones religiosas o morales (canon 805 CDC) responde a la naturaleza misma del puesto de trabajo, que es un trabajo claramente “ideológico o de tendencia”. Los alumnos católicos [arts. 16.1 CE, 2.1 c) LOLR y 6.1 c) LODE], los padres católicos [arts. 16.1 y 27.3 CE, 2.1 c) LOLR y 4 c) LODE] y la propia Iglesia Católica (arts. 16.1 CE y 2.2 LOLR) tienen derecho a exigir que la enseñanza de la doctrina católica o la trasmisión de los valores católicos se efectúe correctamente y sin perturbaciones. La idoneidad religiosa y moral para enseñar religión católica sólo puede ser apreciada por la autoridad eclesiástica, pues de otra manera no se respetaría, ni la libertad religiosa, ni el principio de neutralidad estatal del art. 16.3 CE. </w:t>
      </w:r>
    </w:p>
    <w:p w:rsidR="00DE14C9" w:rsidRDefault="00DE14C9" w:rsidP="00DE14C9">
      <w:pPr>
        <w:pStyle w:val="TextoNormal"/>
      </w:pPr>
      <w:r>
        <w:t xml:space="preserve">La exposición efectuada sobre la libertad religiosa y el derecho del art. 27.3 CE se ajusta perfectamente a la Declaración de Derechos Humanos (arts. 18 y 26.3), al Pacto Internacional de Derechos Civiles y Políticos (art. 18, apartados 1 y 4) y al Convenio Europeo de 1950 (art. 9 del Convenio y art. 2 del Protocolo Adicional núm. 1), que reconocen la dimensión colectiva o comunitaria de la libertad religiosa. De otra parte la Directiva 2000/1978 del Consejo, de 27 de noviembre de 2000, en los puntos 23 y 24 de su preámbulo, reconoce el carácter no discriminatorio de los requisitos profesionales basados en la religión para determinadas circunstancias. Su art. 4.2 permite establecer requisitos profesionales basados en la religión “cuando, por la naturaleza de estas actividades o el contexto en el que se desarrollen, dicha característica constituya un requisito profesional esencial, legítimo y justificado respecto de la ética de la organización” y declara el derecho “de las iglesias y de las demás organizaciones públicas o privadas cuya ética se base en la religión o las convicciones” a “exigir [...] a las personas que trabajen para ellas una actitud de buena fe y de lealtad hacia la ética de la organización”. </w:t>
      </w:r>
    </w:p>
    <w:p w:rsidR="00DE14C9" w:rsidRDefault="00DE14C9" w:rsidP="00DE14C9">
      <w:pPr>
        <w:pStyle w:val="TextoNormal"/>
      </w:pPr>
      <w:r>
        <w:t xml:space="preserve">c) A continuación el Abogado del Estado procede a trasladar las anteriores consideraciones generales a la cuestión planteada en la presente demanda de amparo. En este sentido comienza por referirse al acto de los poderes públicos al que se reprocha en este caso la violación de derechos fundamentales, precisando que el autor material de la decisión lesiva de éstos es la Mitra de Cartagena, pues el demandante de amparo no ha podido continuar </w:t>
      </w:r>
      <w:r>
        <w:lastRenderedPageBreak/>
        <w:t xml:space="preserve">prestando su trabajo como profesor de religión porque el Ordinario de Cartagena ha revocado su DEI y, por ende, no lo ha propuesto para el curso 1997-1998. De acuerdo con el hecho probado 2 de la Sentencia del Juzgado de lo Social el Obispado denomina “baja definitiva” a la consecuencia de su decisión sobre la actividad profesoral recurrente. El Director Provincial del Ministerio de Educación y Ciencia “notificó su cese” al recurrente el día 9 de octubre de 1997. </w:t>
      </w:r>
    </w:p>
    <w:p w:rsidR="00DE14C9" w:rsidRDefault="00DE14C9" w:rsidP="00DE14C9">
      <w:pPr>
        <w:pStyle w:val="TextoNormal"/>
      </w:pPr>
      <w:r>
        <w:t xml:space="preserve">Aunque el autor real de la decisión a la que originariamente quepa imputar la lesión del derecho fundamental no sea un poder público español, pues no lo es el Ordinario de Cartagena, basta su intervención en un momento posterior para que se entienda satisfecho el presupuesto del recurso de amparo exigido por el art. 41.2 LOTC (SSTC 51/1988, de 22 de marzo, FJ 1; 177/1988, de 10 de octubre, FJ 3; 213/2002, de 11 de noviembre, FJ 2). En este caso la posterior intervención de la Administración General del Estado —vinculada por la decisión episcopal— y de los Tribunales laborales sirve para satisfacer procesalmente tal requisito. </w:t>
      </w:r>
    </w:p>
    <w:p w:rsidR="00DE14C9" w:rsidRDefault="00DE14C9" w:rsidP="00DE14C9">
      <w:pPr>
        <w:pStyle w:val="TextoNormal"/>
      </w:pPr>
      <w:r>
        <w:t xml:space="preserve">d) En orden a la resolución del presente recurso de amparo es relativamente indiferente la calificación más correcta que en términos de legalidad laboral ordinaria merezca la decisión del Ordinario del lugar (la revocación de la DEI). Su incidencia sobre la relación laboral es manifiesta y evidente, pues supone la eliminación del requisito profesional de idoneidad sin el cual no es posible desempeñar el puesto de profesor de religión católica. En términos procesales, con esto basta para el recurso de amparo. </w:t>
      </w:r>
    </w:p>
    <w:p w:rsidR="00DE14C9" w:rsidRDefault="00DE14C9" w:rsidP="00DE14C9">
      <w:pPr>
        <w:pStyle w:val="TextoNormal"/>
      </w:pPr>
      <w:r>
        <w:t xml:space="preserve">De otra parte el presente asunto, desde la perspectiva de la doctrina constitucional sobre la carga de la prueba en materia de relaciones empresariales a las que se imputa la vulneración de derechos fundamentales (SSTC 14/2002, de 28 de enero, FJ 3; 29/2002, de 11 de febrero, FJ 3; 66/2002, de 21 de marzo, FJ 3; 17/2003, de 30 de enero, FJ 4), resulta singular, pues no se trata tanto de alegar y probar que la decisión enjuiciada “tuvo causas reales absolutamente extrañas” a la pretendida vulneración, sino que, por el contrario, lo que en él se suscita es una posible colisión o conflicto de derechos fundamentales, ya que la decisión episcopal de revocar la DEI está amparada en el derecho de libertad religiosa (art. 16.1 CE), visto a la luz del principio constitucional de neutralidad religiosa del Estado (art. 16.3 CE). </w:t>
      </w:r>
    </w:p>
    <w:p w:rsidR="00DE14C9" w:rsidRDefault="00DE14C9" w:rsidP="00DE14C9">
      <w:pPr>
        <w:pStyle w:val="TextoNormal"/>
      </w:pPr>
      <w:r>
        <w:t xml:space="preserve">e) Para el Abogado del Estado cabe descartar, sin necesidad de prolijos argumentos, las violaciones del derecho a la igualdad (art. 14 CE) y a la intimidad personal y familiar (art. 18.1 CE). </w:t>
      </w:r>
    </w:p>
    <w:p w:rsidR="00DE14C9" w:rsidRDefault="00DE14C9" w:rsidP="00DE14C9">
      <w:pPr>
        <w:pStyle w:val="TextoNormal"/>
      </w:pPr>
      <w:r>
        <w:t xml:space="preserve">En cuanto al primero la demanda no plantea un problema de desigualdad de trato, toda vez que no ofrece ningún término de comparación adecuado. Por otro lado los hechos mismos desmienten que la revocación o retirada de la DEI obedezca a un intento discriminatorio por razón del estado civil, pues el recurrente fue propuesto como profesor de religión en octubre de 1991, cuando llevaba ya casado civilmente varios años, y no puede suponerse que el Ordinario proponente lo ignorara. La propia demanda enlaza la revocación de la habilitación eclesiástica con la publicidad que el recurrente dio a su condición de “cura casado” en la información dada por el periódico “La Verdad” del 11 de noviembre de 1996. Esta claro, pues, que la retirada de la DEI no responde a ningún propósito discriminatorio, sino que, más bien, puede considerarse una reacción del Obispo de Cartagena frente a tal manifestación pública y su incidencia en la llamada “ética de la organización”. </w:t>
      </w:r>
    </w:p>
    <w:p w:rsidR="00DE14C9" w:rsidRDefault="00DE14C9" w:rsidP="00DE14C9">
      <w:pPr>
        <w:pStyle w:val="TextoNormal"/>
      </w:pPr>
      <w:r>
        <w:t xml:space="preserve">Tampoco hay violación del derecho a la intimidad personal y familiar (art. 18.1 CE), pues es el propio recurrente quien, por su libérrima voluntad, decidió aparecer en una información periodística fotografiado con su mujer e hijos y quien quiso aparecer públicamente como miembro del movimiento de clérigos casados pro celibato opcional. El no proponer al actor como profesor de religión católica, tras haber dado “escándalo” (punto 2 de la nota </w:t>
      </w:r>
      <w:r>
        <w:lastRenderedPageBreak/>
        <w:t xml:space="preserve">oficial de la Oficina de Información Diocesana del Obispado de Cartagena) no es un injerencia en la vida privada del demandante de amparo, sino una reacción a un comportamiento libremente elegido por el mismo de dar publicidad periodística a sus circunstancias familiares y a su pertenencia a una organización de clérigos casados que pretende, al parecer, el cambio de una norma disciplinaria de la Iglesia Católica latina (cánones 1 y 277 CDC) y hasta un hondo cambio en la estructura y funcionamiento de esta Iglesia (“una Iglesia democrática y no teocrática”, con elección popular de presbíteros y obispos), amen de expresar o participar en opiniones no conformes con el magisterio eclesiástico católico. </w:t>
      </w:r>
    </w:p>
    <w:p w:rsidR="00DE14C9" w:rsidRDefault="00DE14C9" w:rsidP="00DE14C9">
      <w:pPr>
        <w:pStyle w:val="TextoNormal"/>
      </w:pPr>
      <w:r>
        <w:t xml:space="preserve">f) Para el Abogado del Estado el punto esencial que suscita el presente recurso de amparo es justamente el de la posible lesión de la libertad ideológica (art. 16.1 CE), en conexión con la libertad de expresión [art. 20.1 a) CE]. La controversia constitucional ha de encuadrarse en el tratamiento de las libertades ideológica y de expresión de los trabajadores de unas singulares empresas, las llamadas empresas de tendencia, que comprenden desde la Iglesia Católica a cualquier partido político. </w:t>
      </w:r>
    </w:p>
    <w:p w:rsidR="00DE14C9" w:rsidRDefault="00DE14C9" w:rsidP="00DE14C9">
      <w:pPr>
        <w:pStyle w:val="TextoNormal"/>
      </w:pPr>
      <w:r>
        <w:t xml:space="preserve">Sobre este problema hay alguna doctrina constitucional, que se remonta a las SSTC 5/1981, de 13 de febrero, FJ 10 y 47/1985, de 27 de marzo, FJ 4. La primera de estas Sentencias declara que los profesores están obligados a respetar el ideario del centro y que “la libertad del Profesor no faculta, por tanto, para dirigir ataques abiertos o solapados contra este ideario”. La STC 47/1985 afirma que “una actividad docente hostil o contraria al ideario de un Centro docente privado puede ser causa legítima de despido del profesor al que se le impute tal conducta o tal hecho singular”, aunque “la simple disconformidad de un Profesor respecto al ideario del Centro no puede ser causa de despido, si no se ha exteriorizado o puesto de manifiesto en alguna de las actividades del Centro”. Finalmente, la STC 106/1996, de 12 de junio, señala cómo en las empresas de tendencia procede distinguir entre prestaciones laborales ideológicamente neutras y aquellas otras que envuelven ideología o tendencia. </w:t>
      </w:r>
    </w:p>
    <w:p w:rsidR="00DE14C9" w:rsidRDefault="00DE14C9" w:rsidP="00DE14C9">
      <w:pPr>
        <w:pStyle w:val="TextoNormal"/>
      </w:pPr>
      <w:r>
        <w:t xml:space="preserve">Sin duda la Iglesia Católica o las Diócesis (canon 373 CDC) pueden considerarse empresas de tendencia respecto a sus trabajadores. Pero el caso de los profesores de religión es singular, porque nos hallamos ante un trabajo de tendencia con acusadísimos perfiles. </w:t>
      </w:r>
    </w:p>
    <w:p w:rsidR="00DE14C9" w:rsidRDefault="00DE14C9" w:rsidP="00DE14C9">
      <w:pPr>
        <w:pStyle w:val="TextoNormal"/>
      </w:pPr>
      <w:r>
        <w:t xml:space="preserve">El Ordinario tiene obligación canónica de remover o exigir que se remueva a los profesores de religión si lo exige un motivo religioso o moral, “si religionis morumve ratio id requirat” (canon 805 CDC). Los profesores de religión —al obtener su habilitación eclesiástica (DEI) en España— asumen libremente el compromiso de “recta doctrina” y “testimonio de vida cristiana” (canon 804.2 CDC). Síguese de ello que el juicio del Ordinario sobre si existe religionis morumve ratio para la remoción del profesor ha de ser respetado por los Tribunales del Estado en la medida en que sea auténticamente tal, es decir, pertenezca indiscutiblemente a la esfera religiosa y moral católicas (la “ética de la organización” según la Directiva 2000/78/CE del Consejo, de 27 de noviembre de 2000). </w:t>
      </w:r>
    </w:p>
    <w:p w:rsidR="00DE14C9" w:rsidRDefault="00DE14C9" w:rsidP="00DE14C9">
      <w:pPr>
        <w:pStyle w:val="TextoNormal"/>
      </w:pPr>
      <w:r>
        <w:t xml:space="preserve">En principio, la motivación de la decisión episcopal que aquí consideramos ha de buscarse en la nota de la oficina de información diocesana de 11 de noviembre de 1997. Allí se dice que el Sr. Fernández Martínez, “sacerdote secularizado”, impartía clases de religión y moral católicas “en virtud de las facultades que les otorgan a los Obispos los rescriptos” y que estas facultades episcopales “se pueden llevar a la práctica” para impartir religión y moral católicas “siempre y cuando se realicen en determinados casos y sin ‘peligro de escándalo’”. Pero que, “una vez que se hizo pública y notoria la situación de D. José Antonio Fernández Martínez, este hecho impide al Obispo de la Diócesis poder hacer uso de las referidas facultades que le concede el rescripto”; decisión que se ha adoptado también “por </w:t>
      </w:r>
      <w:r>
        <w:lastRenderedPageBreak/>
        <w:t xml:space="preserve">respeto a la sensibilidad de muchos padres de familia que se sentirían contrariados al conocer públicamente la situación en que se encuentra D. José Antonio Fernández Martínez”. </w:t>
      </w:r>
    </w:p>
    <w:p w:rsidR="00DE14C9" w:rsidRDefault="00DE14C9" w:rsidP="00DE14C9">
      <w:pPr>
        <w:pStyle w:val="TextoNormal"/>
      </w:pPr>
      <w:r>
        <w:t xml:space="preserve">El rescripto al que se refiere la nota es el procedente de Su Santidad el Papa el 20 de agosto de 1997, notificado el 15 de septiembre de 1997, por el que se dispensó del celibato y “de todas las cargas conexas a la sagrada ordenación” al Sr. Fernández Martínez; decisión pontificia rigurosamente excepcional (cfr. Canon 291 in fine CDC). En el punto 5 del rescripto, tras prescribir a la autoridad eclesiástica notificadora que exhorte al solicitante para que participe en la vida del Pueblo de Dios congruentemente en su nueva condición, dé ejemplo y se muestre amantísimo hijo de la Iglesia, ordena que se haga saber al notificado, entre otros puntos, el siguiente: </w:t>
      </w:r>
    </w:p>
    <w:p w:rsidR="00DE14C9" w:rsidRDefault="00DE14C9" w:rsidP="00DE14C9">
      <w:pPr>
        <w:pStyle w:val="TextoNormal"/>
      </w:pPr>
      <w:r>
        <w:t xml:space="preserve">“En los institutos de estudios de grado inferior dependientes de la autoridad eclesiástica, (el sacerdote dispensado) no puede desempeñar cargo directivo ni actividad docente, salvo que el Ordinario, a su prudente juicio y sin riesgo de escándalo acordara decidir otra cosa en cuanto al cargo docente en cuestión. A esta misma norma se atendrá el sacerdote dispensado al dar religión en institutos del mismo tipo no dependientes de la autoridad eclesiástica”. </w:t>
      </w:r>
    </w:p>
    <w:p w:rsidR="00DE14C9" w:rsidRDefault="00DE14C9" w:rsidP="00DE14C9">
      <w:pPr>
        <w:pStyle w:val="TextoNormal"/>
      </w:pPr>
      <w:r>
        <w:t xml:space="preserve">El rescripto del Romano Pontífice, pues, obliga al sacerdote que obtuvo dispensa a no dar clase de religión en institutos estatales —luego traspasados a la Región— salvo que el Ordinario decida otra cosa, a su prudente juicio y “sin riesgo alguno de escándalo” (traducción del ablativo absoluto remoto scandalo). </w:t>
      </w:r>
    </w:p>
    <w:p w:rsidR="00DE14C9" w:rsidRDefault="00DE14C9" w:rsidP="00DE14C9">
      <w:pPr>
        <w:pStyle w:val="TextoNormal"/>
      </w:pPr>
      <w:r>
        <w:t xml:space="preserve">Para analizar adecuadamente este asunto, es ciertamente preciso pasar por encima de las insuficiencias, ambigüedades y oscuridades que aquejan a la nota emitida por la oficina de información diocesana el 11 de noviembre de 1997, y recuperar el verdadero fundamento de la decisión episcopal, tal y como lo han entendido sin discrepancia todas las partes. En efecto, el motivo de la retirada de la declaración episcopal de idoneidad y la consiguiente falta de propuesta del Sr. Fernández Martínez como profesor de religión católica para el curso que se iniciaba en septiembre de 1997 ha de buscarse en la información que el 11 de noviembre de 1996 —exactamente un año antes de la nota informativa y diocesana y recién iniciado el curso 1996/1997— publicó el periódico “La Verdad” (hecho probado 9 de la Sentencia laboral de instancia, documento núm. 5 de la demanda y anexo IV de la demanda de amparo). Esta información es la tácitamente aludida en la nota oficial del Obispado de 11 de noviembre de 1997 al referirse al “escándalo” dado por el Sr. Fernández Martínez al hacer pública su situación. </w:t>
      </w:r>
    </w:p>
    <w:p w:rsidR="00DE14C9" w:rsidRDefault="00DE14C9" w:rsidP="00DE14C9">
      <w:pPr>
        <w:pStyle w:val="TextoNormal"/>
      </w:pPr>
      <w:r>
        <w:t xml:space="preserve">Pues bien, al aludir a la situación del hoy actor —y así lo han comprendido todas las partes— la nota episcopal, no sólo apunta a la exhibición pública de su condición de casado y padre (fotografía con su mujer e hijos), sino también a que el actor (1) era una de las personas que, en su condición de miembro del Movimiento pro Celibato Opcional (Moceop), se proponían celebrar —de manera canónicamente irregular— una eucaristía en un Monasterio y “organizar una jornada de convivencia con sus esposas e hijos”; (2) estaba entre los “diez sacerdotes secularizados que se mantuvieron con sus familias ante la puerta del monasterio para informar de su situación a los medios de comunicación y a cuantos se acercaron a interesarse por el tema”, autorizando a algunos de sus hijos “para que desplegasen una pancarta”, marchando luego a comer juntos y “planteándose celebrar una eucaristía en la intimidad”; (3) demandaba “un celibato opcional y una iglesia democrática y no teocrática en la que los seglares participen en la elección de su párroco y de su obispo”; y (4) aparecía dentro del grupo “Pedro Hernández Cano y los otros compañeros del Moceop” —expresión indudablemente inclusiva del Sr. Fernández Martínez, citado nominatim y con expresión de su condición de “ex rector del Seminario” en otro pasaje de la información— </w:t>
      </w:r>
      <w:r>
        <w:lastRenderedPageBreak/>
        <w:t xml:space="preserve">que emite opiniones sobre el aborto (“es un problema personal y que no debía ser prohibido por la Ley”), control de la natalidad (“es necesario” y “cada persona debe libremente elegir el método que considere más idóneo”) y sexo (“ni el Papa cree que se pueda uno condenar por ello [el sexo], porque de ser así, no hubiese congelado las seis mil peticiones de secularización que existen”), disconformes con el magisterio eclesiástico. </w:t>
      </w:r>
    </w:p>
    <w:p w:rsidR="00DE14C9" w:rsidRDefault="00DE14C9" w:rsidP="00DE14C9">
      <w:pPr>
        <w:pStyle w:val="TextoNormal"/>
      </w:pPr>
      <w:r>
        <w:t xml:space="preserve">g) Desde dos perspectivas cabe estudiar si la publicidad que el actor dio a su situación familiar, a sus opiniones contrarias al magisterio católico y a su coparticipación en un intento de celebración sacramental irregular justificaban jurídicamente la decisión episcopal de retirarle la declaración episcopal de idoneidad, y, en consecuencia, de no proponerle como profesor de religión católica para el curso 1997-1998, lo que suponía su cese en tal actividad. El primer punto de vista es más propio del Derecho del trabajo (aunque en perspectiva constitucional) o, si se quiere, del profesor, y en él se trataría de examinar las limitaciones que la voluntaria asunción de un trabajo de tendencia impone a la expresión pública de unas determinadas ideas. La segunda perspectiva —la prevalente para la Iglesia que ha concedido el mandato o missio canonica— es la de la libertad religiosa institucional-comunitaria, pues se trata de saber si es conciliable con la libertad religiosa de una determinada confesión que los tribunales seculares (estatales) limiten su derecho a conceder o negar idoneidad a las personas que asumen voluntariamente, y en las que la confesión delega, la misión de enseñar (munus docendi) o transmitir (trajere) esa religión. Y, como punto añadido, si es conforme con el principio de neutralidad religiosa del Estado que un Tribunal laboral venga a revisar un genuino juicio de idoneidad religiosa formulado por la autoridad competente de la iglesia, confesión o religión de que se trate. </w:t>
      </w:r>
    </w:p>
    <w:p w:rsidR="00DE14C9" w:rsidRDefault="00DE14C9" w:rsidP="00DE14C9">
      <w:pPr>
        <w:pStyle w:val="TextoNormal"/>
      </w:pPr>
      <w:r>
        <w:t xml:space="preserve">Desde la primera de las perspectivas apuntadas, ya la STC 120/1983, de 15 de diciembre, FJ 2, afirmó que no era discutible que “la existencia de una relación contractual entre trabajador y empresario genera un complejo de derechos y obligaciones recíprocas que condiciona, junto a otros, también el ejercicio del derecho a la libertad de expresión, de modo que manifestaciones del mismo que en otro contexto pudieran ser legítimas no tienen por qué serlo necesariamente dentro del ámbito de dicha relación”. Esta doctrina se ha mantenido desde entonces (por ejemplo, STC 20/2002, de 18 de enero, FJ 4, que cita numerosas sentencias), y, desde luego, puede extenderse a la libertad ideológica o religiosa en cuanto haya sido objeto de publicidad en un medio de comunicación. </w:t>
      </w:r>
    </w:p>
    <w:p w:rsidR="00DE14C9" w:rsidRDefault="00DE14C9" w:rsidP="00DE14C9">
      <w:pPr>
        <w:pStyle w:val="TextoNormal"/>
      </w:pPr>
      <w:r>
        <w:t xml:space="preserve">Un trabajador cuya prestación laboral supone el desempeño de “tareas de tendencia” —de lo que es ejemplo claro e indiscutible un profesor de religión católica, pero podría serlo un imaginario trabajador contratado para dar formación política a los dirigentes locales del Partido Comunista de España— no tiene derecho a usar sus libertades ideológica y de expresión para atacar pública, directa y deliberadamente a la institución u organización cuyo mensaje está obligado a difundir exacta y lealmente, o para manifestar aparatosamente su desacuerdo critico con principios o reglas que esa institución considere esenciales en su doctrina o práctica. Ese tipo de ataques o críticas, por lo general, podrían estar amparados por los derechos de los artículos 16.1 y 20.1 a) CE si quien los profiriese no estuviera voluntariamente vinculado con la institución atacada mediante una relación jurídica contractual que le obliga a abstenerse de tales ataques. En particular, el profesor de religión católica está obligado (obligación nacida de su propia y libérrima voluntad) a no dar publicidad en los medios de comunicación a sus posibles discrepancias acerca de la doctrina y regla de vida que la Iglesia Católica tiene establecida como ortodoxa y correcta, de acuerdo con lo que hayan determinado los órganos magisteriales (es decir, con poder o función de magisterio) de la propia institución religiosa. Y desde luego está obligado a evitar la publicidad de conductas, actitudes u opiniones que puedan interpretarse como desafío público y notorio </w:t>
      </w:r>
      <w:r>
        <w:lastRenderedPageBreak/>
        <w:t xml:space="preserve">al magisterio de la Iglesia a la que sirve. No se puede ser al tiempo trabajador de tendencia de una institución religiosa católica y voz crítica y publicitada contra esa institución. Quien pretende hacer las dos cosas, no sólo quebranta la buena fe que le es exigible, sino que —mas allá de eso— pone de manifiesto su inidoneidad para el trabajo, su inhabilidad o ineptitud para satisfacer debidamente la prestación laboral a que viene obligado. Su ataque público supone, por ello, tanto el incumplimiento de sus obligaciones laborales como la demostración patente de inidoneidad para su futuro cumplimiento. Las libertades ideológicas y de expresión del trabajador de tendencia sólo pueden ejercitarse teniendo muy en cuenta los márgenes que para ellas resultan del peculiar tipo de relación de trabajo trabada. </w:t>
      </w:r>
    </w:p>
    <w:p w:rsidR="00DE14C9" w:rsidRDefault="00DE14C9" w:rsidP="00DE14C9">
      <w:pPr>
        <w:pStyle w:val="TextoNormal"/>
      </w:pPr>
      <w:r>
        <w:t xml:space="preserve">Pues bien, en la información publicada en “La Verdad” de 11 de noviembre de 1996 (recién iniciado el curso escolar), el Sr. Fernández Martínez hace pública exhibición fotográfica de lo que, desde el punto de vista canónico, es un delito (cfr. canon 1394.1 del CDV), a saber, su estado matrimonial civil, por supuesto válido y legítimo en la perspectiva del Derecho civil español. Aparece también como miembro destacado de un grupo de sacerdotes casados —el llamado movimientos pro celibato opcional— que propugna el cambio de la regla del celibato vinculante para los clérigos de la Iglesia latina según el canon 277.1 CDC en directo desafío al orden jurídico canónico. Finalmente el demandante de amparo aparece solidario con ciertas opiniones sobre aborto, control de natalidad, divorcio y sexo perfectamente legítimas e incluso acertadas para muchos ciudadanos españoles, católicos incluidos; pero manifiestamente opuestas a lo que, como es notorio, sigue siendo enseñanza de la Iglesia Católica y, sin duda, perturbadoras para algunos fieles católicos, especialmente si las defienden algunos ordenados in sacris, por irregular que sea su situación canónica. Incluso en una de estas opiniones, la relativa al sexo, hay una especie de broma o chanza a costa del Papa reinante. En suma, la información publicada en “La Verdad” el 11 de noviembre de 1996 desborda todos los márgenes que para las libertades ideológicas y de expresión derivan de la condición laboral de profesor de religión ostentada por del demandante. </w:t>
      </w:r>
    </w:p>
    <w:p w:rsidR="00DE14C9" w:rsidRDefault="00DE14C9" w:rsidP="00DE14C9">
      <w:pPr>
        <w:pStyle w:val="TextoNormal"/>
      </w:pPr>
      <w:r>
        <w:t xml:space="preserve">Desde la perspectiva de la libertad religiosa de la Iglesia Católica y del principio de neutralidad religiosa del Estado, la decisión episcopal, una vez debidamente aclarada la motivación que luce en la nota de prensa, reposa en estrictos motivos de idoneidad para desempeñar las funciones de profesor de religión. No puede apreciarse un uso desviado, abusivo y reprochable de la facultad episcopal de proponer o no proponer. No hay, en particular, razón alguna para sospechar motivos espurios (por ejemplo, venganza por un enfrentamiento privado). El Ordinario de Cartagena ha apreciado que la publicidad que el recurrente dio a su situación en el periódico “La Verdad” —en el sentido y con el alcance que hemos descrito— le inhabilita para seguir ejerciendo como profesor de religión. Había así religiones morumve ratio que impedía que el actor continuara como profesor de religión en el curso 1997/1998. La apreciación del escándalo dado es, sin duda, ratio suficiente para estimar que el Sr. Fernández Martínez había dejado de ser idóneo como profesor de religión. Señalemos que ‘escándalo’ es concepto de raigambre neotestamentaria (ejemplos: Mateo 5,29 y 18, 6-10; Romanos 14,13 y 16,17; 1 Corintios 8, 9-13), y ha sido objeto —como es patente— de cierto desarrollo teológico y ético dentro del catolicismo. La valoración del escándalo debe efectuarse desde la estricta perspectiva interna de esta confesión religiosa, teniendo en cuenta que lo escandaloso para la jerarquía católica puede no serlo para la perspectiva secular media e incluso para muchos católicos. Ahora bien, la existencia misma de esta posible discrepancia de apreciaciones sobre lo escandaloso y lo no escandaloso entre la jerarquía eclesiástica católica y el medio secular es una razón más de inmunidad para el juicio episcopal, puesto que, de otra manera, quedarían menoscabadas sus mismas funciones </w:t>
      </w:r>
      <w:r>
        <w:lastRenderedPageBreak/>
        <w:t xml:space="preserve">de magisterio eclesial. Por ello no puede otorgarse mucho relieve al dato de que las comunidades educativas en el medio en el que el actor desempeñó sus funciones de profesor de religión católica no parezcan estar escandalizadas por su salida a la prensa. </w:t>
      </w:r>
    </w:p>
    <w:p w:rsidR="00DE14C9" w:rsidRDefault="00DE14C9" w:rsidP="00DE14C9">
      <w:pPr>
        <w:pStyle w:val="TextoNormal"/>
      </w:pPr>
      <w:r>
        <w:t xml:space="preserve">Si se concede lo anterior —a saber, que el juicio del Ordinario que determinó la no propuesta del actor tiene su base en criterios religiosos y en normas de moral cristiana (es decir, en normas de una moral fundamentada y guiadas por criterios religiosos)— resultará también evidente que los Tribunales de un Estado neutralmente religioso no pueden entrar a revisar, corregir o invalidar ese juicio episcopal en materia de “religión y costumbres”. Si lo hicieran, estarían implicándose o mezclándose en lo que no pasa de ser una disputa intraeclesial, la que separa a los partidarios de la tradición —el celibato— y a quienes preconizan aggiornamento o, tal vez, la vuelta a los orígenes. Pero los Tribunales de un Estado neutral en religión deben abstenerse de mezclarse en estas cuestiones disciplinarias internas de una confesión religiosa. Su respuesta no debe ser distinta de la que dio Galión, gobernador de Acaya (Hechos de los Apóstoles, 18,16): “Arreglaos vosotros. No quiero ser juez de esos asuntos”. </w:t>
      </w:r>
    </w:p>
    <w:p w:rsidR="00DE14C9" w:rsidRDefault="00DE14C9" w:rsidP="00DE14C9">
      <w:pPr>
        <w:pStyle w:val="TextoNormal"/>
      </w:pPr>
      <w:r>
        <w:t>El Abogado del Estado interesa de este Tribunal que dicte Sentencia denegatoria del amparo solicitado.</w:t>
      </w:r>
    </w:p>
    <w:p w:rsidR="00DE14C9" w:rsidRDefault="00DE14C9" w:rsidP="00DE14C9">
      <w:pPr>
        <w:pStyle w:val="TextoNormal"/>
      </w:pPr>
    </w:p>
    <w:p w:rsidR="00DE14C9" w:rsidRDefault="00DE14C9" w:rsidP="00DE14C9">
      <w:pPr>
        <w:pStyle w:val="TextoNormal"/>
      </w:pPr>
      <w:r w:rsidRPr="00DE14C9">
        <w:rPr>
          <w:rStyle w:val="NumeroAFNegritaCaracter"/>
        </w:rPr>
        <w:t>7</w:t>
      </w:r>
      <w:r>
        <w:t xml:space="preserve">. La representación procesal del recurrente en amparo evacuó los trámites de alegaciones conferidos mediante sendos escritos de fecha 24 de marzo y 1 de abril de 2003, respectivamente, que a continuación sucintamente se extractan. </w:t>
      </w:r>
    </w:p>
    <w:p w:rsidR="00DE14C9" w:rsidRDefault="00DE14C9" w:rsidP="00DE14C9">
      <w:pPr>
        <w:pStyle w:val="TextoNormal"/>
      </w:pPr>
      <w:r>
        <w:t xml:space="preserve">Reproduce sustancialmente las alegaciones efectuadas en el escrito de demanda y, en relación con la posible existencia de una vulneración del art. 16 CE, sostiene que el citado precepto constitucional ya fue invocado en la demanda de despido, junto con otros derechos fundamentales. Argumenta al respecto que la libertad ideológica, no sólo comprende el derecho a crear y desarrollar internamente nuestras propias ideas, sino que abarca también el derecho a hacerlas públicas ante los demás, sin verse expuesto a represalias por ello. En este caso la libertad ideológica implica que el demandante de amparo pudiese hacer pública su opción por el derecho al celibato opcional, que defendía como antiguo sacerdote que se había casado por lo civil antes de obtener la dispensa. Así pues el Obispado lesionó su derecho a la libertad ideológica al hacerle sufrir las penosas consecuencias del cese en su puesto de trabajo y extinción de su fuente de subsistencia personal y familiar por haber hecho públicas sus opciones reformadoras sobre el celibato del sacerdocio católico. </w:t>
      </w:r>
    </w:p>
    <w:p w:rsidR="00DE14C9" w:rsidRDefault="00DE14C9" w:rsidP="00DE14C9">
      <w:pPr>
        <w:pStyle w:val="TextoNormal"/>
      </w:pPr>
      <w:r>
        <w:t xml:space="preserve">La libertad religiosa también puede verse afectada en cuanto posibilidad interna del prosélito de defender cambios evolutivos dentro de las normas de su confesión que pueden quedar desfasadas con el paso del tiempo. En este caso la iniciativa defendida por el demandante de amparo era el celibato opcional en el marco de la religión católica. El hecho de hacer pública su opción de contenido religioso esta protegido por aquella libertad. En suma, la libertad religiosa es un escudo protector de todo aquello que racionalmente sea necesario para la práctica religiosa en cualquier confesión respetuosa con el ordenamiento constitucional, incluido el derecho a no profesar religión alguna. </w:t>
      </w:r>
    </w:p>
    <w:p w:rsidR="00DE14C9" w:rsidRDefault="00DE14C9" w:rsidP="00DE14C9">
      <w:pPr>
        <w:pStyle w:val="TextoNormal"/>
      </w:pPr>
      <w:r>
        <w:t>En consecuencia la representación procesal del demandante de amparo considera que los derechos protegidos por el art. 16 CE se ven también afectados por la problemática que suscita el presente recurso e interesa la anulación de la Sentencia recurrida.</w:t>
      </w:r>
    </w:p>
    <w:p w:rsidR="00DE14C9" w:rsidRDefault="00DE14C9" w:rsidP="00DE14C9">
      <w:pPr>
        <w:pStyle w:val="TextoNormal"/>
      </w:pPr>
    </w:p>
    <w:p w:rsidR="00DE14C9" w:rsidRDefault="00DE14C9" w:rsidP="00DE14C9">
      <w:pPr>
        <w:pStyle w:val="TextoNormal"/>
      </w:pPr>
      <w:r w:rsidRPr="00DE14C9">
        <w:rPr>
          <w:rStyle w:val="NumeroAFNegritaCaracter"/>
        </w:rPr>
        <w:t>8</w:t>
      </w:r>
      <w:r>
        <w:t xml:space="preserve">. La Letrada de la Comunidad Autónoma de la Región de Murcia evacuó los trámites de alegaciones conferidos mediante sendos escritos de 24 de marzo y 1 de abril de 2003, respectivamente, que a continuación sucintamente se extractan: </w:t>
      </w:r>
    </w:p>
    <w:p w:rsidR="00DE14C9" w:rsidRDefault="00DE14C9" w:rsidP="00DE14C9">
      <w:pPr>
        <w:pStyle w:val="TextoNormal"/>
      </w:pPr>
      <w:r>
        <w:lastRenderedPageBreak/>
        <w:t xml:space="preserve">a) Opone como óbice procesal a la admisión de la demanda de amparo la falta de agotamiento de la vía judicial previa [art. 44.1 a) LOTC], pues la Sentencia de la Sala de lo Social del Tribunal Superior de Justicia, como en ella se indicaba, era susceptible de recurso de casación para la unificación de la doctrina, que, sin embargo, el recurrente no interpuso antes de acudir al Tribunal Constitucional. </w:t>
      </w:r>
    </w:p>
    <w:p w:rsidR="00DE14C9" w:rsidRDefault="00DE14C9" w:rsidP="00DE14C9">
      <w:pPr>
        <w:pStyle w:val="TextoNormal"/>
      </w:pPr>
      <w:r>
        <w:t xml:space="preserve">b) En relación con la supuesta vulneración del art. 16.1 CE sostiene que el hecho de que el Obispo no propusiera al demandante de amparo para ser profesor de religión en el curso 1997-1998 no ha lesionado el mencionado precepto constitucional, ya que se trata de una decisión discrecional, no existiendo en su actuación una intencionalidad o mala fe que haga nulo el despido, como lo prueba el que, aun tratándose de un sacerdote que había pedido la dispensa en el año 1984, le permitió impartir clases de religión y moral católicas desde el año 1991 hasta el año 1997. </w:t>
      </w:r>
    </w:p>
    <w:p w:rsidR="00DE14C9" w:rsidRDefault="00DE14C9" w:rsidP="00DE14C9">
      <w:pPr>
        <w:pStyle w:val="TextoNormal"/>
      </w:pPr>
      <w:r>
        <w:t xml:space="preserve">c) Tampoco considera que en este caso la actuación del Obispo haya infringido los arts. 14, 18 y 20 CE. El Obispo lo único que le pidió al demandante fue discreción para evitar escándalos, por respeto a la sensibilidad de otras personas. Sin embargo el actor optó por hacer pública su situación de sacerdote casado con cinco hijos y su pertenencia al movimiento pro celibato opcional. Ante esta situación el Obispo tomó la decisión de cesarle como profesor de religión. No cabe apreciar en la actuación del Obispo la vulneración de los mencionados preceptos constitucionales, ya que es preciso atender a los condicionantes y particularidades que conlleva la enseñanza de la religión y a las circunstancias concurrentes en el caso. Como se recoge en la nota oficial del Obispado de Cartagena de 11 de noviembre de 1997 “para la Iglesia Católica el Sacramento del Orden Sacerdotal tiene un carácter que rebosa el ámbito meramente laboral o profesional”. </w:t>
      </w:r>
    </w:p>
    <w:p w:rsidR="00DE14C9" w:rsidRDefault="00DE14C9" w:rsidP="00DE14C9">
      <w:pPr>
        <w:pStyle w:val="TextoNormal"/>
      </w:pPr>
      <w:r>
        <w:t xml:space="preserve">Al aplicar los preceptos constitucionales no se puede olvidar que estamos en presencia de un sacerdote secularizado que impartía clases de religión y moral católicas, por cuyas circunstancias la Iglesia le pidió discreción en su actuación. De modo que no se puede entender que el demandante de amparo haya sufrido una discriminación por razón de su estado civil y por su pertenencia al movimiento pro celibato opcional, como si se estuviera hablando de cualquier ciudadano, pues se trata de una sacerdote de la Iglesia Católica que solicitó la dispensa del celibato sacerdotal en el año 1984 y que contrajo matrimonio civil en el año 1985, en el que nacieron cinco hijos. En estas circunstancias era lógico que la Iglesia Católica le exigiera un mínimo de discreción si quería ser profesor de religión y moral católicas, e igualmente fue lógica la decisión del Obispo al enterarse que había hecho pública su situación personal y que estaba participando activamente en el movimiento pro celibato opcional. </w:t>
      </w:r>
    </w:p>
    <w:p w:rsidR="00DE14C9" w:rsidRDefault="00DE14C9" w:rsidP="00DE14C9">
      <w:pPr>
        <w:pStyle w:val="TextoNormal"/>
      </w:pPr>
      <w:r>
        <w:t xml:space="preserve">El demandante impartió clases hasta que dio publicidad a su situación en contra del rescripto de dispensa (cánones 59 y ss. del Código de Derecho canónico —CDC). En dicho momento el Obispo tuvo que atenerse a lo dispuesto en el rescripto, por el que, no sólo estaba facultado, sino al que estaba vinculado como proyección concreta de los cánones 804, 805 y 806 CDC. Por lo tanto no cabe apreciar que se haya vulnerado derecho fundamental alguno porque el Ordinario del lugar no hubiera propuesto al demandante de amparo como posible profesor de religión católica, ya que se atuvo a cumplir las obligaciones que le vinculaban. Más concretamente, respecto a la intromisión ilegitima en la vida privada del actor, fue éste el que consintió la publicidad en contra del rescripto de dispensa, no fue el Obispo el que incurrió en una posible intromisión ilegitima. El demandante de amparo sacó a la luz publica su situación, por lo que no cabe apreciar intromisión en su vida privada ni en su intimidad. </w:t>
      </w:r>
    </w:p>
    <w:p w:rsidR="00DE14C9" w:rsidRDefault="00DE14C9" w:rsidP="00DE14C9">
      <w:pPr>
        <w:pStyle w:val="TextoNormal"/>
      </w:pPr>
      <w:r>
        <w:lastRenderedPageBreak/>
        <w:t xml:space="preserve">La decisión del Obispo no ha lesionado el derecho del demandante de amparo a la libertad de expresión [art. 20.1 a) CE], ya que, hasta que hizo pública su situación, el demandante ejerció la actividad de profesor de religión y moral católicas, por lo que, en una interpretación amplia del mencionado derecho fundamental, tampoco cabe apreciar aquella lesión, dado que, según el rescripto de dispensa, lo que se trataba de evitar era el escándalo o el posible escándalo mediante la ausencia de publicidad, y para la doctrina católica el escándalo o propiciar un posible escándalo es gravísimo. Además el rescripto de la congregación para el culto divino y doctrina de los sacramentos de 20 de agosto de 1997 dispone, en su documento 4, apartado 5 e), que “en los institutos dependientes de la autoridad eclesiástica, no se puede ejercer cargo directivo ni responsabilidad de enseñar, a no ser que el Obispo, según su criterio y sin posibilidad de escándalo, estimara decidir otra cosa por lo que se refiere a la responsabilidad de enseñar”. </w:t>
      </w:r>
    </w:p>
    <w:p w:rsidR="00DE14C9" w:rsidRDefault="00DE14C9" w:rsidP="00DE14C9">
      <w:pPr>
        <w:pStyle w:val="TextoNormal"/>
      </w:pPr>
      <w:r>
        <w:t>La Letrada de la Comunidad Autónoma de la Región de Murcia suplica del Tribunal Constitucional que dicte Sentencia denegando el amparo solicitado.</w:t>
      </w:r>
    </w:p>
    <w:p w:rsidR="00DE14C9" w:rsidRDefault="00DE14C9" w:rsidP="00DE14C9">
      <w:pPr>
        <w:pStyle w:val="TextoNormal"/>
      </w:pPr>
    </w:p>
    <w:p w:rsidR="00DE14C9" w:rsidRDefault="00DE14C9" w:rsidP="00DE14C9">
      <w:pPr>
        <w:pStyle w:val="TextoNormal"/>
      </w:pPr>
      <w:r w:rsidRPr="00DE14C9">
        <w:rPr>
          <w:rStyle w:val="NumeroAFNegritaCaracter"/>
        </w:rPr>
        <w:t>9</w:t>
      </w:r>
      <w:r>
        <w:t xml:space="preserve">. La representación procesal del Obispado de Cartagena evacuó los trámites de alegaciones conferidos mediante sendos escritos de 25 de marzo y 5 de abril de 2003, respectivamente, que a continuación sucintamente se extractan: </w:t>
      </w:r>
    </w:p>
    <w:p w:rsidR="00DE14C9" w:rsidRDefault="00DE14C9" w:rsidP="00DE14C9">
      <w:pPr>
        <w:pStyle w:val="TextoNormal"/>
      </w:pPr>
      <w:r>
        <w:t xml:space="preserve">a) Ni en la demanda de amparo ni en la Sentencia del Juzgado de lo Social se discute el carácter temporal de la relación laboral del recurrente, aceptando por tanto la normativa existente desde el Acuerdo entre el Estado español y la Santa Sede sobre enseñanza y asuntos culturales de 1979. Sin embargo en la Sentencia, aunque se admite el carácter temporal de la relación laboral de los profesores de religión y el protagonismo del Obispado en las decisiones de esta empresa junto con el Estado o la Comunidad Autónoma, se emite un juicio de valor sobre la decisión del Obispo de no proponer al demandante de amparo, interfiriendo así en lo que la doctrina del Tribunal Supremo y los Tribunales Superiores de Justicia han venido refiriéndose como “un área integrada en el ejercicio del ministerio espiritual o pastoral del Obispo y Ordinario diocesano”. La Sentencia resulta contradictoria en sus propios términos, pues, aceptando el protagonismo de la Iglesia en la propuesta del profesor de religión como modo de preservar la educación de la religión católica conforme a su dogmática o de manera ortodoxa, no puede calificar su actuación como vulneradora de los derechos fundamentales invocados por el demandante de amparo. </w:t>
      </w:r>
    </w:p>
    <w:p w:rsidR="00DE14C9" w:rsidRDefault="00DE14C9" w:rsidP="00DE14C9">
      <w:pPr>
        <w:pStyle w:val="TextoNormal"/>
      </w:pPr>
      <w:r>
        <w:t xml:space="preserve">El demandante pretende hacer énfasis en su condición de cura casado como causa determinante de su no propuesta para el nuevo año académico, cuando, de un lado, tal expresión no fue en ningún momento utilizada por el Obispo y, de otro, no se le negó por ello dar clase de religión hasta que voluntariamente hizo pública su ideología manifiestamente contraria a la dogmática católica, que la Iglesia tiene el derecho y el deber de velar, estando en este caso plenamente justificada la decisión de no propuesta dentro de los derechos que a ella también le reconoce como confesión la Constitución y dentro del deber de garantizar la educación en la materia tal y como está concebida. </w:t>
      </w:r>
    </w:p>
    <w:p w:rsidR="00DE14C9" w:rsidRDefault="00DE14C9" w:rsidP="00DE14C9">
      <w:pPr>
        <w:pStyle w:val="TextoNormal"/>
      </w:pPr>
      <w:r>
        <w:t xml:space="preserve">b) En modo alguno puede entenderse vulnerado el art. 18 CE, cuando durante cinco años la diócesis ha permitido al recurrente impartir clases de religión y cuando es él quien hace pública su situación y pertenencia al movimiento pro-celibato opcional mediante su aparición por voluntad propia en una publicación en prensa, tanto de su foto como de referencia expresa a su nombre y apellidos. </w:t>
      </w:r>
    </w:p>
    <w:p w:rsidR="00DE14C9" w:rsidRDefault="00DE14C9" w:rsidP="00DE14C9">
      <w:pPr>
        <w:pStyle w:val="TextoNormal"/>
      </w:pPr>
      <w:r>
        <w:t xml:space="preserve">Tras reproducir la doctrina de las SSTC 5/1981 y 47/1985, la representación procesal del Obispado de Cartagena afirma que la defensa pública por el demandante del no celibato, contraria a la doctrina de la Iglesia Católica, y la exteriorización y publicidad que el mismo </w:t>
      </w:r>
      <w:r>
        <w:lastRenderedPageBreak/>
        <w:t xml:space="preserve">hace de ello justifican, con fundamento en la referida doctrina constitucional, su no propuesta por el Obispado, sin que ello suponga discriminación alguna. En este caso el ideario del centro viene atribuido únicamente al ideario de la asignatura, por cuanto desde la propia normativa existente, que prevé la necesaria propuesta del Ordinario del lugar, se le otorga a aquélla marcado carácter espiritualista en garantía de lo dispuesto en el art. 16 CE, sin que por ello se atente al carácter laico de nuestro Estado de Derecho, donde se articulan a este respecto otros mecanismos como distintas opciones educativas, configurándose en todo caso la religión como una optativa, y donde las normas no hacen más que garantizar el pluralismo ideológico desde el máximo respeto posible. </w:t>
      </w:r>
    </w:p>
    <w:p w:rsidR="00DE14C9" w:rsidRDefault="00DE14C9" w:rsidP="00DE14C9">
      <w:pPr>
        <w:pStyle w:val="TextoNormal"/>
      </w:pPr>
      <w:r>
        <w:t xml:space="preserve">De igual modo, con base en la referida doctrina constitucional y en la realidad asentada en el ordenamiento laboral respecto a las denominadas empresas de tendencia, no puede considerarse infringido el art. 20.1 a) CE, máxime cuando el derecho que en él se contempla está sujeto a las limitaciones establecidas en el art. 20.4 CE, que impone como límites a la libertad de expresión el respeto a los derechos reconocidos en el mismo título y en los preceptos de las leyes que los desarrollen, esto es, en lo que ahora interesa, el derecho que tiene reconocido la Iglesia Católica ex art. 16 CE para la defensa de su doctrina. </w:t>
      </w:r>
    </w:p>
    <w:p w:rsidR="00DE14C9" w:rsidRDefault="00DE14C9" w:rsidP="00DE14C9">
      <w:pPr>
        <w:pStyle w:val="TextoNormal"/>
      </w:pPr>
      <w:r>
        <w:t xml:space="preserve">No habiendo existido violación de la vida privada ni de la libertad de expresión, tampoco puede apreciarse un trato discriminatorio prohibido por el art. 14 CE, pues el Obispado ante supuestos similares al que nos ocupa ha actuado de igual modo. En definitiva, la no propuesta del demandante de amparo como profesor de religión católica se hizo con base en las facultades que la Iglesia Católica tiene atribuidas por el propio Estado (Acuerdo de 1979 y demás normas de desarrollo) y, sobre todo, en defensa del propio derecho fundamental a la libertad religiosa, del que también es titular, y en garantía del derecho a la educación dentro de sus propias normas y creencias. </w:t>
      </w:r>
    </w:p>
    <w:p w:rsidR="00DE14C9" w:rsidRDefault="00DE14C9" w:rsidP="00DE14C9">
      <w:pPr>
        <w:pStyle w:val="TextoNormal"/>
      </w:pPr>
      <w:r>
        <w:t xml:space="preserve">A mayor abundamiento, el recurrente conocía que la opción de hacer pública su situación suponía para el Obispo, como recoge la propia dispensa del Papa de agosto de 1997, la imposibilidad de proponerlo una vez que había decidido libremente hacer pública aquella situación. La decisión de la diócesis de no proponer al recurrente en amparo ha sido adoptada, no sólo dentro de su facultad discrecional, atribuida por normas internacionales, y en defensa de la visión de la realidad propia de la Iglesia, sino en cumplimiento de sus propios deberes tras una actuación del demandante de amparo contraria a aquélla, además de en garantía de la educación ortodoxa de su doctrina. </w:t>
      </w:r>
    </w:p>
    <w:p w:rsidR="00DE14C9" w:rsidRDefault="00DE14C9" w:rsidP="00DE14C9">
      <w:pPr>
        <w:pStyle w:val="TextoNormal"/>
      </w:pPr>
      <w:r>
        <w:t xml:space="preserve">c) En relación con el art. 16 CE sostiene que vulnera dicho precepto, no la Sentencia del Tribunal Superior de Justicia, recurrida en amparo, sino la Sentencia del Juzgado de lo Social. Argumenta al respecto que la titularidad del derecho a la libertad religiosa corresponde no sólo a los individuos, sino también a las confesiones, y que se impone la consideración de lo religioso como factor social específico, al que el Estado se compromete a atender, integrando asimismo la posibilidad de que las confesiones elaboren sus propias normas jurídicas y asumiendo las fuentes bilaterales y los convenios de naturaleza internacional en el propio sistema de fuentes. Es precisamente este respeto a las normas de cada confesión lo que otorga un contenido positivo al referido art. 16 CE, que no puede ser entendido como una mera declaración de la neutralidad ideológica del Estado. Así cada confesión, entre ellas la religión católica, tiene derecho, incluso susceptible de amparo constitucional, a impedir la intromisión en su propio ámbito. En este mismo sentido, como garantes del principio de libertad religiosa, el art. 27.3 CE establece que “los poderes públicos garantizarán el derecho que asiste a los padres para que sus hijos reciban la formación religiosa y moral que esté de acuerdo con sus propias convicciones”. </w:t>
      </w:r>
    </w:p>
    <w:p w:rsidR="00DE14C9" w:rsidRDefault="00DE14C9" w:rsidP="00DE14C9">
      <w:pPr>
        <w:pStyle w:val="TextoNormal"/>
      </w:pPr>
      <w:r>
        <w:lastRenderedPageBreak/>
        <w:t xml:space="preserve">En desarrollo y cumplimiento de tales mandatos mediante Instrumento de ratificación de 4 de diciembre de 1979 pasó a formar parte de nuestro ordenamiento jurídico interno el Acuerdo entre el Estado español y la Santa Sede sobre enseñanza y asuntos culturales, cuyos apartados I, VI y XIV se reproducen. Por su parte el art. 6 de la Ley Orgánica 7/1980, de 5 de julio, de libertad religiosa, garantiza la autonomía de las confesiones, facultándolas para establecer sus normas de organización, de régimen interno y régimen de su personal, entre las que “podrán incluir cláusulas de salvaguardia de su identidad religiosa y carácter propio, así como del debido respeto a sus creencias”. Este respeto a la autonomía de las confesiones y sus creencias, junto con el derecho de los padres a que sus hijos reciban la formación religiosa y moral de acuerdo con sus propias convicciones, inspiró el citado Acuerdo de 1979 y todas las ordenes ministeriales en materia de profesorado de religión y moral, tanto católica como de otras iglesias, confesiones o comunidades. </w:t>
      </w:r>
    </w:p>
    <w:p w:rsidR="00DE14C9" w:rsidRDefault="00DE14C9" w:rsidP="00DE14C9">
      <w:pPr>
        <w:pStyle w:val="TextoNormal"/>
      </w:pPr>
      <w:r>
        <w:t xml:space="preserve">Así el objeto del derecho a una educación religiosa es la formación y no la mera información, pudiendo únicamente conseguirse una verdadera formación religiosa desde la ortodoxia de las diversas confesiones y no desde una mera información cultural de las distintas doctrinas religiosas y corrientes morales. Desde la citada autonomía e intento de formación es desde la que el Obispado de Cartagena, al término de la relación anual del demandante, no le propuso para un nuevo año escolar, intentando preservar de este modo el respeto a las creencias y normas de la Iglesia Católica y garantizar la educación dentro de la doctrina de la misma. De modo que la Sentencia del Juzgado de lo Social atentaba contra el derecho de autonomía y el derecho de libertad religiosa de la Iglesia Católica, al emitir un juicio de valor sobre las normas de ésta y anular así el contenido positivo del art. 16 CE, por cuanto no le permitía preservar o garantizar la formación sobre sus propias normas o doctrina, en este caso concreto sobre el celibato. </w:t>
      </w:r>
    </w:p>
    <w:p w:rsidR="00DE14C9" w:rsidRDefault="00DE14C9" w:rsidP="00DE14C9">
      <w:pPr>
        <w:pStyle w:val="TextoNormal"/>
      </w:pPr>
      <w:r>
        <w:t>La representación procesal del Obispado de Cartagena suplica de este Tribunal que dicte Sentencia desestimatoria de la demanda de amparo.</w:t>
      </w:r>
    </w:p>
    <w:p w:rsidR="00DE14C9" w:rsidRDefault="00DE14C9" w:rsidP="00DE14C9">
      <w:pPr>
        <w:pStyle w:val="TextoNormal"/>
      </w:pPr>
    </w:p>
    <w:p w:rsidR="00DE14C9" w:rsidRDefault="00DE14C9" w:rsidP="00DE14C9">
      <w:pPr>
        <w:pStyle w:val="TextoNormal"/>
      </w:pPr>
      <w:r w:rsidRPr="00DE14C9">
        <w:rPr>
          <w:rStyle w:val="NumeroAFNegritaCaracter"/>
        </w:rPr>
        <w:t>10</w:t>
      </w:r>
      <w:r>
        <w:t xml:space="preserve">. El Ministerio Fiscal evacuó los trámites de alegaciones conferidos mediante sendos escritos de 31 de marzo y 2 de abril de 2003, respectivamente, que a continuación sucintamente se extractan: </w:t>
      </w:r>
    </w:p>
    <w:p w:rsidR="00DE14C9" w:rsidRDefault="00DE14C9" w:rsidP="00DE14C9">
      <w:pPr>
        <w:pStyle w:val="TextoNormal"/>
      </w:pPr>
      <w:r>
        <w:t xml:space="preserve">a) Comienza por reproducir el relato de hechos probados recogido en la Sentencia del Juzgado de lo Social, las quejas que se formulan en la demanda de amparo y la fundamentación jurídica de la Sentencia de la Sala de lo Social del Tribunal Superior de Justicia, en concreto, las razones en las que la Sala ha fundado la desestimación de las denunciadas vulneraciones del art. 14 y 18 CE, para a continuación referirse a la doctrina constitucional sobre el principio de igualdad y las prohibiciones de discriminación del art. 14 CE, el derecho a la intimidad (art. 18 CE, la libertad de expresión [art. 20.1 a) CE] y la libertad religiosa (art. 16 CE), con trascripción, respectivamente, de las SSTC 200/2001 (FJ 4), 185/2002 (FJ 3), 232/2002 (FJ 3) y 141/2000 (FJ 4). </w:t>
      </w:r>
    </w:p>
    <w:p w:rsidR="00DE14C9" w:rsidRDefault="00DE14C9" w:rsidP="00DE14C9">
      <w:pPr>
        <w:pStyle w:val="TextoNormal"/>
      </w:pPr>
      <w:r>
        <w:t xml:space="preserve">b) A continuación señala que en el rescripto de dispensa la única mención a la publicidad aparece referida a la celebración del matrimonio canónico, por lo que puede inferirse que ha sido la publicitación del estado civil del recurrente, como casado y con hijos, siendo sacerdote, la circunstancia que ha sido fundamentalmente considerada en este caso por el Obispado y por el Tribunal Superior de Justicia. Cabe puntualizar que del factum se desprende que el demandante venía prestando servicios para el MEC desde el año 1991 como profesor de religión y moral católicas, a propuesta del Obispado, tras haber solicitado la dispensa del sacerdocio en el año 1984 y haber contraído matrimonio en el año 1985. Por lo tanto su situación era perfectamente conocida tanto por la autoridad eclesiástica como en </w:t>
      </w:r>
      <w:r>
        <w:lastRenderedPageBreak/>
        <w:t xml:space="preserve">el ámbito laboral en el que prestaba sus servicios —dirección, claustro, alumnos, padres—, sin que ello hubiera ocasionado queja de ninguna índole, ni antes ni después de la noticia aparecida en la prensa, desencadenante de su no propuesta. </w:t>
      </w:r>
    </w:p>
    <w:p w:rsidR="00DE14C9" w:rsidRDefault="00DE14C9" w:rsidP="00DE14C9">
      <w:pPr>
        <w:pStyle w:val="TextoNormal"/>
      </w:pPr>
      <w:r>
        <w:t xml:space="preserve">En el año 1996 apareció en una información periodística que el demandante acudía como miembro del movimiento pro celibato opcional a una reunión o acto de dicho movimiento. Noticia que acompañaba una fotografía, sin indicación al pie de foto, del demandante y de su familia cuando acudían a dicho acto. Esta información ha sido la detonante de su no ulterior propuesta como profesor de religión católica, aunque cuando el evento se produjo no hubo ninguna reacción por parte del Obispado, a pesar de las facultades que le otorga el Código de Derecho canónico (art. 805). En agosto de 1997 se le concede al demandante de amparo por decisión papal la dispensa del celibato sacerdotal, rescripto que le es notificado el día 15 de septiembre. </w:t>
      </w:r>
    </w:p>
    <w:p w:rsidR="00DE14C9" w:rsidRDefault="00DE14C9" w:rsidP="00DE14C9">
      <w:pPr>
        <w:pStyle w:val="TextoNormal"/>
      </w:pPr>
      <w:r>
        <w:t xml:space="preserve">En la nota oficial emitida por la oficina de información diocesana del Obispado de Cartagena para explicar la decisión tomada con respecto al actor, se hace constar en su punto primero que impartía clases de religión en los Institutos de Enseñanza Media en virtud de las facultades otorgadas por los rescriptos. Sin embargo tal afirmación no se ajusta a la realidad, ya que el demandante de amparo venía impartiendo clases desde mucho tiempo antes de su secularización, dándose la circunstancia de que tras su secularización no volvió a ser propuesto para impartir clases. </w:t>
      </w:r>
    </w:p>
    <w:p w:rsidR="00DE14C9" w:rsidRDefault="00DE14C9" w:rsidP="00DE14C9">
      <w:pPr>
        <w:pStyle w:val="TextoNormal"/>
      </w:pPr>
      <w:r>
        <w:t xml:space="preserve">El Tribunal Superior de Justicia consideró ajustada a Derecho la decisión del Obispado, al haber incumplido el demandante de amparo, con su decisión de consentir la publicidad de su situación, el rescripto de dispensa. Afirmación que también resulta inexacta, ya que cuando el actor apareció en la información periodística no se le había concedido la dispensa del celibato sacerdotal, por lo que no se había promulgado el rescripto. Así pues la motivación de la Sentencia recurrida aparece como claramente errónea, al partir de premisas fácticas inexistentes, debiendo indicarse que extrapola la mención a la publicidad, que parece en el rescripto referida a la celebración del matrimonio canónico, a una situación, obviamente, no contemplada en el mismo, cual es la previa existencia de un matrimonio civil. La Sala ha marginado toda consideración de que la aparición en la prensa del demandante se había producido por haber acudido a un acto convocado por el movimiento al que pertenecía, sustentador de una determinada corriente doctrinal en el seno de la Iglesia Católica. Su pertenencia a dicho movimiento era conocida por la autoridad eclesial. </w:t>
      </w:r>
    </w:p>
    <w:p w:rsidR="00DE14C9" w:rsidRDefault="00DE14C9" w:rsidP="00DE14C9">
      <w:pPr>
        <w:pStyle w:val="TextoNormal"/>
      </w:pPr>
      <w:r>
        <w:t xml:space="preserve">El acto al que acudió era plenamente acorde con los postulados por él mantenidos en el seno de la Iglesia Católica, se integraba en su ámbito de creencias o de postulados, constitucionalmente inmune a cualquier tipo de coacción. Al tomarse su comportamiento, perteneciente a su libertad de creencia, como factor legitimador para su despido, esto es, como dato justificativo del tratamiento desigualitario un acto que constituía un ejercicio de la libertad de creencias, ha de estimarse vulnerado su derecho a la igualdad en relación con el derecho a la libertad de creencias (arts. 14 y 16 CE). </w:t>
      </w:r>
    </w:p>
    <w:p w:rsidR="00DE14C9" w:rsidRDefault="00DE14C9" w:rsidP="00DE14C9">
      <w:pPr>
        <w:pStyle w:val="TextoNormal"/>
      </w:pPr>
      <w:r>
        <w:t>En consecuencia, el Ministerio Fiscal interesa de este Tribunal que dicte Sentencia en la que se otorgue el amparo solicitado por vulneración de los derechos a la igualdad (art. 14 CE) y a la libertad ideológica (art. 16.1 CE) y se declare la nulidad de la Sentencia de la Sala de lo Social del Tribunal Superior de Justicia de Murcia núm. 262/2001, de 26 de febrero.</w:t>
      </w:r>
    </w:p>
    <w:p w:rsidR="00DE14C9" w:rsidRDefault="00DE14C9" w:rsidP="00DE14C9">
      <w:pPr>
        <w:pStyle w:val="TextoNormal"/>
      </w:pPr>
    </w:p>
    <w:p w:rsidR="00DE14C9" w:rsidRDefault="00DE14C9" w:rsidP="00DE14C9">
      <w:pPr>
        <w:pStyle w:val="TextoNormal"/>
      </w:pPr>
      <w:r w:rsidRPr="00DE14C9">
        <w:rPr>
          <w:rStyle w:val="NumeroAFNegritaCaracter"/>
        </w:rPr>
        <w:t>11</w:t>
      </w:r>
      <w:r>
        <w:t>. Por providencia de 31 de mayo de 2007, se señaló para la deliberación y votación de la presente Sentencia el día 4 de junio del mismo año.</w:t>
      </w:r>
    </w:p>
    <w:p w:rsidR="00DE14C9" w:rsidRDefault="00DE14C9" w:rsidP="00DE14C9">
      <w:pPr>
        <w:pStyle w:val="TextoNormal"/>
      </w:pPr>
    </w:p>
    <w:p w:rsidR="00DE14C9" w:rsidRDefault="00DE14C9" w:rsidP="00DE14C9">
      <w:pPr>
        <w:pStyle w:val="TextoNormalNegritaCentrado"/>
        <w:keepNext/>
      </w:pPr>
      <w:r>
        <w:lastRenderedPageBreak/>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 presente demanda de amparo se dirige formalmente en su encabezamiento contra la Sentencia de la Sala de lo Social del Tribunal Superior de Justicia de Murcia núm. 262/2001, de 26 de febrero, que, revocando en suplicación la dictada por el Juzgado de lo Social núm. 3 de Murcia núm. 297/2000, de 28 de febrero, estimó que no había existido despido en el cese del actor, formalizado por Resolución de la Dirección Provincial del Ministerio de Educación y Cultura en Murcia, como profesor de religión y moral católicas de enseñanza secundaria, al no haberse vulnerado con dicha decisión ninguno de los derechos fundamentales invocados por el recurrente, tratándose de un supuesto de mera extinción de un contrato anual que se produjo ope legis.  En realidad, pese al encabezamiento de la demanda de amparo, los actos de los poderes públicos frente a los que se interpone son tanto aquella Sentencia como esta resolución administrativa.</w:t>
      </w:r>
    </w:p>
    <w:p w:rsidR="00DE14C9" w:rsidRDefault="00DE14C9" w:rsidP="00DE14C9">
      <w:pPr>
        <w:pStyle w:val="TextoNormal"/>
      </w:pPr>
      <w:r>
        <w:t>Aunque estos son los actos de los poderes públicos frente a los que se formula la pretensión de amparo, el origen de la lesión de los derechos fundamentales que en este caso el recurrente invoca en la demanda se sitúa en la decisión del Obispado de Cartagena, comunicada al Director Provincial del Ministerio de Educación y Cultura, de dar de baja definitiva al actor como profesor de religión y moral católicas de educación secundaria en el curso 1997/1998. Ciertamente esta decisión no es expresión del ejercicio de potestad pública alguna, pues el Obispado de Cartagena no forma parte de los poderes públicos a los que se refiere el art. 41.2 LOTC, noción que incluye “a todos aquellos entes (y sus órganos) que ejercen un poder de imperio, derivado de la soberanía del Estado y procedente, en consecuencia, a través de una mediación más o menos larga, del propio pueblo” (STC 35/1983, de 11 de mayo, FJ 3). Sin embargo, pese a que el autor real de la decisión a la que originariamente se imputa la supuesta lesión de derechos fundamentales no es un poder público, basta la intervención de éste en un momento posterior, como el Abogado del Estado pone de manifiesto en su escrito de alegaciones, para que se entienda satisfecho el presupuesto del recurso de amparo exigido por el art. 41.2 LOTC, esto es, que se promueva en relación con actuaciones concretas de los poderes públicos —disposiciones, actos jurídicos o simples vías de hecho. Así pues, la posterior intervención de la Administración pública, en concreto, del Ministerio de Educación y Cultura, formalizando el cese del actor como profesor de religión y moral católicas, y de los órganos judiciales del orden jurisdiccional social —Juzgado de lo Social y Sala de lo Social del Tribunal Superior de Justicia—, pronunciándose sobre si su cese constituía o no un despido lesivo de derechos fundamentales, sirven para satisfacer procesalmente el referido requisito (SSTC 51/1988, de 22 de marzo, FJ 1; 177/1988, de 10 de octubre, FJ 2; 213/2002, de 11 de noviembre, FJ 2).</w:t>
      </w:r>
    </w:p>
    <w:p w:rsidR="00DE14C9" w:rsidRDefault="00DE14C9" w:rsidP="00DE14C9">
      <w:pPr>
        <w:pStyle w:val="TextoNormal"/>
      </w:pPr>
      <w:r>
        <w:t>De modo que el núcleo conceptual de las vulneraciones aducidas se sitúa en la decisión del Obispado de no proponer al actor como profesor de religión y moral católicas en el curso 1997/1998. Es obvio que, de estimarse que la decisión a la que originariamente se le imputa la lesión de derechos fundamentales ha ocasionado efectivamente la vulneración denunciada, el otorgamiento del amparo requerirá la declaración de nulidad de los actos de los poderes públicos que han formalizado el cese del actor como profesor de religión y moral católicas y desestimado que tal cese constituyese un despido lesivo de derechos fundamentales, así como la adopción de las medidas apropiadas para el restablecimiento del demandante en la integridad de sus derechos.</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2</w:t>
      </w:r>
      <w:r>
        <w:t>. El recurrente en amparo alega que su cese como profesor de religión y moral católicas ha estado motivado por su estado civil y por ser miembro del movimiento pro-celibato opcional, por lo que considera que vulnera el derecho a no sufrir discriminación (art. 14 CE), el derecho a la vida privada (art. 18 CE) y la libertad de expresión [art. 20.1 a) CE]. Argumenta al respecto que se ha visto privado de sus medios laborales de subsistencia por haber participado en una reunión del movimiento pro-celibato opcional y por el simple hecho de haber aparecido junto a su familia en una información gráfica en el diario “La Verdad” de Murcia en noviembre de 1996, un año antes de producirse su despido, que tiene como punto de partida una concepción desfasada y poco realista del ámbito de autonomía propio de un profesor de religión católica en un centro de enseñanza público. En esta línea argumental el demandante de amparo estima que su cese por haber hecho pública su condición de miembro del movimiento pro-celibato opcional constituye una injerencia no justificada en su vida privada, ya que la pertenencia a dicho movimiento es un asunto que se circunscribe a ese ámbito, sin que sea incompatible con su condición de profesor de religión y moral católicas, así como que ha sido discriminado por su estado civil, puesto que el factor utilizado para el trato desigual —aparecer públicamente como cura casado— no es razonable ni legítimo en una sociedad basada en la preeminencia de los derechos fundamentales.</w:t>
      </w:r>
    </w:p>
    <w:p w:rsidR="00DE14C9" w:rsidRDefault="00DE14C9" w:rsidP="00DE14C9">
      <w:pPr>
        <w:pStyle w:val="TextoNormal"/>
      </w:pPr>
      <w:r>
        <w:t>En relación con una supuesta vulneración de la libertad ideológica y religiosa (art. 16 CE), puesta de manifiesto a las partes en nuestra providencia de 6 de marzo de 2003, el demandante de amparo sostiene que han sido lesionadas aquellas libertades, al hacerle sufrir las penosas consecuencias del cese en su puesto de trabajo el haber hecho públicas sus opciones reformadoras sobre el celibato del sacerdocio católico, estando amparada por la libertad religiosa la posibilidad interna del prosélito de defender cambios evolutivos de las normas de su confesión que pueden quedar desfasadas por el tiempo.</w:t>
      </w:r>
    </w:p>
    <w:p w:rsidR="00DE14C9" w:rsidRDefault="00DE14C9" w:rsidP="00DE14C9">
      <w:pPr>
        <w:pStyle w:val="TextoNormal"/>
      </w:pPr>
      <w:r>
        <w:t>El Abogado del Estado, la Comunidad Autónoma de la Región de Murcia y el Obispado de Cartagena, por las razones que han quedado expuestas en los antecedentes de esta Sentencia, se oponen a la estimación de la demanda de amparo, al considerar que no ha resultado vulnerado ninguno de los derechos fundamentales invocados por el recurrente, en tanto que el Ministerio Fiscal se pronuncia a favor del otorgamiento del amparo solicitado, al entender lesionados los derechos a la igualdad (art. 14 CE) y a la libertad ideológica (art. 16 CE), ya que pertenecen a la libertad de creencia del actor, constitucionalmente inmune a cualquier tipo de coacción, los postulados por él mantenidos sobre el celibato opcional en el seno de la Iglesia católica.</w:t>
      </w:r>
    </w:p>
    <w:p w:rsidR="00DE14C9" w:rsidRDefault="00DE14C9" w:rsidP="00DE14C9">
      <w:pPr>
        <w:pStyle w:val="TextoNormal"/>
      </w:pPr>
    </w:p>
    <w:p w:rsidR="00DE14C9" w:rsidRDefault="00DE14C9" w:rsidP="00DE14C9">
      <w:pPr>
        <w:pStyle w:val="TextoNormal"/>
      </w:pPr>
      <w:r w:rsidRPr="00DE14C9">
        <w:rPr>
          <w:rStyle w:val="NumeroAFNegritaCaracter"/>
        </w:rPr>
        <w:t>3</w:t>
      </w:r>
      <w:r>
        <w:t>. Antes de entrar en el examen de las cuestiones de fondo planteadas, hemos de dar respuesta al óbice de inadmisibilidad aducido por la Letrada de la Comunidad Autónoma de la Región de Murcia, consistente en la falta de agotamiento de la vía judicial previa [art. 50.1 a), en relación con el art. 44.1 a), LOTC], por no haber interpuesto el demandante de amparo recurso de casación para la unificación de la doctrina contra la Sentencia dictada en suplicación por la Sala de lo Social del Tribunal Superior de Justicia, pues expresamente se indicaba en la instrucción de recursos la procedencia de dicho recurso contra aquella Sentencia.</w:t>
      </w:r>
    </w:p>
    <w:p w:rsidR="00DE14C9" w:rsidRDefault="00DE14C9" w:rsidP="00DE14C9">
      <w:pPr>
        <w:pStyle w:val="TextoNormal"/>
      </w:pPr>
      <w:r>
        <w:t xml:space="preserve">Es reiterada doctrina constitucional que la especial naturaleza del recurso de casación para la unificación de la doctrina en el orden social condiciona legalmente su admisión al cumplimiento de rígidos requisitos, lo que determina que su interposición no resulte siempre preceptiva para dar por agotada la vía judicial, siendo únicamente exigible, a efectos de la subsidiariedad del amparo, cuando no quepa duda respecto de su procedencia.  En este sentido hemos declarado que corresponde a quien pretende hacer valer su no interposición </w:t>
      </w:r>
      <w:r>
        <w:lastRenderedPageBreak/>
        <w:t>como motivo de inadmisibilidad de la demanda de amparo acreditar la posibilidad de recurrir a esta extraordinaria vía en el supuesto concreto (por todas, SSTC 153/2004, de 20 de septiembre, FJ 2; 227/2006, de 17 de julio, FJ 2; 289/2006, de 9 de octubre, FJ 2).</w:t>
      </w:r>
    </w:p>
    <w:p w:rsidR="00DE14C9" w:rsidRDefault="00DE14C9" w:rsidP="00DE14C9">
      <w:pPr>
        <w:pStyle w:val="TextoNormal"/>
      </w:pPr>
      <w:r>
        <w:t>Pues bien, la Letrada de la Comunidad Autónoma de la Región de Murcia ni razona ni justifica que concurran en este caso los requisitos legalmente exigidos para la interposición del mencionado recurso, incumpliendo así la carga que, de acuerdo con la doctrina constitucional expuesta, le corresponde en orden a acreditar la inequívoca o, al menos, clara procedencia del recurso de casación para la unificación de la doctrina, por lo que ha de ser desestimado el aducido óbice procesal.</w:t>
      </w:r>
    </w:p>
    <w:p w:rsidR="00DE14C9" w:rsidRDefault="00DE14C9" w:rsidP="00DE14C9">
      <w:pPr>
        <w:pStyle w:val="TextoNormal"/>
      </w:pPr>
    </w:p>
    <w:p w:rsidR="00DE14C9" w:rsidRDefault="00DE14C9" w:rsidP="00DE14C9">
      <w:pPr>
        <w:pStyle w:val="TextoNormal"/>
      </w:pPr>
      <w:r w:rsidRPr="00DE14C9">
        <w:rPr>
          <w:rStyle w:val="NumeroAFNegritaCaracter"/>
        </w:rPr>
        <w:t>4</w:t>
      </w:r>
      <w:r>
        <w:t>. A fin de centrarnos en la que constituye la cuestión nuclear que se suscita con ocasión de la presente demanda de amparo, procede examinar, en primer término, las denunciadas vulneraciones del derecho a la igualdad (art. 14 CE) y del derecho a la intimidad personal y familiar (art. 18.1 CE) que, como se razona a continuación, han de ser desestimadas.</w:t>
      </w:r>
    </w:p>
    <w:p w:rsidR="00DE14C9" w:rsidRDefault="00DE14C9" w:rsidP="00DE14C9">
      <w:pPr>
        <w:pStyle w:val="TextoNormal"/>
      </w:pPr>
      <w:r>
        <w:t>Por lo que se refiere al primero de los derechos mencionados ha de desestimarse su vulneración, pues el recurrente en amparo, como el Abogado del Estado pone de manifiesto en sus alegaciones, no ofrece ningún término de comparación.</w:t>
      </w:r>
    </w:p>
    <w:p w:rsidR="00DE14C9" w:rsidRDefault="00DE14C9" w:rsidP="00DE14C9">
      <w:pPr>
        <w:pStyle w:val="TextoNormal"/>
      </w:pPr>
      <w:r>
        <w:t>Aunque propiamente el actor lo que plantea es la existencia de un tratamiento discriminatorio por razón de su estado civil, y no tanto un tratamiento desigual respecto de nadie en concreto, no puede estimarse que la no propuesta del actor como profesor de religión y moral católicas para el curso 1997/1998 obedeciese a un intento discriminatorio por razón del estado civil, ya que fue propuesto sucesivamente como profesor de religión y moral católicas desde el curso 1991/1992 hasta el curso 1996/1997, cuando llevaba casado civilmente desde el año 1985, circunstancia ésta que no era desconocida por el Obispado, como se reconoce en la demanda de amparo. En ésta se enlaza aquella falta de propuesta al hecho de que el recurrente en amparo había dado publicidad a su condición de cura casado y a su pertenencia al movimiento pro-celibato opcional con ocasión de la información publicada en el diario “La Verdad” de Murcia el día 11 de noviembre de 1996, por lo que, más propiamente que el derecho a la igualdad, los derechos del recurrente supuestamente concernidos por la decisión del Obispado son los derechos a la libertad ideológica y religiosa (art. 16 CE), en relación con la libertad de expresión [art. 20.1 a) CE].</w:t>
      </w:r>
    </w:p>
    <w:p w:rsidR="00DE14C9" w:rsidRDefault="00DE14C9" w:rsidP="00DE14C9">
      <w:pPr>
        <w:pStyle w:val="TextoNormal"/>
      </w:pPr>
      <w:r>
        <w:t>La Sentencia del Tribunal Superior de Justicia recurrida da explícita respuesta al alegato de vulneración del art. 14 CE en conexión con el art. 18.1 CE, diciendo al respecto en su largo fundamento jurídico décimo (folio 32 de dicha Sentencia, párrafo final) que “la Sala en las condiciones anteriores no encuentra que se haya vulnerado el artículo 14, ni el 18.1 de la Constitución Española, pues el actor vino impartiendo clases en las mismas condiciones hasta que dio publicidad a su situación, en contra del rescripto de dispensa (cánones 59 y siguientes del Código de Derecho Canónico)”.</w:t>
      </w:r>
    </w:p>
    <w:p w:rsidR="00DE14C9" w:rsidRDefault="00DE14C9" w:rsidP="00DE14C9">
      <w:pPr>
        <w:pStyle w:val="TextoNormal"/>
      </w:pPr>
      <w:r>
        <w:t>Tal respuesta judicial, sustancialmente coincidente con la que por nuestra parte ha quedado expuesta en líneas precedentes, justifica en términos constitucionalmente adecuados el rechazo de la vulneración alegada.</w:t>
      </w:r>
    </w:p>
    <w:p w:rsidR="00DE14C9" w:rsidRDefault="00DE14C9" w:rsidP="00DE14C9">
      <w:pPr>
        <w:pStyle w:val="TextoNormal"/>
      </w:pPr>
      <w:r>
        <w:t xml:space="preserve">De otra parte, como sostienen el Abogado del Estado y el Ministerio Fiscal en sus alegaciones, tampoco cabe apreciar lesión alguna del derecho a la intimidad personal y familiar (art. 18 CE), pues ha sido el propio recurrente quien, por su libérrima voluntad, decidió hacer públicas su situación personal y familiar, apareciendo en una información periodística fotografiado con su mujer e hijos, y su condición de miembro del movimiento pro-celibato opcional. De modo que la decisión de no proponerle como profesor de religión y moral </w:t>
      </w:r>
      <w:r>
        <w:lastRenderedPageBreak/>
        <w:t>católicas para el curso 1997/1998 no ha supuesto una vulneración de aquel derecho fundamental.</w:t>
      </w:r>
    </w:p>
    <w:p w:rsidR="00DE14C9" w:rsidRDefault="00DE14C9" w:rsidP="00DE14C9">
      <w:pPr>
        <w:pStyle w:val="TextoNormal"/>
      </w:pPr>
      <w:r>
        <w:t>También la Sentencia recurrida da explícita respuesta a la alegada vulneración del art. 18 CE en el párrafo de la misma que antes quedó reproducido.</w:t>
      </w:r>
    </w:p>
    <w:p w:rsidR="00DE14C9" w:rsidRDefault="00DE14C9" w:rsidP="00DE14C9">
      <w:pPr>
        <w:pStyle w:val="TextoNormal"/>
      </w:pPr>
      <w:r>
        <w:t>Desde la perspectiva de la denunciada vulneración del principio de igualdad, en su vertiente en este caso del derecho a la igualdad en el acceso al empleo público en régimen de contratación laboral (art. 14 CE, en conexión con el art. 103.3 CE), en relación con la también alegada lesión de la libertad religiosa (art. 16.1 CE, sin perjuicio de lo que después se dirá respecto de esta última), no está de más llamar la atención sobre la peculiar circunstancia que cabe apreciar en el caso que ahora nos ocupa, en el que precisamente el juego de la libertad religiosa es el factor que ha permitido la designación del recurrente en amparo como profesor de religión en un centro de enseñanza pública por un procedimiento diferente al establecido para el acceso del resto de los docentes de otras áreas. Si el acceso al sistema docente público para impartir la enseñanza de un determinado credo religioso se soporta, en definitiva, en el juicio de la autoridad religiosa sobre la idoneidad de la persona designada para enseñar la doctrina correspondiente, con base en criterios estricta y exclusivamente religiosos o morales, no puede romperse la coherencia con ese dato de partida cuando la propia autoridad eclesiástica que se pronunció favorablemente al emitir su juicio de idoneidad en un acto de carácter puramente religioso, ajeno por completo al Derecho estatal, se pronuncia negativamente en un momento posterior en razón de un juicio igualmente religioso, que en sí mismo no sea merecedor de un reproche constitucional por arbitrariedad, carácter discriminatorio, etc., si es que tal es el caso. La neutralidad del Estado en relación con las diferentes confesiones religiosas debe operar en similares términos cuando el juicio eclesiástico de idoneidad opera positivamente en el momento de la eventual constitución de una inicial relación laboral que cuando, en sentido contrario, opera negativamente a la hora de constituir una nueva relación laboral en un curso académico posterior.</w:t>
      </w:r>
    </w:p>
    <w:p w:rsidR="00DE14C9" w:rsidRDefault="00DE14C9" w:rsidP="00DE14C9">
      <w:pPr>
        <w:pStyle w:val="TextoNormal"/>
      </w:pPr>
      <w:r>
        <w:t>En definitiva la especial idoneidad para la enseñanza de la religión católica no es una condición subjetiva, derivada de la hipotética aplicación de una norma jurídica estatal, cuyo no reconocimiento por la autoridad eclesiástica pueda, en su caso, vulnerar tal norma, sino que es una condición que se inserta en un ámbito puramente religioso, y depende de una valoración del mismo signo. Se parte de una opción personal que, como cualquier otra, lógicamente implica una autolimitación respecto de opciones diferentes, opción previa que a la hora del posible ejercicio de otros derechos fundamentales puede justificar la modulación de las consecuencias de éstos para no desvirtuar o desnaturalizar dicha opción inicial.</w:t>
      </w:r>
    </w:p>
    <w:p w:rsidR="00DE14C9" w:rsidRDefault="00DE14C9" w:rsidP="00DE14C9">
      <w:pPr>
        <w:pStyle w:val="TextoNormal"/>
      </w:pPr>
    </w:p>
    <w:p w:rsidR="00DE14C9" w:rsidRDefault="00DE14C9" w:rsidP="00DE14C9">
      <w:pPr>
        <w:pStyle w:val="TextoNormal"/>
      </w:pPr>
      <w:r w:rsidRPr="00DE14C9">
        <w:rPr>
          <w:rStyle w:val="NumeroAFNegritaCaracter"/>
        </w:rPr>
        <w:t>5</w:t>
      </w:r>
      <w:r>
        <w:t>. La cuestión nuclear que la demanda de amparo plantea consiste en determinar si la decisión de no proponer al recurrente en amparo como profesor de religión y moral católicas para el curso 1997/1998, haciendo así desaparecer el presupuesto esencial de idoneidad que le permitía seguir desempeñando ese trabajo mediante una nueva contratación, encuentra cobertura, como sostienen el Abogado del Estado, la Comunidad Autónoma de la Región de Murcia y el Obispado de Cartagena, en el derecho fundamental a la libertad religiosa, en su dimensión colectiva o comunitaria, de la Iglesia católica (art. 16.1 CE), en relación con el deber de neutralidad religiosa del Estado (art. 16.3 CE) o, por el contrario, vulnera los derechos fundamentales del recurrente a la libertad ideológica y religiosa (art. 16.1 CE), en relación, en este caso, con el ejercicio de la libertad de expresión [art. 201 a) CE].</w:t>
      </w:r>
    </w:p>
    <w:p w:rsidR="00DE14C9" w:rsidRDefault="00DE14C9" w:rsidP="00DE14C9">
      <w:pPr>
        <w:pStyle w:val="TextoNormal"/>
      </w:pPr>
      <w:r>
        <w:t xml:space="preserve">La respuesta a la cuestión suscitada requiere traer a colación, en los concretos aspectos que ahora y aquí interesan, la doctrina elaborada en la reciente STC 38/2007, de 15 de febrero, con ocasión del enjuiciamiento de la constitucionalidad del sistema de contratación y </w:t>
      </w:r>
      <w:r>
        <w:lastRenderedPageBreak/>
        <w:t>selección del profesorado de religión católica en los centros de enseñanza pública, en el que se confiere al Obispado la propuesta a la autoridad académica en cada año escolar de las personas que han de impartirla (artículo III, párrafos primero y segundo, del Acuerdo sobre enseñanza y asuntos culturales suscrito el 3 de enero de 1979 entre el Estado Español y la Santa Sede, ratificado por Instrumento de 4 de diciembre de 1979, y disposición adicional segunda, párrafo segundo, de la Ley 1/1990, de 3 de octubre, de ordenación general del sistema educativo, en la redacción dada por la Ley 50/1998, de 30 de diciembre, de medidas fiscales, administrativas y del orden social).</w:t>
      </w:r>
    </w:p>
    <w:p w:rsidR="00DE14C9" w:rsidRDefault="00DE14C9" w:rsidP="00DE14C9">
      <w:pPr>
        <w:pStyle w:val="TextoNormal"/>
      </w:pPr>
      <w:r>
        <w:t>a) Dijimos entonces y hemos de reiterar ahora que la inserción de la enseñanza de la religión en el sistema educativo “—que sólo puede ser, evidentemente, en régimen de seguimiento libre (STC 5/1981, de 13 de febrero, FJ 9)— hace posible tanto el ejercicio del derecho de los padres de los menores a que éstos reciban la enseñanza religiosa y moral acorde con las convicciones de sus padres (art. 27.3 CE), como la efectividad del derecho de las Iglesias y confesiones a la divulgación y expresión públicas de su credo religioso, contenido nuclear de la libertad religiosa en su dimensión comunitaria o colectiva (art. 16.1 CE). El deber de cooperación establecido en el art. 16.3 CE encuentra en la inserción de la religión en el itinerario educativo un cauce posible para la realización de la libertad religiosa en concurrencia con el ejercicio del derecho a una educación conforme con las propias convicciones religiosas y morales”.</w:t>
      </w:r>
    </w:p>
    <w:p w:rsidR="00DE14C9" w:rsidRDefault="00DE14C9" w:rsidP="00DE14C9">
      <w:pPr>
        <w:pStyle w:val="TextoNormal"/>
      </w:pPr>
      <w:r>
        <w:t>De otra parte, respecto a si la competencia para la definición del credo religioso objeto de enseñanza ha de corresponder a las Iglesias y confesiones o a la autoridad educativa estatal, afirmamos que “el principio de neutralidad del art. 16.3 CE, como se declaró en las SSTC 24/1982, de 13 de mayo, y 340/1993, de 16 de noviembre, ‘veda cualquier tipo de confusión entre funciones religiosas y estatales’ en el desarrollo de las relaciones de cooperación del Estado con la Iglesia católica y las demás confesiones, antes bien sirve, precisamente, a la garantía de la separación ‘introduciendo de este modo una idea de aconfesionalidad o laicidad positiva’ (STC 46/2001, de 15 de febrero, FJ 4), [de modo que e]l credo religioso objeto de enseñanza ha de ser, por tanto, el definido por cada Iglesia, comunidad o confesión, no cumpliéndole al Estado otro cometido que el que se corresponda con las obligaciones asumidas en el marco de la relaciones de cooperación a las que se refiere el art. 16.3 CE”.</w:t>
      </w:r>
    </w:p>
    <w:p w:rsidR="00DE14C9" w:rsidRDefault="00DE14C9" w:rsidP="00DE14C9">
      <w:pPr>
        <w:pStyle w:val="TextoNormal"/>
      </w:pPr>
      <w:r>
        <w:t>Completamos las precedentes consideraciones añadiendo que “también ha de corresponder a las confesiones la competencia para el juicio sobre la idoneidad de las personas que hayan de impartir la enseñanza de su respectivo credo. Un juicio que la Constitución permite que no se limite a la estricta consideración de los conocimientos dogmáticos o de las aptitudes pedagógicas del personal docente, siendo también posible que se extienda a los extremos de la propia conducta en la medida en que el testimonio personal constituya para la comunidad religiosa un componente definitorio de su credo, hasta el punto de ser determinante de la aptitud o cualificación para la docencia, entendida en último término, sobre todo, como vía e instrumento para la transmisión de determinados valores. Una transmisión que encuentra en el ejemplo y el testimonio personales un instrumento que las Iglesias pueden legítimamente estimar irrenunciable” (FJ 5).</w:t>
      </w:r>
    </w:p>
    <w:p w:rsidR="00DE14C9" w:rsidRDefault="00DE14C9" w:rsidP="00DE14C9">
      <w:pPr>
        <w:pStyle w:val="TextoNormal"/>
      </w:pPr>
      <w:r>
        <w:t xml:space="preserve">b) En relación con ambos aspectos y los límites que para las confesiones religiosas se derivan ex Costitutione, declaramos en la mencionada Sentencia que “el derecho a la libertad religiosa y el principio de neutralidad religiosa del Estado implican que la impartición de la enseñanza religiosa asumida por el Estado en el marco de su deber de cooperación con las confesiones religiosas se realice por las personas que las confesiones consideren cualificadas para ello y con el contenido dogmático por ellas decidido. Sin embargo, por más que </w:t>
      </w:r>
      <w:r>
        <w:lastRenderedPageBreak/>
        <w:t>haya de respetarse la libertad de criterio de las confesiones a la hora de establecer los contenidos de las enseñanzas religiosas y los criterios con arreglo a los cuales determinen la concurrencia de la cualificación necesaria para la contratación de una persona como profesor de su doctrina, tal libertad no es en modo alguno absoluta, como tampoco lo son los derechos reconocidos en el art. 16 CE ni en ningún otro precepto de la Constitución, pues en todo caso han de operar las exigencias inexcusables de indemnidad del orden constitucional de valores y principios cifrado en la cláusula del orden público constitucional” (FJ 7).</w:t>
      </w:r>
    </w:p>
    <w:p w:rsidR="00DE14C9" w:rsidRDefault="00DE14C9" w:rsidP="00DE14C9">
      <w:pPr>
        <w:pStyle w:val="TextoNormal"/>
      </w:pPr>
      <w:r>
        <w:t>c) También hemos reconocido la competencia de los órganos jurisdiccionales del Estado y, en última instancia, de este Tribunal Constitucional, para ponderar y conciliar en cada caso los derechos fundamentales en juego, esto es, las exigencias de la libertad religiosa (individual y colectiva) y el principio de neutralidad religiosa del Estado con la protección jurisdiccional de los derechos fundamentales y laborales de los profesores.</w:t>
      </w:r>
    </w:p>
    <w:p w:rsidR="00DE14C9" w:rsidRDefault="00DE14C9" w:rsidP="00DE14C9">
      <w:pPr>
        <w:pStyle w:val="TextoNormal"/>
      </w:pPr>
      <w:r>
        <w:t>Así, a los efectos que ahora interesan, en relación con la designación de las personas que han de impartir la enseñanza de la religión católica, declaramos en la ya reiterada Sentencia que “sin pretensión de ser exhaustivos, resulta claro que, en primer lugar, los órganos judiciales habrán de controlar si la decisión administrativa se ha adoptado con sujeción a las previsiones legales a las que se acaba de hacer referencia, es decir, en lo esencial, si la designación se ha realizado entre las personas que el Diocesano ordinario ha propuesto para ejercer esta enseñanza y, dentro de las personas propuestas, en condiciones de igualdad y con respeto a los principios de mérito y capacidad. O, en sentido negativo, y por ajustarse más a las circunstancias del caso analizado en el proceso a quo, habrán de analizar las razones de la falta de designación de una determinada persona y, en concreto, si ésta responde al hecho de no encontrarse la persona en cuestión incluida en la relación de las propuestas a tal fin por la autoridad eclesiástica, o a otros motivos igualmente controlables. Mas allá de este control de la actuación de la autoridad educativa, los órganos judiciales competentes habrán de analizar también si la falta de propuesta por parte del Ordinario del lugar responde a criterios de índole religiosa o moral determinantes de la inidoneidad de la persona en cuestión para impartir la enseñanza religiosa, criterios cuya definición corresponde a las autoridades religiosas en virtud del derecho de libertad religiosa y del principio de neutralidad del Estado o si, por el contrario, se basa en otros motivos ajenos al derecho fundamental de la libertad religiosa y no amparados por el mismo.  En fin, una vez garantizada la motivación estrictamente «religiosa» de la decisión, el órgano judicial habrá de ponderar los eventuales derechos fundamentales en conflicto a fin de determinar cuál sea la modulación que el derecho de libertad religiosa que se ejerce a través de la enseñanza de la religión en los centros escolares pueda ocasionar en los propios derechos fundamentales de los trabajadores en su relación de trabajo” (FJ 7).</w:t>
      </w:r>
    </w:p>
    <w:p w:rsidR="00DE14C9" w:rsidRDefault="00DE14C9" w:rsidP="00DE14C9">
      <w:pPr>
        <w:pStyle w:val="TextoNormal"/>
      </w:pPr>
      <w:r>
        <w:t xml:space="preserve">d) Constatamos también que “las interrelaciones existentes entre los profesores de religión y la iglesia no son estrictamente las propias de una empresa de tendencia, tal y como han sido analizadas en diversas ocasiones por este Tribunal, sino que configuran una categoría específica y singular, que presenta algunas similitudes pero también diferencias respecto de aquélla”. En este sentido declaramos, refiriéndonos a la mayor intensidad de aquella interrelación respecto a la modulación de los derechos del profesorado en consonancia con el ideario educativo de los centros privados, que “la condición que deriva de la exigencia de la declaración eclesiástica de idoneidad no consiste en la mera obligación de abstenerse de actuar contra del ideario religioso, sino que alcanza, de manera más intensa, a la determinación de la propia capacidad para impartir la doctrina católica, entendida como un conjunto de convicciones religiosas fundadas en la fe. El que el objeto de la enseñanza religiosa </w:t>
      </w:r>
      <w:r>
        <w:lastRenderedPageBreak/>
        <w:t>lo constituya la transmisión no sólo de unos determinados conocimientos sino de la fe religiosa de quien la transmite, puede, con toda probabilidad, implicar un conjunto de exigencias que desbordan las limitaciones propias de una empresa de tendencia, comenzando por la implícita de que quien pretenda transmitir la fe religiosa profese él mismo dicha fe” (FJ 10).</w:t>
      </w:r>
    </w:p>
    <w:p w:rsidR="00DE14C9" w:rsidRDefault="00DE14C9" w:rsidP="00DE14C9">
      <w:pPr>
        <w:pStyle w:val="TextoNormal"/>
      </w:pPr>
      <w:r>
        <w:t>En esta línea argumental, añadíamos que la exigencia de la idoneidad eclesiástica no puede entenderse que “vulnere el derecho individual a la libertad religiosa (art. 16.1 CE) de los profesores de religión, ni la prohibición de declarar sobre su religión (art. 16.2 CE), principios que sólo se ven afectados en la estricta medida necesaria para hacerlos compatibles con el derecho de las iglesias a la impartición de su doctrina en el marco del sistema de educación pública (arts. 16.1 y 16.3 CE) y con el derecho de los padres a la educación religiosa de sus hijos (art. 27.3 CE)”. De modo que, concluíamos, “[r]esultaría sencillamente irrazonable que la enseñanza religiosa en los centros escolares se llevase a cabo sin tomar en consideración como criterio de selección del profesorado las convicciones religiosas de las personas que libremente deciden concurrir a los puestos de trabajo correspondientes, y ello, precisamente en garantía del propio derecho de libertad religiosa en su dimensión externa y colectiva” (FJ 12).</w:t>
      </w:r>
    </w:p>
    <w:p w:rsidR="00DE14C9" w:rsidRDefault="00DE14C9" w:rsidP="00DE14C9">
      <w:pPr>
        <w:pStyle w:val="TextoNormal"/>
      </w:pPr>
    </w:p>
    <w:p w:rsidR="00DE14C9" w:rsidRDefault="00DE14C9" w:rsidP="00DE14C9">
      <w:pPr>
        <w:pStyle w:val="TextoNormal"/>
      </w:pPr>
      <w:r w:rsidRPr="00DE14C9">
        <w:rPr>
          <w:rStyle w:val="NumeroAFNegritaCaracter"/>
        </w:rPr>
        <w:t>6</w:t>
      </w:r>
      <w:r>
        <w:t>. Es a la luz de la doctrina constitucional expuesta como ha de ser analizada la cuestión suscitada en el presente recurso de amparo.</w:t>
      </w:r>
    </w:p>
    <w:p w:rsidR="00DE14C9" w:rsidRDefault="00DE14C9" w:rsidP="00DE14C9">
      <w:pPr>
        <w:pStyle w:val="TextoNormal"/>
      </w:pPr>
      <w:r>
        <w:t>Según resulta del relato de hechos declarado probado en la Sentencia del Juzgado de lo Social y que confirma la Sala de lo Social del Tribunal Superior de Justicia de Murcia, el demandante de amparo se ordenó sacerdote de la Iglesia católica en el año 1961 y en el año 1984 solicitó la dispensa del celibato sacerdotal, que le fue concedida por decisión papal en fecha 15 de septiembre de 1997. En mayo de 1985 contrajo matrimonio civil del cual han nacido cinco hijos. El actor también es miembro del movimiento pro-celibato opcional. Desde octubre de 1991 hasta septiembre de 1997 ha venido prestando servicios para el Ministerio de Educación y Cultura de forma ininterrumpida como profesor de religión y moral católicas en los Institutos de enseñanza secundaria Ginés Pérez Chirinos de Caravaca de la Cruz —1 de octubre de 1991 a 26 de septiembre de 1996— y Riberta de los Molinos de Mula —27 de octubre de 1996 a 29 de septiembre de 1997. En escrito fechado el 29 de septiembre de 1997 el Obispado de Cartagena comunicó al Director Provincial del Ministerio de Educación y Cultura la baja definitiva del demandante de amparo como profesor de religión y moral católicas de educación secundaria en el Instituto de enseñanza secundaria de los Molinos de Mula.  El Ministerio de Educación y Cultura le notificó su cese en fecha 9 de octubre de 1997 con efectos de 29 de septiembre de 1997.</w:t>
      </w:r>
    </w:p>
    <w:p w:rsidR="00DE14C9" w:rsidRDefault="00DE14C9" w:rsidP="00DE14C9">
      <w:pPr>
        <w:pStyle w:val="TextoNormal"/>
      </w:pPr>
      <w:r>
        <w:t>En relación con la baja definitiva del actor como profesor de religión y moral católicas en el curso 1997/1998, el Obispado de Cartagena emitió una nota oficial en fecha 11 de noviembre de 1997 del siguiente tenor:</w:t>
      </w:r>
    </w:p>
    <w:p w:rsidR="00DE14C9" w:rsidRDefault="00DE14C9" w:rsidP="00DE14C9">
      <w:pPr>
        <w:pStyle w:val="TextoNormal"/>
      </w:pPr>
      <w:r>
        <w:t>“Ante la situación de D. José Antonio Fernández Martínez, el Obispado de Cartagena manifiesta lo siguiente:</w:t>
      </w:r>
    </w:p>
    <w:p w:rsidR="00DE14C9" w:rsidRDefault="00DE14C9" w:rsidP="00DE14C9">
      <w:pPr>
        <w:pStyle w:val="TextoNormal"/>
      </w:pPr>
      <w:r>
        <w:t>1.- Que D. José Antonio Fernández Martínez, sacerdote secularizado, impartía clases de Religión y Moral Católicas en un Instituto de Enseñanza de Mula hasta el pasado curso 1996/1997, en virtud de las facultades que les otorgan a los Obispos los Rescriptos (documentos promulgados, en este caso, por la Congregación del Culto Divino y Disciplina para los Sacramentos, que conceden a los sacerdotes la reducción al estado laical o secularización).</w:t>
      </w:r>
    </w:p>
    <w:p w:rsidR="00DE14C9" w:rsidRDefault="00DE14C9" w:rsidP="00DE14C9">
      <w:pPr>
        <w:pStyle w:val="TextoNormal"/>
      </w:pPr>
      <w:r>
        <w:lastRenderedPageBreak/>
        <w:t>2.- Que estas facultades que confieren a los Obispos se pueden llevar a la práctica para impartir disciplinas relativas a la Enseñanza de la Religión Católica, siempre y cuando se realicen en determinados casos y ‘sin peligro de escándalo’.</w:t>
      </w:r>
    </w:p>
    <w:p w:rsidR="00DE14C9" w:rsidRDefault="00DE14C9" w:rsidP="00DE14C9">
      <w:pPr>
        <w:pStyle w:val="TextoNormal"/>
      </w:pPr>
      <w:r>
        <w:t>3.- Que una vez se hizo pública y notoria la situación de D. José Antonio Fernández Martínez, este hecho impide al Obispo de la Diócesis poder hacer uso de las referidas facultades que le concede el Rescripto, por lo que no se firmó el documento que le acreditaba para impartir Religión y Moral Católicas a partir del presente curso académico.  También se ha tenido en cuenta su situación personal y laboral, ya que D. José Antonio Fernández Martínez tiene derecho a percibir la Prestación por Desempleo durante al menos un año y medio.</w:t>
      </w:r>
    </w:p>
    <w:p w:rsidR="00DE14C9" w:rsidRDefault="00DE14C9" w:rsidP="00DE14C9">
      <w:pPr>
        <w:pStyle w:val="TextoNormal"/>
      </w:pPr>
      <w:r>
        <w:t>4.- El Obispado de Cartagena lamenta este hecho, a la vez que afirma que esta decisión se ha adoptado también por respeto a la sensibilidad de muchos padres de familia que se sentirían contrariados al conocer públicamente la situación en la que se encuentra D. José Antonio Fernández Martínez para impartir Religión y Moral Católicas en un centro de enseñanza.</w:t>
      </w:r>
    </w:p>
    <w:p w:rsidR="00DE14C9" w:rsidRDefault="00DE14C9" w:rsidP="00DE14C9">
      <w:pPr>
        <w:pStyle w:val="TextoNormal"/>
      </w:pPr>
      <w:r>
        <w:t>5.- Finalmente, este Obispado espera que el Pueblo Cristiano y la sociedad en general entiendan que las circunstancias que rodean este hecho no se pueden valorar únicamente desde un punto de vista laboral o profesional. Para la Iglesia Católica el Sacramento del Orden Sacerdotal tiene un carácter que rebasa el ámbito meramente laboral o profesional”.</w:t>
      </w:r>
    </w:p>
    <w:p w:rsidR="00DE14C9" w:rsidRDefault="00DE14C9" w:rsidP="00DE14C9">
      <w:pPr>
        <w:pStyle w:val="TextoNormal"/>
      </w:pPr>
      <w:r>
        <w:t xml:space="preserve">La publicidad y notoriedad de la situación del demandante de amparo a las que alude la nota transcrita, como se pone de manifiesto en las Sentencias del Juzgado de lo Social y del Tribunal Superior de Justicia, mostrándose además de acuerdo en este extremo quienes han comparecido en este proceso de amparo, es la plasmada en la información publicada en el diario “La Verdad” en fecha 11 de noviembre de 1996. Dicha información, titulada “El monasterio de La Luz cerró sus puertas a los curas casados que querían celebrar una misa”, aparece completada gráficamente con una foto del demandante de amparo y su familia con el siguiente pie: “En la imagen, uno de los curas casados que acudió ayer a La Luz con toda su familia”. En el texto de la noticia se relata que el Delegado Diocesano del Patrimonio Cultural no había autorizado a miembros del movimiento pro-celibato opcional (Moceop) a que celebraran una misa en el interior del monasterio de La Luz, recogiendo tanto las razones expuestas por el Delegado Diocesano como la contestación a las mismas del portavoz del Moceop. Más adelante el artículo continua afirmando que “la difusión en la prensa del acto a celebrar por los miembros del Moceop hizo que muchos de ellos declinasen participar en él y no accedieran ayer hasta La Luz. Otros, cuando vieron las puertas del monasterio cerradas, saludaron a sus compañeros sin bajarse del coche y se marcharon. Sólo unos diez sacerdotes secularizados se mantuvieron con sus familias ante la puerta del monasterio para informar de su situación a los medios de comunicación y a cuantos se acercaron a interesarse por el tema. Incluso autorizaron a algunos de sus hijos para que desplegasen una pancarta. Finalmente se marcharon a comer juntos, planteándose celebrar una eucarística en la intimidad”. Seguidamente, en la información se recoge la opinión de algunos de los miembros presentes del Moceop sobre determinados temas en los siguientes términos: “Lorenzo Vicente, Pedro Hernández Cano, Crisanto Hernández y [el demandante de amparo] José Antonio Fernández —ex rector del Seminario— son algunos de los sacerdotes casados que ayer acudieron a La Luz y demandaron un celibato opcional y una iglesia democrática, no teocrática, en la que los seglares participen en la elección de su párroco y de su obispo”. Debajo de la foto que acompaña a la información se resalta, bajo el título “Ni el Papa se cree que por el sexo podamos ir al infierno”, el siguiente texto: “Ante temas como el aborto, control de la natalidad, el divorcio o el sexo, Pedro Hernández Cano y los otros compañeros </w:t>
      </w:r>
      <w:r>
        <w:lastRenderedPageBreak/>
        <w:t>del Moceop dijeron que eran partidarios de una paternidad responsable. Añadieron que el aborto es ‘un problema personal y que no debía ser prohibido por ley, sino que hubiese una estructura  social que amparase a la mujer ante la maternidad. Si se marca como pecadora a una persona por un embarazo no legitimado, se está propiciando el aborto’, dijeron. Los curas casados manifestaron que el control de la natalidad se ha demostrado que es necesario ‘y por tanto cada persona debe libremente elegir el método que considere más idóneo’. ‘El sexo es un bien divino, no una lacra, y ni el Papa cree que se pueda uno condenar por ello. Si así fuese, no hubiese congelado las seis mil peticiones de secularización que existen’, añadieron”.</w:t>
      </w:r>
    </w:p>
    <w:p w:rsidR="00DE14C9" w:rsidRDefault="00DE14C9" w:rsidP="00DE14C9">
      <w:pPr>
        <w:pStyle w:val="TextoNormal"/>
      </w:pPr>
      <w:r>
        <w:t>Es claro que la información periodística publicada en el diario “La Verdad”, que se ha reproducido íntegramente a efectos meramente ilustrativos, ha sido la desencadenante de la nota oficial de la oficina de información diocesana del Obispado de Cartagena antes transcrita emitida en relación con los motivos que han determinado la baja definitiva del actor como profesor de religión y moral católicas en el curso 1997/1998. Así resulta del relato de hechos probados de la Sentencia del Juzgado de lo Social y de la del Tribunal Superior de Justicia, mostrándose de acuerdo en este extremo, como ya hemos tenido ocasión de señalar, quienes han comparecido en este proceso. En concreto en aquellas Sentencias se vincula el cese del actor a raíz de aquella información a que con ocasión de la misma se hiciera público que el demandante de amparo había contraído matrimonio y era padre de cinco hijos, así como el dato de su condición de miembro del movimiento pro-celibato opcional y su participación en dicho movimiento. Al carácter determinante de ambos factores como motivo del cese del recurrente se refiere expresamente la Sentencia del Juzgado de lo Social, como a continuación se recoge en el siguiente fundamento jurídico de esta Sentencia, y es admitido por las partes de este proceso de amparo. Así, el propio recurrente en su escrito de demanda de amparo imputa su cese, por una parte, al hecho de “hacer pública su condición de miembro del movimiento pro-celibato”, lo que a su juicio “constituye una injerencia no justificada en su vida privada, pues ser o no ser de dicho movimiento es un asunto atinente exclusivamente a la vida privada del actor, sin que dicha actividad tenga incompatibilidad alguna con su condición de profesor de religión y moral católica”, así como, por otra parte, a “aparecer públicamente como cura casado”, circunstancia que, en su opinión, “constituye un acto discriminatorio pues el factor usado para el trato desigual (aparecer públicamente como cura casado) no es razonable ni legítimo en una sociedad basada en la preeminencia de los derechos fundamentales”. Siendo en este caso las circunstancias fácticas expuestas las determinantes del cese del actor, según resulta del relato de hechos probados de las Sentencias recaídas en la vía judicial previa, a ellas ha de estar este Tribunal por imperio del art. 44.1 b) LOTC.</w:t>
      </w:r>
    </w:p>
    <w:p w:rsidR="00DE14C9" w:rsidRDefault="00DE14C9" w:rsidP="00DE14C9">
      <w:pPr>
        <w:pStyle w:val="TextoNormal"/>
      </w:pPr>
    </w:p>
    <w:p w:rsidR="00DE14C9" w:rsidRDefault="00DE14C9" w:rsidP="00DE14C9">
      <w:pPr>
        <w:pStyle w:val="TextoNormal"/>
      </w:pPr>
      <w:r w:rsidRPr="00DE14C9">
        <w:rPr>
          <w:rStyle w:val="NumeroAFNegritaCaracter"/>
        </w:rPr>
        <w:t>7</w:t>
      </w:r>
      <w:r>
        <w:t>. El recurrente en amparo interpuso en fecha 29 de octubre de 1997 recurso administrativo contra la resolución del Ministerio de Educación y Cultura que formalizó su cese como profesor de religión y moral católicas, que fue inadmitido por Resolución de la Directora General de Personal y Servicios del Ministerio de fecha 4 de marzo de 1998.  Frente a esta resolución promovió recurso contencioso-administrativo contra el Ministerio de Educación y Cultura y el Obispado de Cartagena, que concluyó por Sentencia de 5 de julio de 2000, que consideró correcta la resolución que había formalizado su cese, ya que éste era el único acto que podía realizar la Administración una vez acordada la baja del ahora recurrente en amparo por el Obispado.</w:t>
      </w:r>
    </w:p>
    <w:p w:rsidR="00DE14C9" w:rsidRDefault="00DE14C9" w:rsidP="00DE14C9">
      <w:pPr>
        <w:pStyle w:val="TextoNormal"/>
      </w:pPr>
      <w:r>
        <w:t xml:space="preserve">Concluida la vía contencioso-administrativo, el demandante de amparo interpuso ante la jurisdicción social demanda de despido contra su cese como profesor de religión y moral </w:t>
      </w:r>
      <w:r>
        <w:lastRenderedPageBreak/>
        <w:t>católicas en fecha 6 de julio de 2000. Tras ser rechazadas las excepciones procesales alegadas por los demandados, entre ellas la caducidad de la acción, la demanda fue parcialmente estimada por la Sentencia del Juzgado de lo Social núm. 3 de Murcia núm.  279/2000, de 28 de septiembre. El órgano judicial consideró, en síntesis, que el cese del actor vulneraba el art. 14 CE, ya que había “sido discriminado por razón de su estado civil y por su pertenencia a una asociación movimiento pro celibato opcional, [siendo] su aparición en la prensa el detonante de su cese”, así como también el derecho a la vida privada (art. 18.1 CE) y la libertad de expresión [art. 20.1 a) CE]. En consecuencia, declaró que el cese del demandante de amparo era constitutivo de un despido nulo y condenó a la Comunidad Autónoma de la Región de Murcia a la inmediata readmisión del trabajador en su antiguo puesto de trabajo de profesor de religión y moral católicas en las mismas condiciones que regían con anterioridad y a la Administración del Estado a abonarle los salarios dejados de percibir desde la fecha del cese hasta que la readmisión tuviera lugar, absolviendo al Obispado de Cartagena de los pedimentos que respecto a él se efectuaban en la demanda de despido.</w:t>
      </w:r>
    </w:p>
    <w:p w:rsidR="00DE14C9" w:rsidRDefault="00DE14C9" w:rsidP="00DE14C9">
      <w:pPr>
        <w:pStyle w:val="TextoNormal"/>
      </w:pPr>
      <w:r>
        <w:t xml:space="preserve">Por su parte, la Sala de lo Social del Tribunal Superior de Justicia de Murcia en la Sentencia núm. 262/2001, de 26 de febrero, estimó los recursos de suplicación interpuestos por el Obispado de Cartagena, la Comunidad Autónoma de la Región de Murcia y el Ministerio de Educación y Cultura contra la Sentencia de instancia, que revocó, declarando que el cese del actor como profesor de religión y moral católicas no era constitutivo de despido. La Sala comienza por referirse al marco jurídico de la enseñanza de la religión católica en los centros públicos docentes (arts. III, VI y VII del Acuerdo sobre enseñanza y asuntos culturales entre el Estado Español y la Santa Sede de 3 de enero de 1979; disposición adicional decimoquinta de la Ley 30/1984, de 2 de agosto, de medidas para la reforma de la Función pública; disposición adicional segunda de la Ley Orgánica 1/1990, de 3 de octubre, de ordenación general del sistema educativo) para afirmar que la propuesta del Ordinario diocesano de las personas que han de impartir la enseñanza de la religión y moral católicas es susceptible de control jurisdiccional en un sentido negativo, esto es, “no puede ser nombrada una persona que no acredite la titulación académica suficiente y, por tanto, entre ellas la propuesta es discrecional [, a lo que ha de unirse] la posibilidad de controlar el ejercicio de sus facultades, en la medida que, en todo caso, debería acomodarse al respeto de los derechos fundamentales y libertades públicas, con los condicionamientos, inflexiones y particularidades del área en el que se opera, la enseñanza de una religión —la católica”. En otras palabras “el Obispo diocesano u Ordinario del lugar puede proponer a personas con la titulación correspondiente, de forma discrecional, pues la propuesta esta fuera del control jurisdiccional, en un sentido amplio, ya que cabe razonablemente entender que la propuesta se enmarca en un área integrada en el ejercicio de su ministerio espiritual, por lo que, a la luz de la normativa dicha y reiterada, el control jurisdiccional sólo puede ser negativo, esto es, sólo cabría escrutar si las personas propuestas no reúnen los requisitos exigidos y si la propuesta respeta los derechos fundamentales y libertades pública” (fundamento de Derecho sexto). Por tanto, la Sala reconoce”que la facultad de proponer [del Ordinario del lugar] es susceptible de control judicial en la medida en que podría o pudiese infringir o violar derechos fundamentales o libertades públicas, si bien ... dentro de los condicionamientos, inflexiones y particularidades del ámbito en que se [opera], la enseñanza de una religión —la católica”, a lo que añade que concurrente e íntimamente vinculada a la relación laboral  “existe una relación de derecho eclesiástico que une al profesor de religión católica con el obispo, que es lo que básicamente introduce a la relación, lato sensu, en un área singularísima, pues, como mantiene la doctrina más autorizada, el profesor de religión católica esta unido al Obispo por una relación, calificable de mandato, y de este modo se viene a reflejar en los acuerdos </w:t>
      </w:r>
      <w:r>
        <w:lastRenderedPageBreak/>
        <w:t>entre España y la Santa Sede, y, asimismo, resulta de lo establecido en los artículos 804 y 805 del Código de Derecho canónico” (fundamento de Derecho séptimo). Así pues, para la Sala “se está en presencia de una relación jurídica, en la que adquiere gran relevancia y es determinante el hecho de que se trate de campo ideológico o doctrinal o religioso, en el que, por el contenido doctrinal de la enseñanza, incluso su fundamento en la propia doctrina a impartir, relacionada con un contenido marcadamente espiritual, se justificaría la regulación concreta. En sentido negativo, por tanto, no se esta en presencia de una relación jurídica neutra, como podría ser la de un ciudadano sin más con los poderes públicos”. “Restringiendo aún más el campo operativo —continúa su razonamiento— estamos situados en un punto fronterizo entre lo que es la pura dimensión eclesiástica y lo que es el comienzo, en su caso, de la relación laboral, esto es, un área en que el Ordinario del lugar ejercita una proyección de su Ministerio Espiritual o Pastoral libremente o discrecionalmente en virtud de las facultades espirituales de las que esta investido, que, en principio, son extrañas a cualquier relación jurídica laboral, en sentido propio, y [se deben] incardinar en el ejercicio de su libertad religiosa, como Obispo”. Perfilando el ámbito en el que se inserta aquella relación, se afirma en la Sentencia que “más que ante una empresa de tendencia se esta ante la máxima expresión de una ideología o religión, que es el servicio a una iglesia en su vertiente espiritual, esfera en la que tiene trascendencia no solo la fidelidad doctrinal sino su adecuación a ella, ya que se está en presencia de un campo en el que opera intensamente la ideología y la decisión del Ordinario del lugar se basa en una especial relación de confianza” (fundamentos de Derecho noveno y décimo).</w:t>
      </w:r>
    </w:p>
    <w:p w:rsidR="00DE14C9" w:rsidRDefault="00DE14C9" w:rsidP="00DE14C9">
      <w:pPr>
        <w:pStyle w:val="TextoNormal"/>
      </w:pPr>
      <w:r>
        <w:t xml:space="preserve">Aplicando estas consideraciones generales a las concretas circunstancias del caso enjuiciado, la Sala llega a la conclusión que no se ha vulnerado ni el art. 14, ni el art. 18.1 CE, “pues el actor vino impartiendo clases en las mismas condiciones hasta que dio publicidad a su situación, en contra del rescripto de dispensa (cánones 59 y siguientes del Código de Derecho Canónico). En dicho momento, el Obispo tuvo que atenerse a lo dispuesto en el rescripto, por el que no solo estaba facultado, sino al que estaba vinculado, como proyección concreta de los cánones 804, 805 y 806 del Código de Derecho canónico y, por tanto, en los términos indicados no se aprecia que se hayan violado por la no propuesta del Ordinario del lugar los artículos indicados, ya que se atuvo a cumplir las obligaciones que le vinculaban, como manifestación de su derecho- deber. Más concretamente, respecto de la intromisión legitima en la vida privada del actor, ello tampoco se produjo, pues ... fue el mismo actor el que consistió la publicidad en contra el rescripto de dispensa, no fue el Ordinario del lugar el que incurrió en una intromisión ilegítima, no; fue el actor el que sacó su situación a la luz pública y, en consecuencia, tampoco cabe apreciar intromisión en su vida privada ni en su intimidad”. A juicio de la Sala, la decisión del Ordinario del lugar de no proponer al demandante de amparo como profesor de religión y moral católicas no lesionó finalmente la libertad de expresión [art.  20.1 a) CE], dado que “según el rescripto de dispensa, lo que se trataba de evitar era el escándalo o posible escándalo, mediante la ausencia de publicidad, y es lugar común, por su conocimiento general, que, según la doctrina Católica, ya en sus fuentes originarias y en la tradición, el escándalo o propiciar un posible escándalo es, desde el punto de vista doctrinal, gravísimo”. En definitiva, concluye la Sala, “es claro que no se ha violado ninguno de los derechos fundamentales o libertades públicas aducidas por el actor, pues, de un lado, se estaría en su área doctrinal, en la que, aparte de que es valorable la formación doctrinal e ideológica [lo es] su práctica; de otro lado, se trata de un contexto en el que, por naturaleza o esencia, media un vínculo de confianza, que si se rompe, y al efecto se producen circunstancias que razonablemente apoyan tal conclusión, exime al Ordinario del lugar de proponer a la persona en cuestión como profesor de religión católica”. Por consiguiente, la </w:t>
      </w:r>
      <w:r>
        <w:lastRenderedPageBreak/>
        <w:t>Sala estimó que, al no haberse vulnerado derechos fundamentales ni libertades públicas, no había existido despido (fundamento de Derecho décimo).</w:t>
      </w:r>
    </w:p>
    <w:p w:rsidR="00DE14C9" w:rsidRDefault="00DE14C9" w:rsidP="00DE14C9">
      <w:pPr>
        <w:pStyle w:val="TextoNormal"/>
      </w:pPr>
    </w:p>
    <w:p w:rsidR="00DE14C9" w:rsidRDefault="00DE14C9" w:rsidP="00DE14C9">
      <w:pPr>
        <w:pStyle w:val="TextoNormal"/>
      </w:pPr>
      <w:r w:rsidRPr="00DE14C9">
        <w:rPr>
          <w:rStyle w:val="NumeroAFNegritaCaracter"/>
        </w:rPr>
        <w:t>8</w:t>
      </w:r>
      <w:r>
        <w:t>. Llegados hasta aquí, conviene precisar que la función de este Tribunal en este caso, al igual que en otros supuestos en los que se plantea un conflicto entre derechos fundamentales de carácter sustantivo, consiste en dilucidar si la ponderación judicial de los derechos en presencia ha sido realizada de modo que se respete su correcta valoración y definición constitucional, de conformidad con la doctrina de la que se ha dejado constancia en el fundamento jurídico 5 para, de llegar a una conclusión afirmativa, rechazar que la Sentencia recurrida haya vulnerado los derechos fundamentales del actor o, en caso contrario, reputarla lesiva de uno u otro derecho fundamental. Partiendo de los hechos enjuiciados y declarados probados en las resoluciones judiciales, de acuerdo con lo dispuesto en el art. 44.1 b) LOTC, este Tribunal ha de adentrarse, pues, en la tarea de ponderar los derechos fundamentales en conflicto, función en la que no se encuentra vinculado a las valoraciones efectuadas por los órganos jurisdiccionales cuya decisión se somete a nuestro control. En otras palabras, en estos casos, el juicio de este Tribunal no se circunscribe a un examen externo de la suficiencia y consistencia de la motivación de la resolución o las resoluciones judiciales impugnadas bajo el prisma del art. 24.1 CE, sino que, en su condición de garante máximo de los derechos fundamentales, debe resolver el eventual conflicto entre los derechos afectados determinando si, efectivamente, aquéllos se han vulnerado atendiendo al contenido que constitucionalmente corresponda a cada uno de ellos, aunque para este fin sea preciso utilizar criterios distintos de los aplicados por los órganos judiciales, ya que sus razones no vinculan a este Tribunal ni reducen su jurisdicción a la simple revisión de la motivación de las resoluciones judiciales. En consecuencia, en casos como el presente hemos de aplicar los cánones de constitucionalidad propios de dichos derechos a los hechos establecidos por los Jueces y Tribunales, que nuestro examen debe respetar escrupulosamente (en este sentido, SSTC 240/1992, de 21 de diciembre, FJ 3; 178/1993, de 31 de mayo, FJ 2; 42/1995, de 13 de febrero, FJ 3; 52/2002, de 25 de febrero, FJ 4; 216/2006, de 3 de julio, FJ 3; 299/2006, de 23 de octubre, FJ 3).</w:t>
      </w:r>
    </w:p>
    <w:p w:rsidR="00DE14C9" w:rsidRDefault="00DE14C9" w:rsidP="00DE14C9">
      <w:pPr>
        <w:pStyle w:val="TextoNormal"/>
      </w:pPr>
    </w:p>
    <w:p w:rsidR="00DE14C9" w:rsidRDefault="00DE14C9" w:rsidP="00DE14C9">
      <w:pPr>
        <w:pStyle w:val="TextoNormal"/>
      </w:pPr>
      <w:r w:rsidRPr="00DE14C9">
        <w:rPr>
          <w:rStyle w:val="NumeroAFNegritaCaracter"/>
        </w:rPr>
        <w:t>9</w:t>
      </w:r>
      <w:r>
        <w:t xml:space="preserve">. Las razones por las que el recurrente en amparo no fue propuesto como profesor de religión y moral católicas para el curso 1997/1998 se encuentran explicitadas en la ya transcrita nota oficial de la oficina de información diocesana del Obispado de Cartagena, emitida en fecha 11 de noviembre de 1997. En ella se manifiesta que el recurrente en amparo, sacerdote secularizado, impartía clases de religión y moral católicas en virtud de las facultades que les otorgan a los Obispos los rescriptos (documentos promulgados, en este caso, por la congregación del culto divino y disciplina para los sacramentos, que conceden a los sacerdotes la reducción al estado laical o secularización), según las cuales el sacerdote que ha obtenido la dispensa no puede dar clase de religión en institutos no dependientes de la autoridad eclesiástica, salvo que el Ordinario decida otra cosa “a su prudente juicio y sin riesgo de escándalo”. Pues bien, se afirma en la nota informativa que ha sido la circunstancia de que “se hizo pública y notoria la situación” del demandante de amparo la que impide “al Obispado de la Diócesis poder hacer uso de las referidas facultades que le concede el Reescrito, por lo que no se firmó el documento que le acreditaba para impartir Religión y Moral Católicas a partir del presente curso académico”. Asimismo, se expresa en la nota que la decisión “se ha adoptado también por respeto a la sensibilidad de muchos padres de familia que se sentirían contrariados al conocer públicamente la situación en la que se encuentra [el </w:t>
      </w:r>
      <w:r>
        <w:lastRenderedPageBreak/>
        <w:t>demandante de amparo] para impartir Religión y Moral Católicas en un centro de enseñanza”, para concluir que el Obispado “espera que el Pueblo Cristiano y la sociedad en general entiendan que las circunstancias que rodean este hecho no se pueden valorar únicamente desde el punto de vista laboral o profesional [pues p]ara la Iglesia Católica el Sacramento del Orden Sacerdotal tiene un carácter que rebasa el ámbito meramente laboral o profesional”.</w:t>
      </w:r>
    </w:p>
    <w:p w:rsidR="00DE14C9" w:rsidRDefault="00DE14C9" w:rsidP="00DE14C9">
      <w:pPr>
        <w:pStyle w:val="TextoNormal"/>
      </w:pPr>
      <w:r>
        <w:t>La situación a cuya publicidad y notoriedad alude la nota informativa, como ya antes se destacó, resulta ser, en primer lugar, la situación personal y familiar del recurrente en amparo, lo que a su vez se refleja en las Sentencias recaídas del Juzgado de lo Social y del Tribunal Superior de Justicia y en tal sentido lo han entendido sin discrepancia quienes han comparecido y formulado alegaciones en este recurso de amparo. Dicha situación, según ya se dijo, había adquirido publicidad y notoriedad mediante la información publicada en el diario “La Verdad” en fecha 11 de noviembre de 1996, ya anteriormente referida, como consecuencia de la cual trasciende a la opinión pública, al aparecer fotografiado como su mujer e hijos, que el demandante de amparo, (que a la sazón tenía en trámite la solicitud de dispensa del celibato sacerdotal), había contraído matrimonio civil y era padre de cinco hijos. El Juzgado de lo Social, el Tribunal Superior de Justicia y quienes han comparecido en este proceso consideran que la nota informativa refiere aquella notoriedad y publicidad también a la pertenencia del recurrente en amparo al movimiento pro-celibato opcional. Es, pues, la publicación de una doble circunstancia personal del demandante, su situación familiar de cura casado con hijos y la pertenencia a un Movimiento contrario a la ortodoxia católica, lo que constituye la base fáctica de lo que en la nota del Obispado de Cartagena se considera causa de escándalo según la doctrina de la religión católica.</w:t>
      </w:r>
    </w:p>
    <w:p w:rsidR="00DE14C9" w:rsidRDefault="00DE14C9" w:rsidP="00DE14C9">
      <w:pPr>
        <w:pStyle w:val="TextoNormal"/>
      </w:pPr>
      <w:r>
        <w:t>Resulta así claro en este caso que la no propuesta por parte del Obispado del demandante de amparo como profesor de religión y moral católicas para el curso 1997/1998 responde a criterios cuya caracterización como de índole religiosa y moral no puede ser negada, las cuales, a juicio de la autoridad eclesiástica, son determinantes de su falta de idoneidad para impartir dicha enseñanza, como consecuencia de la disimilitud, desemejanza, falta de sintonía u oposición de la conducta, vida personal u opiniones del demandante de amparo con los postulados definitorios del credo religioso de la Iglesia católica, cuya constitucionalidad en momento alguno cuestiona el demandante de amparo.</w:t>
      </w:r>
    </w:p>
    <w:p w:rsidR="00DE14C9" w:rsidRDefault="00DE14C9" w:rsidP="00DE14C9">
      <w:pPr>
        <w:pStyle w:val="TextoNormal"/>
      </w:pPr>
      <w:r>
        <w:t>Como ya hemos declarado corresponde a las autoridades religiosas en virtud del derecho de libertad religiosa y del principio de neutralidad religiosa del Estado la definición del propio credo religioso, así como el concreto juicio de idoneidad sobre las personas que han de impartir la enseñanza de dicho credo, permitiendo la Constitución que este juicio “no se limite a la estricta consideración de los conocimientos dogmáticos o de las aptitudes pedagógicas del personal docente”, sino también “que se extienda a los extremos de la propia conducta en la medida en que el testimonio personal constituya para la comunidad religiosa un componente definitorio de su credo, hasta el punto de ser determinante de la aptitud o cualificación para la docencia” (STC 38/2007, de 15 de febrero, FJ 7). Por el contrario, como el Abogado del Estado pone de manifiesto en su escrito de alegaciones, no existe dato alguno que permita afirmar que en este caso la no propuesta del demandante de amparo como profesor de religión y moral católicas se haya debido a motivos o criterios ajenos al derecho fundamental de libertad religiosa de la Iglesia católica y no amparados por el mismo.</w:t>
      </w:r>
    </w:p>
    <w:p w:rsidR="00DE14C9" w:rsidRDefault="00DE14C9" w:rsidP="00DE14C9">
      <w:pPr>
        <w:pStyle w:val="TextoNormal"/>
      </w:pPr>
      <w:r>
        <w:t xml:space="preserve">Por impedirlo el deber de neutralidad del art. 16.3 CE, una vez constatada la naturaleza religiosa de los motivos en los que se ha fundado la no propuesta del demandante de amparo como profesor de religión y moral católicas, este Tribunal nada ha de decir sobre el carácter </w:t>
      </w:r>
      <w:r>
        <w:lastRenderedPageBreak/>
        <w:t>y la relevancia que en la nota informativa del Obispado de Cartagena se expresa del sacramento del orden sacerdotal en el seno de la Iglesia católica para justificar la decisión adoptada, que estima prevalentes a una consideración de la situación desde la perspectiva de sus circunstancias laborales o profesionales. Tampoco respecto a la justificación de la apreciación del “escándalo”, al que alude el Obispado en su nota, consistente en que el demandante de amparo, que venía impartiendo clases de religión y moral católicas por dispensa del Obispo, diera publicidad y notoriedad a su situación personal y familiar y a su pertenencia al movimiento pro-celibato opcional.</w:t>
      </w:r>
    </w:p>
    <w:p w:rsidR="00DE14C9" w:rsidRDefault="00DE14C9" w:rsidP="00DE14C9">
      <w:pPr>
        <w:pStyle w:val="TextoNormal"/>
      </w:pPr>
      <w:r>
        <w:t>La apreciación de tal justificación entraña un juicio de valor, que no puede hacerse, en su caso, sino con criterios de índole religiosa.</w:t>
      </w:r>
    </w:p>
    <w:p w:rsidR="00DE14C9" w:rsidRDefault="00DE14C9" w:rsidP="00DE14C9">
      <w:pPr>
        <w:pStyle w:val="TextoNormal"/>
      </w:pPr>
      <w:r>
        <w:t>La idea de escándalo supone una referencia axiológica o valorativa de una conducta o situación contempladas desde la perspectiva de mandatos, normas o principios de un determinado contenido, de modo que el hecho de que una conducta o situación pueda ser considerada como escandalosa desde el prisma de un concreto conjunto de mandatos, normas o principios, por los que comulgan con los mismos, no quiere decir que necesariamente tenga que merecer la misma consideración si es valorada desde un conjunto distinto de mandatos, normas o principios.</w:t>
      </w:r>
    </w:p>
    <w:p w:rsidR="00DE14C9" w:rsidRDefault="00DE14C9" w:rsidP="00DE14C9">
      <w:pPr>
        <w:pStyle w:val="TextoNormal"/>
      </w:pPr>
      <w:r>
        <w:t>La posible diferencia valorativa de unos mismos hechos según el marco axiológico en que se consideren no puede suscitar así recelo alguno. La doble esfera valorativa de unas mismas situaciones es consecuencia lógica de la coexistencia en el ámbito social regulado por las leyes del Estado de concepciones religiosas distintas. Sería contrario al deber de neutralidad del Estado impuesto por el art. 16.3 CE, según se indicó antes, que el Estado pretendiese negar el carácter religioso de la valoración de unas conductas en el seno intraeclesial, por el hecho de que esas mismas conductas puedan merecer una valoración diferente en un ámbito extraeclesial.</w:t>
      </w:r>
    </w:p>
    <w:p w:rsidR="00DE14C9" w:rsidRDefault="00DE14C9" w:rsidP="00DE14C9">
      <w:pPr>
        <w:pStyle w:val="TextoNormal"/>
      </w:pPr>
    </w:p>
    <w:p w:rsidR="00DE14C9" w:rsidRDefault="00DE14C9" w:rsidP="00DE14C9">
      <w:pPr>
        <w:pStyle w:val="TextoNormal"/>
      </w:pPr>
      <w:r w:rsidRPr="00DE14C9">
        <w:rPr>
          <w:rStyle w:val="NumeroAFNegritaCaracter"/>
        </w:rPr>
        <w:t>10</w:t>
      </w:r>
      <w:r>
        <w:t>. Una vez acreditado en este caso que la falta de propuesta del Ordinario de lugar ha obedecido a criterios de índole religiosa o moral, cuya definición corresponde a las autoridades religiosas en ejercicio del derecho de libertad religiosa y del principio de neutralidad religiosa del Estado (art. 16.1 y 3 CE), es decir, una vez garantizada la motivación estrictamente religiosa de la decisión de no proponer al demandante de amparo como profesor de religión y moral católicas, es necesario a continuación, de conformidad con la doctrina de la que hemos dejado constancia en el fundamento jurídico 5, “ponderar los eventuales derechos fundamentales en conflicto a fin de determinar cuál sea la modulación que el derecho a la libertad religiosa que se ejerce a través de la enseñanza de la religión en los centros escolares pueda ocasionar en los propios derechos fundamentales de los trabajadores en su relación de trabajo”. En este sentido, como se ha dejado constancia en el precedente fundamento jurídico 5, hemos declarado en la ya mencionada STC 38/2007, de 15 de febrero, que los órganos judiciales y, en su caso, este Tribunal Constitucional, “habrán de encontrar criterios practicables que permitan conciliar en el caso concreto las exigencias de la libertad religiosa (individual y colectiva) y el principio de neutralidad religiosa del Estado con la protección jurisdiccional de los derechos fundamentales y laborales de los profesores” (ibidem).</w:t>
      </w:r>
    </w:p>
    <w:p w:rsidR="00DE14C9" w:rsidRDefault="00DE14C9" w:rsidP="00DE14C9">
      <w:pPr>
        <w:pStyle w:val="TextoNormal"/>
      </w:pPr>
      <w:r>
        <w:t>En principio, la renuncia por parte de los órganos jurisdiccionales en la vía judicial a realizar la debida y requerida ponderación entre los derechos fundamentales en conflicto con el de libertad religiosa o una ponderación inadecuada a las circunstancias del caso supondría una vulneración de aquéllos. Sin embargo, no es este el caso que ahora nos ocupa.</w:t>
      </w:r>
    </w:p>
    <w:p w:rsidR="00DE14C9" w:rsidRDefault="00DE14C9" w:rsidP="00DE14C9">
      <w:pPr>
        <w:pStyle w:val="TextoNormal"/>
      </w:pPr>
      <w:r>
        <w:lastRenderedPageBreak/>
        <w:t>Al respecto es bueno detenerse, reproduciéndolos en lo necesario, en los pasajes de la Sentencia recurrida demostrativos de la ponderación por el Tribunal Superior de Justicia de los derechos en conflicto.</w:t>
      </w:r>
    </w:p>
    <w:p w:rsidR="00DE14C9" w:rsidRDefault="00DE14C9" w:rsidP="00DE14C9">
      <w:pPr>
        <w:pStyle w:val="TextoNormal"/>
      </w:pPr>
      <w:r>
        <w:t>Sobre el particular el fundamento jurídico sexto de la Sentencia empieza exponiendo la doctrina de la Sala, contenida en su Sentencia de 25 de julio de 2000, de la que se extraen extensos pasajes, muy significativos a los efectos que ahora nos ocupan.  Y así se dice:</w:t>
      </w:r>
    </w:p>
    <w:p w:rsidR="00DE14C9" w:rsidRDefault="00DE14C9" w:rsidP="00DE14C9">
      <w:pPr>
        <w:pStyle w:val="TextoNormal"/>
      </w:pPr>
      <w:r>
        <w:t>“Además, indicó que: ‘La Sala, ante las características del supuesto litigioso, debe enfatizar que se está en presencia de una regulación jurídica específica y que, en el caso de la actora doña ..., en realidad, lo que se está planteando de una manera palmaria y determinante es si el hecho de que no se proponga a la misma, aunque, según la sentencia recurrida, cumpliese los requisitos, ello determinaría la obligación por parte de la jerarquía religiosa de proponerla. En definitiva, y en el fondo, se está planteando jurisdiccionalmente si la propuesta del Ordinario diocesano es susceptible de control jurisdiccional y, por tanto, si un órgano judicial puede suplantar su voluntad, sustituyendo su propuesta a través de una resolución judicial, que es la consecuencia a la que conduciría la sentencia recurrida, al estimar la demanda de la actora, línea argumental que también, aunque implícitamente seguiría, cuando menos en parte, el recurso de la Comunidad Autónoma.</w:t>
      </w:r>
    </w:p>
    <w:p w:rsidR="00DE14C9" w:rsidRDefault="00DE14C9" w:rsidP="00DE14C9">
      <w:pPr>
        <w:pStyle w:val="TextoNormal"/>
      </w:pPr>
      <w:r>
        <w:t>Sobre el particular [continúa la argumentación de la Sentencia, que transcribimos] podrían mantenerse al menos tres tesis, que serían: A) La propuesta del Obispo diocesano es controlable en todos sus extremos por los tribunales, de tal forma, que no es ejercitable en forma discrecional una vez respetados en ella los requisitos de competencia académica y, por tanto, cada año debe proponer a las mismas personas que ya fueron propuestas con anterioridad y dar razón explicativa en el caso de que no se propongan.  B) La propuesta del Obispo diocesano no puede ser objeto de control jurisdiccional, ya que responde a un ejercicio de su ministerio espiritual. C) La propuesta del Obispo diocesano es susceptible de control jurisdiccional, en un sentido negativo, esto es, no puede ser nombrada una persona que no acredite la titulación académica suficiente y, por tanto, entre ellas la propuesta es discrecional, dada la amplia cobertura de su ministerio espiritual. A ello se uniría la posibilidad de controlar el ejercicio de sus facultades, en la medida que, en todo caso, debería acomodarse al respeto de los derechos fundamentales y libertades públicas, con los condicionamientos, inflexiones y particularidades del área en que se opera, la enseñanza de una religión —la católica”.</w:t>
      </w:r>
    </w:p>
    <w:p w:rsidR="00DE14C9" w:rsidRDefault="00DE14C9" w:rsidP="00DE14C9">
      <w:pPr>
        <w:pStyle w:val="TextoNormal"/>
      </w:pPr>
      <w:r>
        <w:t>Tras razonar, insistiendo sobre la especificidad del área en que opera la propuesta, y cerrando el discurso sobre las tesis acerca de la posibilidad o no de control jurisdiccional, se afirma en el propio fundamento jurídico sexto:</w:t>
      </w:r>
    </w:p>
    <w:p w:rsidR="00DE14C9" w:rsidRDefault="00DE14C9" w:rsidP="00DE14C9">
      <w:pPr>
        <w:pStyle w:val="TextoNormal"/>
      </w:pPr>
      <w:r>
        <w:t>“En las anteriores condiciones, la Sala se muestra partidaria de la tesis C)”.</w:t>
      </w:r>
    </w:p>
    <w:p w:rsidR="00DE14C9" w:rsidRDefault="00DE14C9" w:rsidP="00DE14C9">
      <w:pPr>
        <w:pStyle w:val="TextoNormal"/>
      </w:pPr>
      <w:r>
        <w:t>Se insiste en la idea del posible control jurisdiccional y sus límites en el mismo fundamento jurídico, en el que se discurre una vez más sobre la especificidad de la relación de que se trata, con cita de pasajes tomados de Sentencia anterior de la Sala de 25 de julio de 2000 (ya citada en el fundamento jurídico sexto), diciendo:</w:t>
      </w:r>
    </w:p>
    <w:p w:rsidR="00DE14C9" w:rsidRDefault="00DE14C9" w:rsidP="00DE14C9">
      <w:pPr>
        <w:pStyle w:val="TextoNormal"/>
      </w:pPr>
      <w:r>
        <w:t>“A ello se uniría la posibilidad de controlar el ejercicio de sus facultades, en la medida que, en todo caso, debería acomodarse al respeto de los derechos fundamentales y libertades públicas, con los acondicionamientos, inflexiones y particularidades del área en que se opera, la enseñanza de una religión —la católica—, y lo que es más importante, optó por dicha tesis; por tanto, reconoció que la facultad de proponer es susceptible de control judicial en la medida que podría o pudiese infringir o violar derechos fundamentales o libertades públicas, si bien ya se anunciaba que ello era dentro de los condicionamientos, inflexiones y particularidades del ámbito en que se operaba, la enseñanza de una religión —la católica”.</w:t>
      </w:r>
    </w:p>
    <w:p w:rsidR="00DE14C9" w:rsidRDefault="00DE14C9" w:rsidP="00DE14C9">
      <w:pPr>
        <w:pStyle w:val="TextoNormal"/>
      </w:pPr>
      <w:r>
        <w:lastRenderedPageBreak/>
        <w:t>Lo transcrito de la Sentencia recurrida demuestra sin ningún género de duda que en ella se asume explícitamente un compromiso de control jurisdiccional de la decisión del Obispado y de ponderación de los derechos fundamentales en conflicto, ponderación que se expresa en ulteriores fundamentos de la misma, que tal vez hubiera podido tener una línea de redacción distinta, de haber tenido oportunidad de conocer nuestra Sentencia 38/2007.</w:t>
      </w:r>
    </w:p>
    <w:p w:rsidR="00DE14C9" w:rsidRDefault="00DE14C9" w:rsidP="00DE14C9">
      <w:pPr>
        <w:pStyle w:val="TextoNormal"/>
      </w:pPr>
      <w:r>
        <w:t>En todo caso lo que debemos destacar ahora, dando un paso más en nuestro enjuiciamiento, es si en la Sentencia recurrida resulta efectivamente constatable que se hayan tomado en consideración los derechos fundamentales en conflicto con el de libertad religiosa, ejercido por el Obispo de Cartagena, al adoptar la decisión de no proponer al recurrente como profesor de religión y moral católicas para el curso 1997/1998.</w:t>
      </w:r>
    </w:p>
    <w:p w:rsidR="00DE14C9" w:rsidRDefault="00DE14C9" w:rsidP="00DE14C9">
      <w:pPr>
        <w:pStyle w:val="TextoNormal"/>
      </w:pPr>
      <w:r>
        <w:t>Al respecto, y en cuanto a los derechos de no discriminación y de intimidad personal y familiar (arts. 14 y 18.1 CE, respectivamente), en el fundamento jurídico cuarto de esta nuestra Sentencia ya recogíamos los pasajes del fundamento jurídico décimo de la recurrida, en los que se examinaban la alegada vulneración de esos derechos, negándola.</w:t>
      </w:r>
    </w:p>
    <w:p w:rsidR="00DE14C9" w:rsidRDefault="00DE14C9" w:rsidP="00DE14C9">
      <w:pPr>
        <w:pStyle w:val="TextoNormal"/>
      </w:pPr>
      <w:r>
        <w:t>En ese mismo fundamento jurídico de la Sentencia frente a la cual se demanda el amparo (folio 32 de la misma), tras aludir a los derechos fundamentales que la Sentencia del Juzgado de lo Social, recurrida en suplicación había considerado vulnerados [arts.  14, 18.1 y 20.1 a) CE], se establece el punto de partida del análisis de dichas vulneraciones diciendo:</w:t>
      </w:r>
    </w:p>
    <w:p w:rsidR="00DE14C9" w:rsidRDefault="00DE14C9" w:rsidP="00DE14C9">
      <w:pPr>
        <w:pStyle w:val="TextoNormal"/>
      </w:pPr>
      <w:r>
        <w:t>“Para el análisis que se hará, no es ocioso referir que más que ante una ‘empresa de tendencia’ se está ante la máxima expresión de una ideología o religión, que es el servicio a una iglesia en su vertiente espiritual, esfera en la que tiene trascendencia no sólo la fidelidad doctrinal sino su adecuación a ella, ya que se está en presencia de un campo en el que opera intensamente la ideología y la decisión del Ordinario del lugar se basa en una especial relación de confianza…”.</w:t>
      </w:r>
    </w:p>
    <w:p w:rsidR="00DE14C9" w:rsidRDefault="00DE14C9" w:rsidP="00DE14C9">
      <w:pPr>
        <w:pStyle w:val="TextoNormal"/>
      </w:pPr>
      <w:r>
        <w:t>Más adelante, tras razonar con cita de preceptos del Código de Derecho Canónico lo que implica en el ámbito religioso regido por él “la función de enseñar de la Iglesia”, se dice:</w:t>
      </w:r>
    </w:p>
    <w:p w:rsidR="00DE14C9" w:rsidRDefault="00DE14C9" w:rsidP="00DE14C9">
      <w:pPr>
        <w:pStyle w:val="TextoNormal"/>
      </w:pPr>
      <w:r>
        <w:t>“En consecuencia, no se trata de que la sentencia recurrida sea incompatible con lo dicho anteriormente por esta Sala, no; se trata de decidir si en los términos planteados concurre o no la violación de los derechos fundamentales dichos, a cuyo fin debe partirse de los parámetros derivados del ámbito en que se opera”.</w:t>
      </w:r>
    </w:p>
    <w:p w:rsidR="00DE14C9" w:rsidRDefault="00DE14C9" w:rsidP="00DE14C9">
      <w:pPr>
        <w:pStyle w:val="TextoNormal"/>
      </w:pPr>
      <w:r>
        <w:t>Y es tras el análisis de las circunstancias del caso, cuando se niega explícitamente la vulneración de los arts. 14 y 18.1 CE en los términos que se dejaron transcritos en nuestro fundamento jurídico 4, al que en líneas anteriores ya nos hemos referido.</w:t>
      </w:r>
    </w:p>
    <w:p w:rsidR="00DE14C9" w:rsidRDefault="00DE14C9" w:rsidP="00DE14C9">
      <w:pPr>
        <w:pStyle w:val="TextoNormal"/>
      </w:pPr>
      <w:r>
        <w:t>La argumentación se completa con la referencia a la libertad de expresión, art. 20.1 a) CE, diciendo al respecto:</w:t>
      </w:r>
    </w:p>
    <w:p w:rsidR="00DE14C9" w:rsidRDefault="00DE14C9" w:rsidP="00DE14C9">
      <w:pPr>
        <w:pStyle w:val="TextoNormal"/>
      </w:pPr>
      <w:r>
        <w:t>“En consecuencia, restaría por analizar si la decisión del ordinario del lugar de no proponerlo como profesor de religión católica violó su derecho a al libertad de expresión 20.1 a) de la CE. Sobre el particular, cabe decir que el actor hasta que se dio publicidad a su situación vino ejerciendo la actividad de profesor de religión católica, por lo que, aun haciendo una interpretación amplia del derecho de libertad de expresión, esto es, aun integrando como manifestación de ésta la aparición de la publicación referida en el periódico ‘La Verdad’, tampoco se observa violación de dicha libertad, dado que, según el rescripto de dispensa, lo que se trataba de evitar era el escándalo o posible escándalo, mediante la ausencia de publicidad, y es lugar común, por su conocimiento general, que, según la doctrina católica, ya en sus fuentes originarias y en la tradición, el escándalo o propiciar un posible escándalo es, desde el punto de vista doctrinal, gravísimo ”.</w:t>
      </w:r>
    </w:p>
    <w:p w:rsidR="00DE14C9" w:rsidRDefault="00DE14C9" w:rsidP="00DE14C9">
      <w:pPr>
        <w:pStyle w:val="TextoNormal"/>
      </w:pPr>
      <w:r>
        <w:t xml:space="preserve">“En las anteriores condiciones, es claro que no se ha violado ninguno de los derechos fundamentales o libertades públicas aducidas por el actor, pues, de un lado, se estaría en su </w:t>
      </w:r>
      <w:r>
        <w:lastRenderedPageBreak/>
        <w:t>área doctrinal, en la que, aparte de que es valorable la formación doctrinal e ideológica y su práctica; de otro lado, se trata de un contexto en el que, por naturaleza o esencia, media un vínculo de confianza, que si se rompe, y al efecto se producen circunstancias que razonablemente apoyan tal conclusión, exime al Ordinario del lugar [sic] de proponer a la persona en cuestión como profesor de religión católica”.</w:t>
      </w:r>
    </w:p>
    <w:p w:rsidR="00DE14C9" w:rsidRDefault="00DE14C9" w:rsidP="00DE14C9">
      <w:pPr>
        <w:pStyle w:val="TextoNormal"/>
      </w:pPr>
      <w:r>
        <w:t>A lo transcrito debe añadirse la observación de que la Sentencia recurrida dedica una gran extensión argumental a justificar la peculiaridad de la relación laboral de los profesores de religión católica (en tal sentido amplios pasajes de los fundamentos jurídicos sexto, séptimo y noveno), así como de la relación de confianza entre el Obispo y el propuesto por él como profesor de religión católica.</w:t>
      </w:r>
    </w:p>
    <w:p w:rsidR="00DE14C9" w:rsidRDefault="00DE14C9" w:rsidP="00DE14C9">
      <w:pPr>
        <w:pStyle w:val="TextoNormal"/>
      </w:pPr>
      <w:r>
        <w:t>La amplia transcripción de los pasajes de la Sentencia recurrida que precede, demuestra que, ni en ella se niega la posibilidad del control jurisdiccional de la decisión de la autoridad eclesiástica, ni se elude la ponderación de los derechos fundamentales concurrentes en el caso con el de la libertad religiosa (art. 16.1 y 3 CE), que se efectúa en términos inequívocos.</w:t>
      </w:r>
    </w:p>
    <w:p w:rsidR="00DE14C9" w:rsidRDefault="00DE14C9" w:rsidP="00DE14C9">
      <w:pPr>
        <w:pStyle w:val="TextoNormal"/>
      </w:pPr>
    </w:p>
    <w:p w:rsidR="00DE14C9" w:rsidRDefault="00DE14C9" w:rsidP="00DE14C9">
      <w:pPr>
        <w:pStyle w:val="TextoNormal"/>
      </w:pPr>
      <w:r w:rsidRPr="00DE14C9">
        <w:rPr>
          <w:rStyle w:val="NumeroAFNegritaCaracter"/>
        </w:rPr>
        <w:t>11</w:t>
      </w:r>
      <w:r>
        <w:t>. Expuesta la ponderación de los derechos en juego llevada a cabo por la Sentencia recurrida debemos enjuiciar por nuestra parte, más que los razonamientos de la misma, el resultado al que ha llegado en la ponderación de los derechos fundamentales en conflicto, entre los que hemos de considerar, no sólo los contemplados en dicha Sentencia, sino también el de libertad ideológica y religiosa que de oficio sometimos en su momento (vid. antecedente 5) a la consideración de las partes.</w:t>
      </w:r>
    </w:p>
    <w:p w:rsidR="00DE14C9" w:rsidRDefault="00DE14C9" w:rsidP="00DE14C9">
      <w:pPr>
        <w:pStyle w:val="TextoNormal"/>
      </w:pPr>
      <w:r>
        <w:t>Las acciones y opiniones que han determinado que en este caso el actor no fuera propuesto por el Obispado como profesor de religión y moral católicas, esto es, la publicidad que ha dado a su condición de sacerdote casado y padre de cinco hijos, de un lado, y, de otro, a su pertenencia al movimiento pro-celibato opcional (como así resulta de las Sentencias dictadas en el proceso judicial y admite expresamente el propio recurrente en amparo), es evidente que, desde la perspectiva estatal (aconfesional), deben llamar a la consideración del posible espacio de actuación de los derechos a la libertad ideológica y religiosa (art. 16.1 CE), en conexión con el derecho la libertad de expresión [art.  20.1 a) CE], que se invocan en la demanda de amparo.</w:t>
      </w:r>
    </w:p>
    <w:p w:rsidR="00DE14C9" w:rsidRDefault="00DE14C9" w:rsidP="00DE14C9">
      <w:pPr>
        <w:pStyle w:val="TextoNormal"/>
      </w:pPr>
      <w:r>
        <w:t>Para resolver este problema debe tenerse en cuenta que ningún derecho, ni aun los fundamentales, es absoluto o ilimitado. Unas veces el propio precepto constitucional que lo reconoce ya establece explícitamente los límites; en otras ocasiones éstos derivan de la necesidad de preservar otros derechos o bienes constitucionales dignos de tutela. En tal sentido, este Tribunal tiene declarado de manera reiterada que los derechos fundamentales reconocidos por la Constitución sólo pueden ceder ante los límites que la propia Constitución expresamente imponga o ante los que, de manera mediata o indirecta, se infieran de la misma, al resultar justificados por la necesidad de preservar otros derechos o bienes jurídicamente protegidos. En todo caso las limitaciones que se establezcan no pueden obstruir el derecho fundamental más allá de lo razonable (SSTC 11/1981, de 8 de abril, FJ 7; 2/1982, de 29 de enero, FJ 5; 53/1986, de 5 de mayo, FJ 3; 49/1995, de 19 de junio, FJ 4; 154/2002, de 18 de julio, FJ 8; 14/2003, de 28 de enero, FJ 5; 336/2005, de 20 de diciembre, FJ 7, por todas).</w:t>
      </w:r>
    </w:p>
    <w:p w:rsidR="00DE14C9" w:rsidRDefault="00DE14C9" w:rsidP="00DE14C9">
      <w:pPr>
        <w:pStyle w:val="TextoNormal"/>
      </w:pPr>
      <w:r>
        <w:t xml:space="preserve">En este caso la modulación producida en los derechos del demandante a la libertad religiosa, en su dimensión individual, y a la libertad ideológica (art. 16.1 CE), en conexión con la libertad de expresión [art. 20.1 a) CE], como consecuencia de que no fuera propuesto por el Obispado como profesor de religión y moral católicas en el curso 1997/1998, en el marco, </w:t>
      </w:r>
      <w:r>
        <w:lastRenderedPageBreak/>
        <w:t>por lo tanto, de su pretensión de continuar impartiendo la enseñanza del credo de una determinada confesión religiosa en un centro docente público, no resultan desproporcionadas ni inconstitucionalmente proscritas, en la medida en que encuentran su justificación en el respeto al lícito ejercicio del derecho fundamental de la Iglesia católica a la libertad religiosa, en su dimensión colectiva o comunitaria (art. 16.1 CE), en relación con el derecho de los padres a la educación religiosa de sus hijos (art. 27.3 CE), dado que han sido razones exclusivamente de índole religiosa, atinentes a las normas de la confesión a la que libremente pertenece el demandante de amparo y la enseñanza de cuyo credo pretendía impartir en un centro docente público, las determinantes de que no fuera propuesto como profesor de religión y moral católicas. Como dijimos en la STC 38/2007, de 15 de febrero, y recordamos en el fundamento jurídico 5 de esta Sentencia, “resultaría sencillamente irrazonable que la enseñanza religiosa en los centros escolares se llevase a cabo sin tomar en consideración como criterio de selección del profesorado las convicciones religiosas de las personas que libremente deciden concurrir a los puestos de trabajo correspondientes, y ello, precisamente, en garantía del propio derecho de libertad religiosa en su dimensión externa y colectiva” (FJ 12).</w:t>
      </w:r>
    </w:p>
    <w:p w:rsidR="00DE14C9" w:rsidRDefault="00DE14C9" w:rsidP="00DE14C9">
      <w:pPr>
        <w:pStyle w:val="TextoNormal"/>
      </w:pPr>
      <w:r>
        <w:t>En modo alguno resulta ocioso traer a colación, en orden a la justificación y licitud constitucional de la afectación o modulación que en este caso experimentan los derechos fundamentales del demandante de amparo a la libertad religiosa e ideológica (art.  16.1 CE) en relación con el derecho a la libertad de expresión [art. 20.1 a) CE] que, como hemos declarado en la mencionada STC 38/2007, de 15 de febrero, “las interrelaciones existentes entre los profesores de religión y la iglesia no son estrictamente las propias de una empresa de tendencia, tal y como han sido analizadas en diversas ocasiones por este Tribunal, sino que configuran una categoría específica y singular, que presenta algunas similitudes pero también diferencias respecto de aquélla”.  En este sentido, como elemento diferencial de dicha relación entre profesores de religión y la iglesia y la propia de una empresa de tendencia, que permite la modulación de los derechos del profesorado en consonancia con el ideario educativo de los centros privados, dijimos en aquella Sentencia que la exigencia de la declaración eclesiástica de idoneidad “no consiste en la mera obligación de abstenerse de actuar en contra del ideario religioso, sino que alcanza, de manera más intensa, a la determinación de la propia capacidad para impartir la doctrina católica, entendida como un conjunto de convicciones religiosas fundadas en la fe [de modo que] el que el objeto de la enseñanza religiosa lo constituya la transmisión no sólo de unos determinados conocimientos sino de la fe religiosa de quien la trasmite, puede, con toda probabilidad, implicar un conjunto de exigencias que desbordan las limitaciones propias de una empresa de tendencia, comenzando por la implícita de que quien pretenda trasmitir la fe religiosa profese él mismo dicho fe” (FJ 10).</w:t>
      </w:r>
    </w:p>
    <w:p w:rsidR="00DE14C9" w:rsidRDefault="00DE14C9" w:rsidP="00DE14C9">
      <w:pPr>
        <w:pStyle w:val="TextoNormal"/>
      </w:pPr>
    </w:p>
    <w:p w:rsidR="00DE14C9" w:rsidRDefault="00DE14C9" w:rsidP="00DE14C9">
      <w:pPr>
        <w:pStyle w:val="TextoNormal"/>
      </w:pPr>
      <w:r w:rsidRPr="00DE14C9">
        <w:rPr>
          <w:rStyle w:val="NumeroAFNegritaCaracter"/>
        </w:rPr>
        <w:t>12</w:t>
      </w:r>
      <w:r>
        <w:t xml:space="preserve">. El resultado en este caso alcanzado en la ponderación de los derechos fundamentales en conflicto, de una parte, el derecho fundamental a la libertad religiosa, en su dimensión colectiva o comunitaria, de la Iglesia católica (art. 16.1 CE), en relación con el deber de neutralidad religiosa del Estado (art. 16.3 CE) y, de otra parte, los derechos fundamentales del recurrente en amparo a la libertad ideológica y religiosa (art. 16.1 CE), en relación con la libertad de expresión [art. 20.1 a) CE], en modo alguno puede verse afectado por el alegato del demandante de amparo referido a que con sus opiniones y opciones reformadoras sobre el celibato del sacerdocio católico pretende defender cambios evolutivos de las normas de la confesión católica que considera que han quedado desfasadas con el paso del tiempo. Como el Abogado del Estado señala en sus alegaciones, no corresponde al Estado, </w:t>
      </w:r>
      <w:r>
        <w:lastRenderedPageBreak/>
        <w:t>por impedírselo el deber de neutralidad religiosa (art. 16.3 CE), entrar o valorar posibles disputas intraeclesiásticas, en este caso concreto entre partidarios y detractores del celibato sacerdotal, ni a este Tribunal, más genéricamente, emitir juicio alguno sobre la adecuación y conformidad de los actos, opiniones y testimonio de la persona designada para impartir la enseñanza de determinada religión a la ortodoxia de la confesión religiosa en cuestión. A este Tribunal como poder público del Estado únicamente le compete constatar en razón de aquel deber de neutralidad, a los efectos del presente recurso de amparo, la naturaleza estrictamente religiosa de las razones en las que la autoridad religiosa ha fundado en este caso la no propuesta del demandante de amparo como profesor de religión y moral católicas y que sus derechos fundamentales a la libertad ideológica y religiosa y a la libertad de expresión, en los que en principio pueden encontrar cobertura en este supuesto sus actos, opiniones y opciones, sólo se han visto afectados y modulados en la estricta medida necesaria para salvaguardar su compatibilidad con la libertad religiosa de la Iglesia católica, lo que ha de conducir a la desestimación del presente recurso de amparo.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CONSTITUCIÓN DE LA NACIÓN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Desestimar la demanda de amparo interpuesta por don José Antonio Fernández Martínez.</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cuatro de junio de dos mil siete.</w:t>
      </w:r>
    </w:p>
    <w:p w:rsidR="00DE14C9" w:rsidRDefault="00DE14C9" w:rsidP="00DE14C9">
      <w:pPr>
        <w:pStyle w:val="ParrafoNormal"/>
      </w:pPr>
    </w:p>
    <w:p w:rsidR="00DE14C9" w:rsidRDefault="00DE14C9" w:rsidP="00DE14C9">
      <w:pPr>
        <w:pStyle w:val="TextoNormalNegritaCentrado"/>
        <w:keepNext/>
      </w:pPr>
      <w:r>
        <w:t>Voto particular que formulan los Magistrados doña Elisa Pérez Vera y don Pascual Sala Sánchez a la Sentencia recaída en el recurso de amparo 1656-2001.</w:t>
      </w:r>
    </w:p>
    <w:p w:rsidR="00DE14C9" w:rsidRDefault="00DE14C9" w:rsidP="00DE14C9">
      <w:pPr>
        <w:pStyle w:val="TextoNormalNegritaCentrado"/>
        <w:keepNext/>
      </w:pPr>
    </w:p>
    <w:p w:rsidR="00DE14C9" w:rsidRDefault="00DE14C9" w:rsidP="00DE14C9">
      <w:pPr>
        <w:pStyle w:val="TextoNormal"/>
      </w:pPr>
      <w:r>
        <w:t>Haciendo uso de la facultad prevista en el artículo 90.2 LOTC, y pese al respeto personal que nos merece el criterio mayoritario reflejado en la Sentencia, nos sentimos en la obligación de mostrar nuestro disentimiento tanto con la metodología utilizada y la fundamentación de la Sentencia como con el fallo desestimatorio a que conducen.</w:t>
      </w:r>
    </w:p>
    <w:p w:rsidR="00DE14C9" w:rsidRDefault="00DE14C9" w:rsidP="00DE14C9">
      <w:pPr>
        <w:pStyle w:val="TextoNormal"/>
      </w:pPr>
      <w:r>
        <w:t>1. La Sentencia de la que disentimos se declara tributaria de la doctrina elaborada en la reciente STC 38/2007 dictada por el Pleno de este Tribunal el 15 febrero. Es más, en su fundamento jurídico 5 se contiene una correcta exégesis del contenido de dicha Sentencia que contó, hemos de recordarlo, con nuestro voto favorable.</w:t>
      </w:r>
    </w:p>
    <w:p w:rsidR="00DE14C9" w:rsidRDefault="00DE14C9" w:rsidP="00DE14C9">
      <w:pPr>
        <w:pStyle w:val="TextoNormal"/>
      </w:pPr>
      <w:r>
        <w:t xml:space="preserve">En concreto, a los efectos del caso examinado, nos interesa destacar que en el fundamento jurídico 7 de aquella Sentencia dijimos que los órganos judiciales, más allá del control de la actuación de la autoridad educativa, “habrán de analizar también si la falta de propuesta por parte del Ordinario responde a criterios de índole religiosa o moral determinantes de la inidoneidad de la persona en cuestión para impartir la enseñanza religiosa, criterios cuya definición corresponde a las autoridades religiosas en virtud del derecho de libertad religiosa y del principio de neutralidad del Estado o si, por el contrario, se basa en otros motivos ajenos al derecho fundamental de la libertad religiosa y no amparados por el mismo. En fin, una </w:t>
      </w:r>
      <w:r>
        <w:lastRenderedPageBreak/>
        <w:t>vez garantizada la motivación estrictamente ‘religiosa’ de la decisión, el órgano judicial habrá de ponderar los eventuales derechos fundamentales en conflicto a fin de determinar cuál sea la modulación que el derecho de libertad religiosa que se ejerce a través de la enseñanza de la religión en los centros escolares pueda ocasionar en los propios derechos fundamentales de los trabajadores en su relación de trabajo”.</w:t>
      </w:r>
    </w:p>
    <w:p w:rsidR="00DE14C9" w:rsidRDefault="00DE14C9" w:rsidP="00DE14C9">
      <w:pPr>
        <w:pStyle w:val="TextoNormal"/>
      </w:pPr>
      <w:r>
        <w:t>2. Pues bien, a nuestro entender, la doctrina transcrita, que sienta el canon a cuya luz ha de apreciarse la adecuación constitucional de la decisión del Obispado competente de no renovar la propuesta de contratación de un concreto profesor de religión (o, lo que viene a ser lo mismo, para examinar la declaración de la autoridad religiosa de la inidoneidad de un candidato), requiere de un doble enjuiciamiento, secuencial, que se corresponde con dos exigencias que han de plantearse y analizarse sucesivamente.</w:t>
      </w:r>
    </w:p>
    <w:p w:rsidR="00DE14C9" w:rsidRDefault="00DE14C9" w:rsidP="00DE14C9">
      <w:pPr>
        <w:pStyle w:val="TextoNormal"/>
      </w:pPr>
      <w:r>
        <w:t>Así, la primera fase del análisis (el primer plano del canon) impone que la decisión de la autoridad religiosa sea una decisión de índole religiosa, es decir, que responda a una motivación de tal naturaleza. Y es que, si la decisión adoptada respondiera a motivos de otra naturaleza no tendría amparo en el art. 16.1 CE, en su dimensión comunitaria, es decir, en el derecho de libertad religiosa de la iglesia como tal.</w:t>
      </w:r>
    </w:p>
    <w:p w:rsidR="00DE14C9" w:rsidRDefault="00DE14C9" w:rsidP="00DE14C9">
      <w:pPr>
        <w:pStyle w:val="TextoNormal"/>
      </w:pPr>
      <w:r>
        <w:t>En este punto, por definición, dada la neutralidad que el Estado ha de mantener en la materia, dada su aconfesionalidad (art. 16.3 CE), el margen del control de la constitucionalidad de la decisión de la autoridad religiosa es muy estrecho; o dicho en positivo, el margen de las autoridades religiosas para calificar como religioso el motivo de su decisión es muy amplio. En efecto, es la iglesia afectada la que debe decidir lo que es relevante para su credo religioso en una decisión que, en principio, habrán de aceptar las autoridades estatales.</w:t>
      </w:r>
    </w:p>
    <w:p w:rsidR="00DE14C9" w:rsidRDefault="00DE14C9" w:rsidP="00DE14C9">
      <w:pPr>
        <w:pStyle w:val="TextoNormal"/>
      </w:pPr>
      <w:r>
        <w:t>No obstante, como resulta claro del fundamento jurídico reproducido en el núm. 1 de este Voto, la constatación de que la decisión sobre la inidoneidad del recurrente adoptada por la autoridad religiosa obedece a una motivación de este tipo no es suficiente para entender que sea respetuosa con los mandatos constitucionales. Y no lo es porque, como dijo el Pleno y recuerda la propia Sentencia de la que discrepamos, que la decisión sea de índole religiosa es imprescindible (primer plano del canon) pero no es suficiente, ya que es a partir de ese momento cuando entra en juego el segundo plano del canon. Un segundo plano que, según el recién citado pronunciamiento del Pleno, exige la ponderación en sentido estricto de los derechos fundamentales en juego.</w:t>
      </w:r>
    </w:p>
    <w:p w:rsidR="00DE14C9" w:rsidRDefault="00DE14C9" w:rsidP="00DE14C9">
      <w:pPr>
        <w:pStyle w:val="TextoNormal"/>
      </w:pPr>
      <w:r>
        <w:t>En efecto, es una vez que se ha constatado el conflicto entre el derecho fundamental de la iglesia y los derechos fundamentales del sujeto, cuando se impone una ponderación que conducirá a la modulación de los derechos del trabajador; unos derechos que, parece obvio, en ámbitos como el analizado pueden verse limitados, pero que no desaparecen. En este sentido, dice la Sentencia del Pleno invocada y nos recuerda la Sentencia de la que discrepamos, los órganos jurisdiccionales y, en última instancia, este Tribunal Constitucional han de hallar criterios practicables para ponderar y conciliar todos los derechos en juego.</w:t>
      </w:r>
    </w:p>
    <w:p w:rsidR="00DE14C9" w:rsidRDefault="00DE14C9" w:rsidP="00DE14C9">
      <w:pPr>
        <w:pStyle w:val="TextoNormal"/>
      </w:pPr>
      <w:r>
        <w:t xml:space="preserve">3. Pues bien, en nuestra opinión la Sentencia apoyada por la mayoría de la Sala no realiza una correcta aplicación de la doctrina expuesta. Ciertamente, tras realizar un minucioso análisis de las Sentencias dictadas por los órganos judiciales, la Sentencia establece que “resulta así claro en este caso que la no propuesta por parte del Obispado del demandante de amparo como profesor de religión y moral católicas para el curso 1997/1998 responde a criterios cuya caracterización como de índole religiosa y moral no puede ser negada” (FJ 9); del mismo modo también es cierto que, a continuación, se anuncia que lo procedente, de acuerdo con la doctrina invocada, es “ponderar los eventuales derechos fundamentales en conflicto” (FJ 10). Ahora bien, cuando se pasa a este segundo plano, tanto al examinar la “ponderación” realizada por el Tribunal Superior de Justicia de la Comunidad Autónoma </w:t>
      </w:r>
      <w:r>
        <w:lastRenderedPageBreak/>
        <w:t>de Murcia, como cuando se adentra en una “ponderación” propia (FFJJ 11 y 12) lo que hace, de nuevo, es incidir en la existencia de motivos religiosos justificativos de la decisión adoptada. Así cuando señala que “[e]n este caso la modulación producida en los derechos del demandante a la libertad religiosa, en su dimensión individual, y a la libertad ideológica (art. 16.1 CE), en conexión con la libertad de expresión [art. 20.1 a) CE] como consecuencia de que no fuera propuesto por el Obispado como profesor de religión y moral católicas … no resultan desproporcionadas ni inconstitucionalmente proscritas, en la medida en que encuentran su justificación en el respeto al lícito ejercicio del derecho fundamental de la Iglesia católica a la libertad religiosa, en su dimensión colectiva o comunitaria (art. 16.1 CE), en relación con el derecho de los padres a la educación religiosa de sus hijos (art. 27.2 CE), dado que han sido razones exclusivamente de índole religiosa, atinentes a las normas de la confesión a la que libremente pertenece el demandante de amparo y la enseñanza de cuyo credo pretendía impartir en un centro docente público, las determinantes de que no fuera propuesto como profesor de religión y moral católicas” (FJ 11).</w:t>
      </w:r>
    </w:p>
    <w:p w:rsidR="00DE14C9" w:rsidRDefault="00DE14C9" w:rsidP="00DE14C9">
      <w:pPr>
        <w:pStyle w:val="TextoNormal"/>
      </w:pPr>
      <w:r>
        <w:t>De este modo, al reducir de facto el canon de constitucionalidad establecido en la STC 38/2007 a un único plano, entendemos que la Sentencia de la que discrepamos se aparta de ella y la inaplica, puesto que no se adapta a la consideración según la cual “por más que haya de respetarse la libertad de criterio de las confesiones … tal libertad no es en modo alguno absoluta, como tampoco lo son los derechos reconocidos en el art. 16 CE ni en ningún otro precepto de la Constitución, pues en todo caso han de operar las exigencias inexcusables de indemnidad del orden constitucional de valores y principios cifrado en la cláusula de orden público constitucional” (FJ 7).</w:t>
      </w:r>
    </w:p>
    <w:p w:rsidR="00DE14C9" w:rsidRDefault="00DE14C9" w:rsidP="00DE14C9">
      <w:pPr>
        <w:pStyle w:val="TextoNormal"/>
      </w:pPr>
      <w:r>
        <w:t>4. En contraste con tal modo de proceder consideramos que nuestra Sentencia debería haberse pronunciado, desde la perspectiva exclusivamente constitucional, sobre el alcance y contenido de la libertad religiosa individual en el contexto de una relación tan peculiar como la que liga a los profesores de una confesión religiosa con las autoridades religiosas que han de apreciar su idoneidad, lo que no hace.</w:t>
      </w:r>
    </w:p>
    <w:p w:rsidR="00DE14C9" w:rsidRDefault="00DE14C9" w:rsidP="00DE14C9">
      <w:pPr>
        <w:pStyle w:val="TextoNormal"/>
      </w:pPr>
      <w:r>
        <w:t>Del mismo modo creemos que la ponderación de la libertad religiosa colectiva y de la libertad de expresión [art. 20.1 a) CE] debería haber partido de la doctrina constitucional sobre esta última, teniendo muy especialmente en consideración el hecho de que, en el caso, el reproche de escándalo aparece vinculado a lo manifestado por terceros, de forma tal que la imputación al demandante de amparo se basaría en que no manifestó su desacuerdo con tales manifestaciones y, tal vez, a que con su comportamiento puede entenderse que las avaló. Pues bien, al margen de que este modo de razonar ha sido expresamente rechazado por el Tribunal (STC 153/2000, de 12 de junio), lo cierto es que la Sentencia a la que unimos nuestro Voto ha renunciado a todo análisis al respecto y que es esa renuncia el motivo esencial de nuestra discrepancia.</w:t>
      </w:r>
    </w:p>
    <w:p w:rsidR="00DE14C9" w:rsidRDefault="00DE14C9" w:rsidP="00DE14C9">
      <w:pPr>
        <w:pStyle w:val="TextoNormal"/>
      </w:pPr>
      <w:r>
        <w:t xml:space="preserve">Avanzando por nuestra parte en dicho análisis llegamos a la conclusión de que la Sentencia debería haber sido estimatoria. En primer lugar no cabe olvidar que, en el caso, estamos ante un sacerdote al que la autoridad eclesiástica le ha autorizado a contraer matrimonio, por lo que su aparición en la prensa en tal condición —es decir, haciendo “pública y notoria” su situación— no puede equipararse sin más al “peligro de escándalo” a que alude el “Rescripto” que le secularizó. En efecto, no resiste un juicio de constitucionalidad la pretensión de que se mantenga en la clandestinidad o, al menos, reducida a un conocimiento privado, una situación plenamente acorde con el Derecho estatal e incluso con el propio Derecho canónico. Y es que el deber de ocultar ese matrimonio, aceptado por la Iglesia y contraído en ejercicio de un derecho fundamental que la Constitución garantiza (art. 32.1 CE), habría de reputarse, sin duda, como una obligación abiertamente inconstitucional. </w:t>
      </w:r>
      <w:r>
        <w:lastRenderedPageBreak/>
        <w:t>Tanto más cuando, como en el supuesto en cuestión, de ese matrimonio han nacido cinco hijos, cuya igualdad reconoce la Constitución, encomendando su protección integral a todos los poderes públicos (art. 39.2 CE), creándose así una familia que la Constitución igualmente reconoce y protege (art. 39.1 CE). En definitiva, el hecho de que esa realidad se hiciera pública no la transforma, ni transforma tampoco, consiguientemente, aquella circunstancia del conocimiento y la tolerancia previa de la Iglesia, de modo que no puede convertirse de forma sobrevenida en una razón de inadecuación para la docencia cuando no impedía hasta la fecha la aptitud para la misma y para la transmisión de los valores religiosos que comporta.</w:t>
      </w:r>
    </w:p>
    <w:p w:rsidR="00DE14C9" w:rsidRDefault="00DE14C9" w:rsidP="00DE14C9">
      <w:pPr>
        <w:pStyle w:val="TextoNormal"/>
      </w:pPr>
      <w:r>
        <w:t>Por otra parte, en segundo lugar, no puede ser impedimento para la continuidad en la prestación del servicio el hecho de pertenecer a una asociación que defiende la concepción de la convivencia que el recurrente había puesto en práctica, con conocimiento de la autoridad religiosa, sin que ello impidiera a lo largo de los años la declaración de idoneidad del mismo. Finalmente, tampoco puede pretenderse que el recurrente se opusiera a las manifestaciones de terceros, ni que discrepara de ellas, pues, en todo caso, en uso legítimo del derecho a la libertad de expresión, podía optar por mantenerse en una actitud silente (STC 153/2000, de 12 de junio), sin que ello pueda emplearse, pues, para justificar su inidoneidad para la docencia.</w:t>
      </w:r>
    </w:p>
    <w:p w:rsidR="00DE14C9" w:rsidRDefault="00DE14C9" w:rsidP="00DE14C9">
      <w:pPr>
        <w:pStyle w:val="TextoNormal"/>
      </w:pPr>
      <w:r>
        <w:t>En suma, la Iglesia ha hecho valer para la no renovación de la idoneidad del profesor una circunstancia personal que conocía, así como su discrepancia con una posición legítima del profesor amparada por la Constitución, que previamente consintió.  Por tanto, las circunstancias del caso acreditan que los factores invocados para la inidoneidad del recurrente, pretendidamente amparados en la libertad religiosa de la iglesia (art. 16.1 CE) y en su derecho consiguiente a decidir quién es apto para la docencia de la enseñanza religiosa, son elementos que la propia iglesia, en atención a sus actos previos, no consideró relevantes para negar la idoneidad del profesor en los años anteriores. La publicidad de esos datos, por indeseada que fuera para la iglesia, no esconde que los mismos nunca fueron antes considerados inhabilitantes para la impartición de la doctrina, núcleo que constituye el derecho de decisión de la iglesia amparado por el art. 16.1 CE, a lo que habrá que añadir que la no publicidad de ciertos hechos es un elemento ajeno a la cobertura constitucional de ese derecho, pues no puede la autoridad religiosa condicionar la idoneidad docente de una persona a que la sociedad no conozca hechos que ella misma conoció, consintió, toleró y, sobre todo, consideró compatibles con la enseñanza de la religión.</w:t>
      </w:r>
    </w:p>
    <w:p w:rsidR="00DE14C9" w:rsidRDefault="00DE14C9" w:rsidP="00DE14C9">
      <w:pPr>
        <w:pStyle w:val="TextoNormal"/>
      </w:pPr>
      <w:r>
        <w:t xml:space="preserve">5. Junto al anterior motivo, que por su conexión directa con la interpretación que deba darse a la STC 38/2007 nos parece el esencial, otra segunda razón —que entendemos conectada con la interpretación que se hace de ésta—, nos aparta de la Sentencia frente a la que formulamos este Voto particular. Se trata de la afirmación contenida en su fundamento jurídico 4 a cuyo tenor “el juego de la libertad religiosa es el factor que ha permitido la designación del recurrente en amparo como profesor de religión en un centro de enseñanza pública por un procedimiento diferente al establecido para el acceso del resto de los docentes de otras áreas”. De ese presupuesto infiere la Sentencia que si el acceso se soporta en el juicio de la autoridad religiosa sobre la idoneidad de la persona designada, con base en criterios religiosos o morales, no puede romperse la coherencia con ese dato de partida cuando la misma autoridad eclesiástica, que se pronunció favorablemente en origen, se pronuncie después negativamente en razón de un juicio igualmente religioso. La neutralidad del Estado en estos ámbitos, en definitiva, operaría en términos similares en el momento constitutivo de la relación laboral inicial y en otros sucesivos en los que el juicio de la autoridad religiosa pudiera determinar la no designación. O si se prefiere, operaría de manera </w:t>
      </w:r>
      <w:r>
        <w:lastRenderedPageBreak/>
        <w:t>similar en la declaración de idoneidad que ante un juicio de inidoneidad. En el mismo fundamento se añade que en la idoneidad para la enseñanza de la religión católica se parte de una opción personal previa del sujeto que implica una autolimitación respecto de opciones diferentes, lo que puede dar lugar a modulaciones de sus derechos fundamentales para no desnaturalizar la opción inicial.</w:t>
      </w:r>
    </w:p>
    <w:p w:rsidR="00DE14C9" w:rsidRDefault="00DE14C9" w:rsidP="00DE14C9">
      <w:pPr>
        <w:pStyle w:val="TextoNormal"/>
      </w:pPr>
      <w:r>
        <w:t>Del razonamiento expuesto se deducen dos ideas principales. La primera reside en la relevancia que se otorga al factor religioso inherente al juicio de idoneidad y, asimismo, en la consideración del mismo no sólo como el criterio esencial de la decisión de la autoridad religiosa sino también como un elemento caracterizador de una opción personal del trabajador justificativa de su designación, que puede por ello dar lugar a modulaciones de sus derechos fundamentales. Argumento que, respecto del juego del art. 14 en relación con el art. 103.3 CE, al que se refiere el fundamento jurídico 4 de la Sentencia, significaría la posibilidad de cerrar el acceso al empleo cuando las opciones personales del sujeto cambien de modo sobrevenido.</w:t>
      </w:r>
    </w:p>
    <w:p w:rsidR="00DE14C9" w:rsidRDefault="00DE14C9" w:rsidP="00DE14C9">
      <w:pPr>
        <w:pStyle w:val="TextoNormal"/>
      </w:pPr>
      <w:r>
        <w:t>Resulta indudable que esa hipótesis puede llegar a darse. Pero no puede significar que la inidoneidad sobrevenida (como tampoco sería admisible respecto de inidoneidad original o inicial) sea una calificación derivada de un derecho absoluto de la autoridad religiosa para tomar en consideración y juzgar en términos de aptitud para la enseñanza cualquier circunstancia u opción personal del sujeto, como tampoco cualquier cambio en sus opciones personales. De aceptarse ese planteamiento se estaría otorgando a la autoridad religiosa una facultad ilimitada para excluir de la contratación inicial o sucesiva a quien considere oportuno y por cualquier razón, siempre que ésta tenga una caracterización religiosa. Entendemos, por el contrario, que la consideración negativa de la idoneidad del sujeto sólo podría admitirse si, de acuerdo a la ponderación correspondiente, el factor inhabilitante para la enseñanza invocado por las autoridades religiosas, además de expresar una valoración o motivación religiosa, resultase un factor preponderante en la colisión de derechos, lo que, como se ha dicho en el número anterior, no sucede en el presente caso.</w:t>
      </w:r>
    </w:p>
    <w:p w:rsidR="00DE14C9" w:rsidRDefault="00DE14C9" w:rsidP="00DE14C9">
      <w:pPr>
        <w:pStyle w:val="TextoNormal"/>
      </w:pPr>
      <w:r>
        <w:t>La segunda idea que late en el fundamento de Derecho cuarto consiste en equiparar la aproximación constitucional cuando se trata de la declaración de idoneidad para la prestación del servicio, que tiene el efecto derivado en la constitución de una relación laboral, y cuando está en cuestión un juicio de inidoneidad sobrevenido, que determina la no designación en cursos posteriores y la no constitución consiguiente de la relación laboral. Pues bien, esa equiparación en la concesión del derecho (en este caso de acceso al empleo) y la negación del mismo no encuentra, a nuestro juicio, fundamento constitucional.</w:t>
      </w:r>
    </w:p>
    <w:p w:rsidR="00DE14C9" w:rsidRDefault="00DE14C9" w:rsidP="00DE14C9">
      <w:pPr>
        <w:pStyle w:val="TextoNormal"/>
      </w:pPr>
      <w:r>
        <w:t>Por el contrario, existen múltiples ejemplos que acreditan que los límites constitucionales son diversos según se trate de un acto positivo o negativo sobre el patrimonio jurídico del trabajador. Así es, por ejemplo, en relación con los puestos de trabajo de libre designación, respecto de los que hemos afirmado que, incluso en ellos, en los que la facultad de cese juega como consecuencia de la facultad de libre nombramiento, el respeto de los derechos fundamentales condiciona el ejercicio de dicha facultad, que en ningún caso, los podrá limitar, impedir o coaccionar (SSTC 29/2000, de 31 de enero, y 216/2005, de 12 de septiembre, por todas).</w:t>
      </w:r>
    </w:p>
    <w:p w:rsidR="00DE14C9" w:rsidRDefault="00DE14C9" w:rsidP="00DE14C9">
      <w:pPr>
        <w:pStyle w:val="TextoNormal"/>
      </w:pPr>
      <w:r>
        <w:t>6. En atención a todo lo anterior entendemos que, a la luz de la doctrina expuesta, desde la perspectiva constitucional, que es la única que nos es propia, la obligada ponderación de derechos debería haberse hecho en el sentido antes señalado, con la consecuencia, tras constatar que se habían vulnerado los derechos del recurrente, del consiguiente otorgamiento del amparo.</w:t>
      </w:r>
    </w:p>
    <w:p w:rsidR="00DE14C9" w:rsidRDefault="00DE14C9" w:rsidP="00DE14C9">
      <w:pPr>
        <w:pStyle w:val="TextoNormal"/>
      </w:pPr>
      <w:r>
        <w:t>Madrid, a cuatro de junio de dos mil siete.</w:t>
      </w:r>
    </w:p>
    <w:p w:rsidR="00DE14C9" w:rsidRDefault="00DE14C9">
      <w:pPr>
        <w:spacing w:after="160" w:line="259" w:lineRule="auto"/>
        <w:rPr>
          <w:rFonts w:ascii="Times New Roman" w:eastAsia="Times New Roman" w:hAnsi="Times New Roman" w:cs="Times New Roman"/>
          <w:sz w:val="24"/>
          <w:szCs w:val="24"/>
          <w:lang w:eastAsia="es-ES"/>
        </w:rPr>
      </w:pPr>
      <w:r>
        <w:lastRenderedPageBreak/>
        <w:br w:type="page"/>
      </w:r>
    </w:p>
    <w:p w:rsidR="00DE14C9" w:rsidRDefault="00DE14C9" w:rsidP="00DE14C9">
      <w:pPr>
        <w:pStyle w:val="TtuloResolucin"/>
      </w:pPr>
      <w:bookmarkStart w:id="42" w:name="SENTENCIA_2007_129"/>
      <w:r>
        <w:lastRenderedPageBreak/>
        <w:t>SENTENCIA 129/2007, de 4 de junio de 2007</w:t>
      </w:r>
    </w:p>
    <w:bookmarkEnd w:id="42"/>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161, de 6 de julio de 2007)</w:t>
      </w:r>
    </w:p>
    <w:p w:rsidR="00DE14C9" w:rsidRDefault="00DE14C9" w:rsidP="00DE14C9">
      <w:pPr>
        <w:pStyle w:val="TtuloBOE"/>
      </w:pPr>
    </w:p>
    <w:p w:rsidR="00DE14C9" w:rsidRDefault="00DE14C9" w:rsidP="00DE14C9">
      <w:pPr>
        <w:pStyle w:val="SntesisDescriptiva"/>
      </w:pPr>
      <w:r>
        <w:t>ECLI:ES:TC:2007:129</w:t>
      </w:r>
    </w:p>
    <w:p w:rsidR="00DE14C9" w:rsidRDefault="00DE14C9" w:rsidP="00DE14C9">
      <w:pPr>
        <w:pStyle w:val="SntesisDescriptiva"/>
      </w:pPr>
    </w:p>
    <w:p w:rsidR="00DE14C9" w:rsidRDefault="00DE14C9" w:rsidP="00DE14C9">
      <w:pPr>
        <w:pStyle w:val="SntesisDescriptiva"/>
      </w:pPr>
      <w:r>
        <w:t>Recurso de amparo 1266-2003. Promovido por don José Bermejo Vera respecto a la Sentencia de la Sala de lo Contencioso-Administrativo del Tribunal Superior de Justicia de Aragón que, en apelación, desestimó su recurso contra el Departamento de Economía, Hacienda y Empleo de la Diputación General de Aragón sobre convocatoria de plazas de medio ambiente en Teruel y Huesca.</w:t>
      </w:r>
    </w:p>
    <w:p w:rsidR="00DE14C9" w:rsidRDefault="00DE14C9" w:rsidP="00DE14C9">
      <w:pPr>
        <w:pStyle w:val="SntesisDescriptiva"/>
      </w:pPr>
    </w:p>
    <w:p w:rsidR="00DE14C9" w:rsidRDefault="00DE14C9" w:rsidP="00DE14C9">
      <w:pPr>
        <w:pStyle w:val="SntesisAnaltica"/>
      </w:pPr>
      <w:r>
        <w:t>Vulneración del derecho a la igualdad en el acceso a las funciones públicas: exclusión de los docentes de la provisión de puestos de trabajo en la Administración pública (STC 48/1998).</w:t>
      </w:r>
    </w:p>
    <w:p w:rsidR="00DE14C9" w:rsidRDefault="00DE14C9" w:rsidP="00DE14C9">
      <w:pPr>
        <w:pStyle w:val="SntesisAnaltica"/>
      </w:pPr>
    </w:p>
    <w:p w:rsidR="00DE14C9" w:rsidRDefault="00DE14C9" w:rsidP="00DE14C9">
      <w:pPr>
        <w:pStyle w:val="Extracto"/>
      </w:pPr>
      <w:r>
        <w:t>1.</w:t>
      </w:r>
      <w:r>
        <w:tab/>
        <w:t>Una configuración negativa de las condiciones de acceso a puestos de la Administración Pública vulnera el art. 23.2 CE puesto que implica una presunción de inidoneidad para el desempeño de la función por parte de funcionarios, respecto de los que, por su mera pertenencia a un cuerpo, no se puede afirmar a priori que no vayan a contar necesariamente con las condiciones para su óptimo desarrollo (STC 48/1998) [FJ 2].</w:t>
      </w:r>
    </w:p>
    <w:p w:rsidR="00DE14C9" w:rsidRDefault="00DE14C9" w:rsidP="00DE14C9">
      <w:pPr>
        <w:pStyle w:val="Extracto"/>
      </w:pPr>
    </w:p>
    <w:p w:rsidR="00DE14C9" w:rsidRDefault="00DE14C9" w:rsidP="00DE14C9">
      <w:pPr>
        <w:pStyle w:val="Extracto"/>
      </w:pPr>
      <w:r>
        <w:t>2.</w:t>
      </w:r>
      <w:r>
        <w:tab/>
        <w:t>Para el completo restablecimiento del derecho del recurrente no bastará con declarar la firmeza de la Sentencia del Juzgado de lo Contencioso-Administrativo, en la que por falta de competencia funcional no se pudo acordar la anulación de la Órden que aprueba la relación de puestos de trabajo, que es donde se contempla el código Ex11 de exclusión de determinados cuerpos funcionariales, limitándose al planteamiento de la cuestión de ilegalidad,  sino que será necesario anular parcialmente dicha Orden [FJ 4].</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lastRenderedPageBreak/>
        <w:t>SENTENCIA</w:t>
      </w:r>
    </w:p>
    <w:p w:rsidR="00DE14C9" w:rsidRDefault="00DE14C9" w:rsidP="00DE14C9">
      <w:pPr>
        <w:pStyle w:val="TextoNormalCentrado"/>
        <w:keepNext/>
      </w:pPr>
    </w:p>
    <w:p w:rsidR="00DE14C9" w:rsidRDefault="00DE14C9" w:rsidP="00DE14C9">
      <w:pPr>
        <w:pStyle w:val="TextoNormal"/>
      </w:pPr>
      <w:r>
        <w:t>En el recurso de amparo núm. 1266-2003, promovido por don José Bermejo Vera, representado por el Procurador de los Tribunales don Isacio Calleja García, quien actúa en defensa de su propio interés, contra las Órdenes de 20 de noviembre de 2001 del Departamento de Economía, Hacienda y Empleo de la Diputación General de Aragón, por las que se convocan la provisión de las plazas de Directores del Servicio Provincial de Medio Ambiente de Teruel y Huesca, respectivamente, y contra la Sentencia de la Sección Segunda de la Sala de lo Contencioso-Administrativo del Tribunal Superior de Justicia de Aragón de 30 de enero de 2003, dictada en el rollo de apelación núm. 54-2002, por la que se revoca la Sentencia del Juzgado de lo Contencioso-Administrativo núm. 1 de Zaragoza de 26 de febrero de 2002, dictada en el procedimiento abreviado núm. 1-2002, que había anulado las citadas Órdenes de convocatoria. Ha comparecido la Letrada de la Comunidad Autónoma de Aragón. Ha intervenido el Ministerio Fiscal. Ha sido Ponente el Magistrado don Pablo Pérez Tremps,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registrado en este Tribunal el 5 de marzo de 2003, el Procurador de los Tribunales don Isacio Calleja García, en nombre y representación de don José Bermejo Vera, quien actúa en defensa de su propio interés, interpuso recurso de amparo contra las resoluciones que se citan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El recurso tiene su origen en los siguientes antecedentes: </w:t>
      </w:r>
    </w:p>
    <w:p w:rsidR="00DE14C9" w:rsidRDefault="00DE14C9" w:rsidP="00DE14C9">
      <w:pPr>
        <w:pStyle w:val="TextoNormal"/>
      </w:pPr>
      <w:r>
        <w:t xml:space="preserve">a) El Departamento de Economía, Hacienda y Empleo de la Diputación General de Aragón por sendas Órdenes de 20 de noviembre de 2001 convocó la provisión, por el sistema de libre designación, de dos puestos vacantes en el Departamento de Medio Ambiente de Director/a del Servicio Provincial en Teruel y Huesca (núm. RPT 17174 y 17164, respectivamente). En ambas se señala como requisito pertenecer al grupo A con exclusión de “sectores de Docencia, Investigación, Sanidad, Servicios Postales y Telegráficos, Instituciones Penitenciarias y Trasporte Aéreo y Meteorología”. La descripción del puesto de trabajo es “funciones propias del puesto en materia objeto del Departamento a nivel provincial”. La exclusión contenida en estas Órdenes trae causa de la Orden de 11 de julio de 2001 de los Departamento de Presidencia y Relaciones Institucionales y de Economía, Hacienda y Empleo, por la que se aprueba la relación de puestos de trabajo del Departamento de Medio Ambiente (en adelante, RPT), en la medida en que así se establece respecto de los puestos 17164 y 17174, conteniéndose como única justificación de dicha exclusión en el informe de la Inspección General de Servicios de 29 de noviembre de 2000 que “se estima procedente contemplar entre sus requisitos de desempeño la exclusión de ciertos sectores de docencia, investigación, sanidad y otros, toda vez que el contenido de sus funciones por la especificidad de sus ámbitos profesionales no guardan relación alguna con el contenido propio del puesto objeto del presente expediente”. </w:t>
      </w:r>
    </w:p>
    <w:p w:rsidR="00DE14C9" w:rsidRDefault="00DE14C9" w:rsidP="00DE14C9">
      <w:pPr>
        <w:pStyle w:val="TextoNormal"/>
      </w:pPr>
      <w:r>
        <w:t xml:space="preserve">b) El recurrente, funcionario docente, interpuso contra las mencionadas Órdenes recurso contencioso-administrativo, que fue tramitado como procedimiento abreviado núm. 1-2002 por el Juzgado de lo Contencioso-Administrativo núm. 1 de Zaragoza. En la demanda se impugnan dichas Órdenes, solicitando su anulación, en cuanto excluyen a los funcionaros docentes del concurso, alegando, por un lado, que dicha exclusión es contraria al art. 23.2 </w:t>
      </w:r>
      <w:r>
        <w:lastRenderedPageBreak/>
        <w:t xml:space="preserve">CE y al texto refundido de la Ley de ordenación de la función pública de la Comunidad Autónoma de Aragón, aprobado por Decreto Legislativo 1/1991, de 19 de febrero, que no contiene previsión restrictiva alguna, por lo que la exclusión carece de cobertura legal, y, por otro, que las Órdenes no justifican las razones de la exclusión, suponiendo una discriminación sin fundamento. </w:t>
      </w:r>
    </w:p>
    <w:p w:rsidR="00DE14C9" w:rsidRDefault="00DE14C9" w:rsidP="00DE14C9">
      <w:pPr>
        <w:pStyle w:val="TextoNormal"/>
      </w:pPr>
      <w:r>
        <w:t xml:space="preserve">c) El Juzgado de lo Contencioso-Administrativo núm. 1 de Zaragoza, por Sentencia de 26 de febrero de 2002, estimó parcialmente el recurso contencioso-administrativo, declaró no conforme a Derecho las convocatorias impugnadas y reconoció como situación jurídica individualizada el derecho del recurrente a que no se le impida la participación en los concursos impugnados por pertenencia a un cuerpo docente. Además, también se acuerda el planteamiento de una cuestión de ilegalidad en relación con la Orden de 11 de julio de 2001 de los Departamentos de Presidencia y Relaciones Institucionales y de Economía, Hacienda y Empleo, por la que se aprueba la RPT del Departamento de Medio Ambiente, en la medida en que establecen la exclusión EX11, de los puestos 17164 y 17714, de Directores del Servicio Provincial de Huesca y de Teruel. A esos efectos se argumenta que, partiendo de lo afirmado en la STC 48/1998, si bien resulta posible al legislador reservar determinados puestos de trabajo a uno o varios cuerpos o establecer ciertas preferencias, no cabe excluir genéricamente y de entrada a los cuerpos docentes con la justificación de que resultan ajenos absolutamente a las funciones de gestión administrativa. En virtud de ello, y descendiendo a la concretas plazas convocadas, se señala que no se justifica que las funciones a desempeñar no puedan ser realizadas por funcionarios docentes tanto si se analiza desde la perspectiva puramente de gestión, al existir docentes en ramas especializadas de gestión de Administraciones públicas, como desde la perspectiva de la materia que gestionan, pues existen variedad de titulaciones académicas en las que la protección del medio ambiente constituye el núcleo de la formación. Por último, también se argumenta, en relación con la disposición adicional quinta de la Ley autonómica de la función pública, en la redacción dada por la Ley 13/2000, de 27 de diciembre, que establece que “el personal funcionario docente, investigador y sanitario local y asistencia, en general podrá acceder a puestos de los respectivos servicios administrativos de conformidad con lo previsto en las relaciones de puestos de trabajo, siempre que las funciones a desarrollar justifiquen suficientemente tales adscripciones”, que la citada disposición no implica que esté vedado a los docentes el acceso a determinados puestos de trabajo, sino al contrario, que con carácter general se debe posibilitar el mismo, aunque limitándolo a los puestos que así se disponga en la RPT y siempre que las funciones justifiquen tales adscripciones. Ello determina que, en la medida en que la exclusión establecida en las Órdenes de convocatoria impugnadas no vienen impuestas por la Ley, sino que son mera ejecución de la Orden por la que se aprueba la RPT del Departamento, es a ésta a la que hay que imputar directamente la vulneración del principio de igualdad, lo que justifica el planteamiento de una cuestión de ilegalidad en relación con esta Orden. </w:t>
      </w:r>
    </w:p>
    <w:p w:rsidR="00DE14C9" w:rsidRDefault="00DE14C9" w:rsidP="00DE14C9">
      <w:pPr>
        <w:pStyle w:val="TextoNormal"/>
      </w:pPr>
      <w:r>
        <w:t xml:space="preserve">d) La Diputación General de Aragón interpuso recurso de apelación, tramitado con el núm. 54-2002, que fue estimado por Sentencia de la Sección Segunda de la Sala de lo Contencioso-Administrativo del Tribunal Superior de Justicia de Aragón de 30 de enero de 2003, argumentando que las Órdenes impugnadas excluyen al sector de la docencia en cumplimiento de lo dispuesto en la RPT del Departamento de Medio Ambiente aprobada por Orden de 11 de julio de 2001 y, por tanto, con posterioridad a la reforma de la disposición adicional quinta de la Ley autonómica de la función pública, operada por la Ley 13/2000, que tiene un carácter restrictivo de la movilidad del personal docente a puestos de sus respectivos Departamentos sectoriales, lo que resulta conforme con lo dispuesto en la STC </w:t>
      </w:r>
      <w:r>
        <w:lastRenderedPageBreak/>
        <w:t>48/1998, ya que la limitación está recogida en norma con rango legal suficiente y aunque la exclusión opera de forma negativa, a lo que se pone reparos en la citada STC 48/1998, sin embargo, lo que viene a regular no es el acceso a la función pública sino a su desarrollo y promoción en el que opera con menor intensidad las garantías del art. 23.2 CE y, además, no viene establecida con carácter absoluto sino que permite limitadamente la movilidad dentro de los respectivos Departamentos con fundamento en las necesidades de funcionamiento de los diferentes servicios.</w:t>
      </w:r>
    </w:p>
    <w:p w:rsidR="00DE14C9" w:rsidRDefault="00DE14C9" w:rsidP="00DE14C9">
      <w:pPr>
        <w:pStyle w:val="TextoNormal"/>
      </w:pPr>
    </w:p>
    <w:p w:rsidR="00DE14C9" w:rsidRDefault="00DE14C9" w:rsidP="00DE14C9">
      <w:pPr>
        <w:pStyle w:val="TextoNormal"/>
      </w:pPr>
      <w:r w:rsidRPr="00DE14C9">
        <w:rPr>
          <w:rStyle w:val="NumeroAFNegritaCaracter"/>
        </w:rPr>
        <w:t>3</w:t>
      </w:r>
      <w:r>
        <w:t>. El recurrente aduce en su demanda de amparo que se han vulnerado sus derechos a la igualdad (art. 14 CE) y de acceso y permanencia en condiciones de igualdad a las funciones y cargos públicos con los requisitos que señalen las leyes (art. 23.2 CE). Así, se argumenta que, en contradicción con la jurisprudencia establecida en la STC 48/1998, de 20 de marzo, en la que se le otorgó el amparo en un supuesto prácticamente idéntico al planteado en el presente recurso, se ha excluido nuevamente de las convocatorias impugnadas a los funcionarios docentes sin la necesaria cobertura legal, puesto que es contraria a la regla general prevista en la disposición adicional quinta de la Ley autonómica de la función pública, en la redacción dada por la Ley 13/2000, de 27 de diciembre, y, además, sin que quedara justificada dicha exclusión en la RPT, no estableciéndose requisitos y condiciones de acceso que fueran respetuosos con los principios de mérito y capacidad. En virtud de ello solicita que se declare la nulidad de las resoluciones administrativas y judicial impugnadas, así como la ilegalidad de la RPT del Departamento de Medio Ambiente de la Diputación General de Aragón y, para el caso en que se considere que la exclusión trae causa directa de la Ley aragonesa, se eleve cuestión de inconstitucionalidad respecto de la misma.</w:t>
      </w:r>
    </w:p>
    <w:p w:rsidR="00DE14C9" w:rsidRDefault="00DE14C9" w:rsidP="00DE14C9">
      <w:pPr>
        <w:pStyle w:val="TextoNormal"/>
      </w:pPr>
    </w:p>
    <w:p w:rsidR="00DE14C9" w:rsidRDefault="00DE14C9" w:rsidP="00DE14C9">
      <w:pPr>
        <w:pStyle w:val="TextoNormal"/>
      </w:pPr>
      <w:r w:rsidRPr="00DE14C9">
        <w:rPr>
          <w:rStyle w:val="NumeroAFNegritaCaracter"/>
        </w:rPr>
        <w:t>4</w:t>
      </w:r>
      <w:r>
        <w:t>. La Sección Segunda de este Tribunal, por providencia de 8 de marzo de 2006, acordó, conforme a lo previsto en el art. 50.3 LOTC, conceder un plazo común de diez días al Ministerio Fiscal y al solicitante de amparo para que dentro de dicho término alegasen lo que estimasen pertinente en relación con la posible carencia manifiesta de contenido constitucional de la demanda de conformidad con el art. 50.1 c) LOTC. Evacuado dicho trámite, por providencia de 13 de julio de 2006, se acordó su admisión a trámite, dirigir comunicación a los órganos judiciales competentes para la remisión de copia testimoniada de las actuaciones y el emplazamiento a quienes hubieran sido parte en este procedimiento para que pudieran comparecer en el mismo.</w:t>
      </w:r>
    </w:p>
    <w:p w:rsidR="00DE14C9" w:rsidRDefault="00DE14C9" w:rsidP="00DE14C9">
      <w:pPr>
        <w:pStyle w:val="TextoNormal"/>
      </w:pPr>
    </w:p>
    <w:p w:rsidR="00DE14C9" w:rsidRDefault="00DE14C9" w:rsidP="00DE14C9">
      <w:pPr>
        <w:pStyle w:val="TextoNormal"/>
      </w:pPr>
      <w:r w:rsidRPr="00DE14C9">
        <w:rPr>
          <w:rStyle w:val="NumeroAFNegritaCaracter"/>
        </w:rPr>
        <w:t>5</w:t>
      </w:r>
      <w:r>
        <w:t>. Por diligencia de ordenación de la Secretaría de Justicia de la Sala Primera de este Tribunal de 13 de septiembre de 2006 se tuvo por personado a la Letrada de la Comunidad Autónoma de Aragón y, de conformidad con el art. 52.1 LOTC, dar vista de las actuaciones al Ministerio Fiscal y las partes personadas por plazo común de veinte días para presentar las alegaciones que estimasen pertinentes.</w:t>
      </w:r>
    </w:p>
    <w:p w:rsidR="00DE14C9" w:rsidRDefault="00DE14C9" w:rsidP="00DE14C9">
      <w:pPr>
        <w:pStyle w:val="TextoNormal"/>
      </w:pPr>
    </w:p>
    <w:p w:rsidR="00DE14C9" w:rsidRDefault="00DE14C9" w:rsidP="00DE14C9">
      <w:pPr>
        <w:pStyle w:val="TextoNormal"/>
      </w:pPr>
      <w:r w:rsidRPr="00DE14C9">
        <w:rPr>
          <w:rStyle w:val="NumeroAFNegritaCaracter"/>
        </w:rPr>
        <w:t>6</w:t>
      </w:r>
      <w:r>
        <w:t xml:space="preserve">. La Letrada de la Comunidad Autónoma de Aragón, por escrito registrado el día 4 de octubre de 2006, presentó alegaciones, solicitando la denegación del amparo, al considerar, por un lado, que la disposición adicional quinta de la Ley autonómica de la función pública no sólo da cobertura, sino que ella misma impone la exclusión del personal docente de las convocatorias impugnadas al establecer una prohibición general de acceso de los funcionarios docentes, con excepción de lo que se haga constar en la RPT y que las funciones a realizar justifiquen suficientemente tales adscripciones y, por otro, que dicha exclusión no </w:t>
      </w:r>
      <w:r>
        <w:lastRenderedPageBreak/>
        <w:t>es arbitraria ni carente de objetividad, sino que responde a las exigencias de planificación y prestación del servicio público educativo.</w:t>
      </w:r>
    </w:p>
    <w:p w:rsidR="00DE14C9" w:rsidRDefault="00DE14C9" w:rsidP="00DE14C9">
      <w:pPr>
        <w:pStyle w:val="TextoNormal"/>
      </w:pPr>
    </w:p>
    <w:p w:rsidR="00DE14C9" w:rsidRDefault="00DE14C9" w:rsidP="00DE14C9">
      <w:pPr>
        <w:pStyle w:val="TextoNormal"/>
      </w:pPr>
      <w:r w:rsidRPr="00DE14C9">
        <w:rPr>
          <w:rStyle w:val="NumeroAFNegritaCaracter"/>
        </w:rPr>
        <w:t>7</w:t>
      </w:r>
      <w:r>
        <w:t>. El Ministerio Fiscal, en escrito registrado el 26 de octubre de 2006, interesó el otorgamiento del amparo por vulneración del derecho a acceder en condiciones de igualdad a los cargos públicos (art. 23.2 CE) y que se declare la nulidad de la Sentencias impugnada, “así como parcialmente, de la Orden de 11 de julio de 2001 del Departamento de Economía, Hacienda y Empleo de la Diputación General de Aragón, aprobatoria de la RPT, en cuanto excluye en general a los funcionarios docentes para los puestos de trabajo de Jefe de los Servicios Provinciales del Departamento de Medio Ambiente de Huesca y de Teruel, y de las Ordenes de 20 de noviembre de 2001 del mismo Departamento, dictadas en aplicación de aquella RPT”. A esos efectos se argumenta que, como ya ocurriera en el supuesto resuelto en la STC 48/1998, la Administración Autonómica de Aragón vuelve a establecer tanto en la RPT del Departamento de Medio Ambiente, como en las dos Órdenes de convocatoria de las plazas de Director de los servicios provinciales de dicho Departamento, una configuración negativa de los perfiles funcionariales asignados a dichas plazas, estableciendo la exclusión general y automática de todos los que integran el sector de la docencia, con lo que nuevamente se aparta a limine y de modo negativo a dichos funcionaros con vulneración del art. 23.2 CE. Al margen de ello, se destaca que el argumento de la cobertura legal suficiente no sirve para rechazar la vulneración del derecho invocado, ya que la disposición adicional quinta de la Ley aragonesa, e incluso el nuevo apartado que ha sido añadido por la Ley 26/2001, no consagra esta exclusión automática, sino que permite la posibilidad de que los funcionarios docentes puedan acceder a determinados puestos de gestión que no sean de perfil exclusivamente docente cuando así lo establezcan las RPT y la propia naturaleza de las funciones a desempeñar, por lo que la vulneración no es imputable a la Ley, sino a la RPT.</w:t>
      </w:r>
    </w:p>
    <w:p w:rsidR="00DE14C9" w:rsidRDefault="00DE14C9" w:rsidP="00DE14C9">
      <w:pPr>
        <w:pStyle w:val="TextoNormal"/>
      </w:pPr>
    </w:p>
    <w:p w:rsidR="00DE14C9" w:rsidRDefault="00DE14C9" w:rsidP="00DE14C9">
      <w:pPr>
        <w:pStyle w:val="TextoNormal"/>
      </w:pPr>
      <w:r w:rsidRPr="00DE14C9">
        <w:rPr>
          <w:rStyle w:val="NumeroAFNegritaCaracter"/>
        </w:rPr>
        <w:t>8</w:t>
      </w:r>
      <w:r>
        <w:t>. El recurrente, en escrito registrado el 19 de octubre de 2006, formuló alegaciones, reiterando las expuestas en la demanda de amparo.</w:t>
      </w:r>
    </w:p>
    <w:p w:rsidR="00DE14C9" w:rsidRDefault="00DE14C9" w:rsidP="00DE14C9">
      <w:pPr>
        <w:pStyle w:val="TextoNormal"/>
      </w:pPr>
    </w:p>
    <w:p w:rsidR="00DE14C9" w:rsidRDefault="00DE14C9" w:rsidP="00DE14C9">
      <w:pPr>
        <w:pStyle w:val="TextoNormal"/>
      </w:pPr>
      <w:r w:rsidRPr="00DE14C9">
        <w:rPr>
          <w:rStyle w:val="NumeroAFNegritaCaracter"/>
        </w:rPr>
        <w:t>9</w:t>
      </w:r>
      <w:r>
        <w:t>. Por providencia de fecha 31 de mayo de 2007, se señaló para deliberación y fallo de la Sentencia el día 4 de junio de 2007.</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El objeto de este amparo es determinar si las Órdenes de 20 de noviembre de 2001 del Departamento de Economía, Hacienda y Empleo de la Diputación General de Aragón, por las que se convocan la provisión de las plazas de Directores del Servicio Provincial de Medio Ambiente de Teruel y Huesca, respectivamente, y la Sentencia de la Sección Segunda de la Sala de lo Contencioso-Administrativo del Tribunal Superior de Justicia de Aragón de 30 de enero de 2003, en la medida en que confirma la legalidad de las mismas al revocar la Sentencia del Juzgado de lo Contencioso-Administrativo núm. 1 de Zaragoza de 26 de febrero de 2002, que había anulado las citadas Órdenes, vulneran los derechos del recurrente a la igualdad (art. 14 CE) y al acceso y permanencia en condiciones de igualdad a las fun</w:t>
      </w:r>
      <w:r>
        <w:lastRenderedPageBreak/>
        <w:t>ciones y cargos públicos (art. 23.2 CE), al excluir de dichas convocatorias con carácter general a los funcionarios docentes sin la debida cobertura legal y, además, sin que la exclusión esté debidamente justificada.</w:t>
      </w:r>
    </w:p>
    <w:p w:rsidR="00DE14C9" w:rsidRDefault="00DE14C9" w:rsidP="00DE14C9">
      <w:pPr>
        <w:pStyle w:val="TextoNormal"/>
      </w:pPr>
      <w:r>
        <w:t>Previamente a entrar en el análisis de estas invocaciones, debe precisarse, en primer lugar, que, a pesar de que en la demanda de amparo se califique el presente recurso de amparo como de carácter mixto, se trata de un recurso de amparo del art.  43 LOTC, ya que la resolución judicial impugnada sólo lo es en cuanto declara conforme a Derecho las Órdenes de convocatoria, sin que se le atribuya la lesión autónoma de ningún derecho fundamental. Y, en segundo lugar, que, a pesar de haber sido invocados de manera diferenciada los arts. 14 y 23.2 CE, es doctrina reiterada de este Tribunal que, al contemplarse en el art. 23.2 CE el derecho a la igualdad en relación con el acceso a la función pública, la genérica alegación del art. 14 CE debe entenderse comprendida en la más específica invocación del art. 23.2 CE (por todas, STC 107/2003, de 2 de junio, FJ 4).</w:t>
      </w:r>
    </w:p>
    <w:p w:rsidR="00DE14C9" w:rsidRDefault="00DE14C9" w:rsidP="00DE14C9">
      <w:pPr>
        <w:pStyle w:val="TextoNormal"/>
      </w:pPr>
    </w:p>
    <w:p w:rsidR="00DE14C9" w:rsidRDefault="00DE14C9" w:rsidP="00DE14C9">
      <w:pPr>
        <w:pStyle w:val="TextoNormal"/>
      </w:pPr>
      <w:r w:rsidRPr="00DE14C9">
        <w:rPr>
          <w:rStyle w:val="NumeroAFNegritaCaracter"/>
        </w:rPr>
        <w:t>2</w:t>
      </w:r>
      <w:r>
        <w:t>. Entrando al fondo de la vulneración aducida del derecho al acceso y permanencia en condiciones de igualdad a las funciones y cargos públicos (art. 23.2 CE), es de destacar que el recurrente plantea en el presente recurso de amparo la misma cuestión que ya fue objeto de análisis en el recurso de amparo, también interpuesto por este mismo recurrente, que dio lugar a la STC 48/1998, de 2 de marzo, esto es, si vulnera el art. 23.2 CE la exclusión liminar de los funcionarios docentes de los concursos de provisión para determinados puestos de la Administración. Este Tribunal ya hizo expreso en los fundamentos jurídicos 7 y 8 de dicha Sentencia, a la que en aras a la brevedad es conveniente remitirse, que supone una vulneración del art. 23.2 CE la exclusión a limine de determinados cuerpos de funcionarios, en tanto que ello establece una presunción de la inidoneidad para el desempeño de la función de personas en las que podrían concurrir las condiciones necesarias para su óptimo desarrollo.</w:t>
      </w:r>
    </w:p>
    <w:p w:rsidR="00DE14C9" w:rsidRDefault="00DE14C9" w:rsidP="00DE14C9">
      <w:pPr>
        <w:pStyle w:val="TextoNormal"/>
      </w:pPr>
      <w:r>
        <w:t>En el presente caso, como se ha expuesto en los antecedentes, el Departamento de Economía, Hacienda y Empleo de la Diputación General de Aragón, por sendas Órdenes de 20 de noviembre de 2001, convocó la provisión, por el sistema de libre designación, de dos puestos vacantes en el Departamento de Medio Ambiente de Director/a del Servicio Provincial en Teruel y Huesca (núms. 17174 y 17164 de la relación de puestos de trabajo, respectivamente). En ambas se señala como requisito pertenecer al grupo A con exclusión de “sectores de Docencia, Investigación, Sanidad, Servicios Postales y Telegráficos, Instituciones Penitenciarias y Trasporte Aéreo y Meteorología”. La descripción del puesto de trabajo es “funciones propias del puesto en materia objeto del Departamento a nivel provincial”. La exclusión contenida en estas Órdenes trae causa de la Orden de 11 de julio de 2001 de los Departamento de Presidencia y Relaciones Institucionales y de Economía, Hacienda y Empleo, por la que se aprueba la relación de puestos de trabajo del Departamento de Medio Ambiente, en la medida en que así se establecía en relación con los puestos 17164 y 17174, conteniéndose como única justificación a dicha exclusión en los informes de la Inspección General que los cuerpos docentes y los restantes citados resultan ajenos absolutamente a las funciones de gestión administrativa.</w:t>
      </w:r>
    </w:p>
    <w:p w:rsidR="00DE14C9" w:rsidRDefault="00DE14C9" w:rsidP="00DE14C9">
      <w:pPr>
        <w:pStyle w:val="TextoNormal"/>
      </w:pPr>
      <w:r>
        <w:t xml:space="preserve">Pues bien, como también ha destacado el Ministerio Fiscal, vulnera el art. 23.2 CE el hecho de que las Órdenes impugnadas realicen una configuración negativa de las condiciones de acceso a los puestos de Director/a del Servicio Provincial de Teruel y Huesca del Departamento de Medio Ambiente, prohibiendo el acceso a los funcionarios docentes, de investigación, sanidad, servicios postales y telegráficos, de instituciones penitenciarias y trasporte aéreo y meteorología. En efecto, que en aplicación de la exclusión prevista en la </w:t>
      </w:r>
      <w:r>
        <w:lastRenderedPageBreak/>
        <w:t>relación de puestos de trabajo para los puestos convocados, en la que se justifica dicha exclusión con fundamento en que resultan ajenos absolutamente a las funciones de gestión administrativa, las Órdenes impugnadas impidan a los miembros de determinados cuerpos de funcionarios concursar a los puestos convocados es contrario al art. 23.2 CE. Ello implica una presunción de la inidoneidad para el desempeño de la función por parte de funcionarios, respecto de los que, por su mera pertenencia a un cuerpo, no se puede afirmar a priori que no vayan a contar necesariamente con las condiciones para su óptimo desarrollo, ya que no puede considerarse razonablemente justificado la exclusión de un colectivo como los funcionarios docentes, tanto si se analiza desde la perspectiva puramente de gestión, ya que existen docentes en ramas especializadas de gestión de las Administraciones públicas, como desde la perspectiva de la materia a gestionar, porque existen variedad de titulaciones académicas en las que la protección del medio ambiente constituye el núcleo de la formación. Por tanto, al concurrir la vulneración aducida debe otorgarse el amparo solicitado.</w:t>
      </w:r>
    </w:p>
    <w:p w:rsidR="00DE14C9" w:rsidRDefault="00DE14C9" w:rsidP="00DE14C9">
      <w:pPr>
        <w:pStyle w:val="TextoNormal"/>
      </w:pPr>
    </w:p>
    <w:p w:rsidR="00DE14C9" w:rsidRDefault="00DE14C9" w:rsidP="00DE14C9">
      <w:pPr>
        <w:pStyle w:val="TextoNormal"/>
      </w:pPr>
      <w:r w:rsidRPr="00DE14C9">
        <w:rPr>
          <w:rStyle w:val="NumeroAFNegritaCaracter"/>
        </w:rPr>
        <w:t>3</w:t>
      </w:r>
      <w:r>
        <w:t>. En cuanto al alcance del fallo resulta necesario abordar dos cuestiones planteadas por el recurrente. La primera es la referida a la solicitud de elevar al Pleno cuestión de inconstitucionalidad respecto la disposición adicional quinta de la Ley de ordenación de la función pública de la Comunidad Autónoma de Aragón, en la redacción dada por la Ley 13/2000, de 27 de diciembre, si se considerara que la exclusión del cuerpo de docentes establecida en las Órdenes impugnadas viene impuesta por el contenido de dicho precepto.</w:t>
      </w:r>
    </w:p>
    <w:p w:rsidR="00DE14C9" w:rsidRDefault="00DE14C9" w:rsidP="00DE14C9">
      <w:pPr>
        <w:pStyle w:val="TextoNormal"/>
      </w:pPr>
      <w:r>
        <w:t>La disposición adicional quinta de la Ley aragonesa establece que “el personal funcionario docente, investigador y sanitario local y asistencia, en general, podrá acceder a puestos de los respectivos servicios administrativos de conformidad con lo previsto en las relaciones de puestos de trabajo, siempre que las funciones a desarrollar justifiquen suficientemente tales adscripciones”. Por tanto, la citada disposición no implica que quede vedado a los docentes el acceso a determinados puestos de trabajo, sino al contrario, lo que viene a establecer es que con carácter general se debe posibilitar el mismo, aunque limitándolo a los puestos que así se disponga en la relación de puestos de trabajo y siempre que las funciones justifiquen tales adscripciones. Ello determina, como también ha puesto de manifiesto el Ministerio Fiscal, que la exclusión establecida en las Órdenes de convocatoria impugnadas no viene impuesta y exigida por la Ley, sino, en su caso, por la Orden que aprueba la relación de puestos de trabajo del Departamento. Así pues, en aplicación de la doctrina reiterada por este Tribunal, no resulta procedente acceder al planteamiento de la cuestión suscitada al no derivar la vulneración declarada de lo previsto directamente en una norma con rango legal (por todas, STC 186/2004, de 2 de noviembre, FJ 2).</w:t>
      </w:r>
    </w:p>
    <w:p w:rsidR="00DE14C9" w:rsidRDefault="00DE14C9" w:rsidP="00DE14C9">
      <w:pPr>
        <w:pStyle w:val="TextoNormal"/>
      </w:pPr>
    </w:p>
    <w:p w:rsidR="00DE14C9" w:rsidRDefault="00DE14C9" w:rsidP="00DE14C9">
      <w:pPr>
        <w:pStyle w:val="TextoNormal"/>
      </w:pPr>
      <w:r w:rsidRPr="00DE14C9">
        <w:rPr>
          <w:rStyle w:val="NumeroAFNegritaCaracter"/>
        </w:rPr>
        <w:t>4</w:t>
      </w:r>
      <w:r>
        <w:t>. La segunda cuestión a abordar en cuanto al alcance del fallo es la referida a la solicitud del recurrente, apoyada por el Ministerio Fiscal, de que, como contenido de un fallo estimatorio, se anule parcialmente la Orden de 11 de julio de 2001 del Departamento de Economía, Hacienda y Empleo de la Diputación General de Aragón, aprobatoria de la relación de puestos de trabajo del Departamento de Medio Ambiente, en cuanto que directamente excluye con carácter general a los funcionarios docentes para los puestos de trabajo de jefe de los servicios provinciales del Departamento de Medio Ambiente de Huesca y de Teruel, siendo la Órdenes impugnadas meros actos de ejecución de la misma en cuanto al ámbito de exclusiones.</w:t>
      </w:r>
    </w:p>
    <w:p w:rsidR="00DE14C9" w:rsidRDefault="00DE14C9" w:rsidP="00DE14C9">
      <w:pPr>
        <w:pStyle w:val="TextoNormal"/>
      </w:pPr>
      <w:r>
        <w:t xml:space="preserve">Efectivamente, como ya se ha señalado con anterioridad, la exclusión de determinados cuerpos funcionariales de las Órdenes de convocatoria no es sino una mera ejecución de lo contemplado en la relación de puestos de trabajo del Departamento de Medio Ambiente, </w:t>
      </w:r>
      <w:r>
        <w:lastRenderedPageBreak/>
        <w:t>aprobada por Orden de 11 de julio de 2001, que es donde se contempla el código Ex11. De hecho, en virtud de ello, la propia Sentencia del Juzgado de lo Contencioso-Administrativo núm. 1 de Zaragoza de 26 de febrero de 2002, acordó el planteamiento de una cuestión de ilegalidad en relación con esta Orden. Por tanto, para el completo restablecimiento del derecho del recurrente no bastará con declarar la firmeza de la Sentencia del Juzgado de lo Contencioso-Administrativo, en la que por falta de competencia funcional del órgano judicial no se pudo acordar su anulación, limitándose al planteamiento de la cuestión de ilegalidad, sino que será necesario acceder a la solicitado por el recurrente y el Ministerio Fiscal de anular parcialmente la Orden de 11 de julio de 2001, aprobatoria de la relación de puestos de trabajo del Departamento de Medio Ambiente, en cuanto excluye en general a los docentes para los puestos 17164 y 17714, de Directores del Servicio Provincial de Huesca y de Teruel, respectivamente.</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don José Bermejo Vera y, en su virtud:</w:t>
      </w:r>
    </w:p>
    <w:p w:rsidR="00DE14C9" w:rsidRDefault="00DE14C9" w:rsidP="00DE14C9">
      <w:pPr>
        <w:pStyle w:val="TextoNormal"/>
      </w:pPr>
      <w:r>
        <w:t>1º Reconocer su derecho fundamental al acceso en condiciones de igualdad a las funciones y cargos públicos (art. 23.2 CE).</w:t>
      </w:r>
    </w:p>
    <w:p w:rsidR="00DE14C9" w:rsidRDefault="00DE14C9" w:rsidP="00DE14C9">
      <w:pPr>
        <w:pStyle w:val="TextoNormal"/>
      </w:pPr>
      <w:r>
        <w:t>2º Anular la Sentencia de 30 de enero de 2003 de la Sección Segunda de la Sala de lo Contencioso-Administrativo del Tribunal Superior de Justicia de Aragón, dictada en el recurso de apelación núm. 54-2002, y declarar la firmeza de la Sentencia del Juzgado de lo Contencioso-Administrativo núm. 1 de Zaragoza de 26 de febrero de 2002, dictada en el procedimiento abreviado núm. 1-2002, excepto en lo relativo al planteamiento de la cuestión de ilegalidad.</w:t>
      </w:r>
    </w:p>
    <w:p w:rsidR="00DE14C9" w:rsidRDefault="00DE14C9" w:rsidP="00DE14C9">
      <w:pPr>
        <w:pStyle w:val="TextoNormal"/>
      </w:pPr>
      <w:r>
        <w:t>3º Anular parcialmente la relación de puestos de trabajo del Departamento de Medio Ambiente, aprobada por Orden de 11 de julio de 2001 de los Departamentos de Presidencia y Relaciones Institucionales y de Economía, Hacienda y Empleo, en cuanto excluye en general a los docentes para los puestos 17164 y 17714, de Directores del Servicio Provincial de Huesca y de Teruel, respectivamente.</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cuatro de junio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43" w:name="SENTENCIA_2007_130"/>
      <w:r>
        <w:lastRenderedPageBreak/>
        <w:t>SENTENCIA 130/2007, de 4 de junio de 2007</w:t>
      </w:r>
    </w:p>
    <w:bookmarkEnd w:id="43"/>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161, de 6 de julio de 2007)</w:t>
      </w:r>
    </w:p>
    <w:p w:rsidR="00DE14C9" w:rsidRDefault="00DE14C9" w:rsidP="00DE14C9">
      <w:pPr>
        <w:pStyle w:val="TtuloBOE"/>
      </w:pPr>
    </w:p>
    <w:p w:rsidR="00DE14C9" w:rsidRDefault="00DE14C9" w:rsidP="00DE14C9">
      <w:pPr>
        <w:pStyle w:val="SntesisDescriptiva"/>
      </w:pPr>
      <w:r>
        <w:t>ECLI:ES:TC:2007:130</w:t>
      </w:r>
    </w:p>
    <w:p w:rsidR="00DE14C9" w:rsidRDefault="00DE14C9" w:rsidP="00DE14C9">
      <w:pPr>
        <w:pStyle w:val="SntesisDescriptiva"/>
      </w:pPr>
    </w:p>
    <w:p w:rsidR="00DE14C9" w:rsidRDefault="00DE14C9" w:rsidP="00DE14C9">
      <w:pPr>
        <w:pStyle w:val="SntesisDescriptiva"/>
      </w:pPr>
      <w:r>
        <w:t>Recurso de amparo 4323-2003. Interpuesto por Coato, sociedad cooperativa, frente a los Autos de la Sala de lo Contencioso-Administrativo del Tribunal Superior de Justicia de Murcia que no tuvieron por rehabilitado el plazo de presentación del escrito de demanda en litigio sobre responsabilidad patrimonial.</w:t>
      </w:r>
    </w:p>
    <w:p w:rsidR="00DE14C9" w:rsidRDefault="00DE14C9" w:rsidP="00DE14C9">
      <w:pPr>
        <w:pStyle w:val="SntesisDescriptiva"/>
      </w:pPr>
    </w:p>
    <w:p w:rsidR="00DE14C9" w:rsidRDefault="00DE14C9" w:rsidP="00DE14C9">
      <w:pPr>
        <w:pStyle w:val="SntesisAnaltica"/>
      </w:pPr>
      <w:r>
        <w:t>Vulneración del derecho a la tutela judicial efectiva (acceso a la justicia): inadmisión de demanda contencioso-administrativa por extemporánea, presentada en la mañana siguiente al día en que fue notificada la caducidad del recurso, a tenor de la nueva Ley de enjuiciamiento civil (STC 64/2005).</w:t>
      </w:r>
    </w:p>
    <w:p w:rsidR="00DE14C9" w:rsidRDefault="00DE14C9" w:rsidP="00DE14C9">
      <w:pPr>
        <w:pStyle w:val="SntesisAnaltica"/>
      </w:pPr>
    </w:p>
    <w:p w:rsidR="00DE14C9" w:rsidRDefault="00DE14C9" w:rsidP="00DE14C9">
      <w:pPr>
        <w:pStyle w:val="Extracto"/>
      </w:pPr>
      <w:r>
        <w:t>1.</w:t>
      </w:r>
      <w:r>
        <w:tab/>
        <w:t>Los Autos impugnados, que rechazaron por extemporánea la demanda contencioso-administrativa formulada por la entidad actora, se fundan, desde la perspectiva del derecho de acceso a la jurisdicción, en una interpretación rigorista y desproporcionada de las normas procesales y, por tanto, en una interpretación contraria al derecho a la tutela judicial efectiva de la recurrente [FJ 4].</w:t>
      </w:r>
    </w:p>
    <w:p w:rsidR="00DE14C9" w:rsidRDefault="00DE14C9" w:rsidP="00DE14C9">
      <w:pPr>
        <w:pStyle w:val="Extracto"/>
      </w:pPr>
    </w:p>
    <w:p w:rsidR="00DE14C9" w:rsidRDefault="00DE14C9" w:rsidP="00DE14C9">
      <w:pPr>
        <w:pStyle w:val="Extracto"/>
      </w:pPr>
      <w:r>
        <w:t>2.</w:t>
      </w:r>
      <w:r>
        <w:tab/>
        <w:t>La cuestión principal referente a la posible presentación fuera de plazo del escrito de demanda en el proceso contencioso-administrativo, por no considerar de aplicación supletoria en el proceso contencioso-administrativo la regla establecida en el art. 135 LEC, es análoga a la resuelta en la STC 343/2006 [FFJJ 4, 5].</w:t>
      </w:r>
    </w:p>
    <w:p w:rsidR="00DE14C9" w:rsidRDefault="00DE14C9" w:rsidP="00DE14C9">
      <w:pPr>
        <w:pStyle w:val="Extracto"/>
      </w:pPr>
    </w:p>
    <w:p w:rsidR="00DE14C9" w:rsidRDefault="00DE14C9" w:rsidP="00DE14C9">
      <w:pPr>
        <w:pStyle w:val="Extracto"/>
      </w:pPr>
      <w:r>
        <w:t>3.</w:t>
      </w:r>
      <w:r>
        <w:tab/>
        <w:t>Sólo corresponde al Tribunal Constitucional dilucidar si la interpretación y la aplicación de las normas efectuadas por los órganos judiciales han sido o no respetuosas con el derecho a la tutela judicial efectiva de la demandante de amparo y, en particular si están fundadas en Derecho y, además, no revelan un rigor desproporcionado en relación con los fines que se tratan de proteger y el sacrificio que comportan (SSTC 64/2005, 343/2006) [FJ 4].</w:t>
      </w:r>
    </w:p>
    <w:p w:rsidR="00DE14C9" w:rsidRDefault="00DE14C9" w:rsidP="00DE14C9">
      <w:pPr>
        <w:pStyle w:val="Extracto"/>
      </w:pPr>
    </w:p>
    <w:p w:rsidR="00DE14C9" w:rsidRDefault="00DE14C9" w:rsidP="00DE14C9">
      <w:pPr>
        <w:pStyle w:val="Extracto"/>
      </w:pPr>
      <w:r>
        <w:t>4.</w:t>
      </w:r>
      <w:r>
        <w:tab/>
        <w:t>La denuncia de vulneración del derecho a la igualdad (art. 14 CE) carece manifiestamente de contenido constitucional cuando la entidad demandante de amparo se limita a invocar esa supuesta lesión sin citar ni aportar otra resolución del mismo órgano judicial de la que supuestamente se hubiera parteado las impugnaciones [FJ 3].</w:t>
      </w:r>
    </w:p>
    <w:p w:rsidR="00DE14C9" w:rsidRDefault="00DE14C9" w:rsidP="00DE14C9">
      <w:pPr>
        <w:pStyle w:val="Extracto"/>
      </w:pPr>
    </w:p>
    <w:p w:rsidR="00DE14C9" w:rsidRDefault="00DE14C9" w:rsidP="00DE14C9">
      <w:pPr>
        <w:pStyle w:val="Extracto"/>
      </w:pPr>
      <w:r>
        <w:t>5.</w:t>
      </w:r>
      <w:r>
        <w:tab/>
        <w:t>Cuando se impugna en amparo una resolución judicial confirmatoria de otras que han sido  lógica y cronológicamente su presupuesto, debe considerase que la impugnación se extiende también a las precedentes resoluciones judiciales confirmadas (STC 239/2005) [FJ 1].</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4323-2003, interpuesto por Coato, sociedad cooperativa, representada por la Procuradora de los Tribunales doña Beatriz Ruano Casanova y asistida por el Letrado don Jaime Jover Medina, contra el Auto de 2 de junio de 2003 dictado por la Sección Primera de la Sala de lo Contencioso-Administrativo del Tribunal Superior de Justicia de la Región de Murcia en el procedimiento ordinario núm. 1153-2001. Han intervenido el Ministerio Fiscal y el Letrado de la Comunidad Autónoma de la Región de Murcia. Ha sido Ponente el Magistrado don Guillermo Jiménez Sánchez,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registrado en este Tribunal el 30 de junio de 2003 la Procuradora de los Tribunales doña Beatriz Ruano Casanova, en nombre y representación de Coato, sociedad cooperativa, interpuso recurso de amparo constitucional contra el Auto del que se deja hecho mérito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que fundamentan la demanda de amparo son, resumidamente expuestos, los siguientes: </w:t>
      </w:r>
    </w:p>
    <w:p w:rsidR="00DE14C9" w:rsidRDefault="00DE14C9" w:rsidP="00DE14C9">
      <w:pPr>
        <w:pStyle w:val="TextoNormal"/>
      </w:pPr>
      <w:r>
        <w:t xml:space="preserve">a) Frente a la desestimación presunta por la Consejería de Agricultura, Agua y Medioambiente de la Comunidad Autónoma de la Región de Murcia de la reclamación de responsabilidad patrimonial que había presentado, la entidad recurrente en amparo interpuso ante el Tribunal Superior de Justicia de Murcia recurso contencioso-administrativo, que fue admitido por la Sección Primera de la Sala de lo Contencioso-Administrativo de dicho Tribunal, en providencia de 11 de marzo de 2001, para su tramitación con el núm. 1153-2001. Por diligencia de ordenación de 4 de diciembre de 2001 se concedió a la parte demandante plazo de veinte días para formalizar la demanda. Trascurrido el plazo concedido sin que la entidad recurrente evacuara el citado trámite procesal, la Sección, mediante Auto de 25 de febrero de 2002, notificado a la parte el siguiente 28 de febrero, acordó declarar caducado el recurso. </w:t>
      </w:r>
    </w:p>
    <w:p w:rsidR="00DE14C9" w:rsidRDefault="00DE14C9" w:rsidP="00DE14C9">
      <w:pPr>
        <w:pStyle w:val="TextoNormal"/>
      </w:pPr>
      <w:r>
        <w:t xml:space="preserve">b) Con fecha 1 de marzo de 2002 la entidad demandante, hoy recurrente en amparo, con arreglo a lo dispuesto en el art. 52.2 LJCA, y acogiéndose a la previsión del art. 135 LEC, que autoriza la presentación de escritos hasta las 15 horas del día siguiente al de la finalización del plazo, presentó su escrito de demanda. La Sección, por Auto de 13 de mayo de 2002, admitió “el escrito de formulación de demanda” presentado, “produciendo sus efectos legales”, y dio traslado de él a la Administración demandada. </w:t>
      </w:r>
    </w:p>
    <w:p w:rsidR="00DE14C9" w:rsidRDefault="00DE14C9" w:rsidP="00DE14C9">
      <w:pPr>
        <w:pStyle w:val="TextoNormal"/>
      </w:pPr>
      <w:r>
        <w:lastRenderedPageBreak/>
        <w:t xml:space="preserve">c) Luego de contestada la demanda y admitido el pleito a prueba, la Sección, por providencia de 12 de febrero de 2003, acordó de oficio oír a las partes sobre la posibilidad de que el escrito de demanda se hubiera presentado fuera de plazo. Evacuado el trámite, por nuevo Auto de 16 de abril de 2003 se acordó dejar sin efecto el anterior Auto de 13 de mayo de 2002 y, en consecuencia, declarar caducado el recurso contencioso-administrativo por haber sido presentado extemporáneamente el escrito de demanda. </w:t>
      </w:r>
    </w:p>
    <w:p w:rsidR="00DE14C9" w:rsidRDefault="00DE14C9" w:rsidP="00DE14C9">
      <w:pPr>
        <w:pStyle w:val="TextoNormal"/>
      </w:pPr>
      <w:r>
        <w:t>d) Contra este Auto interpuso recurso de súplica la entidad recurrente. Por Auto de 2 de junio de 2003 lo desestimó la Sección, negando que el art. 135 LEC fuera de aplicación supletoria en el ámbito de la jurisdicción contencioso-administrativa, de un lado, porque el art. 52.2 LJCA no fija un plazo para la presentación de escritos, de otro, porque en la LJCA no es apreciable, en rigor, una verdadera laguna que deba ser colmada mediante el reenvío a otras normas.</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En la demanda de amparo la sociedad cooperativa recurrente denuncia que la decisión del órgano judicial, que declaró extemporáneo su escrito de demanda por haberlo presentado el día siguiente a aquél en el que se le notificó el Auto de caducidad, vulnera el derecho a la tutela judicial efectiva en su vertiente de acceso a la jurisdicción (art. 24.1 CE). La entidad recurrente alega que el Auto impugnado, que rechazó la aplicación supletoria de la previsión del art. 135.1 LEC, se funda en una interpretación rigorista y desproporcionada de las normas procesales, desconocedora de las exigencias del principio pro actione, que le priva de la integridad del plazo legalmente establecido para formalizar la demanda. </w:t>
      </w:r>
    </w:p>
    <w:p w:rsidR="00DE14C9" w:rsidRDefault="00DE14C9" w:rsidP="00DE14C9">
      <w:pPr>
        <w:pStyle w:val="TextoNormal"/>
      </w:pPr>
      <w:r>
        <w:t>La entidad demandante denuncia, además, que esa interpretación y aplicación por el órgano judicial de las normas procesales supone una quiebra del principio de igualdad en la aplicación de la Ley (art. 14 CE), tal y como probaría la respuesta divergente dada por otras varias resoluciones judiciales y, singularmente, por la Sentencia del Tribunal Supremo de 10 de julio de 2001, dictada en un asunto similar.</w:t>
      </w:r>
    </w:p>
    <w:p w:rsidR="00DE14C9" w:rsidRDefault="00DE14C9" w:rsidP="00DE14C9">
      <w:pPr>
        <w:pStyle w:val="TextoNormal"/>
      </w:pPr>
    </w:p>
    <w:p w:rsidR="00DE14C9" w:rsidRDefault="00DE14C9" w:rsidP="00DE14C9">
      <w:pPr>
        <w:pStyle w:val="TextoNormal"/>
      </w:pPr>
      <w:r w:rsidRPr="00DE14C9">
        <w:rPr>
          <w:rStyle w:val="NumeroAFNegritaCaracter"/>
        </w:rPr>
        <w:t>4</w:t>
      </w:r>
      <w:r>
        <w:t>. Por providencia de 3 de octubre de 2006 la Sala Segunda de este Tribunal acordó admitir a trámite la demanda de amparo y, de conformidad con lo dispuesto en el art. 51 LOTC, dirigir comunicación a la Sección Primera de la Sala de lo Contencioso-Administrativo del Tribunal Superior de Justicia de Murcia a fin de que remitiera certificación o copia adverada de las actuaciones correspondientes al procedimiento ordinario 1153-2001, incluido el expediente administrativo, y emplazase a quienes hubieran sido parte en ese procedimiento, con excepción de la entidad recurrente en amparo, para que en el plazo de diez días pudieran comparecen en este proceso constitucional. El Letrado de la Comunidad Autónoma de la Región de Murcia, en escrito registrado ante este Tribunal el 30 de noviembre de 2006, solicitó se tuviera por personada a dicha Administración autonómica en el presente recurso de amparo.</w:t>
      </w:r>
    </w:p>
    <w:p w:rsidR="00DE14C9" w:rsidRDefault="00DE14C9" w:rsidP="00DE14C9">
      <w:pPr>
        <w:pStyle w:val="TextoNormal"/>
      </w:pPr>
    </w:p>
    <w:p w:rsidR="00DE14C9" w:rsidRDefault="00DE14C9" w:rsidP="00DE14C9">
      <w:pPr>
        <w:pStyle w:val="TextoNormal"/>
      </w:pPr>
      <w:r w:rsidRPr="00DE14C9">
        <w:rPr>
          <w:rStyle w:val="NumeroAFNegritaCaracter"/>
        </w:rPr>
        <w:t>5</w:t>
      </w:r>
      <w:r>
        <w:t>. Por diligencia de ordenación de 24 de enero de 2007 la Sala acordó tener por personado y parte en la representación legal que ostenta al Letrado de la Comunidad Autónoma de la Región de Murcia y, con arreglo a lo dispuesto en el art. 52 LOTC, conceder a las partes personadas y al Ministerio público plazo común de veinte días para que, con vista de todas las actuaciones recibidas, pudieran presentar alegaciones.</w:t>
      </w:r>
    </w:p>
    <w:p w:rsidR="00DE14C9" w:rsidRDefault="00DE14C9" w:rsidP="00DE14C9">
      <w:pPr>
        <w:pStyle w:val="TextoNormal"/>
      </w:pPr>
    </w:p>
    <w:p w:rsidR="00DE14C9" w:rsidRDefault="00DE14C9" w:rsidP="00DE14C9">
      <w:pPr>
        <w:pStyle w:val="TextoNormal"/>
      </w:pPr>
      <w:r w:rsidRPr="00DE14C9">
        <w:rPr>
          <w:rStyle w:val="NumeroAFNegritaCaracter"/>
        </w:rPr>
        <w:t>6</w:t>
      </w:r>
      <w:r>
        <w:t xml:space="preserve">. El 5 de marzo de 2007 el Letrado de la Comunidad Autónoma de la Región de Murcia presentó su escrito de alegaciones oponiéndose a la concesión del amparo solicitado. A su </w:t>
      </w:r>
      <w:r>
        <w:lastRenderedPageBreak/>
        <w:t xml:space="preserve">juicio, que coincide en lo esencial con el criterio al cual responde el Auto impugnado, el art. 135 LEC se aplica exclusivamente a la interposición de escritos sujetos a plazo y no rige, por tanto, en los supuestos de escritos sujetos a término, como entiende que es el caso del art. 52.2 LJCA, que permite, como excepción a la regla general y manifestación del principio pro actione, la admisión de la demanda formulada fuera de plazo. Razona, además, que este régimen excepcional de la LJCA, que advierte resulta mucho más favorable que el dispuesto en la LEC, es completo, por lo que no contiene ninguna laguna que deba ser integrada acudiendo a otras reglas procesales. Admitir en tales supuestos la aplicación supletoria del art. 135 LEC resultaría notoriamente desmedido, al permitir que quien no cumplimentó el tramite de formalización de la demanda en los veinte días de que dispone por regla general, ni tampoco dentro del día en que se le notificó el Auto de caducidad dictado por ese motivo, dispusiera todavía sin embargo de un día más para poder hacerlo. En cualquier caso, además, de admitirse semejante reenvío, éste debiera ser a la totalidad de las otras normas procesales invocadas, incluida la exigencia que previene el art. 41 del Reglamento 5/1995, de 7 de junio, del Consejo General del Poder Judicial (conforme a la redacción aprobada por el Acuerdo reglamentario del Pleno 3/2001, de 21 de marzo), de que la parte interesada acredite mediante la oportuna certificación el intento de presentación ante el Juzgado de guardia del escrito rechazado en cumplimiento de lo dispuesto en el art. 135.2 LEC; lo que, en el presente asunto, la entidad recurrente no ha acreditado. </w:t>
      </w:r>
    </w:p>
    <w:p w:rsidR="00DE14C9" w:rsidRDefault="00DE14C9" w:rsidP="00DE14C9">
      <w:pPr>
        <w:pStyle w:val="TextoNormal"/>
      </w:pPr>
      <w:r>
        <w:t>El Letrado autonómico niega también que en el presente asunto se haya producido la quiebra del principio de igualdad en aplicación de la ley que denuncia la demandante de amparo. A su juicio la interpretación dada por la Sala de lo Contencioso-Administrativo del Tribunal Superior de Justicia de Murcia, aunque acaso diferente de la mantenida por otros órganos judiciales en asuntos semejantes, no comporta en sí misma ninguna lesión del art. 14 CE.</w:t>
      </w:r>
    </w:p>
    <w:p w:rsidR="00DE14C9" w:rsidRDefault="00DE14C9" w:rsidP="00DE14C9">
      <w:pPr>
        <w:pStyle w:val="TextoNormal"/>
      </w:pPr>
    </w:p>
    <w:p w:rsidR="00DE14C9" w:rsidRDefault="00DE14C9" w:rsidP="00DE14C9">
      <w:pPr>
        <w:pStyle w:val="TextoNormal"/>
      </w:pPr>
      <w:r w:rsidRPr="00DE14C9">
        <w:rPr>
          <w:rStyle w:val="NumeroAFNegritaCaracter"/>
        </w:rPr>
        <w:t>7</w:t>
      </w:r>
      <w:r>
        <w:t xml:space="preserve">. Mediante escrito registrado el 8 de marzo de 2007 el Ministerio público presentó alegaciones interesando el otorgamiento del amparo. En su opinión, aun cuando ciertamente las resoluciones judiciales impugnadas no pueden tacharse de arbitrarias, habida cuenta de que incorporan la misma interpretación mantenida en otras resoluciones del Tribunal Supremo, la respuesta judicial que dan a la cuestión planteada no supera sin embargo el canon constitucional que es exigible con arreglo al principio pro actione en la interpretación de los requisitos procesales, puesto que priva a la demandante sin la debida y razonable justificación de su derecho a disfrutar en su integridad del correspondiente plazo legal que garantiza el derecho a la tutela judicial efectiva del art. 24.1 CE, según este Tribunal ha tenido ocasión de notar últimamente (SSTC 64/2005, de 14 de marzo y 335/2006, de 20 de noviembre). </w:t>
      </w:r>
    </w:p>
    <w:p w:rsidR="00DE14C9" w:rsidRDefault="00DE14C9" w:rsidP="00DE14C9">
      <w:pPr>
        <w:pStyle w:val="TextoNormal"/>
      </w:pPr>
      <w:r>
        <w:t>El Fiscal considera, por el contrario, inatendible la denuncia de la violación en el caso del “derecho a la igualdad” (art. 14 CE), principalmente porque la denuncia de esa supuesta lesión no cumple los requisitos, muchas veces subrayados por la doctrina de este Tribunal Constitucional, que son necesarios que concurran para poder apreciarla; en particular el que exige la acreditación del imprescindible tertium compartionis.</w:t>
      </w:r>
    </w:p>
    <w:p w:rsidR="00DE14C9" w:rsidRDefault="00DE14C9" w:rsidP="00DE14C9">
      <w:pPr>
        <w:pStyle w:val="TextoNormal"/>
      </w:pPr>
    </w:p>
    <w:p w:rsidR="00DE14C9" w:rsidRDefault="00DE14C9" w:rsidP="00DE14C9">
      <w:pPr>
        <w:pStyle w:val="TextoNormal"/>
      </w:pPr>
      <w:r w:rsidRPr="00DE14C9">
        <w:rPr>
          <w:rStyle w:val="NumeroAFNegritaCaracter"/>
        </w:rPr>
        <w:t>8</w:t>
      </w:r>
      <w:r>
        <w:t>. La entidad recurrente en amparo nada dijo en este trámite, en el cual no presentó alegaciones.</w:t>
      </w:r>
    </w:p>
    <w:p w:rsidR="00DE14C9" w:rsidRDefault="00DE14C9" w:rsidP="00DE14C9">
      <w:pPr>
        <w:pStyle w:val="TextoNormal"/>
      </w:pPr>
    </w:p>
    <w:p w:rsidR="00DE14C9" w:rsidRDefault="00DE14C9" w:rsidP="00DE14C9">
      <w:pPr>
        <w:pStyle w:val="TextoNormal"/>
      </w:pPr>
      <w:r w:rsidRPr="00DE14C9">
        <w:rPr>
          <w:rStyle w:val="NumeroAFNegritaCaracter"/>
        </w:rPr>
        <w:t>9</w:t>
      </w:r>
      <w:r>
        <w:t>. Por providencia de 31 de mayo de 2007, se señaló para deliberación y votación de la presente Sentencia el día 4 de junio siguiente.</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 demanda de amparo se dirige formalmente, tanto en el encabezamiento como en el suplico, contra el Auto dictado por la Sección Primera de la Sala de lo Contencioso-Administrativo del Tribunal Superior de Justicia de Murcia el 2 de junio de 2003 confirmando en súplica su Auto anterior, de 16 de abril de 2003, que declaró formalizada fuera de plazo la demanda del proceso contencioso-administrativo presentada al día siguiente de notificado el Auto de caducidad del recurso (art. 52.2 de la Ley de la jurisdicción contencioso-administrativa: LJCA) por no considerar de aplicación supletoria en el ámbito de la jurisdicción contencioso-administrativa el art. 135 de la Ley de enjuiciamiento civil (LEC), entendiendo que la Ley de la jurisdicción contencioso-administrativa contiene una regulación precisa y completa al respecto que no necesita ser colmada mediante el reenvío a lo dispuesto en otras normas. Ahora bien, la lesión constitucional que se denuncia en la demanda de amparo sería imputable en su origen al Auto de 16 de abril de 2003, que luego el Auto impugnado confirmó en grado de súplica, de modo que resulta obligado entender, pese a la determinación formal del objeto del recurso, que la demanda de amparo se dirige contra ambas resoluciones judiciales, de acuerdo con una reiterada doctrina constitucional según la cual, cuando se impugna en amparo una resolución judicial confirmatoria de otras que han sido lógica y cronológicamente su presupuesto, debe considerarse que la impugnación se extiende también a las precedentes resoluciones judiciales confirmadas (por todas, en un asunto sustancialmente idéntico, STC 239/2005, de 26 de septiembre, FJ 1).</w:t>
      </w:r>
    </w:p>
    <w:p w:rsidR="00DE14C9" w:rsidRDefault="00DE14C9" w:rsidP="00DE14C9">
      <w:pPr>
        <w:pStyle w:val="TextoNormal"/>
      </w:pPr>
    </w:p>
    <w:p w:rsidR="00DE14C9" w:rsidRDefault="00DE14C9" w:rsidP="00DE14C9">
      <w:pPr>
        <w:pStyle w:val="TextoNormal"/>
      </w:pPr>
      <w:r w:rsidRPr="00DE14C9">
        <w:rPr>
          <w:rStyle w:val="NumeroAFNegritaCaracter"/>
        </w:rPr>
        <w:t>2</w:t>
      </w:r>
      <w:r>
        <w:t>. La entidad recurrente en amparo denuncia que la decisión judicial que declaró extemporáneo su escrito de demanda, por haberlo presentado el día siguiente a aquél en el cual se le notificó el Auto de caducidad, ha vulnerado su derecho a la tutela judicial efectiva en su vertiente de derecho de acceso a la jurisdicción. Alega al respecto que esa decisión judicial, que rechaza la aplicación supletoria de la previsión del art. 135.1 LEC, se funda en una interpretación rigorista y desproporcionada de las normas procesales que ignora las exigencias del principio pro actione y le ha privado del derecho a disponer íntegramente del plazo legalmente establecido para formalizar la demanda (art. 24.1 CE).</w:t>
      </w:r>
    </w:p>
    <w:p w:rsidR="00DE14C9" w:rsidRDefault="00DE14C9" w:rsidP="00DE14C9">
      <w:pPr>
        <w:pStyle w:val="TextoNormal"/>
      </w:pPr>
      <w:r>
        <w:t>Como también se ha dejado anotado en los antecedentes de esta resolución, la entidad recurrente en amparo denuncia, además, que esa interpretación y aplicación judicial de las normas procesales ha vulnerado el principio de igualdad en la aplicación de la Ley que garantiza el art. 14 CE.</w:t>
      </w:r>
    </w:p>
    <w:p w:rsidR="00DE14C9" w:rsidRDefault="00DE14C9" w:rsidP="00DE14C9">
      <w:pPr>
        <w:pStyle w:val="TextoNormal"/>
      </w:pPr>
      <w:r>
        <w:t>El Ministerio público se pronuncia a favor del otorgamiento del amparo interesado. En su criterio, aun cuando ciertamente las resoluciones judiciales impugnadas no pueden tacharse de arbitrarias, habida cuenta de que incorporan la misma interpretación que luce en otras varias resoluciones del Tribunal Supremo, esa respuesta judicial no supera sin embargo el canon constitucional que es exigible en la interpretación, conforme al principio pro actione, de los requisitos procesales, puesto que priva a la entidad demandante, sin la debida y razonable justificación, de su derecho a disfrutar en su integridad del correspondiente plazo legal que garantiza el derecho a la tutela judicial efectiva (art. 24.1 CE), según este Tribunal ha tenido ocasión de advertir últimamente (SSTC 64/2005, de 14 de marzo, y 335/2006, de 20 de noviembre).</w:t>
      </w:r>
    </w:p>
    <w:p w:rsidR="00DE14C9" w:rsidRDefault="00DE14C9" w:rsidP="00DE14C9">
      <w:pPr>
        <w:pStyle w:val="TextoNormal"/>
      </w:pPr>
      <w:r>
        <w:t xml:space="preserve">Muy distinta es la opinión del Letrado de la Comunidad Autónoma de la Región de Murcia, que considera que las resoluciones impugnadas no han vulnerado el derecho a la tutela </w:t>
      </w:r>
      <w:r>
        <w:lastRenderedPageBreak/>
        <w:t>judicial efectiva de la recurrente. En línea con lo razonado por el órgano judicial, opina que el art. 135.1 LEC se aplica exclusivamente a la interposición de escritos sujetos a plazo y no rige, por tanto, en los supuestos de escritos sujetos a término, como entiende que es el caso del art. 52.2 LJCA, que permite, como excepción a la regla general y manifestación del principio pro actione, la admisión de la demanda formulada fuera de plazo. Razona, asimismo, que este régimen excepcional de la Ley de la jurisdicción contencioso-administrativa es mucho más favorable que el dispuesto en la Ley de enjuiciamiento civil y que es además completo, por lo cual no contiene ninguna laguna que deba ser integrada acudiendo a otras reglas procesales, menos aún en forma parcial. Admitir en tales supuestos la aplicación supletoria del art. 135.1 LEC resultaría notoriamente desmedido, al permitir que quien no cumplimentó el trámite de formalización de la demanda en los veinte días de que dispone por regla general, ni lo hizo tampoco dentro del día en que se le notificó el Auto de caducidad acordado por ese motivo, dispusiera todavía sin embargo de un día más para poder hacerlo.</w:t>
      </w:r>
    </w:p>
    <w:p w:rsidR="00DE14C9" w:rsidRDefault="00DE14C9" w:rsidP="00DE14C9">
      <w:pPr>
        <w:pStyle w:val="TextoNormal"/>
      </w:pPr>
      <w:r>
        <w:t>Finalmente, por otra parte, tanto el Letrado de la Comunidad Autónoma de la Región de Murcia como el Fiscal niegan la infracción del principio igualdad en la aplicación judicial de la Ley que se denuncia. Esencialmente, en ambos casos, porque la única resolución judicial que el recurrente refiere en la demanda, y de la que supuestamente se habría apartado sin ninguna justificación la Sección Primera de la Sala de lo Contencioso-Administrativo del Tribunal Superior de Justicia de Murcia, no ha sido dictada por ese mismo órgano judicial y, en consecuencia, no sirve como término de comparación.</w:t>
      </w:r>
    </w:p>
    <w:p w:rsidR="00DE14C9" w:rsidRDefault="00DE14C9" w:rsidP="00DE14C9">
      <w:pPr>
        <w:pStyle w:val="TextoNormal"/>
      </w:pPr>
    </w:p>
    <w:p w:rsidR="00DE14C9" w:rsidRDefault="00DE14C9" w:rsidP="00DE14C9">
      <w:pPr>
        <w:pStyle w:val="TextoNormal"/>
      </w:pPr>
      <w:r w:rsidRPr="00DE14C9">
        <w:rPr>
          <w:rStyle w:val="NumeroAFNegritaCaracter"/>
        </w:rPr>
        <w:t>3</w:t>
      </w:r>
      <w:r>
        <w:t>. Iniciando nuestro análisis por el de la última cuestión apuntada hemos de afirmar que resulta evidente que la denuncia de vulneración del derecho a la igualdad (art. 14 CE) carece manifiestamente de contenido constitucional y debe ser, por tanto, rechazada. Pues, como con acierto advierten el Ministerio público y el Letrado autonómico, la entidad demandante de amparo se ha limitado, en efecto, poco más que a invocar esa supuesta lesión constitucional, sin citar ni aportar a este proceso ninguna otra resolución del mismo órgano judicial de la que supuestamente se hubieran apartado las impugnadas. En consecuencia la parte recurrente ha incumplido la carga, muchas veces subrayada por este Tribunal (por todas, en la reciente STC 2/2007, de 15 de enero), que pesaba sobre ella de aportar el tertium comparationis que es siempre obligado para poder comprobar la existencia de la violación del art. 14 CE que se denuncia.</w:t>
      </w:r>
    </w:p>
    <w:p w:rsidR="00DE14C9" w:rsidRDefault="00DE14C9" w:rsidP="00DE14C9">
      <w:pPr>
        <w:pStyle w:val="TextoNormal"/>
      </w:pPr>
    </w:p>
    <w:p w:rsidR="00DE14C9" w:rsidRDefault="00DE14C9" w:rsidP="00DE14C9">
      <w:pPr>
        <w:pStyle w:val="TextoNormal"/>
      </w:pPr>
      <w:r w:rsidRPr="00DE14C9">
        <w:rPr>
          <w:rStyle w:val="NumeroAFNegritaCaracter"/>
        </w:rPr>
        <w:t>4</w:t>
      </w:r>
      <w:r>
        <w:t>. Descartada, pues, la existencia de una vulneración del derecho a la igualdad (art. 14 CE), la principal cuestión que plantea la presente demanda de amparo consiste en determinar si las resoluciones judiciales impugnadas han vulnerado, o no, el derecho a la tutela judicial efectiva (art. 24.1 CE) de la entidad demandante de amparo al declarar que su escrito de demanda en el proceso contencioso-administrativo fue presentado fuera de plazo por no considerar de aplicación supletoria en el proceso contencioso-administrativo la regla establecida en el art. 135 LEC, en la cual amparó su actuación forense la sociedad cooperativa hoy recurrente ante nosotros.</w:t>
      </w:r>
    </w:p>
    <w:p w:rsidR="00DE14C9" w:rsidRDefault="00DE14C9" w:rsidP="00DE14C9">
      <w:pPr>
        <w:pStyle w:val="TextoNormal"/>
      </w:pPr>
      <w:r>
        <w:t xml:space="preserve">No es ésta ciertamente, como bien apunta el Fiscal, la primera vez que este Tribunal resuelve demandas de amparo de contenido semejante y examina, desde la perspectiva del art. 24.1 CE, la cuestión de si interpretación judicial que niega la aplicación supletoria en el ámbito de la jurisdicción contenciosa-administrativa de la regla que previene el art. 135 LEC, con el doble argumento de que el art. 52.2 LJCA no fija en rigor un plazo para la </w:t>
      </w:r>
      <w:r>
        <w:lastRenderedPageBreak/>
        <w:t>presentación de escritos y de que la citada Ley jurisdiccional contiene una regulación específica y completa sobre la materia, es o no una respuesta judicial que respeta las exigencias del derecho a la tutela judicial efectiva en su vertiente de derecho de acceso a la jurisdicción.</w:t>
      </w:r>
    </w:p>
    <w:p w:rsidR="00DE14C9" w:rsidRDefault="00DE14C9" w:rsidP="00DE14C9">
      <w:pPr>
        <w:pStyle w:val="TextoNormal"/>
      </w:pPr>
      <w:r>
        <w:t>Dicha cuestión ha sido examinada, en efecto, por este Tribunal en repetidas ocasiones. Primero en la Sentencia 222/2003, de 15 de diciembre y, más recientemente, entre otras resoluciones, en las SSTC 64/2005, de 14 de marzo, 239/2005, de 26 de septiembre, 335/2006, de 20 de noviembre, y, de modo particular, en un supuesto idéntico al que ahora consideramos, en la STC 343/2006, de 11 de diciembre, cuya doctrina, por lo mismo, importa traer a colación ahora para la resolución del presente recurso de amparo.</w:t>
      </w:r>
    </w:p>
    <w:p w:rsidR="00DE14C9" w:rsidRDefault="00DE14C9" w:rsidP="00DE14C9">
      <w:pPr>
        <w:pStyle w:val="TextoNormal"/>
      </w:pPr>
      <w:r>
        <w:t>Advertíamos entonces que “no corresponde a este Tribunal, sino a la jurisdicción ordinaria ... efectuar un pronunciamiento general acerca de si el art. 135.1 LEC es o no aplicable con carácter supletorio en el ámbito de la jurisdicción contencioso-administrativa, y mucho menos establecer un catálogo de los distintos supuestos de escritos sujetos a plazo contemplados en la Ley de la jurisdicción contencioso-administrativa cuya presentación puede ampararse en el indicado precepto” (SSTC 64/2005, FJ 3; 239/2005, FJ 2; STC 335/2006, FJ 4; y 343/2006, FJ 4). Como tampoco nos corresponde ahora definir si el art. 52.2 LJCA contempla un término o un plazo, ni determinar, en fin, qué consecuencias se siguen de asumir una u otra concepción.</w:t>
      </w:r>
    </w:p>
    <w:p w:rsidR="00DE14C9" w:rsidRDefault="00DE14C9" w:rsidP="00DE14C9">
      <w:pPr>
        <w:pStyle w:val="TextoNormal"/>
      </w:pPr>
      <w:r>
        <w:t>Debe insistirse, al respecto, que sólo nos corresponde dilucidar si la interpretación y la aplicación de las normas efectuadas por los órganos judiciales han sido o no respetuosas con el derecho a la tutela judicial efectiva de la demandante de amparo y, en particular (como también está subrayado en la doctrina constitucional), si están fundadas en Derecho y, además, no revelan un rigor desproporcionado en relación con los fines que se tratan de proteger y el sacrificio que comportan (SSTC 64/2005, FJ 3; 239/2005, FJ 2; y 343/2006, FJ 4).</w:t>
      </w:r>
    </w:p>
    <w:p w:rsidR="00DE14C9" w:rsidRDefault="00DE14C9" w:rsidP="00DE14C9">
      <w:pPr>
        <w:pStyle w:val="TextoNormal"/>
      </w:pPr>
      <w:r>
        <w:t>Con arreglo a este planteamiento hemos precisado asimismo que la afirmación apodíctica de las resoluciones judiciales entonces impugnadas, acerca de que la Ley de la jurisdicción contencioso-administrativa contiene una regulación específica y completa de la materia que veda la aplicación supletoria del art. 135.1 LEC, no ofrece sin embargo respuesta a la cuestión capital de “cómo y dónde el demandante, en aplicación de esa pretendidamente completa regulación de la materia, debería haber presentado la demanda fuera del horario ordinario en el que permanece abierto el Registro para preservar su derecho a disponer del plazo en su integridad” (STC 343/2006, FJ 4, en la que se reproduce la doctrina de las SSTC 64/2005, FJ 4; STC 239/2005, FJ 2; y 335/2006, FJ 4). Y hemos denunciado igualmente, desde la perspectiva del art. 24.1 CE, la ausencia en las resoluciones judiciales impugnadas de todo razonamiento acerca de la forma de coordinar lo dispuesto en los arts. 133.1, inciso primero, in fine, LEC (el día del vencimiento expirará a las 24 horas), 135.1 LEC (los escritos sujetos a plazo pueden presentarse en el órgano judicial al que se dirigen hasta las 15 horas del día siguiente al del vencimiento), 135.2 LEC (en las actuaciones ante los Tribunales civiles no se admitirá la presentación de escritos en el Juzgado de guardia) y 41 del Reglamento 5/1995, de 7 de junio, de los aspectos accesorios de las actuaciones judiciales, según la redacción dada por el Acuerdo reglamentario 3/2001, de 21 de marzo, del Consejo General del Poder Judicial (por todas, STC 343/2006, FJ 4).</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De conformidad con esta doctrina constitucional, y una vez comprobado, según más arriba anunciamos, que la cuestión principal suscitada con ocasión del presente recurso de amparo es efectivamente idéntica a la que ya fue examinada en su día por este Tribunal en las mencionadas resoluciones (y de modo particular en la citada STC 343/2006, de 11 de </w:t>
      </w:r>
      <w:r>
        <w:lastRenderedPageBreak/>
        <w:t>diciembre, que, de hecho, resuelve el recurso de amparo interpuesto contra igual decisión, dictada por el mismo órgano judicial en un procedimiento prácticamente simultáneo y argumentada incluso expressis verbis en forma idéntica), forzoso es llegar en este caso a una solución coincidente con las anteriormente adoptadas, y, en consecuencia, declarar que los Autos impugnados, que rechazaron por extemporánea la demanda contencioso-administrativa formulada por la entidad actora, se fundan, desde la perspectiva del derecho de acceso a la jurisdicción (art. 24.1 CE), en una interpretación rigorista y desproporcionada de las normas procesales y, por tanto, en una interpretación contraria al derecho a la tutela judicial efectiva de la recurrente, quien (al igual que en el caso resuelto por la citada STC 343/2006) pudo razonablemente confiar en que la presentación de su demanda era tempestiva, dados el tenor literal de la regla del art. 135.1 LEC, el carácter genéricamente supletorio de la misma (art. 4 LEC) y la regulación de la actividad de los Juzgados de guardia. De modo que, como en los casos precedentes resueltos en fallos anteriores, procede también ahora el otorgamiento del amparo solicitado.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parcialmente el amparo solicitado por Coato, sociedad cooperativa y, en consecuencia:</w:t>
      </w:r>
    </w:p>
    <w:p w:rsidR="00DE14C9" w:rsidRDefault="00DE14C9" w:rsidP="00DE14C9">
      <w:pPr>
        <w:pStyle w:val="TextoNormal"/>
      </w:pPr>
      <w:r>
        <w:t>1º Declarar que ha sido vulnerado el derecho fundamental a la tutela judicial efectiva (art. 24.1 CE) de la entidad recurrente.</w:t>
      </w:r>
    </w:p>
    <w:p w:rsidR="00DE14C9" w:rsidRDefault="00DE14C9" w:rsidP="00DE14C9">
      <w:pPr>
        <w:pStyle w:val="TextoNormal"/>
      </w:pPr>
      <w:r>
        <w:t>2º Restablecerla en la integridad de su derecho y, a tal fin, declarar la nulidad de los Autos de 16 de abril y de 2 de junio de 2003 dictados por la Sección Primera de la Sala de lo Contencioso-Administrativo del Tribunal Superior de Justicia de Murcia en el procedimiento ordinario 1153-2003, retrotrayendo las actuaciones producidas en éste al momento anterior al del pronunciamiento del primero de los Autos citados para que se dicte una nueva resolución respetuosa con el derecho fundamental vulnerado.</w:t>
      </w:r>
    </w:p>
    <w:p w:rsidR="00DE14C9" w:rsidRDefault="00DE14C9" w:rsidP="00DE14C9">
      <w:pPr>
        <w:pStyle w:val="TextoNormal"/>
      </w:pPr>
      <w:r>
        <w:t>3º Desestimar la demanda en todo lo demás.</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cuatro de junio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44" w:name="SENTENCIA_2007_131"/>
      <w:r>
        <w:lastRenderedPageBreak/>
        <w:t>SENTENCIA 131/2007, de 4 de junio de 2007</w:t>
      </w:r>
    </w:p>
    <w:bookmarkEnd w:id="44"/>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161, de 6 de julio de 2007)</w:t>
      </w:r>
    </w:p>
    <w:p w:rsidR="00DE14C9" w:rsidRDefault="00DE14C9" w:rsidP="00DE14C9">
      <w:pPr>
        <w:pStyle w:val="TtuloBOE"/>
      </w:pPr>
    </w:p>
    <w:p w:rsidR="00DE14C9" w:rsidRDefault="00DE14C9" w:rsidP="00DE14C9">
      <w:pPr>
        <w:pStyle w:val="SntesisDescriptiva"/>
      </w:pPr>
      <w:r>
        <w:t>ECLI:ES:TC:2007:131</w:t>
      </w:r>
    </w:p>
    <w:p w:rsidR="00DE14C9" w:rsidRDefault="00DE14C9" w:rsidP="00DE14C9">
      <w:pPr>
        <w:pStyle w:val="SntesisDescriptiva"/>
      </w:pPr>
    </w:p>
    <w:p w:rsidR="00DE14C9" w:rsidRDefault="00DE14C9" w:rsidP="00DE14C9">
      <w:pPr>
        <w:pStyle w:val="SntesisDescriptiva"/>
      </w:pPr>
      <w:r>
        <w:t>Recurso de amparo 4664-2003. Promovido por don Manuel Gonzalo González respecto a los Autos de la Sala de lo Contencioso-Administrativo del Tribunal Supremo que inadmitieron su demanda contra el Senado sobre concurso para la provisión de una plaza de jefe de la asesoría jurídica.</w:t>
      </w:r>
    </w:p>
    <w:p w:rsidR="00DE14C9" w:rsidRDefault="00DE14C9" w:rsidP="00DE14C9">
      <w:pPr>
        <w:pStyle w:val="SntesisDescriptiva"/>
      </w:pPr>
    </w:p>
    <w:p w:rsidR="00DE14C9" w:rsidRDefault="00DE14C9" w:rsidP="00DE14C9">
      <w:pPr>
        <w:pStyle w:val="SntesisAnaltica"/>
      </w:pPr>
      <w:r>
        <w:t>Supuesta vulneración del derecho a la tutela judicial efectiva (acceso a la justicia): demanda que no acumula un recurso de amparo judicial y un recurso ordinario (STC 70/2002).</w:t>
      </w:r>
    </w:p>
    <w:p w:rsidR="00DE14C9" w:rsidRDefault="00DE14C9" w:rsidP="00DE14C9">
      <w:pPr>
        <w:pStyle w:val="SntesisAnaltica"/>
      </w:pPr>
    </w:p>
    <w:p w:rsidR="00DE14C9" w:rsidRDefault="00DE14C9" w:rsidP="00DE14C9">
      <w:pPr>
        <w:pStyle w:val="Extracto"/>
      </w:pPr>
      <w:r>
        <w:t>1.</w:t>
      </w:r>
      <w:r>
        <w:tab/>
        <w:t>Al no existir ningún elemento de juicio que permita sostener que la intención del recurrente no era exclusivamente la de interponer un recurso contencioso-administrativo especial de protección de los derechos fundamentales de la persona, las resoluciones impugnadas han apreciado el óbice procesal de extemporaneidad con una interpretación y aplicación de la normativa plenamente respetuosa con las exigencias de motivación reforzada del art. 24.1 CE propias de las decisiones judiciales sobre acceso a la jurisdicción [FJ 4].</w:t>
      </w:r>
    </w:p>
    <w:p w:rsidR="00DE14C9" w:rsidRDefault="00DE14C9" w:rsidP="00DE14C9">
      <w:pPr>
        <w:pStyle w:val="Extracto"/>
      </w:pPr>
    </w:p>
    <w:p w:rsidR="00DE14C9" w:rsidRDefault="00DE14C9" w:rsidP="00DE14C9">
      <w:pPr>
        <w:pStyle w:val="Extracto"/>
      </w:pPr>
      <w:r>
        <w:t>2.</w:t>
      </w:r>
      <w:r>
        <w:tab/>
        <w:t>Es excesivamente formalista que el órgano judicial inadmita por extemporaneidad un recurso, computando exclusivamente el plazo más perentorio del recurso especial de protección de los derechos fundamentales, cuando, a pesar de hacerse expresa la solicitud de tener por interpuesto dicho recurso especial, se evidencia que se estaba interponiéndose tanto el recurso especial como el recurso ordinario (STC 70/2002) [FJ 2].</w:t>
      </w:r>
    </w:p>
    <w:p w:rsidR="00DE14C9" w:rsidRDefault="00DE14C9" w:rsidP="00DE14C9">
      <w:pPr>
        <w:pStyle w:val="Extracto"/>
      </w:pPr>
    </w:p>
    <w:p w:rsidR="00DE14C9" w:rsidRDefault="00DE14C9" w:rsidP="00DE14C9">
      <w:pPr>
        <w:pStyle w:val="Extracto"/>
      </w:pPr>
      <w:r>
        <w:t>3.</w:t>
      </w:r>
      <w:r>
        <w:tab/>
        <w:t>Si bien el principio pro actione impone a los órganos judiciales que no se obstaculice injustificadamente el derecho a que se resuelva la pretensión formulada en la vía judicial, ello no implica que los órganos judiciales tengan la obligación de suplir la falta de diligencia de las partes en la formulación de sus pretensiones, pues no puede alegar indefensión quien no hubiera quedado indefenso de haber actuado con la diligencia razonablemente exigible (STC 143/2003) [FJ 5].</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4664-2003, promovido por don Manuel Gonzalo González, representado por la Procuradora de los Tribunales doña María Teresa Campos Montellano y bajo la asistencia del Letrado don Alejandro Conde López, contra el Auto de la Sección Séptima de la Sala de lo Contencioso-Administrativo del Tribunal Supremo de 11 de junio de 2003, por el que se desestima el recurso de súplica contra el Auto de 26 de marzo de 2003, dictado en el recurso contencioso-administrativo núm. 254-2002, por la que se declara la inadmisión de dicho recurso por extemporaneidad. Ha comparecido el Senado, representado por el Letrado de las Cortes Generales don Pablo García Mexía. Ha intervenido el Ministerio Fiscal. Ha sido Ponente el Magistrado don Pablo Pérez Tremps,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registrado en este Tribunal el 14 de julio de 2003, la Procuradora de los Tribunales doña María Teresa Campos Montellano, en nombre y representación de don Manuel Gonzalo González, y bajo la asistencia del Letrado don Alejandro Conde López, formuló demanda de amparo contra las resoluciones judiciales que se mencionan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La demanda de amparo tiene su origen en los siguientes antecedentes: </w:t>
      </w:r>
    </w:p>
    <w:p w:rsidR="00DE14C9" w:rsidRDefault="00DE14C9" w:rsidP="00DE14C9">
      <w:pPr>
        <w:pStyle w:val="TextoNormal"/>
      </w:pPr>
      <w:r>
        <w:t xml:space="preserve">a) El recurrente registró en el Tribunal Supremo el 21 de noviembre de 2002 un escrito en cuyo encabezamiento se afirmaba promover en tiempo y legal forma “un recurso contencioso-administrativo ex artículo 31 y relacionados de la Ley de la Jurisdicción Contencioso-administrativa vigente (en adelante, LJCA), contra … la Resolución del Letrado Mayor del Senado de 14 de marzo de 2002, una vez que ha sido denegado por la Mesa de la Cámara el recuso de alzada previo al contencioso-administrativo … en el procedimiento del concurso seguido para el nombramiento de Jefe de la Asesoría Jurídica del Senado, que entiende mi parte no conforme a derecho, en solicitud de amparo judicial de las libertades, concretamente, del derecho a acceder en condiciones de igualdad a las funciones y cargos públicos, con los requisitos señalados en las leyes, en las condiciones que en el primer otrosí se dirán respecto del procedimiento especial preferente y sumario para la protección de los derechos previsto en el artículo 53.2 de la Constitución española”. El suplico principal del escrito era del siguiente tenor: “[q]ue habiendo por presentado este escrito, se digne admitirlo y tener por interpuesto el expresado recurso contencioso-administrativo de amparo judicial contra el señalado acto o resolución”. </w:t>
      </w:r>
    </w:p>
    <w:p w:rsidR="00DE14C9" w:rsidRDefault="00DE14C9" w:rsidP="00DE14C9">
      <w:pPr>
        <w:pStyle w:val="TextoNormal"/>
      </w:pPr>
      <w:r>
        <w:t xml:space="preserve">b) En el primer otrosí del mencionado escrito se argumenta que en la notificación del acto se ha omitido señalar que cabría interponer ante la jurisdicción contencioso-administrativa el recurso especial preferente y sumario de protección jurisdiccional de los derechos fundamentales de la persona establecidos en los arts. 114 y 121 LJCA “y, como mi parte ignora en ausencia de doctrina jurisprudencial al respecto, si todavía cabe o no este recurso especial, presentando el escrito de interposición dentro de los diez días hábiles siguientes a haber caído mi parte en la cuenta de este hecho, conviene, para la búsqueda de la verdad </w:t>
      </w:r>
      <w:r>
        <w:lastRenderedPageBreak/>
        <w:t xml:space="preserve">jurídica del caso en litigio y para la mejor preparación de la contraparte, que la mía dé espontáneo cumplimiento desde este momento a lo dispuesto en el art. 115.2 de la propia LJCA”. Por último, a través de un segundo otrosí se solicita el recibimiento del pleito a prueba y la celebración de vista conforme al art. 120 y relacionados LJCA y LEC. </w:t>
      </w:r>
    </w:p>
    <w:p w:rsidR="00DE14C9" w:rsidRDefault="00DE14C9" w:rsidP="00DE14C9">
      <w:pPr>
        <w:pStyle w:val="TextoNormal"/>
      </w:pPr>
      <w:r>
        <w:t xml:space="preserve">c) La Sección Séptima de la Sala de lo Contencioso-Administrativo del Tribunal Supremo, por providencia de 10 de diciembre de 2002, acordó tener por presentado el recurso, su registro con el núm. 254-2002 y su tramitación conforme al procedimiento especial para la protección de los derechos fundamentales de la persona. El Letrado de las Cortes Generales, actuando en nombre y representación del Senado, mediante escrito de 19 de diciembre de 2002, solicitó que se declarara la inadmisión del recurso por extemporáneo, argumentando que el acto recurrido se notificó el 11 de octubre de 2002 y que el escrito de interposición se presentó el 20 de noviembre de 2002 y, por tanto, fuera del plazo de diez días establecido en el art. 115.1 LJCA. Por providencia de 24 de enero de 2003 se acordó dar traslado a las partes personadas para que alegaran en relación con la solicitud de inadmisión del recurso. El Ministerio Fiscal solicitó su inadmisión por extemporaneidad. El recurrente, por su parte, se opuso a ello argumentando que la solicitud de inadmisión se basa “en unos hechos erróneos debido a la lectura parcial y equivocada del escrito de interposición”, ya que de la demanda se deduce que se ha planteado un recurso ordinario y sólo se “ha instado además potestativamente su tramitación por el cauce del recurso especial”. </w:t>
      </w:r>
    </w:p>
    <w:p w:rsidR="00DE14C9" w:rsidRDefault="00DE14C9" w:rsidP="00DE14C9">
      <w:pPr>
        <w:pStyle w:val="TextoNormal"/>
      </w:pPr>
      <w:r>
        <w:t xml:space="preserve">d) La Sección Séptima de la Sala de lo Contencioso-Administrativo del Tribunal Supremo, por Auto de 26 de marzo de 2003, acordó declarar inadmisible el recurso por extemporaniedad. A esos efectos se argumenta que el escrito inicial del recurrente se ejercitaba sólo el recurso especial de protección de los derechos fundamentales de la persona y no ordinario, sin que en el mismo se hiciera mención alguna a que se ejercitaba el recurso ordinario y potestativamente el especial, como se evidenciaba del hecho de que en el encabezamiento se hiciera únicamente expresa alusión al procedimiento especial y sumario del art. 53.2 CE y que en el solicito se mencionara sólo tener por interpuesto recurso de “amparo judicial”, utilizando de manera inequívoca la terminología del art. 114.1 LJCA. Igualmente se destacó que, en todo caso, carecía de justificación la tesis del recurrente de la posibilidad de instar en un mismo escrito el recurso ordinario y potestativamente el especial, dejando a la iniciativa de la Sala la decisión sobre la tramitación, toda vez que al tener unas posibilidades distintas de alegación, habrá de ser el propio interesado el que decida los concretos términos de la acción que se ejercita. </w:t>
      </w:r>
    </w:p>
    <w:p w:rsidR="00DE14C9" w:rsidRDefault="00DE14C9" w:rsidP="00DE14C9">
      <w:pPr>
        <w:pStyle w:val="TextoNormal"/>
      </w:pPr>
      <w:r>
        <w:t>e) El recurrente interpuso recurso de súplica argumentando, entre otras cosas, que la resolución judicial habría vulnerado el art. 24.1 CE, al incurrir en error en la apreciación de los hechos en cuanto a la determinación y alcance del suplico de la demanda, ya que ésta sólo contiene una pretensión principal, que es la de promover un recurso ordinario, tal como se deduce del cuerpo del escrito, en que se cita expresamente el art. 31 LJCA, y sólo potestativamente el especial. El Letrado de las Cortes y el Ministerio Fiscal coincidieron en solicitar que no se estimara el recurso de súplica. Por Auto de 11 de junio de 2003 se desestimó dicho recurso insistiendo en que tanto el encabezamiento del escrito de interposición del recurso como su suplico y los otrosíes evidenciaban que se presentó un único recurso jurisdiccional y que éste era el especial de protección de derechos fundamentales, lo que no quedaba desvirtuado por el hecho de la mención al art. 31 LJCA, pues este precepto es de común aplicación al procedimiento ordinario y al especial.</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El recurrente aduce en su demanda de amparo la vulneración del derecho a la tutela judicial efectiva (art. 24.1 CE), desde la perspectiva del derecho de acceso a la jurisdicción, </w:t>
      </w:r>
      <w:r>
        <w:lastRenderedPageBreak/>
        <w:t>con fundamento en que la decisión de inadmisión acordada en la resolución judicial impugnada resultó contraria al principio pro actione, al haber realizado una incorrecta, irrazonable y desproporcionada interpretación de la acción ejercitada en el escrito de interposición del recurso contencioso-administrativo por considerar que sólo y exclusivamente se ejercitaba el recurso especial de protección de derechos fundamentales, y no un recurso ordinario. A esos efectos, destaca el recurrente que el escrito de interposición del recurso contencioso-administrativo evidenciaba su voluntad de interponer de manera principal un recurso ordinario y solo potestativamente un recurso especial, ya que se afirmó la promoción del recurso ex artículo 31 LJCA, se solicitó tener por interpuesto recurso contencioso-administrativo de amparo judicial y sólo en el primer otrosí se hace mención, como segunda petición, a la posibilidad de que quepa interponer el recurso especial. Al margen de ello, además, la demanda se presentó en el plazo de dos meses previsto para el recurso ordinario. Igualmente se destaca la conducta del órgano judicial que “el 11 de diciembre de 2003, a la vista del escrito de interposición de 21 de noviembre, sin abrir fase de subsanación de defectos o dudas ex artículo 45 y relacionados de la LJCA, omite declarar si el recurso es el ordinario o el especial y tiene por presentado el escrito”.</w:t>
      </w:r>
    </w:p>
    <w:p w:rsidR="00DE14C9" w:rsidRDefault="00DE14C9" w:rsidP="00DE14C9">
      <w:pPr>
        <w:pStyle w:val="TextoNormal"/>
      </w:pPr>
    </w:p>
    <w:p w:rsidR="00DE14C9" w:rsidRDefault="00DE14C9" w:rsidP="00DE14C9">
      <w:pPr>
        <w:pStyle w:val="TextoNormal"/>
      </w:pPr>
      <w:r w:rsidRPr="00DE14C9">
        <w:rPr>
          <w:rStyle w:val="NumeroAFNegritaCaracter"/>
        </w:rPr>
        <w:t>4</w:t>
      </w:r>
      <w:r>
        <w:t>. La Sección Segunda de este Tribunal, por providencia de 1 de diciembre de 2003, acordó la admisión a trámite de la demanda de amparo y dirigir atenta comunicación al órgano judicial y al Senado para la remisión de copia testimoniada de las actuaciones y el emplazamiento a quienes hubieran sido parte en este procedimiento para que pudieran comparecer en el mismo.</w:t>
      </w:r>
    </w:p>
    <w:p w:rsidR="00DE14C9" w:rsidRDefault="00DE14C9" w:rsidP="00DE14C9">
      <w:pPr>
        <w:pStyle w:val="TextoNormal"/>
      </w:pPr>
    </w:p>
    <w:p w:rsidR="00DE14C9" w:rsidRDefault="00DE14C9" w:rsidP="00DE14C9">
      <w:pPr>
        <w:pStyle w:val="TextoNormal"/>
      </w:pPr>
      <w:r w:rsidRPr="00DE14C9">
        <w:rPr>
          <w:rStyle w:val="NumeroAFNegritaCaracter"/>
        </w:rPr>
        <w:t>5</w:t>
      </w:r>
      <w:r>
        <w:t>. Por diligencia de ordenación de la Secretaría de Justicia de la Sala Primera de 21 de enero de 2004 se tuvo por recibido testimonio de las actuaciones, por comparecido al Letrado de las Cortes Generales, en nombre y representación del Senado, y, a tenor del art. 52 LOTC, se acordó dar vista de las mismas al Ministerio Fiscal y a las partes personadas por plazo común de veinte días para que pudieran presentar las alegaciones que estimasen pertinentes.</w:t>
      </w:r>
    </w:p>
    <w:p w:rsidR="00DE14C9" w:rsidRDefault="00DE14C9" w:rsidP="00DE14C9">
      <w:pPr>
        <w:pStyle w:val="TextoNormal"/>
      </w:pPr>
    </w:p>
    <w:p w:rsidR="00DE14C9" w:rsidRDefault="00DE14C9" w:rsidP="00DE14C9">
      <w:pPr>
        <w:pStyle w:val="TextoNormal"/>
      </w:pPr>
      <w:r w:rsidRPr="00DE14C9">
        <w:rPr>
          <w:rStyle w:val="NumeroAFNegritaCaracter"/>
        </w:rPr>
        <w:t>6</w:t>
      </w:r>
      <w:r>
        <w:t>. El Ministerio Fiscal, por escrito registrado el 20 de febrero de 2004, interesó la estimación del amparo por considerar vulnerado el derecho a la tutela judicial efectiva (art. 24.1 CE), con la consecuencia de la anulación de las resoluciones impugnadas y retroacción de actuaciones para que sea admitido el recurso contencioso-administrativo interpuesto. A esos efectos, argumenta que el órgano judicial ha llevado a cabo una interpretación rigorista, excesivamente formalista y desproporcionada del óbice procesal de la extemporaneidad, en primer lugar, por no valorar que en el escrito de interposición del recurso contencioso-administrativo, en realidad, se contenían dos solicitudes de planteamiento de recursos distintas, con dos suplicos diferenciados y, en segundo lugar, porque “sin haber dado opción alguna a la parte, habilitándole un trámite de audiencia que, tanto en el procedimiento ordinario como en el especial, está así previsto de modo expreso por el Legislador (arts. 51.4 para el procedimiento ordinario y 117 para el especial) cuando entienda que concurren causas de inadmisión, pudiera haberle permitido la opción de escoger entre uno y otro procedimiento en aras de garantizar la tutela de su derecho, el órgano judicial ha escogido la solución más radical y perjudicial para el derecho de la parte actora, como es la que conlleva la declaración de extemporaneidad del recurso”.</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7</w:t>
      </w:r>
      <w:r>
        <w:t>. El Senado, por escrito registrado el 16 de febrero de 2004, interesó la desestimación del amparo al considerar que la extemporaneidad del recurso contencioso-administrativo ha sido debidamente razonada sin incurrir en ningún defecto constitucional de motivación y que la frustración de la posibilidad de obtener una resolución sobre el fondo ha sido debida exclusivamente a la falta de diligencia de la parte en la selección de la acción a ejercitar.</w:t>
      </w:r>
    </w:p>
    <w:p w:rsidR="00DE14C9" w:rsidRDefault="00DE14C9" w:rsidP="00DE14C9">
      <w:pPr>
        <w:pStyle w:val="TextoNormal"/>
      </w:pPr>
    </w:p>
    <w:p w:rsidR="00DE14C9" w:rsidRDefault="00DE14C9" w:rsidP="00DE14C9">
      <w:pPr>
        <w:pStyle w:val="TextoNormal"/>
      </w:pPr>
      <w:r w:rsidRPr="00DE14C9">
        <w:rPr>
          <w:rStyle w:val="NumeroAFNegritaCaracter"/>
        </w:rPr>
        <w:t>8</w:t>
      </w:r>
      <w:r>
        <w:t>. El recurrente, por escrito registrado el 20 de febrero de 2004, se ratificó íntegramente en el contenido de la demanda.</w:t>
      </w:r>
    </w:p>
    <w:p w:rsidR="00DE14C9" w:rsidRDefault="00DE14C9" w:rsidP="00DE14C9">
      <w:pPr>
        <w:pStyle w:val="TextoNormal"/>
      </w:pPr>
    </w:p>
    <w:p w:rsidR="00DE14C9" w:rsidRDefault="00DE14C9" w:rsidP="00DE14C9">
      <w:pPr>
        <w:pStyle w:val="TextoNormal"/>
      </w:pPr>
      <w:r w:rsidRPr="00DE14C9">
        <w:rPr>
          <w:rStyle w:val="NumeroAFNegritaCaracter"/>
        </w:rPr>
        <w:t>9</w:t>
      </w:r>
      <w:r>
        <w:t>. Por providencia de 31 de mayo de 2007, se señaló para deliberación y fallo de la Sentencia el día 4 de junio de 2007.</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El objeto del presente recurso es determinar si las resoluciones judiciales impugnadas han vulnerado el derecho del recurrente a la tutela judicial efectiva (art. 24.1 CE), desde la perspectiva del derecho de acceso a la jurisdicción, por considerar extemporáneo el recurso contencioso-administrativo interpuesto, al entender que exclusivamente se estaba promoviendo un recurso especial para la protección de los derechos fundamentales y no, conjuntamente, con un recurso ordinario.</w:t>
      </w:r>
    </w:p>
    <w:p w:rsidR="00DE14C9" w:rsidRDefault="00DE14C9" w:rsidP="00DE14C9">
      <w:pPr>
        <w:pStyle w:val="TextoNormal"/>
      </w:pPr>
    </w:p>
    <w:p w:rsidR="00DE14C9" w:rsidRDefault="00DE14C9" w:rsidP="00DE14C9">
      <w:pPr>
        <w:pStyle w:val="TextoNormal"/>
      </w:pPr>
      <w:r w:rsidRPr="00DE14C9">
        <w:rPr>
          <w:rStyle w:val="NumeroAFNegritaCaracter"/>
        </w:rPr>
        <w:t>2</w:t>
      </w:r>
      <w:r>
        <w:t>. Este Tribunal ha reiterado que es un elemento esencial del derecho a la tutela judicial efectiva (art. 24.1 CE) obtener del órgano judicial una resolución sobre el fondo de las pretensiones, derecho que también se satisface con una decisión de inadmisión que impida entrar en el fondo de la cuestión planteada cuando se fundamente dicha inadmisión en la existencia de una causa legal que resulte aplicada razonablemente. Se ha resaltado que el primer contenido, en un orden lógico y cronológico, del derecho a la tutela judicial efectiva es el derecho de acceso a la jurisdicción, con respecto al cual opera el principio pro actione, por lo que las decisiones de inadmisión sólo serán conformes con el art. 24.1 CE cuando no eliminen u obstaculicen injustificadamente el derecho a que un órgano judicial conozca y resuelva la pretensión formulada, lo que, en cualquier caso, no debe entenderse como la forzosa selección de la interpretación más favorable a la admisión de entre todas las posibles de las normas que la regulan (STC 282/2006, de 9 de octubre, FJ 2, por ejemplo).</w:t>
      </w:r>
    </w:p>
    <w:p w:rsidR="00DE14C9" w:rsidRDefault="00DE14C9" w:rsidP="00DE14C9">
      <w:pPr>
        <w:pStyle w:val="TextoNormal"/>
      </w:pPr>
      <w:r>
        <w:t>En particular, sobre la decisión judicial de inadmisión por extemporaneidad, este Tribunal ha destacado que si bien la aplicación de los plazos de prescripción y de caducidad es una cuestión de mera legalidad ordinaria, nada impide que adquiera una dimensión constitucional cuando resulte arbitraria, irrazonable o incursa en error patente. En todo caso, se ha hecho especial incidencia en que si dicha decisión, además, supone cerrar la posibilidad de obtener una primera resolución judicial sobre el fondo, también adquiere relevancia constitucional cuando sea el resultado de una interpretación y aplicación legal que por su rigorismo, formalismo excesivo o desproporción entre los fines que preservan y la consecuencia de cierre del proceso, se conviertan en un obstáculo injustificado para resolver sobre la pretensión deducida (por todas, STC 274/2006, de 25 de septiembre, FJ 5).</w:t>
      </w:r>
    </w:p>
    <w:p w:rsidR="00DE14C9" w:rsidRDefault="00DE14C9" w:rsidP="00DE14C9">
      <w:pPr>
        <w:pStyle w:val="TextoNormal"/>
      </w:pPr>
      <w:r>
        <w:t xml:space="preserve">Más en concreto, por lo que se refiere al cómputo del plazo de prescripción en los casos de interposición conjunta en un mismo escrito de los recursos contencioso-administrativos </w:t>
      </w:r>
      <w:r>
        <w:lastRenderedPageBreak/>
        <w:t>ordinario y especial de protección de los derechos fundamentales, este Tribunal ya ha señalado que resulta excesivamente formalista que el órgano judicial inadmita por extemporaneidad un recurso, computando exclusivamente el plazo más perentorio del recurso especial de protección de los derechos fundamentales, cuando, a pesar de hacerse expreso en el suplico de la demanda únicamente la solicitud de tener por interpuesto dicho recurso especial de protección de los derechos fundamentales, del escrito de interposición de recurso se evidencia que estaba interponiéndose tanto el recurso especial como el recurso ordinario (STC 72/2002, de 8 de abril, FJ 3).</w:t>
      </w:r>
    </w:p>
    <w:p w:rsidR="00DE14C9" w:rsidRDefault="00DE14C9" w:rsidP="00DE14C9">
      <w:pPr>
        <w:pStyle w:val="TextoNormal"/>
      </w:pPr>
    </w:p>
    <w:p w:rsidR="00DE14C9" w:rsidRDefault="00DE14C9" w:rsidP="00DE14C9">
      <w:pPr>
        <w:pStyle w:val="TextoNormal"/>
      </w:pPr>
      <w:r w:rsidRPr="00DE14C9">
        <w:rPr>
          <w:rStyle w:val="NumeroAFNegritaCaracter"/>
        </w:rPr>
        <w:t>3</w:t>
      </w:r>
      <w:r>
        <w:t>. En el presente caso, como ha sido expuesto con más detenimiento en los antecedentes, las actuaciones judiciales remitidas acreditan los siguientes extremos en relación con el escrito de interposición del recurso contencioso-administrativo: por un lado, que en su encabezamiento se afirma promover a través del mismo “un recurso contencioso-administrativo ex artículo 31 y relacionados de la Ley de la jurisdicción contencioso-administrativa vigente (en adelante, LJCA), … en solicitud de amparo judicial de las libertades, concretamente, del derecho a acceder en condiciones de igualdad a las funciones y cargos públicos, con los requisitos señalados en las leyes, en las condiciones que en el primer otrosí se dirán respecto del procedimiento especial preferente y sumario para la protección de los derechos previsto en el artículo 53.2 de la Constitución española”, destacando en negrita la expresión “amparo judicial”. Y, por otro lado, que en el suplico principal del escrito sólo se contiene la solicitud de tener por interpuesto “el expresado recurso contencioso-administrativo de amparo judicial”, volviendo a destacar en negrita la expresión “amparo judicial”. Igualmente, queda acreditado con la lectura de dicho escrito que en el otrosí primero se limita a argumentar que en la notificación del acto se había omitido señalar que cabría interponer ante la jurisdicción contencioso-administrativa el recurso especial preferente y sumario de protección jurisdiccional de los derechos fundamentales de la persona establecido y que se daba cumplimiento al art. 115.2 LJCA exponiendo las razones para sustentar el recurso y que, a través de un segundo otrosí, se solicita el recibimiento del pleito a prueba y la celebración de vista conforme al art. 120 LJCA.</w:t>
      </w:r>
    </w:p>
    <w:p w:rsidR="00DE14C9" w:rsidRDefault="00DE14C9" w:rsidP="00DE14C9">
      <w:pPr>
        <w:pStyle w:val="TextoNormal"/>
      </w:pPr>
      <w:r>
        <w:t xml:space="preserve">Las actuaciones también dejan acreditado, en primer lugar, que la Sección Séptima de la Sala de lo Contencioso-Administrativo del Tribunal Supremo, por providencia de 10 de diciembre de 2002, acordó tener por presentado el recurso y su tramitación conforme al procedimiento especial para la protección de los derechos fundamentales de la persona. En segundo lugar, que el Letrado de las Cortes Generales, mediante escrito de 19 de diciembre de 2002, solicitó que se declarara la inadmisión del recurso por extemporáneo. En tercer lugar, que por providencia de 24 de enero de 2003, se acordó dar traslado a las partes personadas para que alegaran respecto de la solicitud de inadmisión del recurso. Y, en cuarto lugar, que tras informar el Ministerio Fiscal a favor de la inadmisión y oponerse el recurrente, por Auto de 26 de marzo de 2003 se acordó declarar inadmisible el recurso por extemporaniedad, siendo confirmada dicha resolución en súplica por Auto de 11 de junio de 2003. A esos efectos las resoluciones judiciales argumentan que en el escrito de interposición del recurso se limitaba la pretensión a la presentación de un solo recurso jurisdiccional y que éste era el especial de protección de derechos fundamentales, sin hacer referencia alguna al recurso ordinario, como se deducía del hecho de que en el encabezamiento se hiciera únicamente expresa alusión al procedimiento especial y sumario del art. 53.2 CE y que en el solicito se mencionara sólo tener por interpuesto recurso de “amparo judicial”, utilizando de manera inequívoca la terminología del art. 114.1 LJCA, conclusión que no </w:t>
      </w:r>
      <w:r>
        <w:lastRenderedPageBreak/>
        <w:t>quedaba desvirtuada por el hecho de la mención del art. 31 LJCA, pues este precepto es de común aplicación al procedimiento ordinario y al especial.</w:t>
      </w:r>
    </w:p>
    <w:p w:rsidR="00DE14C9" w:rsidRDefault="00DE14C9" w:rsidP="00DE14C9">
      <w:pPr>
        <w:pStyle w:val="TextoNormal"/>
      </w:pPr>
    </w:p>
    <w:p w:rsidR="00DE14C9" w:rsidRDefault="00DE14C9" w:rsidP="00DE14C9">
      <w:pPr>
        <w:pStyle w:val="TextoNormal"/>
      </w:pPr>
      <w:r w:rsidRPr="00DE14C9">
        <w:rPr>
          <w:rStyle w:val="NumeroAFNegritaCaracter"/>
        </w:rPr>
        <w:t>4</w:t>
      </w:r>
      <w:r>
        <w:t>. En atención a lo expuesto, debe concluirse que la resoluciones impugnadas han apreciado el óbice procesal de extemporaneidad con una interpretación y aplicación de la normativa referente a la apreciación de las causas de inadmisión y los plazos de prescripción en los recursos contencioso-administrativos plenamente respetuosa con las exigencias de motivación reforzada del art. 24.1 CE propias de las decisiones judiciales sobre acceso a la jurisdicción.</w:t>
      </w:r>
    </w:p>
    <w:p w:rsidR="00DE14C9" w:rsidRDefault="00DE14C9" w:rsidP="00DE14C9">
      <w:pPr>
        <w:pStyle w:val="TextoNormal"/>
      </w:pPr>
      <w:r>
        <w:t>En primer lugar, por lo que se refiere a los argumentos vertidos por las resoluciones impugnadas para sustentar que el recurrente exclusivamente había interpuesto un recurso contencioso-administrativo especial de protección de los derechos fundamentales y, en ningún caso, el ordinario, por lo que el recurso era extemporáneo, no cabe afirmar que sea el resultado de una interpretación y aplicación de la normativa al respecto rigorista ni desproporcionada. En el presente caso, frente a lo que sucedía en la ya citada STC 72/2002, de 8 de abril, en que había hechos concluyentes a partir de los cuales se evidenciaba la intención del recurrente de articular tanto un recuso ordinario como el especial, lo que en última instancia propició que la inadmisión se considerara excesivamente formalista, no existe ningún elemento de juicio, como argumentaron las resoluciones impugnadas, que permita sostener que la intención del recurrente no era exclusivamente la de interponer un recurso contencioso-administrativo especial de protección de los derechos fundamentales de la persona y sí la de interponerlo como solicitud subsidiaria a un recurso ordinario.</w:t>
      </w:r>
    </w:p>
    <w:p w:rsidR="00DE14C9" w:rsidRDefault="00DE14C9" w:rsidP="00DE14C9">
      <w:pPr>
        <w:pStyle w:val="TextoNormal"/>
      </w:pPr>
      <w:r>
        <w:t>En efecto, la lectura del escrito de interposición del recurso, a cuyo contenido ya se ha hecho amplia referencia, no sólo lleva a que sea incontrovertible la conclusión alcanzada por el órgano judicial de que el recurrente exclusivamente quería interponer el recurso por la vía del procedimiento especial de protección de los derechos fundamentales, al ser evidentes las referencias continuadas en el encabezamiento del escrito y en el suplico de la demanda al amparo judicial de las libertades e incluso la mención expresa al art. 53.2 CE, sino que, además, tampoco pueda apreciarse en dicho escrito ningún elemento a partir del cual pueda concluirse, como pretende el recurrente, que su intención era la de articular de manera principal un recurso ordinario y sólo subsidiariamente el especial. Así, por un lado, como también ha destacado la resolución impugnada, la referencia en el encabezamiento al art. 31 LJCA nada puede aportar a este respecto, toda vez que este precepto es de común aplicación al procedimiento ordinario y al especial. Y, por otro, tampoco resulta relevante la argumentación referida a que la inclusión en el otrosí primero de los motivos de impugnación evidenciaría que la solicitud de amparo judicial de las libertades fuera subsidiaria, toda vez que tanto su contenido como su suplico es claro que queda limitado a la exposición de los argumentos para sustentar el recurso especial en cumplimiento de lo exigido por el art. 115.2 LJCA.</w:t>
      </w:r>
    </w:p>
    <w:p w:rsidR="00DE14C9" w:rsidRDefault="00DE14C9" w:rsidP="00DE14C9">
      <w:pPr>
        <w:pStyle w:val="TextoNormal"/>
      </w:pPr>
    </w:p>
    <w:p w:rsidR="00DE14C9" w:rsidRDefault="00DE14C9" w:rsidP="00DE14C9">
      <w:pPr>
        <w:pStyle w:val="TextoNormal"/>
      </w:pPr>
      <w:r w:rsidRPr="00DE14C9">
        <w:rPr>
          <w:rStyle w:val="NumeroAFNegritaCaracter"/>
        </w:rPr>
        <w:t>5</w:t>
      </w:r>
      <w:r>
        <w:t>. En segundo lugar, tampoco cabe apreciar tacha constitucional alguna derivada de la aplicación realizada por el órgano judicial de la normativa referente a la apreciación de las causas de inadmisión, ya que, frente a lo sostenido por el recurrente y el Ministerio Fiscal, las actuaciones judiciales no confirman los presupuestos fácticos de sus respectivas alegaciones referidos a que el órgano judicial hubiera omitido declarar la calificación a dar al recurso contencioso-administrativo y que adoptara la decisión de inadmisión sin haber dado lugar a un trámite de audiencia que hubiera posibilitado despegar las dudas respecto de la concreta pretensión del recurrente.</w:t>
      </w:r>
    </w:p>
    <w:p w:rsidR="00DE14C9" w:rsidRDefault="00DE14C9" w:rsidP="00DE14C9">
      <w:pPr>
        <w:pStyle w:val="TextoNormal"/>
      </w:pPr>
      <w:r>
        <w:lastRenderedPageBreak/>
        <w:t>Así, en relación con lo primero, como ya se ha expuesto, la Sección Séptima de la Sala de lo Contencioso-Administrativo del Tribunal Supremo, por providencia de 10 de diciembre de 2002, en respuesta al escrito de 21 de noviembre de 2002 del recurrente, acordó tener por presentado el recurso contencioso-administrativo e hizo expreso que se tramitaría conforme al procedimiento especial para la protección de los derechos fundamentales de la persona. Esta providencia fue notificada ese mismo día al recurrente y el 13 de diciembre de 2002 al Ministerio Fiscal. Por tanto, no cabe admitir el presupuesto fáctico pretendido por el recurrente de que el órgano judicial omitió declarar la calificación del recurso contencioso-administrativo.</w:t>
      </w:r>
    </w:p>
    <w:p w:rsidR="00DE14C9" w:rsidRDefault="00DE14C9" w:rsidP="00DE14C9">
      <w:pPr>
        <w:pStyle w:val="TextoNormal"/>
      </w:pPr>
      <w:r>
        <w:t>Igualmente, en relación con el presupuesto fáctico de que no se verificó el trámite de audiencia sobre la eventual concurrencia de la causa de inadmisión, la conclusión ha de ser la misma. Frente a lo argumentado por el Ministerio Fiscal, en las actuaciones ha quedado acreditado que, antes de acordarse por Auto de 26 de marzo de 2003 la inadmisión del recurso, no sólo la Sección procedió por providencia de 24 de enero de 2003 a dar traslado a las partes personadas para que alegaran respecto de la solicitud del Senado de acordar su inadmisión por extemporaneidad, sino que, además, efectivamente realizaron alegaciones sobre este particular el recurrente y el Ministerio Fiscal, éste último, precisamente, mostrándose plenamente conforme con la inadmisión por extemporaneidad.</w:t>
      </w:r>
    </w:p>
    <w:p w:rsidR="00DE14C9" w:rsidRDefault="00DE14C9" w:rsidP="00DE14C9">
      <w:pPr>
        <w:pStyle w:val="TextoNormal"/>
      </w:pPr>
      <w:r>
        <w:t>En conclusión, el presente recurso de amparo debe ser denegado, ya que si bien es cierto que el principio pro actione impone a los órganos judiciales que no se elimine u obstaculice injustificadamente el derecho a que se conozca y resuelva la pretensión formulada en la vía judicial, no lo es menos que, como ya se ha destacado anteriormente, ello suponga que deba optarse por la interpretación y aplicación normativa más favorable a la admisión ni, desde luego, que los órganos judiciales tengan la obligación de suplir la falta de diligencia de las partes en la formulación de sus pretensiones, pues, como también ha recordado este Tribunal en supuestos de inadmisión de recursos contencioso-administrativos especiales para la protección de los derechos fundamentales, no puede alegar indefensión quien se coloca a sí mismo en tal situación o quien no hubiera quedado indefenso de haber actuado con la diligencia razonablemente exigible (así, entre otras, STC 143/2003, de 14 de julio, FJ 4).</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Denegar el amparo solicitado a don Manuel Gonzalo González.</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cuatro de junio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45" w:name="SENTENCIA_2007_132"/>
      <w:r>
        <w:lastRenderedPageBreak/>
        <w:t>SENTENCIA 132/2007, de 4 de junio de 2007</w:t>
      </w:r>
    </w:p>
    <w:bookmarkEnd w:id="45"/>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161, de 6 de julio de 2007)</w:t>
      </w:r>
    </w:p>
    <w:p w:rsidR="00DE14C9" w:rsidRDefault="00DE14C9" w:rsidP="00DE14C9">
      <w:pPr>
        <w:pStyle w:val="TtuloBOE"/>
      </w:pPr>
    </w:p>
    <w:p w:rsidR="00DE14C9" w:rsidRDefault="00DE14C9" w:rsidP="00DE14C9">
      <w:pPr>
        <w:pStyle w:val="SntesisDescriptiva"/>
      </w:pPr>
      <w:r>
        <w:t>ECLI:ES:TC:2007:132</w:t>
      </w:r>
    </w:p>
    <w:p w:rsidR="00DE14C9" w:rsidRDefault="00DE14C9" w:rsidP="00DE14C9">
      <w:pPr>
        <w:pStyle w:val="SntesisDescriptiva"/>
      </w:pPr>
    </w:p>
    <w:p w:rsidR="00DE14C9" w:rsidRDefault="00DE14C9" w:rsidP="00DE14C9">
      <w:pPr>
        <w:pStyle w:val="SntesisDescriptiva"/>
      </w:pPr>
      <w:r>
        <w:t>Recurso de amparo 7015-2003. Promovido por Construcciones Casasmarín, 22, S.A., frente a la Sentencia y el Auto de la Sala de lo Contencioso-Administrativo del Tribunal Superior de Justicia de Asturias que desestimó su demanda contra el Ayuntamiento de Oviedo sobre liquidaciones tributarias.</w:t>
      </w:r>
    </w:p>
    <w:p w:rsidR="00DE14C9" w:rsidRDefault="00DE14C9" w:rsidP="00DE14C9">
      <w:pPr>
        <w:pStyle w:val="SntesisDescriptiva"/>
      </w:pPr>
    </w:p>
    <w:p w:rsidR="00DE14C9" w:rsidRDefault="00DE14C9" w:rsidP="00DE14C9">
      <w:pPr>
        <w:pStyle w:val="SntesisAnaltica"/>
      </w:pPr>
      <w:r>
        <w:t>Vulneración del derecho a la tutela judicial efectiva (sentencia fundada en Derecho): incidente de nulidad de actuaciones; demanda sobre embargo de cuenta bancaria desestimada por acto consentido, a pesar de que el expediente administrativo incompleto solo acreditaba la notificación de una de las varias providencias de apremio.</w:t>
      </w:r>
    </w:p>
    <w:p w:rsidR="00DE14C9" w:rsidRDefault="00DE14C9" w:rsidP="00DE14C9">
      <w:pPr>
        <w:pStyle w:val="SntesisAnaltica"/>
      </w:pPr>
    </w:p>
    <w:p w:rsidR="00DE14C9" w:rsidRDefault="00DE14C9" w:rsidP="00DE14C9">
      <w:pPr>
        <w:pStyle w:val="Extracto"/>
      </w:pPr>
      <w:r>
        <w:t>1.</w:t>
      </w:r>
      <w:r>
        <w:tab/>
        <w:t>Resulta irrazonable concluir que se consintió la providencia de apremio dictada por la licencia fiscal y el impuesto de actividades económicas cuando en la Sentencia del Tribunal Superior de Justicia no se razona la existencia de medio de acreditamiento alguno de la existencia y notificación de la providencia de apremio relativa a dichas deudas tributaria distinto del propio reconocimiento de la actora (STC 164/2002) [FJ 5].</w:t>
      </w:r>
    </w:p>
    <w:p w:rsidR="00DE14C9" w:rsidRDefault="00DE14C9" w:rsidP="00DE14C9">
      <w:pPr>
        <w:pStyle w:val="Extracto"/>
      </w:pPr>
    </w:p>
    <w:p w:rsidR="00DE14C9" w:rsidRDefault="00DE14C9" w:rsidP="00DE14C9">
      <w:pPr>
        <w:pStyle w:val="Extracto"/>
      </w:pPr>
      <w:r>
        <w:t>2.</w:t>
      </w:r>
      <w:r>
        <w:tab/>
        <w:t>Doctrina sobre congruencia de sentencias (SSTC 100/1987, 119/2003 y 142/2005) [FFJJ 4, 5].</w:t>
      </w:r>
    </w:p>
    <w:p w:rsidR="00DE14C9" w:rsidRDefault="00DE14C9" w:rsidP="00DE14C9">
      <w:pPr>
        <w:pStyle w:val="Extracto"/>
      </w:pPr>
    </w:p>
    <w:p w:rsidR="00DE14C9" w:rsidRDefault="00DE14C9" w:rsidP="00DE14C9">
      <w:pPr>
        <w:pStyle w:val="Extracto"/>
      </w:pPr>
      <w:r>
        <w:t>3.</w:t>
      </w:r>
      <w:r>
        <w:tab/>
        <w:t>Doctrina constitucional sobre incongruencia por extrapetitum  (STC 9/1998) [FJ 2].</w:t>
      </w:r>
    </w:p>
    <w:p w:rsidR="00DE14C9" w:rsidRDefault="00DE14C9" w:rsidP="00DE14C9">
      <w:pPr>
        <w:pStyle w:val="Extracto"/>
      </w:pPr>
    </w:p>
    <w:p w:rsidR="00DE14C9" w:rsidRDefault="00DE14C9" w:rsidP="00DE14C9">
      <w:pPr>
        <w:pStyle w:val="Extracto"/>
      </w:pPr>
      <w:r>
        <w:t>4.</w:t>
      </w:r>
      <w:r>
        <w:tab/>
        <w:t>Si bien la utilización de recursos o remedios procesales manifiestamente improcedentes contra una resolución judicial firme no suspende el plazo de veinte días para recurrir en amparo, en el presente caso no puede apreciarse que el incidente de nulidad de actuaciones promovido por la recurrente y desestimado constituya un recurso manifiestamente improcedente, determinante de un alargamiento artificial del plazo para impugnar en amparo y, consiguientemente, de la extemporaneidad del recurso de amparo [FJ 3].</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7015-2003, promovido por Construcciones Casasmarín, 22, S.A., representada por el Procurador de los Tribunales don Alejandro Utrilla Palombí y asistida por el Abogado don José M. Manzanares Robles, contra la Sentencia de 23 de mayo de 2003 de la Sección Segunda de la Sala de lo Contencioso-Administrativo del Tribunal Superior de Justicia de Asturias, recaída en procedimiento ordinario núm. 1614-1998, y contra el Auto de 28 de octubre de 2003 de dicho órgano jurisdiccional, que desestima el incidente de nulidad de actuaciones planteado. Ha intervenido el Ministerio Fiscal. Ha sido Ponente el Magistrado don Ramón Rodríguez Arribas,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registrado en este Tribunal el 16 de febrero de 2004 el Procurador de los Tribunales don Alejandro Utrilla Palombí, en nombre y representación de Construcciones Casasmarín, 22, S.A., interpuso recurso de amparo contra las resoluciones judiciales que se indican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La demanda de amparo trae causa, en síntesis, de los siguientes hechos: </w:t>
      </w:r>
    </w:p>
    <w:p w:rsidR="00DE14C9" w:rsidRDefault="00DE14C9" w:rsidP="00DE14C9">
      <w:pPr>
        <w:pStyle w:val="TextoNormal"/>
      </w:pPr>
      <w:r>
        <w:t xml:space="preserve">a) El Ayuntamiento de Oviedo giró a la entidad Construcciones Casasmarín, 22, S.A., liquidaciones tributarias por la licencia fiscal correspondiente a los ejercicios 1988 a 1990 y por el impuesto de actividades económicas correspondiente a los ejercicios 1992 y 1993. Ante el impago de las deudas tributarias se inició expediente ejecutivo contra dicha entidad, hoy demandante de amparo, en el que se practicó diligencia de embargo de 15 de mayo de 1996 por la globalidad de la deuda tributaria. </w:t>
      </w:r>
    </w:p>
    <w:p w:rsidR="00DE14C9" w:rsidRDefault="00DE14C9" w:rsidP="00DE14C9">
      <w:pPr>
        <w:pStyle w:val="TextoNormal"/>
      </w:pPr>
      <w:r>
        <w:t xml:space="preserve">b) Ante la diligencia de embargo, conocida por el embargo del saldo de una cuenta corriente de su titularidad, la entidad demandante reaccionó mediante distintas actuaciones. Por una parte, con fecha 31 de julio de 1996 formuló recurso de reposición ante el Servicio Regional de Recaudación de la Conserjería del Principado de Asturias, el cual se entendió resuelto mediante desestimación presunta en virtud de silencio administrativo. </w:t>
      </w:r>
    </w:p>
    <w:p w:rsidR="00DE14C9" w:rsidRDefault="00DE14C9" w:rsidP="00DE14C9">
      <w:pPr>
        <w:pStyle w:val="TextoNormal"/>
      </w:pPr>
      <w:r>
        <w:t xml:space="preserve">Por otra parte, el 20 de septiembre de 1996 presentó reclamación económico-administrativa ante el Tribunal Económico-Administrativo Regional de Asturias que, mediante Resolución de 4 de abril de 1997, se declaró incompetente para conocer del asunto y remitió las actuaciones a la Consejería de Economía del Principado de Asturias, por considerarla el órgano competente para la resolución. </w:t>
      </w:r>
    </w:p>
    <w:p w:rsidR="00DE14C9" w:rsidRDefault="00DE14C9" w:rsidP="00DE14C9">
      <w:pPr>
        <w:pStyle w:val="TextoNormal"/>
      </w:pPr>
      <w:r>
        <w:t xml:space="preserve">Posteriormente, en fecha 14 de agosto de 1997 la Sección de Reclamaciones y Recursos de dicha Consejería dirigió un oficio a la demandante de amparo, en la que se informaba que el Pleno del Ayuntamiento de Oviedo había revocado la delegación de funciones de gestión y recaudación de tributos existente en el Principado de Asturias, por lo que carecía de competencia para resolver la reclamación y remitía el expediente al Ayuntamiento de Oviedo. </w:t>
      </w:r>
    </w:p>
    <w:p w:rsidR="00DE14C9" w:rsidRDefault="00DE14C9" w:rsidP="00DE14C9">
      <w:pPr>
        <w:pStyle w:val="TextoNormal"/>
      </w:pPr>
      <w:r>
        <w:t>Por último, el 20 de mayo de 1998, entendiendo que había transcurrido el plazo legalmente establecido para resolver, dedujo la existencia de acto presunto e interpuso el corres</w:t>
      </w:r>
      <w:r>
        <w:lastRenderedPageBreak/>
        <w:t xml:space="preserve">pondiente recurso contencioso-administrativo ante la Sala de lo Contencioso-Administrativo del Tribunal Superior de Justicia de Asturias, que se tuvo por interpuesto mediante providencia de su Sección Segunda de 29 de octubre de 1998. </w:t>
      </w:r>
    </w:p>
    <w:p w:rsidR="00DE14C9" w:rsidRDefault="00DE14C9" w:rsidP="00DE14C9">
      <w:pPr>
        <w:pStyle w:val="TextoNormal"/>
      </w:pPr>
      <w:r>
        <w:t xml:space="preserve">c) La demanda contencioso-administrativa se formalizó por escrito de 10 de mayo de 1999, instándose la nulidad o anulación del procedimiento de apremio, lo que se fundaba, básicamente, en haberse prescindido absolutamente del procedimiento legalmente establecido para el seguimiento de la vía de apremio, al haber tenido conocimiento del procedimiento tramitado por deudas tributarias correspondientes a las licencias fiscales de los años 1988 a 1990 y al impuesto de actividades económicas de 1992 y 1993 por el embargo de un saldo de la cuenta corriente bancaria de la actora, al encontrarse prescritas varias deudas tributarias y por la general falta de notificación de los débitos en vía voluntaria. </w:t>
      </w:r>
    </w:p>
    <w:p w:rsidR="00DE14C9" w:rsidRDefault="00DE14C9" w:rsidP="00DE14C9">
      <w:pPr>
        <w:pStyle w:val="TextoNormal"/>
      </w:pPr>
      <w:r>
        <w:t xml:space="preserve">La demanda fue desestimada por Sentencia de 23 de mayo de 2003 de la Sección Segunda de la Sala de lo Contencioso-Administrativo del Tribunal Superior de Justicia de Asturias, con fundamento en que no se impugnaba en realidad la diligencia de embargo de dinero en cuentas abiertas en entidades de depósito de fecha 15 de mayo de 1996, sino la resolución anterior, la providencia de apremio, que no fue recurrida en tiempo y forma, pese a reconocer la actora que le fue notificada con fecha 4 de julio de 1995, y frente a la que debiera haber articulado su oposición a la vía de apremio con base en los motivos previstos en el art. 137 b) y d) LGT y en el art. 99 a) y b) RGR; por lo que, siendo dicha providencia de apremio firme y consentida, no podía impugnarse ahora mediante la diligencia de embargo sin aducir vicios intrínsecos de la misma, ya que éste no era sino la mera consecuencia del anterior apremio firme. </w:t>
      </w:r>
    </w:p>
    <w:p w:rsidR="00DE14C9" w:rsidRDefault="00DE14C9" w:rsidP="00DE14C9">
      <w:pPr>
        <w:pStyle w:val="TextoNormal"/>
      </w:pPr>
      <w:r>
        <w:t>d) Contra la anterior Sentencia la demandante promovió incidente de nulidad de actuaciones en el que denunciaba la incongruencia y error de dicha resolución judicial, pues no se había pronunciado sobre las cuestiones de fondo planteadas por un error, ya que ella no había reconocido la notificación de una providencia de apremio referida a todas las deudas tributarias por las que se practicó el embargo, sino tan sólo de una providencia de apremio referida a la licencia fiscal del año 1990. El incidente, tras ser admitido a trámite, fue desestimado mediante Auto de 28 de octubre de 2003, lo que se justifica en que lo único que pretende la parte recurrente, so pretexto de reparación de supuestas incongruencias y errores denunciados, es una revisión de la Sentencia dictada.</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La recurrente en amparo imputa a las dos últimas resoluciones judiciales —Sentencia y Auto de la Sección Segunda de la Sala de lo Contencioso-Administrativo del Tribunal Superior de Justicia de Asturias— dos presuntas vulneraciones del derecho a la tutela judicial efectiva (art. 24.1 CE), en su vertiente de derecho a obtener una resolución congruente y fundada en derecho. Así, se aduce que el órgano judicial ha incurrido en un error patente al considerar que los actos impugnados habían sido consentidos y afirmar el reconocimiento por la actora de que la providencia de apremio le fue notificada el 4 de julio de 1995 y no recurrida, pues su reconocimiento se limitó a la providencia de apremio referida a la licencia fiscal correspondiente al ejercicio de 1990, sin que recibiera notificación alguna de providencia de apremio relativa a la globalidad de la deuda tributaria que finalmente fue objeto del embargo. Estima que el órgano judicial yerra al considerar que la providencia de apremio efectivamente notificada, y referida exclusivamente a la licencia fiscal industrial de 1990, sea equivalente a las distintas providencias de apremio que debieran haberse dictado y notificado para justificar una diligencia de embargo referida al conjunto de las licencias fiscales de los ejercicios 1988 a 1990 y de los impuestos de actividades económicas de los ejercicios 1992 y 1993, lo que opina que no constituye una motivación fundada en derecho; </w:t>
      </w:r>
      <w:r>
        <w:lastRenderedPageBreak/>
        <w:t>alegando que se efectúa una extrapolación muy injusta al imputarle un reconocimiento que no ha hecho, pues sólo reconoció la notificación de la providencia de apremio referida a la licencia fiscal industrial de 1990, según consta en los documentos obrantes en las actuaciones, que por su fecha, de 23 de febrero de 1991, ni siquiera podía hablar de las liquidaciones por el impuesto de actividades económicas de los años 1992 y 1993. En definitiva, nunca hubo notificación de providencia de apremio alguna en relación con los tributos debidos correspondientes a los años 1988, 1989, 1992 y 1993. Asimismo, alega que este error patente ha llevado al órgano judicial a la desviación del objeto del proceso y, por tanto, a la incongruencia extra petita y a la falta de respuesta sobre las cuestiones de fondo planteadas en el recurso y demanda contencioso-administrativos, relativas a la prescripción de algunas de las deudas tributarias a las que afecta el procedimiento de apremio, así como a la general falta de notificación de las liquidaciones de los débitos en vía voluntaria.</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Por providencia de 13 de septiembre de 2005, este Tribunal abrió el trámite previsto en el apartado 3 del artículo 50 LOTC, concediendo al solicitante de amparo y al Ministerio Fiscal un plazo de diez días para que formularan, con las aportaciones documentales que procedieran, las alegaciones que estimasen pertinentes en relación con la carencia manifiesta de contenido constitucional de la demanda —art. 50.1 c) LOTC. </w:t>
      </w:r>
    </w:p>
    <w:p w:rsidR="00DE14C9" w:rsidRDefault="00DE14C9" w:rsidP="00DE14C9">
      <w:pPr>
        <w:pStyle w:val="TextoNormal"/>
      </w:pPr>
      <w:r>
        <w:t>La demandante de amparo mediante escrito registrado el 27 de septiembre de 2005 se reiteró en las alegaciones y argumentos expuestos en la demanda de amparo y recién descritos. Por su parte, el Ministerio Fiscal en su escrito registrado el 5 de octubre de 2005 interesó la inadmisión de la demanda de amparo por falta manifiesta de contenido constitucional, por estimar que la Sala de lo Contencioso-Administrativo del Tribunal Superior de Justicia de Asturias mediante una respuesta razonada y fundada en Derecho ha considerado que el acto que se recurre no es más que una consecuencia lógica y necesaria de actos anteriores no recurridos, no derivando de tal consideración una lesión constitucional, sino una discrepancia de la recurrente de amparo con lo resuelto por la Sala.</w:t>
      </w:r>
    </w:p>
    <w:p w:rsidR="00DE14C9" w:rsidRDefault="00DE14C9" w:rsidP="00DE14C9">
      <w:pPr>
        <w:pStyle w:val="TextoNormal"/>
      </w:pPr>
    </w:p>
    <w:p w:rsidR="00DE14C9" w:rsidRDefault="00DE14C9" w:rsidP="00DE14C9">
      <w:pPr>
        <w:pStyle w:val="TextoNormal"/>
      </w:pPr>
      <w:r w:rsidRPr="00DE14C9">
        <w:rPr>
          <w:rStyle w:val="NumeroAFNegritaCaracter"/>
        </w:rPr>
        <w:t>5</w:t>
      </w:r>
      <w:r>
        <w:t>. Por providencia de 3 de mayo de 2006, la Sala Segunda de este Tribunal acordó admitir a trámite la demanda, ordenando en virtud de lo dispuesto en el art. 51 LOTC, requerir al Tribunal Económico-Administrativo Regional de Asturias y a la Sección Segunda de la Sala de lo Contencioso-Administrativo del Tribunal Superior de Justicia de Asturias a fin de que en el plazo de diez días remitieran, respectivamente, certificación o fotocopia adverada de las actuaciones correspondientes al procedimiento recaudatorio núm. 33-02747-96 y al procedimiento ordinario núm. 1614-1998; así como para que se proceda al emplazamiento de quienes fueron parte en el mencionado procedimiento, con excepción de la recurrente en amparo, para que en el plazo de diez días pudieran comparecer en este proceso constitucional.</w:t>
      </w:r>
    </w:p>
    <w:p w:rsidR="00DE14C9" w:rsidRDefault="00DE14C9" w:rsidP="00DE14C9">
      <w:pPr>
        <w:pStyle w:val="TextoNormal"/>
      </w:pPr>
    </w:p>
    <w:p w:rsidR="00DE14C9" w:rsidRDefault="00DE14C9" w:rsidP="00DE14C9">
      <w:pPr>
        <w:pStyle w:val="TextoNormal"/>
      </w:pPr>
      <w:r w:rsidRPr="00DE14C9">
        <w:rPr>
          <w:rStyle w:val="NumeroAFNegritaCaracter"/>
        </w:rPr>
        <w:t>6</w:t>
      </w:r>
      <w:r>
        <w:t>. Por diligencia de ordenación de la Secretaría de la Sala Segunda del Tribunal Constitucional de 15 de junio de 2006 se tuvo por personados y partes en el proceso de amparo al Abogado del Estado, al Letrado del Servicio Jurídico de la Administración del Principado de Asturias y al Ayuntamiento de Oviedo y, conforme al art. 52. 1 LOTC, se acordó dar vista de las actuaciones a las partes personadas y al Ministerio Fiscal por plazo común de veinte días para presentar las alegaciones que estimasen pertinentes.</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7</w:t>
      </w:r>
      <w:r>
        <w:t>. El Abogado del Estado mediante escrito registrado el 21 de junio de 2006 manifestó su abstención a formular alegaciones, habida cuenta de la personación de la Comunidad Autónoma y de la Corporación Local y de la falta de interés de la Administración General del Estado.</w:t>
      </w:r>
    </w:p>
    <w:p w:rsidR="00DE14C9" w:rsidRDefault="00DE14C9" w:rsidP="00DE14C9">
      <w:pPr>
        <w:pStyle w:val="TextoNormal"/>
      </w:pPr>
    </w:p>
    <w:p w:rsidR="00DE14C9" w:rsidRDefault="00DE14C9" w:rsidP="00DE14C9">
      <w:pPr>
        <w:pStyle w:val="TextoNormal"/>
      </w:pPr>
      <w:r w:rsidRPr="00DE14C9">
        <w:rPr>
          <w:rStyle w:val="NumeroAFNegritaCaracter"/>
        </w:rPr>
        <w:t>8</w:t>
      </w:r>
      <w:r>
        <w:t>. El Ministerio Fiscal, por escrito registrado el 14 de julio de 2006, reiteró los argumentos expuestos en el trámite del art. 50.3 LOTC, interesando la desestimación de la demanda de amparo por estimar que la Sala de lo Contencioso-Administrativo del Tribunal Superior de Justicia de Asturias ha resuelto sobre el fondo del incidente de nulidad planteado, y tanto de la Sentencia como del Auto se desprende que no ha existido la lesión constitucional denunciada, sino una discrepancia de la recurrente en amparo con lo resuelto por aquélla, que, mediante una respuesta razonada y fundada en Derecho ha considerado que la recurrente no recurrió actos anteriores de los que el efectivamente recurrido no era sino consecuencia necesaria.</w:t>
      </w:r>
    </w:p>
    <w:p w:rsidR="00DE14C9" w:rsidRDefault="00DE14C9" w:rsidP="00DE14C9">
      <w:pPr>
        <w:pStyle w:val="TextoNormal"/>
      </w:pPr>
    </w:p>
    <w:p w:rsidR="00DE14C9" w:rsidRDefault="00DE14C9" w:rsidP="00DE14C9">
      <w:pPr>
        <w:pStyle w:val="TextoNormal"/>
      </w:pPr>
      <w:r w:rsidRPr="00DE14C9">
        <w:rPr>
          <w:rStyle w:val="NumeroAFNegritaCaracter"/>
        </w:rPr>
        <w:t>9</w:t>
      </w:r>
      <w:r>
        <w:t>. El Ayuntamiento de Oviedo presentó su escrito de alegaciones el 18 de julio de 2006, oponiéndose a la estimación de la demanda de amparo por entender que, aun admitiendo a efectos puramente discursivos que el fallo no sea correcto, no concurre el vicio de incongruencia denunciado, por cuanto, pese a que la Sentencia elude entrar en profundidad a analizar otras cuestiones previas debatidas en la litis como posibles causas de inadmisibilidad, en definitiva analiza el debate material enjuiciando el debate de la litis y se pronuncia sobre la fundamental pretensión de la recurrente, desestimando la anulación de la diligencia de embargo y la consiguiente devolución de las cantidades trabadas. Sin que, por otra parte, a través del recurso de amparo o del incidente de nulidad pueda pretenderse una nueva valoración de los hechos apreciados por la Sala.</w:t>
      </w:r>
    </w:p>
    <w:p w:rsidR="00DE14C9" w:rsidRDefault="00DE14C9" w:rsidP="00DE14C9">
      <w:pPr>
        <w:pStyle w:val="TextoNormal"/>
      </w:pPr>
    </w:p>
    <w:p w:rsidR="00DE14C9" w:rsidRDefault="00DE14C9" w:rsidP="00DE14C9">
      <w:pPr>
        <w:pStyle w:val="TextoNormal"/>
      </w:pPr>
      <w:r w:rsidRPr="00DE14C9">
        <w:rPr>
          <w:rStyle w:val="NumeroAFNegritaCaracter"/>
        </w:rPr>
        <w:t>10</w:t>
      </w:r>
      <w:r>
        <w:t>. Mediante escrito registrado el 26 de julio de 2006 formuló sus alegaciones el Letrado del Servicio Jurídico de la Administración del Principado de Asturias, en las que interesaba la desestimación de la demanda de amparo por compartir los fundamentos jurídicos contenidos en el Auto desestimatorio del incidente de nulidad de actuaciones promovido por la demandante de amparo.</w:t>
      </w:r>
    </w:p>
    <w:p w:rsidR="00DE14C9" w:rsidRDefault="00DE14C9" w:rsidP="00DE14C9">
      <w:pPr>
        <w:pStyle w:val="TextoNormal"/>
      </w:pPr>
    </w:p>
    <w:p w:rsidR="00DE14C9" w:rsidRDefault="00DE14C9" w:rsidP="00DE14C9">
      <w:pPr>
        <w:pStyle w:val="TextoNormal"/>
      </w:pPr>
      <w:r w:rsidRPr="00DE14C9">
        <w:rPr>
          <w:rStyle w:val="NumeroAFNegritaCaracter"/>
        </w:rPr>
        <w:t>11</w:t>
      </w:r>
      <w:r>
        <w:t>. Por providencia de 31 de mayo de 2007, se señaló para la deliberación y votación de la presente Sentencia el día 4 de junio del mismo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Tal y como se expuso con mayor extensión en los antecedentes, las cuestiones planteadas en este recurso de amparo arrancan como punto de partida básico de la diligencia de embargo de 15 de mayo de 1996 del Servicio Regional de Recaudación de la Consejería de Economía del Principado de Asturias, referida a deudas tributarias correspondientes a las licencias fiscales de los años 1988 a 1990 y al impuesto de actividades económicas de los ejercicios 1992 y 1993, y en cumplimiento de la cual se trabó embargo sobre el saldo de una cuenta corriente bancaria de la actora.</w:t>
      </w:r>
    </w:p>
    <w:p w:rsidR="00DE14C9" w:rsidRDefault="00DE14C9" w:rsidP="00DE14C9">
      <w:pPr>
        <w:pStyle w:val="TextoNormal"/>
      </w:pPr>
      <w:r>
        <w:lastRenderedPageBreak/>
        <w:t>Ante el embargo antedicho, la demandante de amparo recurrió, primero en vía administrativa y, una vez entendió presuntamente desestimada su impugnación por silencio administrativo, en vía jurisdiccional, fundamentándose la demanda contencioso-administrativa en haberse prescindido absolutamente del procedimiento legalmente establecido para el seguimiento de la vía de apremio, por haber tenido conocimiento del procedimiento tramitado por deudas tributarias correspondientes a las licencias fiscales de los años 1988 a 1990 y al impuesto de actividades económicas de los ejercicios 1992 y 1993 a través del embargo del saldo de una cuenta corriente bancaria de su titularidad, por encontrarse prescritas las deudas tributarias por razón de las cuales se practicó el embargo y por la falta de notificación de las liquidaciones de las deudas en vía voluntaria.</w:t>
      </w:r>
    </w:p>
    <w:p w:rsidR="00DE14C9" w:rsidRDefault="00DE14C9" w:rsidP="00DE14C9">
      <w:pPr>
        <w:pStyle w:val="TextoNormal"/>
      </w:pPr>
      <w:r>
        <w:t>La demanda fue desestimada por Sentencia de 23 de mayo de 2003 con fundamento en que no se impugnaba en realidad la diligencia de embargo de 15 de mayo de 1996, sino la providencia de apremio de la que aquélla traía causa, y que no fue recurrida en tiempo y forma, pese a reconocer la actora que le fue notificada con fecha 4 de julio de 1995, por lo que dicha providencia de apremio devino firme y consentida. Siendo igualmente desestimado por Auto de 28 de octubre de 2003 el incidente de nulidad de actuaciones promovido por la actora.</w:t>
      </w:r>
    </w:p>
    <w:p w:rsidR="00DE14C9" w:rsidRDefault="00DE14C9" w:rsidP="00DE14C9">
      <w:pPr>
        <w:pStyle w:val="TextoNormal"/>
      </w:pPr>
      <w:r>
        <w:t>La demandante considera que las resoluciones impugnadas vulneran y no reparan respectivamente el derecho a la tutela judicial efectiva sin indefensión (art. 24.1 CE) en su vertiente de derecho a obtener una resolución congruente y fundada en derecho, en cuanto que la Sala incurrió en error patente y efectuó una extrapolación muy injusta al imputarle un reconocimiento que no ha hecho, pues sólo reconoció la notificación de la providencia de apremio referida a la licencia fiscal industrial de 1990, según consta en los documentos obrantes en las actuaciones, sin que hubiera notificación de providencia de apremio alguna en relación con los tributos debidos correspondientes a los años 1988, 1989, 1992 y 1993, y sin que, dada la fecha de la providencia de apremio, de 23 de febrero de 1991, pudiera referirse a las liquidaciones por el impuesto de actividades económicas de los años 1992 y 1993. Añade que este error ha llevado al órgano judicial a la desviación del objeto del proceso y, por tanto, a la incongruencia extra petita y a la falta de respuesta sobre la cuestión de fondo planteada en el recurso y demanda contencioso-administrativos, relativa a la prescripción de algunas de las deudas tributarias a las que afecta el procedimiento de apremio, así como a la general falta de notificación de las liquidaciones de los débitos en vía voluntaria.</w:t>
      </w:r>
    </w:p>
    <w:p w:rsidR="00DE14C9" w:rsidRDefault="00DE14C9" w:rsidP="00DE14C9">
      <w:pPr>
        <w:pStyle w:val="TextoNormal"/>
      </w:pPr>
      <w:r>
        <w:t>Por otro lado, como con más detalle se relata en los antecedentes, el Ministerio Fiscal y el resto de las partes personadas se oponen a la estimación de la demanda de amparo, al rechazar que se haya producido un vicio de incongruencia extra petitum y considerar que se ha obtenido una respuesta judicial razonada y fundada en Derecho.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La queja de vulneración del derecho a la tutela judicial efectiva fundada en la supuesta incongruencia extra petitum de la Sentencia debe ser rechazada, como mantienen el Ministerio Fiscal y el resto de las partes personadas. En este sentido, este Tribunal ha efectuado en numerosas ocasiones algunas consideraciones básicas sobre la incongruencia por exceso o extra petitum. Por un lado, ha señalado que este vicio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Lo que no comporta que el Juez deba quedar vinculado rígidamente por el tenor de los concretos pedimentos articulados por las partes en sus respectivos escritos forenses o </w:t>
      </w:r>
      <w:r>
        <w:lastRenderedPageBreak/>
        <w:t>por los razonamientos o alegaciones jurídicas esgrimidas en su apoyo, pues el órgano judicial sólo está vinculado por la esencia de lo pedido y discutido en el pleito, y no por la literalidad de las concretas pretensiones ejercitadas, tal y como hayan sido formalmente formuladas por los litigantes, de forma que no existirá la incongruencia extra petitum cuando el Juez o Tribunal decida o se pronuncie sobre una pretensión que, aun cuando no fue formal o expresamente ejercitada, estaba implícita o era consecuencia inescindible o necesaria de los pedimentos articulados o de la cuestión principal debatida en el proceso (por todas, SSTC 9/1998, de 13 de enero, FJ 2; 130/2004, de 19 de julio, FJ 3, y 250/2004, de 20 de diciembre, FJ 3), ni cuando el pronunciamiento discutido del Tribunal se puede realizar de oficio (SSTC 215/1999, de 29 de noviembre, FJ 5, y 194/2005, de 18 de julio, FJ 2).</w:t>
      </w:r>
    </w:p>
    <w:p w:rsidR="00DE14C9" w:rsidRDefault="00DE14C9" w:rsidP="00DE14C9">
      <w:pPr>
        <w:pStyle w:val="TextoNormal"/>
      </w:pPr>
      <w:r>
        <w:t>Por otro lado, este Tribunal ha indicado que para que la incongruencia por exceso o extra petitum adquiera relevancia constitucional se requiere que la desviación o desajuste entre el fallo judicial y los términos en que las partes hayan formulado sus pretensiones suponga una modificación sustancial del objeto procesal, con la consiguiente indefensión y sustracción a las partes del verdadero debate contradictorio, produciéndose un fallo extraño a las respectivas pretensiones de las partes, de forma que la decisión judicial se haya pronunciado sobre temas o materias no debatidas oportunamente en el proceso y respecto de las cuales, por consiguiente, las partes no tuvieron la oportunidad de ejercitar adecuadamente su derecho de defensa, formulando o exponiendo las alegaciones que tuvieran por conveniente en apoyo de sus respectivas posiciones procesales (SSTC 182/2000, de 10 de julio, FJ 3; 194/2005, de 18 de julio, FJ 2; 264/2005, de 24 de octubre, FJ 2; 40/2006, de 13 de febrero, FJ 2, entre otras).</w:t>
      </w:r>
    </w:p>
    <w:p w:rsidR="00DE14C9" w:rsidRDefault="00DE14C9" w:rsidP="00DE14C9">
      <w:pPr>
        <w:pStyle w:val="TextoNormal"/>
      </w:pPr>
      <w:r>
        <w:t>Sin embargo, en el presente caso no cabe apreciar que la Sala de lo Contencioso-Administrativo se apartara de las pretensiones formuladas por la actora, pues, además de recoger las distintas causas en las que se fundaba la impugnación de aquélla, se pronunció sobre la petición de nulidad del procedimiento de apremio formulada por ella, aunque fuera para desestimarla. Sin que para ello sea óbice el hecho de que no se pronunciara sobre todas las causas de impugnación en las que se fundaba la nulidad o, en su caso, anulabilidad de las resoluciones impugnadas, toda vez que la resolución judicial expresó las razones jurídicas que lo justificaban, consistentes en que la diligencia de embargo formalmente impugnada traía causa de una previa providencia de apremio que era firme y consentida, por lo que no podría impugnarse ésta a través de aquélla. En consecuencia, resulta forzoso concluir que la Sentencia de la Sala de lo Contencioso-Administrativo del Tribunal Superior de Justicia de Asturias se pronunció de modo congruente sobre las pretensiones interpuestas.</w:t>
      </w:r>
    </w:p>
    <w:p w:rsidR="00DE14C9" w:rsidRDefault="00DE14C9" w:rsidP="00DE14C9">
      <w:pPr>
        <w:pStyle w:val="TextoNormal"/>
      </w:pPr>
    </w:p>
    <w:p w:rsidR="00DE14C9" w:rsidRDefault="00DE14C9" w:rsidP="00DE14C9">
      <w:pPr>
        <w:pStyle w:val="TextoNormal"/>
      </w:pPr>
      <w:r w:rsidRPr="00DE14C9">
        <w:rPr>
          <w:rStyle w:val="NumeroAFNegritaCaracter"/>
        </w:rPr>
        <w:t>3</w:t>
      </w:r>
      <w:r>
        <w:t>. No obstante la conclusión anterior en el presente caso no puede apreciarse que el incidente de nulidad de actuaciones promovido por la recurrente y desestimado mediante Auto de 28 de octubre de 2003 constituya un recurso manifiestamente improcedente, determinante de un alargamiento artificial del plazo para impugnar en amparo y, consiguientemente, de la extemporaneidad del recurso de amparo, cuestión que también procede analizar en este momento, ya que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(SSTC 53/1983, de 20 de junio, FJ 2; 72/2004, de 19 de abril, FJ 2, y 47/2006, de 13 de febrero, FJ 2, entre otras).</w:t>
      </w:r>
    </w:p>
    <w:p w:rsidR="00DE14C9" w:rsidRDefault="00DE14C9" w:rsidP="00DE14C9">
      <w:pPr>
        <w:pStyle w:val="TextoNormal"/>
      </w:pPr>
      <w:r>
        <w:lastRenderedPageBreak/>
        <w:t>En tal sentido, cabe recordar que este Tribunal ha establecido que la utilización de recursos o remedios procesales manifiestamente improcedentes contra una resolución judicial firme no suspende el plazo de veinte días para recurrir en amparo (art.  44.2 LOTC), que es un plazo de caducidad, improrrogable, y, por consiguiente, de inexorable cumplimiento, que no consiente prolongación artificial ni puede quedar al arbitrio de las partes (por todas, SSTC 72/1991, de 8 de abril, FJ 2, 177/1995, de 11 de diciembre, FJ único, 201/1998, de 14 de octubre, FJ 3, y 78/2000, de 27 de marzo, FJ 2). Sin embargo también hemos declarado reiteradamente que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(STC 69/2003, de 9 de abril, FJ 11, entre otras).</w:t>
      </w:r>
    </w:p>
    <w:p w:rsidR="00DE14C9" w:rsidRDefault="00DE14C9" w:rsidP="00DE14C9">
      <w:pPr>
        <w:pStyle w:val="TextoNormal"/>
      </w:pPr>
      <w:r>
        <w:t>Más en concreto, hemos igualmente señalado que cuando el incidente de nulidad de actuaciones, pese a ser interpuesto de modo que pudiera resultar dudoso con su regulación legal, es admitido a trámite, analizado y resuelto por el órgano judicial con un pronunciamiento sobre el fondo de la pretensión, debe rechazarse este óbice procesal cuando la demanda de amparo se presenta ante este Tribunal dentro del plazo previsto en el art. 44.2 LOTC contado a partir de la fecha en la que los órganos judiciales dieron por agotada la vía judicial al desestimar el incidente de nulidad de actuaciones (SSTC 148/2003, de 14 de julio, FJ 2; 85/2005, de 18 de abril, FJ 2; 127/2005, de 23 de mayo, FJ 2; 246/2005, de 10 de octubre; y 47/2006, de 13 de febrero, FJ 2, entre otras). Esto es lo acaecido precisamente en el presente caso, en el que el incidente de nulidad de actuaciones fue admitido a trámite mediante providencia de 23 de junio de 2003, analizado a la vista de las alegaciones de las distintas partes intervinientes y resuelto mediante un pronunciamiento sobre el fondo de la queja de incongruencia formulada, aunque de signo desestimatorio; presentándose posteriormente la demanda de amparo en el plazo de veinte días desde la notificación del Auto resolutorio del incidente de nulidad de actuaciones. Por lo que, con arreglo a la doctrina expuesta, la demanda de amparo debe considerarse formulada dentro del plazo establecido en el art. 44. 2 LOTC.</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Cuestión distinta es si la motivación ofrecida por la Sentencia impugnada puede estimarse acorde con el derecho a la tutela judicial efectiva sin indefensión, en cuanto que pueda considerarse fundada en derecho. Debe comenzarse por recordar que, conforme a la consolidada doctrina de este Tribunal, el derecho a la tutela judicial efectiva se satisface, en esencia, con una respuesta jurídicamente fundada de los órganos jurisdiccionales a las pretensiones de quien acude ante ellos, ya sea favorable o adversa a sus intereses. Ello implica, en primer lugar, que la resolución ha de estar motivada, es decir, contener los elementos o razones de juicio que permitan conocer cuáles han sido los criterios jurídicos esenciales fundamentadores de la decisión o, lo que es lo mismo, su ratio decidendi (SSTC 119/2003, de 16 de junio, FJ 3; 75/2005, de 4 de abril, FJ 5). En segundo lugar, que la motivación debe contener una fundamentación en Derecho, deber que no queda cumplido con la mera emisión de una declaración de voluntad en un sentido u otro, sino que debe ser consecuencia de una exégesis racional del ordenamiento y no fruto de la arbitrariedad, pues tanto si la aplicación de la legalidad es fruto de un error patente como si fuere arbitraria, manifiestamente irrazonada o irrazonable no podría considerarse fundada en Derecho, dado que la aplicación de la legalidad sería entonces una mera apariencia, lesionando, por ello, el derecho a la tutela judicial (SSTC 82/2001, de 26 de marzo, FJ 2; 221/2001, de 31 de octubre, FJ 6; 55/2003, </w:t>
      </w:r>
      <w:r>
        <w:lastRenderedPageBreak/>
        <w:t>de 24 de marzo, FJ 6; 325/2005, de 12 de diciembre, FJ 2; y 59/2006, de 27 de febrero, FJ 3). Por ello, si bien es cierto que la aplicación de la legalidad corresponde exclusivamente a los Tribunales ordinarios (art. 117.3 CE) y que, por tanto, este Tribunal Constitucional carece de jurisdicción para actuar como una instancia destinada a velar por la corrección interna de la interpretación jurisdiccional de la legalidad ordinaria, ello “no obsta para que, en determinados supuestos, pueda estar justificado el análisis mismo del razonamiento judicial en esta vía de amparo constitucional, porque la inadecuación o el error en tal razonamiento puede eventualmente traducirse en una decisión lesiva de un derecho fundamental” (SSTC 100/1987, de 12 de junio, FJ 4; 333/2005, de 20 de diciembre, FJ 2,  y 59/2006, de 27 de febrero, FJ 3).</w:t>
      </w:r>
    </w:p>
    <w:p w:rsidR="00DE14C9" w:rsidRDefault="00DE14C9" w:rsidP="00DE14C9">
      <w:pPr>
        <w:pStyle w:val="TextoNormal"/>
      </w:pPr>
      <w:r>
        <w:t>En particular, para examinar si un pronunciamiento judicial ha incurrido en un vicio de irrazonabilidad susceptible de tutela a través del recurso de amparo es necesario partir de la idea de que la validez de un razonamiento desde el plano puramente lógico es independiente de la verdad o falsedad de sus premisas y de su conclusión pues, en lógica, la noción fundamental es la coherencia y no la verdad del hecho, al no ocuparse esta rama del pensamiento de verdades materiales, sino de las relaciones formales existentes entre ellas. Ahora bien, dado que es imposible construir el Derecho como un sistema lógico puro, este Tribunal ha unido a la exigencia de coherencia formal del discurso la exigencia de que el mismo, desde la perspectiva jurídica, no pueda ser tachado de irrazonable. A tal efecto, es preciso señalar, como lo ha hecho este Tribunal,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(SSTC 164/2002, de 17 de septiembre, FJ 4; 214/1999, de 29 de noviembre, FJ 4; 228/2005, de 12 de septiembre, FJ 3; 59/2006, de 27 de febrero, FJ 3; 109/2006, de 3 de abril, FJ 5; y 215/2006, de 3 de julio, FJ 3, entre otras).</w:t>
      </w:r>
    </w:p>
    <w:p w:rsidR="00DE14C9" w:rsidRDefault="00DE14C9" w:rsidP="00DE14C9">
      <w:pPr>
        <w:pStyle w:val="TextoNormal"/>
      </w:pPr>
      <w:r>
        <w:t>Asimismo, para verificar si una resolución judicial ha incurrido en un error patente con relevancia constitucional, con arreglo a la reiterada jurisprudencia de este Tribunal, es preciso constatar la concurrencia de distintos requisitos: a) que el error sea determinante de la decisión adoptada; esto es, que constituya el soporte único o básico de la resolución (ratio decidendi), de modo que, constatada su existencia, la fundamentación jurídica de la resolución judicial pierda el sentido y alcance que la justificaba, y no pueda conocerse cuál hubiese sido su sentido de no haberse incurrido en el error; b) que sea atribuible al órgano judicial, es decir, que no sea imputable a la negligencia de la parte; c) ha de ser de carácter eminentemente fáctico además de patente, esto es, inmediatamente verificable de forma incontrovertible a partir de las actuaciones judiciales por conducir a una conclusión absurda o contraria a los principios elementales de la lógica y de la experiencia, y sin que para su constatación sea menester el apoyo en valoración o consideración jurídica alguna; y d) ha de producir efectos negativos en la esfera del ciudadano, de modo que las meras inexactitudes que no produzcan efectos para las partes carecen de relevancia constitucional (cfr. SSTC 26/2003, de 10 de febrero, FJ 4; 142/2005, de 6 de junio, FFJJ 2 y 3; 290/2005, de 7 de noviembre, FFJJ 3 y 4; 64/2006, de 27 de febrero, FFJJ 3 y 4; y 192/2006, de 19 de julio, FJ 3, entre otras).</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La aplicación de la anterior doctrina al presente caso nos lleva igualmente a negar que puedan apreciarse en este supuesto los requisitos exigidos para apreciar error patente en la afirmación judicial de que la recurrente había reconocido la notificación de la providencia </w:t>
      </w:r>
      <w:r>
        <w:lastRenderedPageBreak/>
        <w:t>de apremio de la que era consecuencia la diligencia de embargo, pues no resulta inmediatamente verificable de forma incontrovertible a partir de las actuaciones judiciales que ello sea totalmente falso, ni puede mantenerse que para su constatación no sea precisa valoración o consideración jurídica alguna (STC 26/2003, de 10 de febrero, FJ 4).</w:t>
      </w:r>
    </w:p>
    <w:p w:rsidR="00DE14C9" w:rsidRDefault="00DE14C9" w:rsidP="00DE14C9">
      <w:pPr>
        <w:pStyle w:val="TextoNormal"/>
      </w:pPr>
      <w:r>
        <w:t>Ahora, lo anterior no significa que la argumentación contenida en la Sentencia impugnada pueda considerarse expresiva de una motivación fundada en derecho, como consecuencia de concurrir lo que la demandante de amparo considera como una extrapolación muy injusta del reconocimiento realmente efectuado, y como una indebida equiparación entre la notificación de la providencia de apremio relativa a una única deuda tributaria efectivamente efectuada y la notificación de las providencias de apremio por el resto de las deudas tributarias a las que se refería la diligencia de embargo, que no fue realizada. Esta Sala aprecia que ello constituye una aplicación irrazonable del Derecho al observarse una quiebra lógica en el discurso que conduce del razonamiento a la decisión.</w:t>
      </w:r>
    </w:p>
    <w:p w:rsidR="00DE14C9" w:rsidRDefault="00DE14C9" w:rsidP="00DE14C9">
      <w:pPr>
        <w:pStyle w:val="TextoNormal"/>
      </w:pPr>
      <w:r>
        <w:t>En efecto, el argumento central del discurso o razonamiento del órgano judicial está exento en principio de todo atisbo de irrazonabilidad, consistiendo en que las causas esgrimidas para impugnar la diligencia de embargo (prescripción y falta de notificación de las liquidaciones) constituían en realidad causas de oposición a la providencia de apremio reconducibles a los motivos previstos en el art. 137 b) y d) de la Ley general tributaria (LGT) y en el art. 99 a) y b) del Reglamento general de recaudación (RGR), por lo que, si la parte consintió la providencia de apremio, sin recurrirla al serle notificada, no podía impugnarla después mediante la impugnación de la diligencia de embargo, ya que ésta no es sino la mera consecuencia del anterior acto consentido.</w:t>
      </w:r>
    </w:p>
    <w:p w:rsidR="00DE14C9" w:rsidRDefault="00DE14C9" w:rsidP="00DE14C9">
      <w:pPr>
        <w:pStyle w:val="TextoNormal"/>
      </w:pPr>
      <w:r>
        <w:t>Sin embargo, la quiebra lógica en dicho discurso se produce como consecuencia de que, justificándose la realidad de la notificación de la providencia de apremio exclusivamente en el reconocimiento de dicha notificación por la recurrente en amparo y circunscribiéndose dicho reconocimiento de parte únicamente a la licencia fiscal industrial del ejercicio 1990, como mantiene la demandante de amparo y consta de modo inequívoco en las actuaciones, resulta irrazonable concluir que consintió la providencia de apremio dictada por la licencia fiscal y por el impuesto de actividades económicas de los ejercicios 1988-1989 y 1992-1993, respectivamente, cuando en la Sentencia de 23 de mayo de 2003 de la Sección Segunda de la Sala de lo Contencioso-Administrativo del Tribunal Superior de Justicia de Asturias no se razona la existencia de medio de acreditamiento alguno de la existencia y notificación de la providencia de apremio relativa a dichas deudas tributarias distinto del propio reconocimiento de la actora.</w:t>
      </w:r>
    </w:p>
    <w:p w:rsidR="00DE14C9" w:rsidRDefault="00DE14C9" w:rsidP="00DE14C9">
      <w:pPr>
        <w:pStyle w:val="TextoNormal"/>
      </w:pPr>
      <w:r>
        <w:t>Ciertamente en el presente caso el expediente administrativo del que dimanan el posterior proceso contencioso-administrativo y este proceso constitucional resulta incompleto, como reconocieron en el proceso contencioso-administrativo, en la contestación a la demanda, tanto el Principado de Asturias de forma expresa (página 110 de las actuaciones) como el Ayuntamiento de Oviedo mediante remisión al relato de hechos de la contestación del Principado (página 117 de las actuaciones), carácter incompleto cuyo origen remoto puede encontrarse en el Acuerdo del Pleno del Ayuntamiento de Oviedo de 28 de noviembre de 1996 mediante el que se acordó revocar la delegación de funciones de gestión y recaudación de tributos existente en el Principado de Asturias con efectos 1 de enero de 1997, publicado en el “Boletín Oficial del Principado” de 28 de diciembre de 1996, según consta en los documentos obrantes en las páginas 35 y 36 de las actuaciones.</w:t>
      </w:r>
    </w:p>
    <w:p w:rsidR="00DE14C9" w:rsidRDefault="00DE14C9" w:rsidP="00DE14C9">
      <w:pPr>
        <w:pStyle w:val="TextoNormal"/>
      </w:pPr>
      <w:r>
        <w:t xml:space="preserve">El carácter incompleto del expediente administrativo impedía conocer el desarrollo formal de todo el procedimiento de apremio seguido para el cobro de la licencia fiscal industrial </w:t>
      </w:r>
      <w:r>
        <w:lastRenderedPageBreak/>
        <w:t>correspondiente a los ejercicios 1988 a 1990 y del impuesto de actividades económicas relativo a los ejercicios 1992 y 1993 en el que se dictó la diligencia de embargo de fecha 15 de mayo de 1996 (página 20 de las actuaciones) recurrida por la hoy entidad demandante de amparo. No obstante tanto el Principado de Asturias como el Ayuntamiento de Oviedo esgrimieron en sendos escritos de contestación a la demanda, como una de las causas de oposición a la demanda de la recurrente en amparo que ésta había reconocido, en el escrito mediante el que se recurría en reposición la diligencia de embargo y que obraba en el expediente, que el 4 de julio de 1995 había sido notificada la providencia de apremio de la que traía causa el embargo impugnado sin haberla recurrido, providencia que por lo tanto resultaba firme y consentida, sin que pudiera combatir so pretexto de impugnar la diligencia de embargo (páginas 111, 115 y 118 de las actuaciones).</w:t>
      </w:r>
    </w:p>
    <w:p w:rsidR="00DE14C9" w:rsidRDefault="00DE14C9" w:rsidP="00DE14C9">
      <w:pPr>
        <w:pStyle w:val="TextoNormal"/>
      </w:pPr>
      <w:r>
        <w:t>Frente a lo anterior la entidad demandante de amparo puso de manifiesto, tanto en el escrito de proposición de prueba como en el escrito de conclusiones (obrantes en las páginas 123 y ss. y 162 y ss. de las actuaciones), que lo único que se le notificó, y así se reconoció en su recurso de reposición, era el certificado de descubierto y la providencia de apremio de 28 de febrero de 1991, que sólo se referían a la licencia fiscal del ejercicio 1990 que estaba prescrita, sin que recibiera notificación alguna de providencia de apremio relativa a la licencia fiscal de los años 1988 y 1989 o al impuesto de actividades económicas correspondiente a los ejercicios 1992 y 1993, aunque la diligencia de embargo se refiriese a todas ellas.</w:t>
      </w:r>
    </w:p>
    <w:p w:rsidR="00DE14C9" w:rsidRDefault="00DE14C9" w:rsidP="00DE14C9">
      <w:pPr>
        <w:pStyle w:val="TextoNormal"/>
      </w:pPr>
      <w:r>
        <w:t>La demanda fue desestimada por Sentencia de 23 de mayo de 2003 de la Sección Segunda de la Sala de lo Contencioso-Administrativo del Tribunal Superior de Justicia de Asturias, acogiendo la alegación de las demandadas relativa a que no se impugnaba en realidad la diligencia de embargo sino la resolución anterior, la providencia de apremio, que no fue recurrida en tiempo y forma, pese a reconocer la actora que le fue notificada con fecha 4 de julio de 1995, y frente a la que debiera haber articulado su oposición a la vía de apremio con base en los motivos previstos en el art. 137 b) y d) LGT y en el art. 99 a) y b) RGR. Por lo que, siendo dicha providencia de apremio firme y consentida, no podía combatirse ahora al impugnar la diligencia de embargo sin aducir vicios intrínsecos de la misma, ya que no era sino la mera consecuencia del anterior apremio firme.</w:t>
      </w:r>
    </w:p>
    <w:p w:rsidR="00DE14C9" w:rsidRDefault="00DE14C9" w:rsidP="00DE14C9">
      <w:pPr>
        <w:pStyle w:val="TextoNormal"/>
      </w:pPr>
      <w:r>
        <w:t xml:space="preserve">Como hemos anticipado se produce una quiebra lógica en el razonamiento del órgano judicial conducente al fallo, que impide considerar que la Sentencia impugnada en amparo pueda considerarse fundada en Derecho. En el presente caso no consta en el incompleto expediente administrativo providencia de apremio de ninguna de las deudas tributarias por las que se decreta la diligencia de embargo, ni de las relativas a la licencia fiscal industrial de los ejercicios 1988 a 1990, ni de las correspondientes al impuesto de actividades económicas de los ejercicios 1992 y 1993, constando sólo referenciada en la carta de pago relativa exclusivamente a la licencia fiscal industrial del año 1990, la fecha de una providencia de apremio datada el 28 de febrero de 1991 (páginas 22 y 151 y ss. de las actuaciones). Y sólo la notificación de la providencia de apremio referida a la licencia fiscal industrial del año 1990 fue reconocida en su escrito de reposición por la parte recurrente en amparo, sin que reconociera la notificación de providencia de apremio alguna referente a la licencia fiscal industrial de los años 1988 y 1989, ni al impuesto de actividades económicas de los ejercicios 1992 y 1993, tal y como puso de manifiesto durante el proceso contencioso-administrativo en el escrito de proposición de prueba (páginas 123 y ss. de las actuaciones), en el escrito de conclusiones (páginas 162 y ss. de las actuaciones) y en el escrito de planteamiento del incidente de nulidad de actuaciones (páginas 192 y ss. de las actuaciones), y tal y como figura en las alegaciones segunda y cuarta del recurso de reposición, con base en el </w:t>
      </w:r>
      <w:r>
        <w:lastRenderedPageBreak/>
        <w:t>cual las partes demandadas fundaban el reconocimiento de la actora (páginas 12 y ss. de las actuaciones).</w:t>
      </w:r>
    </w:p>
    <w:p w:rsidR="00DE14C9" w:rsidRDefault="00DE14C9" w:rsidP="00DE14C9">
      <w:pPr>
        <w:pStyle w:val="TextoNormal"/>
      </w:pPr>
      <w:r>
        <w:t>En definitiva, la quiebra lógica en el razonamiento que conduce al fallo de la Sentencia impugnada se produce como consecuencia de que, no constando en el incompleto expediente administrativo providencia de apremio de ninguna de las deudas tributarias por las que se decreta la diligencia de embargo (licencia fiscal industrial de los años 1988 a 1990 e impuesto de actividades económicas de los ejercicios 1992 y 1993), y justificándose la realidad de la notificación de la providencia de apremio exclusivamente en el reconocimiento de dicha notificación por la recurrente en amparo, reconocimiento de parte que se circunscribía única y exclusivamente a la licencia fiscal industrial del ejercicio 1990, pero que se negaba respecto de la licencia fiscal industrial de 1988-1989 y respecto del impuesto de actividades económicas de 1992-1993, como mantiene la demandante de amparo y consta de modo inequívoco en las actuaciones, resulta irrazonable concluir que se consintió la providencia de apremio dictada por la licencia fiscal de los años 1988-1989 y por el impuesto de actividades económicas de los ejercicios 1992-1993 cuando en la Sentencia del Tribunal Superior de Justicia de Asturias no se razona la existencia de medio de acreditamiento alguno de la existencia y notificación de la providencia de apremio relativa a dichas deudas tributarias. Lo que nos conduce a apreciar que dicha Sentencia incurre en lo que en la doctrina de este Tribunal se ha calificado como quiebra lógica de tal magnitud que la conclusión alcanzada no puede considerarse basada en la razón aducida (SSTC 164/2002, de 17 de septiembre, FJ 4; 214/1999, de 29 de noviembre, FJ 4; 228/2005, de 12 de septiembre, FJ 3; 59/2006, de 27 de febrero, FJ 3; 109/2006, de 3 de abril, FJ 5; y 215/2006, de 3 de julio, FJ 3, entre otras) y que no ha sido reparada en el posterior Auto desestimatorio del incidente de nulidad de actuaciones.</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parcialmente el amparo solicitado por Construcciones Casamarín, 22, S.A. y, en consecuencia:</w:t>
      </w:r>
    </w:p>
    <w:p w:rsidR="00DE14C9" w:rsidRDefault="00DE14C9" w:rsidP="00DE14C9">
      <w:pPr>
        <w:pStyle w:val="TextoNormal"/>
      </w:pPr>
      <w:r>
        <w:t>1º Declarar que se ha vulnerado a la demandante de amparo su derecho a la tutela judicial efectiva sin indefensión (art. 24.1 CE).</w:t>
      </w:r>
    </w:p>
    <w:p w:rsidR="00DE14C9" w:rsidRDefault="00DE14C9" w:rsidP="00DE14C9">
      <w:pPr>
        <w:pStyle w:val="TextoNormal"/>
      </w:pPr>
      <w:r>
        <w:t>2º Restablecerla en su derecho y, a tal fin, declarar la nulidad de la Sentencia de 23 de mayo de 2003 y del Auto de 28 de octubre de 2003 de la Sección Segunda de la Sala de lo Contencioso-Administrativo del Tribunal Superior de Justicia de Asturias, retrotrayendo las actuaciones al momento procesal inmediatamente anterior al de dictarse dicha Sentencia con el objeto de que el mencionado Tribunal pronuncie otra plenamente respetuosa con aquel derecho fundamental.</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cuatro de junio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46" w:name="SENTENCIA_2007_133"/>
      <w:r>
        <w:lastRenderedPageBreak/>
        <w:t>SENTENCIA 133/2007, de 4 de junio de 2007</w:t>
      </w:r>
    </w:p>
    <w:bookmarkEnd w:id="46"/>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161, de 6 de junio de 2007)</w:t>
      </w:r>
    </w:p>
    <w:p w:rsidR="00DE14C9" w:rsidRDefault="00DE14C9" w:rsidP="00DE14C9">
      <w:pPr>
        <w:pStyle w:val="TtuloBOE"/>
      </w:pPr>
    </w:p>
    <w:p w:rsidR="00DE14C9" w:rsidRDefault="00DE14C9" w:rsidP="00DE14C9">
      <w:pPr>
        <w:pStyle w:val="SntesisDescriptiva"/>
      </w:pPr>
      <w:r>
        <w:t>ECLI:ES:TC:2007:133</w:t>
      </w:r>
    </w:p>
    <w:p w:rsidR="00DE14C9" w:rsidRDefault="00DE14C9" w:rsidP="00DE14C9">
      <w:pPr>
        <w:pStyle w:val="SntesisDescriptiva"/>
      </w:pPr>
    </w:p>
    <w:p w:rsidR="00DE14C9" w:rsidRDefault="00DE14C9" w:rsidP="00DE14C9">
      <w:pPr>
        <w:pStyle w:val="SntesisDescriptiva"/>
      </w:pPr>
      <w:r>
        <w:t>Recurso de amparo 1790-2004. Promovido por Juan Montoya Montoya frente a los Autos de la Sala de lo Contencioso-Administrativo del Tribunal Superior de Justicia de Murcia que declararon caducado su recurso en materia tributaria.</w:t>
      </w:r>
    </w:p>
    <w:p w:rsidR="00DE14C9" w:rsidRDefault="00DE14C9" w:rsidP="00DE14C9">
      <w:pPr>
        <w:pStyle w:val="SntesisDescriptiva"/>
      </w:pPr>
    </w:p>
    <w:p w:rsidR="00DE14C9" w:rsidRDefault="00DE14C9" w:rsidP="00DE14C9">
      <w:pPr>
        <w:pStyle w:val="SntesisAnaltica"/>
      </w:pPr>
      <w:r>
        <w:t>Alegada vulneración del derecho a la tutela judicial efectiva (acceso a la justicia): extinción del recurso constitucional de amparo por satisfacción extraprocesal de la pretensión.</w:t>
      </w:r>
    </w:p>
    <w:p w:rsidR="00DE14C9" w:rsidRDefault="00DE14C9" w:rsidP="00DE14C9">
      <w:pPr>
        <w:pStyle w:val="SntesisAnaltica"/>
      </w:pPr>
    </w:p>
    <w:p w:rsidR="00DE14C9" w:rsidRDefault="00DE14C9" w:rsidP="00DE14C9">
      <w:pPr>
        <w:pStyle w:val="Extracto"/>
      </w:pPr>
      <w:r>
        <w:t>1.</w:t>
      </w:r>
      <w:r>
        <w:tab/>
        <w:t>Siendo el recurso de amparo un remedio jurisdiccional idóneo únicamente para la reparación de lesiones singulares y efectivas de los derechos fundamentales, cuando dicha pretensión se ha visto satisfecha fuera del propio proceso de amparo, debe concluirse que el mismo carece desde ese momento de objeto sobre el que deba pronunciarse este Tribunal (SSTC 13/2005, 332/2006; y ATC 156/2003) [FJ 3].</w:t>
      </w:r>
    </w:p>
    <w:p w:rsidR="00DE14C9" w:rsidRDefault="00DE14C9" w:rsidP="00DE14C9">
      <w:pPr>
        <w:pStyle w:val="Extracto"/>
      </w:pPr>
    </w:p>
    <w:p w:rsidR="00DE14C9" w:rsidRDefault="00DE14C9" w:rsidP="00DE14C9">
      <w:pPr>
        <w:pStyle w:val="Extracto"/>
      </w:pPr>
      <w:r>
        <w:t>2.</w:t>
      </w:r>
      <w:r>
        <w:tab/>
        <w:t>Doctrina sobre la desaparición sobrevenida del objeto del proceso en los casos en los que, en el procedimiento que dio origen al recurso de amparo, los propios órganos judiciales han reparado las lesiones del derecho invocado en sede constitucional (STC 118/2007) [FFJJ 2,3].</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1790-2004, promovido por don Juan Montoya Montoya, representado por el Procurador de los Tribunales don Jorge Deleito García y asistido por el Abogado don Santiago Serna Rocamora, contra el Auto de 12 de febrero de 2004 dictado por la Sección Primera de la Sala de lo Contencioso-Administrativo del Tribunal Superior de Justicia de Murcia en el procedimiento ordinario núm. 1563-2003. Han intervenido el Letrado de la Comunidad Autónoma de la Región de Murcia, el Abogado del Estado y el Ministerio Fiscal. Ha sido Ponente el Magistrado Javier Delgado Barrio,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registrado en este Tribunal el 18 de marzo de 2004, el Procurador de los Tribunales don Jorge Deleito García, en nombre y representación de don Juan Montoya Montoya, interpuso recurso de amparo constitucional contra el Auto citado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que fundamentan la demanda de amparo son resumidamente los siguientes: </w:t>
      </w:r>
    </w:p>
    <w:p w:rsidR="00DE14C9" w:rsidRDefault="00DE14C9" w:rsidP="00DE14C9">
      <w:pPr>
        <w:pStyle w:val="TextoNormal"/>
      </w:pPr>
      <w:r>
        <w:t xml:space="preserve">a) Contra la Resolución del Tribunal Económico-Administrativo de la Región de Murcia, de fecha 31 de octubre de 2002, que desestimó las reclamaciones económico-administrativas 30-2362-99 y acumulada 30-2413-99, el recurrente en amparo interpuso recurso contencioso-administrativo ante el Tribunal Superior de Justicia de Murcia, que lo admitió y registró con el núm. 1563-2003 para su tramitación. </w:t>
      </w:r>
    </w:p>
    <w:p w:rsidR="00DE14C9" w:rsidRDefault="00DE14C9" w:rsidP="00DE14C9">
      <w:pPr>
        <w:pStyle w:val="TextoNormal"/>
      </w:pPr>
      <w:r>
        <w:t xml:space="preserve">b) La Sección Primera de la Sala de lo Contencioso-Administrativo del citado Tribunal, por diligencia de ordenación, de fecha 1 de septiembre de 2003, notificada el siguiente día 5, concedió al recurrente plazo por veinte días para formalizar su demanda. </w:t>
      </w:r>
    </w:p>
    <w:p w:rsidR="00DE14C9" w:rsidRDefault="00DE14C9" w:rsidP="00DE14C9">
      <w:pPr>
        <w:pStyle w:val="TextoNormal"/>
      </w:pPr>
      <w:r>
        <w:t xml:space="preserve">c) Transcurrido el citado plazo sin que el recurrente la formalizara, la Sección, por Auto del siguiente 21 de noviembre, declaró caducado el recurso interpuesto, de conformidad con lo dispuesto en el art. 52.2 LJCA. Este Auto le fue notificado al demandante el siguiente 27 de noviembre de 2003. </w:t>
      </w:r>
    </w:p>
    <w:p w:rsidR="00DE14C9" w:rsidRDefault="00DE14C9" w:rsidP="00DE14C9">
      <w:pPr>
        <w:pStyle w:val="TextoNormal"/>
      </w:pPr>
      <w:r>
        <w:t xml:space="preserve">d) Con arreglo a lo dispuesto en el propio art. 52.2 LJCA, que literalmente advierte que “se admitirá el escrito de demanda si se presenta el mismo día en el que se notifica el Auto por el que se acuerda la caducidad del recurso”, el recurrente presentó el oportuno escrito de demanda. Pero no lo hizo el mismo día en el que se le notificó el Auto, esto es, el día 27 de noviembre de 2003, sino al día siguiente, al cerrar el Registro del Tribunal Superior de Justicia de Murcia a las 14 horas y no admitir el Juzgado de guardia otros escritos que los dirigidos a la jurisdicción penal. </w:t>
      </w:r>
    </w:p>
    <w:p w:rsidR="00DE14C9" w:rsidRDefault="00DE14C9" w:rsidP="00DE14C9">
      <w:pPr>
        <w:pStyle w:val="TextoNormal"/>
      </w:pPr>
      <w:r>
        <w:t>e) Por nuevo Auto de 12 de enero de 2004, la Sección acordó no admitir el citado escrito de demanda por extemporáneo y, en consecuencia, confirmar su decisión de declarar caducado el recurso. Contra este Auto, el recurrente interpuso recurso de súplica que fue desestimado por nuevo Auto de la Sección Primera de la Sala, de 12 de febrero de 2004.</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En el recurso de amparo se denuncia que la decisión del órgano judicial, que declaró extemporáneo el escrito de demanda por haberse presentado al día siguiente del que se le notificó el Auto de caducidad, vulnera el derecho a la tutela judicial efectiva en su vertiente de acceso a la jurisdicción (art. 24.1 CE). Alega, en particular, que no pudo presentar el escrito de demanda el mismo día en que se le notificó el Auto de caducidad, como establece el art. 52.2 LJCA, por encontrarse cerrado el Registro del Tribunal Superior de Justicia de Murcia a partir de las 14 horas y no poder presentar en el Juzgado de guardia escritos dirigidos a la jurisdicción contencioso-administrativa, en cumplimiento de lo dispuesto en el artículo 41 del Reglamento 5/1995, de 7 de junio, de los aspectos accesorios de las actuaciones judiciales, en la redacción dada al mismo por Acuerdo reglamentario 1/2001, de 10 de enero, del Consejo General del Poder Judicial, y de las instrucciones dictadas por la Presidencia del Tribunal Superior de Justicia de Murcia. Por este motivo, argumenta que para </w:t>
      </w:r>
      <w:r>
        <w:lastRenderedPageBreak/>
        <w:t xml:space="preserve">garantizar su derecho a la tutela judicial efectiva debió considerarse dentro de plazo la demanda al haberse presentado al día siguiente en el órgano judicial al que iba dirigida, que es lo que autoriza por su parte el art. 135 LEC, de aplicación supletoria. Al no hacerlo así, el recurrente afirma que la Sección Primera de la Sala de lo Contencioso-Administrativo ha aplicado con rigor excesivo una norma procesal que le ha colocado en una situación de flagrante indefensión. En su opinión, los Autos impugnados imponen un rigor desproporcionado en las exigencias formales que va más allá de la finalidad a la que éstas responden, impidiendo el acceso a la jurisdicción y lesionando por este motivo su derecho a la tutela judicial efectiva. Se señala, además, que las resoluciones judiciales impugnadas no han tomado en consideración que el día de vencimiento expira a las 24 horas, y que, a pesar de ello, no existía sin embargo un lugar donde presentar el escrito de demanda a partir de las 14 horas en que cierra el Registro General. </w:t>
      </w:r>
    </w:p>
    <w:p w:rsidR="00DE14C9" w:rsidRDefault="00DE14C9" w:rsidP="00DE14C9">
      <w:pPr>
        <w:pStyle w:val="TextoNormal"/>
      </w:pPr>
      <w:r>
        <w:t>También alega el recurrente que el Auto de 12 de febrero de 2004, que desestimó su recurso de súplica, incurre en un defecto de motivación que le ha causado indefensión, toda vez que responde en forma estereotipada e ignora las verdaderas cuestiones entonces planteadas.</w:t>
      </w:r>
    </w:p>
    <w:p w:rsidR="00DE14C9" w:rsidRDefault="00DE14C9" w:rsidP="00DE14C9">
      <w:pPr>
        <w:pStyle w:val="TextoNormal"/>
      </w:pPr>
    </w:p>
    <w:p w:rsidR="00DE14C9" w:rsidRDefault="00DE14C9" w:rsidP="00DE14C9">
      <w:pPr>
        <w:pStyle w:val="TextoNormal"/>
      </w:pPr>
      <w:r w:rsidRPr="00DE14C9">
        <w:rPr>
          <w:rStyle w:val="NumeroAFNegritaCaracter"/>
        </w:rPr>
        <w:t>4</w:t>
      </w:r>
      <w:r>
        <w:t>. Por providencia de 24 de mayo de 2006, la Sección Primera de este Tribunal acordó admitir a trámite la demanda de amparo y, de conformidad con lo dispuesto en el art. 51 LOTC, dirigir comunicación a la Sección Primera de la Sala de lo Contencioso-Administrativo del Tribunal Superior de Justicia de Murcia y al Tribunal Económico-Administrativo de la Región de Murcia para que respectivamente remitieran testimonio del procedimiento ordinario 1563-2003 y del expediente a que dio lugar la reclamación núm. 30-2362-99, a la que se acumuló la núm. 30-2413-99, interesándose al tiempo que se emplazase a quienes hubieran sido parte en ese procedimiento, con excepción de la parte recurrente, para que en el plazo de diez días pudieran comparecen en este proceso constitucional de amparo. Lo que efectivamente hizo el Abogado del Estado, en la representación que ostenta, mediante escrito registrado en este Tribunal el 14 de noviembre de 2006, interesando se le tuviera por personado y otro tanto haría también el Letrado de la Comunidad Autónoma de la Región de Murcia don Juan Antonio Megías García que, por escrito registrado en este Tribunal el 27 de noviembre de 2006, solicitó que se tuviera por personada a esa Administración autonómica en el presente recurso de amparo.</w:t>
      </w:r>
    </w:p>
    <w:p w:rsidR="00DE14C9" w:rsidRDefault="00DE14C9" w:rsidP="00DE14C9">
      <w:pPr>
        <w:pStyle w:val="TextoNormal"/>
      </w:pPr>
    </w:p>
    <w:p w:rsidR="00DE14C9" w:rsidRDefault="00DE14C9" w:rsidP="00DE14C9">
      <w:pPr>
        <w:pStyle w:val="TextoNormal"/>
      </w:pPr>
      <w:r w:rsidRPr="00DE14C9">
        <w:rPr>
          <w:rStyle w:val="NumeroAFNegritaCaracter"/>
        </w:rPr>
        <w:t>5</w:t>
      </w:r>
      <w:r>
        <w:t>. Por diligencia de ordenación de 10 de enero de 2007, la Sección Primera de este Tribunal acordó tener por recibidos los testimonios reclamados y tener por personados y parte en la representación que respectivamente ostentan al Abogado del Estado y al Letrado de la Comunidad Autónoma de la Región de Murcia y, con arreglo a lo dispuesto en el art. 52 LOTC, conceder al Ministerio Fiscal y a las partes personadas plazo común por veinte días para que, con vista de todas las actuaciones recibidas, pudieran presentar alegaciones.</w:t>
      </w:r>
    </w:p>
    <w:p w:rsidR="00DE14C9" w:rsidRDefault="00DE14C9" w:rsidP="00DE14C9">
      <w:pPr>
        <w:pStyle w:val="TextoNormal"/>
      </w:pPr>
    </w:p>
    <w:p w:rsidR="00DE14C9" w:rsidRDefault="00DE14C9" w:rsidP="00DE14C9">
      <w:pPr>
        <w:pStyle w:val="TextoNormal"/>
      </w:pPr>
      <w:r w:rsidRPr="00DE14C9">
        <w:rPr>
          <w:rStyle w:val="NumeroAFNegritaCaracter"/>
        </w:rPr>
        <w:t>6</w:t>
      </w:r>
      <w:r>
        <w:t>. Con fecha 1 de febrero de 2007, se registró en este Tribunal escrito de la Sala de lo Contencioso-Administrativo del Tribunal Superior de Justicia de Murcia al que acompaña testimonio de su Auto de fecha de 20 de diciembre de 2006 por el que acuerda anular sus Autos anteriores de 12 de enero y 12 de febrero de 2004, ordenando la admisión del escrito de demanda entonces rechazado y la retroacción de las actuaciones a ese momento procesal para la reanudación del procedimiento desde ese punto.</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7</w:t>
      </w:r>
      <w:r>
        <w:t>. A la vista de lo anterior, la Sección primera de este Tribunal, por diligencia de ordenación de 8 de febrero de 2007 acordó dar traslado del citado Auto a las partes personadas y el Ministerio Fiscal para que en el plazo de cinco días alegaran lo que estimasen conveniente al respecto.</w:t>
      </w:r>
    </w:p>
    <w:p w:rsidR="00DE14C9" w:rsidRDefault="00DE14C9" w:rsidP="00DE14C9">
      <w:pPr>
        <w:pStyle w:val="TextoNormal"/>
      </w:pPr>
    </w:p>
    <w:p w:rsidR="00DE14C9" w:rsidRDefault="00DE14C9" w:rsidP="00DE14C9">
      <w:pPr>
        <w:pStyle w:val="TextoNormal"/>
      </w:pPr>
      <w:r w:rsidRPr="00DE14C9">
        <w:rPr>
          <w:rStyle w:val="NumeroAFNegritaCaracter"/>
        </w:rPr>
        <w:t>8</w:t>
      </w:r>
      <w:r>
        <w:t>. El 12 de febrero de 2007 el Abogado del Estado presentó su escrito de alegaciones interesando que se dictara sentencia declarando la desaparición sobrevenida del objeto del recurso, habida cuenta que, una vez anuladas las resoluciones judiciales, reabierto el proceso contencioso y, en su consecuencia, reparadas en la vía jurisdiccional ordinaria las lesiones constitucionales que denuncia el demandante, el recurso de amparo, aunque viable en su primer motivo a la luz de la doctrina constitucional que sintetiza, entre otras, la más reciente STC 343/2006, de 11 de diciembre, y no así, en cambio, en su segundo motivo, que considera injustificado toda vez que el Auto que desestimó la súplica está suficientemente motivado, ha perdido en todo caso su razón de ser por satisfacción extraprocesal determinante de la desaparición sobrevenida de su objeto.</w:t>
      </w:r>
    </w:p>
    <w:p w:rsidR="00DE14C9" w:rsidRDefault="00DE14C9" w:rsidP="00DE14C9">
      <w:pPr>
        <w:pStyle w:val="TextoNormal"/>
      </w:pPr>
    </w:p>
    <w:p w:rsidR="00DE14C9" w:rsidRDefault="00DE14C9" w:rsidP="00DE14C9">
      <w:pPr>
        <w:pStyle w:val="TextoNormal"/>
      </w:pPr>
      <w:r w:rsidRPr="00DE14C9">
        <w:rPr>
          <w:rStyle w:val="NumeroAFNegritaCaracter"/>
        </w:rPr>
        <w:t>9</w:t>
      </w:r>
      <w:r>
        <w:t>. Dentro del plazo conferido, el 19 de febrero de 2007, el Ministerio Fiscal presentó sus alegaciones interesando igualmente el archivo del recurso por pérdida sobrevenida de su objeto. Luego de negar el defecto de motivación que se denuncia y de advertir que la decisión judicial que censura el recurrente en amparo traduce una interpretación excesivamente rigorista y formal de las normas procesales, que pugna con el derecho a la tutela judicial efectiva en su vertiente de derecho de acceso a la jurisdicción, concluye, sin embargo, que el hecho de que el propio órgano judicial, mediante el citado Auto de 20 de diciembre de 2006, haya acordado la nulidad de sus Autos anteriores, de fechas 12 de enero y 12 de febrero de 2004, y ordenado la admisión de la demanda contenciosa, satisface íntegramente lo solicitado por el recurrente en su recurso de amparo, que queda en consecuencia vacío de contenido.</w:t>
      </w:r>
    </w:p>
    <w:p w:rsidR="00DE14C9" w:rsidRDefault="00DE14C9" w:rsidP="00DE14C9">
      <w:pPr>
        <w:pStyle w:val="TextoNormal"/>
      </w:pPr>
    </w:p>
    <w:p w:rsidR="00DE14C9" w:rsidRDefault="00DE14C9" w:rsidP="00DE14C9">
      <w:pPr>
        <w:pStyle w:val="TextoNormal"/>
      </w:pPr>
      <w:r w:rsidRPr="00DE14C9">
        <w:rPr>
          <w:rStyle w:val="NumeroAFNegritaCaracter"/>
        </w:rPr>
        <w:t>10</w:t>
      </w:r>
      <w:r>
        <w:t>. Mediante escrito registrado en este Tribunal el 20 de febrero de 2007, el recurrente reiteró su solicitud de amparo y, en consecuencia, el expreso pronunciamiento de este Tribunal acerca de la violación constitucional denunciada, como medio para poder exigir luego las responsabilidades oportunas.</w:t>
      </w:r>
    </w:p>
    <w:p w:rsidR="00DE14C9" w:rsidRDefault="00DE14C9" w:rsidP="00DE14C9">
      <w:pPr>
        <w:pStyle w:val="TextoNormal"/>
      </w:pPr>
    </w:p>
    <w:p w:rsidR="00DE14C9" w:rsidRDefault="00DE14C9" w:rsidP="00DE14C9">
      <w:pPr>
        <w:pStyle w:val="TextoNormal"/>
      </w:pPr>
      <w:r w:rsidRPr="00DE14C9">
        <w:rPr>
          <w:rStyle w:val="NumeroAFNegritaCaracter"/>
        </w:rPr>
        <w:t>11</w:t>
      </w:r>
      <w:r>
        <w:t>. Por su parte, nada dijo el Letrado de la Comunidad Autónoma de la Región de Murcia, que no presentó alegaciones.</w:t>
      </w:r>
    </w:p>
    <w:p w:rsidR="00DE14C9" w:rsidRDefault="00DE14C9" w:rsidP="00DE14C9">
      <w:pPr>
        <w:pStyle w:val="TextoNormal"/>
      </w:pPr>
    </w:p>
    <w:p w:rsidR="00DE14C9" w:rsidRDefault="00DE14C9" w:rsidP="00DE14C9">
      <w:pPr>
        <w:pStyle w:val="TextoNormal"/>
      </w:pPr>
      <w:r w:rsidRPr="00DE14C9">
        <w:rPr>
          <w:rStyle w:val="NumeroAFNegritaCaracter"/>
        </w:rPr>
        <w:t>12</w:t>
      </w:r>
      <w:r>
        <w:t>. Por providencia de 31 de mayo de 2007, se señaló para deliberación y votación de la presente Sentencia el día 4 de junio del mismo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xml:space="preserve">. Tal como se ha indicado en los antecedentes, el recurrente denuncia que la decisión del órgano judicial, que declaró extemporáneo su escrito de demanda contencioso-administrativa por haberlo presentado al día siguiente del que se le notificó el Auto de caducidad, vulnera el derecho a la tutela judicial efectiva, en su vertiente de acceso a la jurisdicción </w:t>
      </w:r>
      <w:r>
        <w:lastRenderedPageBreak/>
        <w:t>(art. 24.1 CE). A su juicio, el órgano judicial ha interpretado y aplicado las normas procesales con rigor excesivo, causándole indefensión, toda vez que si no presentó tempestivamente la demanda conforme autoriza el art. 52 de la Ley de la jurisdicción contencioso-administrativa (LJCA) fue porque no pudo hacerlo el mismo día en el que le fue notificado el citado Auto de caducidad, por encontrarse cerrado el registro del Tribunal Superior de Justicia de Murcia a partir de las 14 horas y no admitir el Juzgado de guardia escritos dirigidos a la jurisdicción contencioso-administrativa.</w:t>
      </w:r>
    </w:p>
    <w:p w:rsidR="00DE14C9" w:rsidRDefault="00DE14C9" w:rsidP="00DE14C9">
      <w:pPr>
        <w:pStyle w:val="TextoNormal"/>
      </w:pPr>
      <w:r>
        <w:t>El recurrente en amparo, además, reprocha al órgano judicial una segunda vulneración del derecho a la tutela judicial efectiva, en su vertiente ahora de acceso a los recursos, argumentando que el Auto de 12 de febrero de 2004, que desestimó su recurso de súplica, carece de la imprescindible motivación.</w:t>
      </w:r>
    </w:p>
    <w:p w:rsidR="00DE14C9" w:rsidRDefault="00DE14C9" w:rsidP="00DE14C9">
      <w:pPr>
        <w:pStyle w:val="TextoNormal"/>
      </w:pPr>
      <w:r>
        <w:t>Con carácter previo al examen del fondo, debemos dilucidar no obstante la posible desaparición sobrevenida del objeto del presente recurso de amparo puesta de manifiesto por el Abogado del Estado y el Ministerio Fiscal en sus respectivos escritos de alegaciones, cuando advierten que las lesiones constitucionales que se denuncian habrían sido reparadas con posterioridad a la interposición de la presente demanda de amparo por el propio órgano judicial que, por Auto de 20 de diciembre de 2006, acordó declarar la nulidad de actuaciones, anuló sus Autos de 12 de enero y 12 de febrero de 2004, impugnados ante este Tribunal, y ordenó la admisión de la demanda formulada por el recurrente, con retroacción de las actuaciones a ese momento procesal para su reanudación.</w:t>
      </w:r>
    </w:p>
    <w:p w:rsidR="00DE14C9" w:rsidRDefault="00DE14C9" w:rsidP="00DE14C9">
      <w:pPr>
        <w:pStyle w:val="TextoNormal"/>
      </w:pPr>
    </w:p>
    <w:p w:rsidR="00DE14C9" w:rsidRDefault="00DE14C9" w:rsidP="00DE14C9">
      <w:pPr>
        <w:pStyle w:val="TextoNormal"/>
      </w:pPr>
      <w:r w:rsidRPr="00DE14C9">
        <w:rPr>
          <w:rStyle w:val="NumeroAFNegritaCaracter"/>
        </w:rPr>
        <w:t>2</w:t>
      </w:r>
      <w:r>
        <w:t>. Como hemos declarado reiteradamente —así, STC 118/2007, de 21 de mayo, FJ 2— la desaparición sobrevenida del objeto del proceso, aun cuando no contemplada expresamente en el art. 86.1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De modo que, en estos supuestos, la demanda de amparo deja de tener objeto, toda vez que la reparación de la lesión del derecho fundamental por los propios órganos judiciales, antes de que este Tribunal dicte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marzo, FJ 2; y 128/2006, de 24 de abril, FJ 2).</w:t>
      </w:r>
    </w:p>
    <w:p w:rsidR="00DE14C9" w:rsidRDefault="00DE14C9" w:rsidP="00DE14C9">
      <w:pPr>
        <w:pStyle w:val="TextoNormal"/>
      </w:pPr>
      <w:r>
        <w:t>La aplicación de esta doctrina al presente asunto, según lo interesado por el Ministerio Fiscal y el Abogado del Estado, conduce a apreciar la desaparición sobrevenida del objeto del presente recurso de amparo.</w:t>
      </w:r>
    </w:p>
    <w:p w:rsidR="00DE14C9" w:rsidRDefault="00DE14C9" w:rsidP="00DE14C9">
      <w:pPr>
        <w:pStyle w:val="TextoNormal"/>
      </w:pPr>
      <w:r>
        <w:t>Como se ha señalado, las resoluciones impugnadas, que rechazaron por extemporánea la demanda contencioso-administrativa que el recurrente presentó el día siguiente al de la notificación del Auto de caducidad, han sido luego anuladas por el propio órgano judicial en su Auto de 20 de diciembre de 2006, que ha ordenado asimismo la admisión de la citada demanda y la consecuente reanudación del proceso. En consecuencia, el derecho fundamental a la tutela judicial efectiva, en su vertiente de derecho de acceso a la jurisdicción invocado por el recurrente, ha sido restablecido en la vía jurisdiccional ordinaria, por lo que carece ya de sentido un concreto pronunciamiento al respecto por nuestra parte.</w:t>
      </w:r>
    </w:p>
    <w:p w:rsidR="00DE14C9" w:rsidRDefault="00DE14C9" w:rsidP="00DE14C9">
      <w:pPr>
        <w:pStyle w:val="TextoNormal"/>
      </w:pPr>
      <w:r>
        <w:t xml:space="preserve">Y tampoco tiene ningún sentido que este Tribunal se pronuncie en este momento sobre el defecto de motivación que bajo la invocación del art. 24.1 CE se denuncia en la demanda </w:t>
      </w:r>
      <w:r>
        <w:lastRenderedPageBreak/>
        <w:t>de amparo atribuyéndolo al Auto de 12 de febrero de 2004, desestimatorio del recurso de súplica interpuesto contra el Auto de 12 de enero de 2004 que inadmitió el escrito de demanda. Pues, aunque el posterior Auto de la Sala, de 20 de diciembre de 2006, nada dice de modo expreso sobre ese supuesto déficit, no hay duda que la eventual indefensión que el recurrente reprocha por ese motivo al Auto de 12 de febrero de 2004, que desestimó su recurso de súplica, aparte de manifiestamente infundada, como de consuno advierten el Abogado del Estado y el Ministerio Fiscal, también habría desaparecido en forma sobrevenida al haber sido anulada esa resolución en la vía jurisdiccional ordinaria y ordenado la Sala la admisión de la demanda contenciosa. Ha de añadirse que en una estimación de este segundo motivo de la demanda, el otorgamiento del amparo comportaría la retroacción de las actuaciones al momento previo de dictarse el Auto que combate para que el órgano judicial resolviera el recurso de súplica del recurrente en forma razonada y congruente con los motivos de su recurso. Lo que ciertamente ningún sentido tendría ahora una vez, como se ha señalado, que el Auto de 12 de febrero de 2004, al igual que el recurrido en súplica de 12 de enero de 2004, han sido anulados por el propio órgano judicial y, por tanto, no existen ya. Y es que en el mencionado recurso de súplica el demandante de amparo solicitaba que, con revocación del Auto que entonces impugnaba, el órgano judicial resolviera “admitir el escrito de formulación de demanda, no declarando en su consecuencia caducado el recurso [contencioso]”. Y, como se ha repetido, la Sala de lo Contencioso-Administrativo del Tribunal Superior de Justicia de Murcia lo ha admitido, anulando los Autos considerados, y ha ordenado la reanudación del proceso, de modo que la concreta pretensión del demandante ha sido íntegramente satisfecha; lo que hace innecesario que nos pronunciemos sobre una eventual vulneración que ya ha sido reparada.</w:t>
      </w:r>
    </w:p>
    <w:p w:rsidR="00DE14C9" w:rsidRDefault="00DE14C9" w:rsidP="00DE14C9">
      <w:pPr>
        <w:pStyle w:val="TextoNormal"/>
      </w:pPr>
    </w:p>
    <w:p w:rsidR="00DE14C9" w:rsidRDefault="00DE14C9" w:rsidP="00DE14C9">
      <w:pPr>
        <w:pStyle w:val="TextoNormal"/>
      </w:pPr>
      <w:r w:rsidRPr="00DE14C9">
        <w:rPr>
          <w:rStyle w:val="NumeroAFNegritaCaracter"/>
        </w:rPr>
        <w:t>3</w:t>
      </w:r>
      <w:r>
        <w:t>. En consecuencia, debemos declarar que el presente recurso de amparo ha perdido su objeto, sin que se advierta ninguna circunstancia que aconseje ahora su examen de fondo. Desde luego no lo es la simple conveniencia, puesta de relieve por el demandante de amparo en el trámite de alegaciones, de contar con un pronunciamiento constitucional que declare la vulneración del derecho fundamental del art. 24.1 CE y “así poder exigir las responsabilidades oportunas”. Pues, como también está subrayado de forma unánime en la doctrina constitucional, siendo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dicha pretensión se ha visto satisfecha fuera del propio proceso de amparo, como por las razones dichas es el caso, debe concluirse que el mismo carece desde ese momento de objeto sobre el que deba pronunciarse este Tribunal (SSTC 13/2005, de 31 de enero, FJ 2; 332/2006, de 20 de noviembre, FJ 2; y ATC 156/2003, de 19 de mayo, FJ 5).</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lastRenderedPageBreak/>
        <w:t>Ha decidido</w:t>
      </w:r>
    </w:p>
    <w:p w:rsidR="00DE14C9" w:rsidRDefault="00DE14C9" w:rsidP="00DE14C9">
      <w:pPr>
        <w:pStyle w:val="TextoNormalCentrado"/>
        <w:keepNext/>
      </w:pPr>
    </w:p>
    <w:p w:rsidR="00DE14C9" w:rsidRDefault="00DE14C9" w:rsidP="00DE14C9">
      <w:pPr>
        <w:pStyle w:val="TextoNormal"/>
      </w:pPr>
      <w:r>
        <w:t>Declarar extinguido el proceso instado por don Juan Montoya Montoya por desaparición sobrevenida de su objeto.</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cuatro de junio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47" w:name="SENTENCIA_2007_134"/>
      <w:r>
        <w:lastRenderedPageBreak/>
        <w:t>SENTENCIA 134/2007, de 4 de junio de 2007</w:t>
      </w:r>
    </w:p>
    <w:bookmarkEnd w:id="47"/>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161, de 6 de julio de 2007)</w:t>
      </w:r>
    </w:p>
    <w:p w:rsidR="00DE14C9" w:rsidRDefault="00DE14C9" w:rsidP="00DE14C9">
      <w:pPr>
        <w:pStyle w:val="TtuloBOE"/>
      </w:pPr>
    </w:p>
    <w:p w:rsidR="00DE14C9" w:rsidRDefault="00DE14C9" w:rsidP="00DE14C9">
      <w:pPr>
        <w:pStyle w:val="SntesisDescriptiva"/>
      </w:pPr>
      <w:r>
        <w:t>ECLI:ES:TC:2007:134</w:t>
      </w:r>
    </w:p>
    <w:p w:rsidR="00DE14C9" w:rsidRDefault="00DE14C9" w:rsidP="00DE14C9">
      <w:pPr>
        <w:pStyle w:val="SntesisDescriptiva"/>
      </w:pPr>
    </w:p>
    <w:p w:rsidR="00DE14C9" w:rsidRDefault="00DE14C9" w:rsidP="00DE14C9">
      <w:pPr>
        <w:pStyle w:val="SntesisDescriptiva"/>
      </w:pPr>
      <w:r>
        <w:t>Recurso de amparo 5494-2004. Promovido por don Pascual Menéndez Llorente frente a la Sentencia de la Audiencia Provincial de Madrid que, en grado de apelación, le condenó por delito contra la seguridad del tráfico.</w:t>
      </w:r>
    </w:p>
    <w:p w:rsidR="00DE14C9" w:rsidRDefault="00DE14C9" w:rsidP="00DE14C9">
      <w:pPr>
        <w:pStyle w:val="SntesisDescriptiva"/>
      </w:pPr>
    </w:p>
    <w:p w:rsidR="00DE14C9" w:rsidRDefault="00DE14C9" w:rsidP="00DE14C9">
      <w:pPr>
        <w:pStyle w:val="SntesisAnaltica"/>
      </w:pPr>
      <w:r>
        <w:t>Vulneración de los derechos a un proceso con garantías y a la presunción de inocencia: condena pronunciada en apelación sin haber celebrado vista pública (STC 167/2002); prueba alcoholimétrica.</w:t>
      </w:r>
    </w:p>
    <w:p w:rsidR="00DE14C9" w:rsidRDefault="00DE14C9" w:rsidP="00DE14C9">
      <w:pPr>
        <w:pStyle w:val="SntesisAnaltica"/>
      </w:pPr>
    </w:p>
    <w:p w:rsidR="00DE14C9" w:rsidRDefault="00DE14C9" w:rsidP="00DE14C9">
      <w:pPr>
        <w:pStyle w:val="Extracto"/>
      </w:pPr>
      <w:r>
        <w:t>1.</w:t>
      </w:r>
      <w:r>
        <w:tab/>
        <w:t>Se ha provocando la lesión del derecho a un proceso con todas las garantías al proceder la Audiencia, sin haber oído al acusado ni a los testigos, a realizar una nueva valoración de la prueba testifical y de la declaración del acusado en patente contradicción con los principios de inmediación y contradicción [FJ 4].</w:t>
      </w:r>
    </w:p>
    <w:p w:rsidR="00DE14C9" w:rsidRDefault="00DE14C9" w:rsidP="00DE14C9">
      <w:pPr>
        <w:pStyle w:val="Extracto"/>
      </w:pPr>
    </w:p>
    <w:p w:rsidR="00DE14C9" w:rsidRDefault="00DE14C9" w:rsidP="00DE14C9">
      <w:pPr>
        <w:pStyle w:val="Extracto"/>
      </w:pPr>
      <w:r>
        <w:t>2.</w:t>
      </w:r>
      <w:r>
        <w:tab/>
        <w:t>La Sentencia condenatoria carece de soporte constitucionalmente apto para enervar la presunción de inocencia al no existir prueba válida alguna sobre el requisito de la afectación a la conducción de la ingesta de alcohol y residir el fundamento de la condena del recurrente de amparo exclusivamente en el testimonio de los policías locales y en las declaraciones del acusado, sin estar rodeada la ponderación de dichos medios de prueba de las debidas garantías de inmediación, oralidad, publicidad y contradicción (STC 128/2004) [FJ 5].</w:t>
      </w:r>
    </w:p>
    <w:p w:rsidR="00DE14C9" w:rsidRDefault="00DE14C9" w:rsidP="00DE14C9">
      <w:pPr>
        <w:pStyle w:val="Extracto"/>
      </w:pPr>
    </w:p>
    <w:p w:rsidR="00DE14C9" w:rsidRDefault="00DE14C9" w:rsidP="00DE14C9">
      <w:pPr>
        <w:pStyle w:val="Extracto"/>
      </w:pPr>
      <w:r>
        <w:t>3.</w:t>
      </w:r>
      <w:r>
        <w:tab/>
        <w:t>Doctrina sobre la indebida valoración de los medios de prueba en segunda instancia (STC167/2002) [FJ 2].</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 xml:space="preserve">En el recurso de amparo núm. 5494-2004, promovido por don Pascual Menéndez Llorente, representado por el Procurador de los Tribunales don Luis Gómez López-Linares y </w:t>
      </w:r>
      <w:r>
        <w:lastRenderedPageBreak/>
        <w:t>asistido por el Abogado don Pablo J. García Muñoz, contra la Sentencia dictada por la Sección Sexta de la Audiencia Provincial de Madrid, de fecha 13 de julio de 2004, en rollo de apelación núm 208-2004, dimanante del Juzgado de lo Penal núm 20 de dicha ciudad, causa procedimiento abreviado núm. 115-2004, revocatoria de la Sentencia dictada en fecha 30 de marzo de 2004 por el referido Juzgado de lo Penal. Ha intervenido el Ministerio Fiscal. Ha sido Ponente el Magistrado don Roberto García Calvo y Montiel,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el Registro General de este Tribunal el día 13 de septiembre de 2003, don Luis Gómez López-Linares, Procurador de los Tribunales, en nombre y representación de don Pascual Menéndez Llorente, interpuso recurso de amparo contra la resolución judicial a la que se ha hecho mención en el encabezamiento de esta Sentencia.</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El recurso tiene su origen en los siguientes antecedentes, que a continuación se exponen sucintamente: </w:t>
      </w:r>
    </w:p>
    <w:p w:rsidR="00DE14C9" w:rsidRDefault="00DE14C9" w:rsidP="00DE14C9">
      <w:pPr>
        <w:pStyle w:val="TextoNormal"/>
      </w:pPr>
      <w:r>
        <w:t xml:space="preserve">a) El demandante fue absuelto por el Juzgado de lo Penal núm. 20 de los de Madrid, en Sentencia de fecha 30 de marzo de 2004, de un delito contra la seguridad del tráfico de que venía siendo acusado, declarándose de oficio las costas causadas. </w:t>
      </w:r>
    </w:p>
    <w:p w:rsidR="00DE14C9" w:rsidRDefault="00DE14C9" w:rsidP="00DE14C9">
      <w:pPr>
        <w:pStyle w:val="TextoNormal"/>
      </w:pPr>
      <w:r>
        <w:t xml:space="preserve">La Sentencia declaró probado que el demandante conducía un vehículo y, al atravesar una calle, superó un cruce cuando el semáforo cambiaba a fase roja. La maniobra fue observada por agentes de la policía local y como el conductor oliera a alcohol, fue sometido a la prueba de alcoholemia, dando un resultado positivo de 0,80 mg./l. en aire espirado. </w:t>
      </w:r>
    </w:p>
    <w:p w:rsidR="00DE14C9" w:rsidRDefault="00DE14C9" w:rsidP="00DE14C9">
      <w:pPr>
        <w:pStyle w:val="TextoNormal"/>
      </w:pPr>
      <w:r>
        <w:t xml:space="preserve">b) Interpuesto recurso de apelación por el Ministerio Fiscal, la Sección Sexta de la Audiencia Provincial dictó Sentencia, de fecha 13 de julio de 2004, estimándolo, revocando la Sentencia de primera instancia y condenando al demandante, como autor de un delito contra la seguridad del tráfico, a las penas de tres meses de multa, con una cuota diaria de cuatro euros, con una responsabilidad personal subsidiaria de un día de privación de libertad por cada dos cuotas diarias no satisfechas, así como a la pena de privación del permiso de conducir vehículos de motor por tiempo de un año y un día, así como al pago de las costas procesales causadas en la primera instancia. </w:t>
      </w:r>
    </w:p>
    <w:p w:rsidR="00DE14C9" w:rsidRDefault="00DE14C9" w:rsidP="00DE14C9">
      <w:pPr>
        <w:pStyle w:val="TextoNormal"/>
      </w:pPr>
      <w:r>
        <w:t>La Sentencia declaró probado que el demandante conducía un vehículo en indebidas condiciones debido a la ingesta precedente de bebidas alcohólicas, lo que motivó que, al atravesar una calle, superara un cruce cuando el semáforo estaba en fase roja. La maniobra fue observada por agentes de la policía local, y como el conductor oliera a alcohol y presentara una deambulación vacilante, además de otros síntomas de ingesta de bebidas alcohólicas, fue sometido a la prueba de alcoholemia, dando un resultado positivo de 0,80 mg./l. en aire espirado.</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La demanda de amparo invoca la violación del derecho a un proceso con todas las garantías (art. 24.2 CE) al revocar el órgano judicial ad quem la Sentencia absolutoria dictada en instancia sobre la base de una distinta valoración de las pruebas personales (testificales) practicadas ante el Juez a quo, sin haber celebrado vista y, por tanto, sin respetar las exigencias de inmediación y contradicción. </w:t>
      </w:r>
    </w:p>
    <w:p w:rsidR="00DE14C9" w:rsidRDefault="00DE14C9" w:rsidP="00DE14C9">
      <w:pPr>
        <w:pStyle w:val="TextoNormal"/>
      </w:pPr>
      <w:r>
        <w:t>Por otrosí, solicitó la suspensión de la ejecución de la Sentencia impugnada, por entender que la ejecución causaría un perjuicio que haría perder al amparo su finalidad.</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La Sección Segunda de este Tribunal acordó por providencia de 25 de abril de 2005 la admisión a trámite de la demanda de amparo y, a tenor de lo previsto en el art. 51 LOTC, dirigir atenta comunicación a la Sección Sexta de la Audiencia Provincial de Madrid y al Juzgado de lo Penal núm. 20 de los de Madrid para la remisión de actuaciones y emplazamiento a quienes hubieran sido parte en ese procedimiento para comparecer en el mismo. </w:t>
      </w:r>
    </w:p>
    <w:p w:rsidR="00DE14C9" w:rsidRDefault="00DE14C9" w:rsidP="00DE14C9">
      <w:pPr>
        <w:pStyle w:val="TextoNormal"/>
      </w:pPr>
      <w:r>
        <w:t>Con la misma fecha se dictó providencia incoando la pieza separada de suspensión en la que, tras las diligencias procedentes, se dictó Auto, de fecha 6 de junio de 2005, acordando la suspensión de la ejecución de la Sentencia dictada por la Audiencia Provincial de Madrid en lo relativo a la pena de privación del permiso de conducir vehículos de motor y ciclomotores, denegando la suspensión en cuanto al resto de pronunciamientos.</w:t>
      </w:r>
    </w:p>
    <w:p w:rsidR="00DE14C9" w:rsidRDefault="00DE14C9" w:rsidP="00DE14C9">
      <w:pPr>
        <w:pStyle w:val="TextoNormal"/>
      </w:pPr>
    </w:p>
    <w:p w:rsidR="00DE14C9" w:rsidRDefault="00DE14C9" w:rsidP="00DE14C9">
      <w:pPr>
        <w:pStyle w:val="TextoNormal"/>
      </w:pPr>
      <w:r w:rsidRPr="00DE14C9">
        <w:rPr>
          <w:rStyle w:val="NumeroAFNegritaCaracter"/>
        </w:rPr>
        <w:t>5</w:t>
      </w:r>
      <w:r>
        <w:t>. Mediante diligencia de ordenación de 13 de junio de 2005, se dispuso, a tenor de lo previsto en el art. 52 LOTC, dar vista de las actuaciones y un plazo común de veinte días para alegaciones al Ministerio Fiscal y a las partes personadas.</w:t>
      </w:r>
    </w:p>
    <w:p w:rsidR="00DE14C9" w:rsidRDefault="00DE14C9" w:rsidP="00DE14C9">
      <w:pPr>
        <w:pStyle w:val="TextoNormal"/>
      </w:pPr>
    </w:p>
    <w:p w:rsidR="00DE14C9" w:rsidRDefault="00DE14C9" w:rsidP="00DE14C9">
      <w:pPr>
        <w:pStyle w:val="TextoNormal"/>
      </w:pPr>
      <w:r w:rsidRPr="00DE14C9">
        <w:rPr>
          <w:rStyle w:val="NumeroAFNegritaCaracter"/>
        </w:rPr>
        <w:t>6</w:t>
      </w:r>
      <w:r>
        <w:t xml:space="preserve">. El Ministerio Fiscal, en escrito registrado el 8 de julio de 2005, presentó ante el Registro General de este Tribunal sus alegaciones solicitando el otorgamiento del amparo. Indica el Fiscal que en el presente supuesto el Magistrado Juez de lo Penal consideró acreditado que el demandante condujo a determinada hora y en determinado lugar un vehículo y que superó un cruce cuando el semáforo cambiaba a fase roja, siendo ello observado por agentes de la policía local y que, como el conductor oliera a alcohol, fue sometido a una prueba de alcoholemia, dando un resultado de 0,80 mg./l. en aire espirado. El Magistrado Juez de lo Penal tuvo por acreditado que el Sr. Menéndez Llorente había consumido bebidas alcohólicas y que presentaba determinada tasa de alcohol en sangre, pero no que hubiese rebasado un semáforo en fase roja, ni que el alcohol ingerido hubiese afectado a sus facultades. Tal fue lo sostenido por el acusado en el plenario, y el Magistrado otorgó credibilidad a dicho testimonio, al considerar que los síntomas recogidos en el atestado eran compatibles con una ingesta moderada de alcohol y con el estado psicológico y el tratamiento odontológico a que estaba sometido el acusado, y por ello estimó que no se había practicado prueba de cargo que acreditase más allá de toda duda que estaba incapacitado para conducir un vehículo de motor. </w:t>
      </w:r>
    </w:p>
    <w:p w:rsidR="00DE14C9" w:rsidRDefault="00DE14C9" w:rsidP="00DE14C9">
      <w:pPr>
        <w:pStyle w:val="TextoNormal"/>
      </w:pPr>
      <w:r>
        <w:t xml:space="preserve">La Sentencia dictada en apelación, añade el Fiscal, consideró, por el contrario, acreditado que el acusado había conducido el vehículo en indebidas condiciones por la ingesta precedente de alcohol, que había superado un cruce cuando el semáforo estaba en fase roja, y que además del olor a alcohol presentaba una deambulación vacilante y otros síntomas de ingesta de bebidas alcohólicas, por lo que fue sometido a la prueba de alcoholemia, dando un resultado positivo de 0,80 mg./l. en aire aspirado. Para llegar a tal conclusión la Sentencia dictada en apelación prescindió por completo del testimonio del acusado y otorgó plena virtualidad a los testimonios de los testigos policiales, tanto en lo referente a la sintomatología presentada, minimizando los dictámenes periciales aportados por el acusado, cuanto a que la conducción había sido anómala, al haberse saltado un semáforo en fase roja, de lo cual dedujo tanto la puesta en peligro de la vida de los demás usuarios de la vía pública como la influencia del alcohol en la conducción. </w:t>
      </w:r>
    </w:p>
    <w:p w:rsidR="00DE14C9" w:rsidRDefault="00DE14C9" w:rsidP="00DE14C9">
      <w:pPr>
        <w:pStyle w:val="TextoNormal"/>
      </w:pPr>
      <w:r>
        <w:t xml:space="preserve">Por todo ello, frente a la apreciación probatoria realizada en la instancia, en la que el Magistrado de lo Penal, a partir del testimonio del acusado, del testimonio de los testigos policiales y de la documental obrante en la causa, llegó a considerar inacreditado uno de los </w:t>
      </w:r>
      <w:r>
        <w:lastRenderedPageBreak/>
        <w:t>elementos del tipo penal, esto es la influencia del alcohol en las facultades de conducción del acusado, la Audiencia Provincial, por el contrario, llegó a considerar demostrado tal elemento típico tomando en consideración el testimonio de los policías locales que habían declarado en el plenario, testimonio a partir del cual tuvo por acreditado, de un lado, que el acusado había rebasado un semáforo en fase roja, lo que patentizaba una anómala conducción, con puesta en peligro de la vida de los demás usuarios de la vía y, de otro, que la ingesta alcohólica había influido en la conducción. Y como tal nueva valoración, concluye el Fiscal, se hizo sin examen directo y personal del acusado y de los testigos, se vulneró el derecho al proceso con todas las garantías del ahora demandante. Por otra parte, eliminado el testimonio de los agentes testigos no queda otro soporte probatorio en la propia Sentencia para sustentar la anómala conducción y, con ello, para reputar probado que la ingesta alcohólica hubiera mermado sus facultades. Por esta razón, debe declararse además vulnerado el derecho a la presunción de inocencia del demandante.</w:t>
      </w:r>
    </w:p>
    <w:p w:rsidR="00DE14C9" w:rsidRDefault="00DE14C9" w:rsidP="00DE14C9">
      <w:pPr>
        <w:pStyle w:val="TextoNormal"/>
      </w:pPr>
    </w:p>
    <w:p w:rsidR="00DE14C9" w:rsidRDefault="00DE14C9" w:rsidP="00DE14C9">
      <w:pPr>
        <w:pStyle w:val="TextoNormal"/>
      </w:pPr>
      <w:r w:rsidRPr="00DE14C9">
        <w:rPr>
          <w:rStyle w:val="NumeroAFNegritaCaracter"/>
        </w:rPr>
        <w:t>7</w:t>
      </w:r>
      <w:r>
        <w:t>. La representación procesal del demandante de amparo presentó sus alegaciones ante el Registro General de este Tribunal el día 13 de julio de 2005, en las que reitera y ratifica las alegaciones ya contenidas en la demanda.</w:t>
      </w:r>
    </w:p>
    <w:p w:rsidR="00DE14C9" w:rsidRDefault="00DE14C9" w:rsidP="00DE14C9">
      <w:pPr>
        <w:pStyle w:val="TextoNormal"/>
      </w:pPr>
    </w:p>
    <w:p w:rsidR="00DE14C9" w:rsidRDefault="00DE14C9" w:rsidP="00DE14C9">
      <w:pPr>
        <w:pStyle w:val="TextoNormal"/>
      </w:pPr>
      <w:r w:rsidRPr="00DE14C9">
        <w:rPr>
          <w:rStyle w:val="NumeroAFNegritaCaracter"/>
        </w:rPr>
        <w:t>8</w:t>
      </w:r>
      <w:r>
        <w:t>. Por providencia de 31 de mayo de 2007 se señaló para deliberación y votación de la presente Sentencia el día 4 de dicho mes y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En el presente recurso de amparo se enjuicia si la Sentencia de la Audiencia Provincial que, revocando la del Juez de lo Penal, condenó al demandante de amparo como autor de un delito contra la seguridad del tráfico, vulnera el derecho a un proceso con todas las garantías, reconocido en el art. 24.2 CE. A juicio del demandante tal vulneración se habría producido porque la Audiencia Provincial pronunció su condena mediante una nueva valoración de pruebas que, por su carácter de pruebas personales, exigían la inmediación para su valoración. Tal pretensión es apoyada por el Ministerio público.</w:t>
      </w:r>
    </w:p>
    <w:p w:rsidR="00DE14C9" w:rsidRDefault="00DE14C9" w:rsidP="00DE14C9">
      <w:pPr>
        <w:pStyle w:val="TextoNormal"/>
      </w:pPr>
    </w:p>
    <w:p w:rsidR="00DE14C9" w:rsidRDefault="00DE14C9" w:rsidP="00DE14C9">
      <w:pPr>
        <w:pStyle w:val="TextoNormal"/>
      </w:pPr>
      <w:r w:rsidRPr="00DE14C9">
        <w:rPr>
          <w:rStyle w:val="NumeroAFNegritaCaracter"/>
        </w:rPr>
        <w:t>2</w:t>
      </w:r>
      <w:r>
        <w:t>. La cuestión suscitada en este recurso de amparo ha sido objeto de tratamiento en múltiples ocasiones por este Tribunal, que ha establecido a través de sus pronunciamientos un cuerpo de doctrina estable cuyo origen se encuentra en la STC 167/2002, de 18 de septiembre, y que viene reiterándose en otras muchas, como, por citar solo algunas de las más recientes, las SSTC 114/2006, de 5 de abril; 24/2006, de 30 de enero; 324/2005, de 12 de diciembre 272/2005, de 24 de octubre; 208/2005, de 18 de julio; 203/2005, de 18 de julio; 202/2005, de 18 de julio; 199/2005, de 18 de julio; 186/2005, de 4 de julio; 185/2005, de 4 de julio; 181/2005, de 4 de julio; 178/2005, de 4 de julio; 170/2005, de 20 de junio.</w:t>
      </w:r>
    </w:p>
    <w:p w:rsidR="00DE14C9" w:rsidRDefault="00DE14C9" w:rsidP="00DE14C9">
      <w:pPr>
        <w:pStyle w:val="TextoNormal"/>
      </w:pPr>
      <w:r>
        <w:t xml:space="preserve">El Pleno de este Tribunal en la STC 167/2002, de 18 de septiembre (FFJJ 9, 10 y 11), afirmó la necesidad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protección de los derechos humanos y las libertades públicas (en adelante, CEDH), en la interpretación que de él viene haciendo el Tribunal Europeo de Derechos Humanos (SSTEDH de 26 de marzo de 1988 —caso Ekbatani contra Suecia; 8 de </w:t>
      </w:r>
      <w:r>
        <w:lastRenderedPageBreak/>
        <w:t>febrero de 2000 —caso Cooke contra Austria y caso Stefanelli contra San Marino; de 27 de junio de 2000 —caso Constantinescu contra Rumania; y 25 de julio de 2000 —caso Tierce y otros contra San Marino).</w:t>
      </w:r>
    </w:p>
    <w:p w:rsidR="00DE14C9" w:rsidRDefault="00DE14C9" w:rsidP="00DE14C9">
      <w:pPr>
        <w:pStyle w:val="TextoNormal"/>
      </w:pPr>
      <w:r>
        <w:t>De acuerdo con esta doctrina,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ello,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La constatación de la anterior vulneración determina también la del derecho a la presunción de inocencia si los aludidos medios de prueba indebidamente valorados en la segunda instancia son las únicas o esenciales pruebas de cargo en las que se fundamente la condena.</w:t>
      </w:r>
    </w:p>
    <w:p w:rsidR="00DE14C9" w:rsidRDefault="00DE14C9" w:rsidP="00DE14C9">
      <w:pPr>
        <w:pStyle w:val="TextoNormal"/>
      </w:pPr>
    </w:p>
    <w:p w:rsidR="00DE14C9" w:rsidRDefault="00DE14C9" w:rsidP="00DE14C9">
      <w:pPr>
        <w:pStyle w:val="TextoNormal"/>
      </w:pPr>
      <w:r w:rsidRPr="00DE14C9">
        <w:rPr>
          <w:rStyle w:val="NumeroAFNegritaCaracter"/>
        </w:rPr>
        <w:t>3</w:t>
      </w:r>
      <w:r>
        <w:t>. Tal como ha quedado reflejado en los antecedentes de esta resolución, la alteración en los hechos probados que realiza la Sentencia de apelación respecto a la de instancia se contrae a la afirmación de que el conductor acusado superó un cruce cuando el semáforo estaba en fase roja, y no cuando cambiaba a dicha fase, como se establecía en la Sentencia de instancia, así como a que presentaba “deambulación vacilante, además de otros síntomas de ingesta de bebidas alcohólicas”, y que las bebidas alcohólicas que el acusado admitió haber consumido influyeron en sus facultades para conducir. En cambio no existe alteración alguna en cuanto a la apreciación en el acusado de “olor a alcohol” que motivó la práctica de la diligencia de alcoholemia, ni tampoco en cuanto al resultado que arrojó la prueba alcoholométrica practicada, extremos estos reflejados con idéntico tenor literal en ambas resoluciones</w:t>
      </w:r>
    </w:p>
    <w:p w:rsidR="00DE14C9" w:rsidRDefault="00DE14C9" w:rsidP="00DE14C9">
      <w:pPr>
        <w:pStyle w:val="TextoNormal"/>
      </w:pPr>
    </w:p>
    <w:p w:rsidR="00DE14C9" w:rsidRDefault="00DE14C9" w:rsidP="00DE14C9">
      <w:pPr>
        <w:pStyle w:val="TextoNormal"/>
      </w:pPr>
      <w:r w:rsidRPr="00DE14C9">
        <w:rPr>
          <w:rStyle w:val="NumeroAFNegritaCaracter"/>
        </w:rPr>
        <w:t>4</w:t>
      </w:r>
      <w:r>
        <w:t>. Aplicada la doctrina anteriormente citada al caso no cabe sino estimar producida la vulneración denunciada. En efecto, la Sentencia dictada en instancia por el Juzgado de lo Penal núm. 20 de los de Madrid fue de naturaleza absolutoria por considerar el órgano judicial que, de la prueba ante él practicada en condiciones de oralidad, inmediación y contradicción, había quedado demostrado que el acusado conducía su vehículo con una tasa de alcohol en su organismo superior a la legalmente permitida para realizar esta actividad, pero no así que por efecto de dicha sustancia lo hiciera con merma de las facultades necesarias para ello. En este sentido afirmaba, en primer lugar, que tal conclusión no podía deducirse automáticamente de la tasa de alcohol en sangre arrojada por la prueba de alcoholemia que le fue practicada. En segundo lugar, que las categorías expresadas por los testigos para expresar el estado del conductor acusado eran compatibles con su estado psicológico en los últimos tiempos, el tratamiento odontológico al que estaba sometido, y también con la ingesta de una cantidad moderada de alcohol, pero no eran concluyentes para acreditar aquellos extremos. En tercer lugar, que la propia diligencia de síntomas externos que el conductor presentaba tampoco podía considerarse suficiente para determinar el hecho de la influencia del alcohol en el estado del sujeto, habida cuenta que los agentes policiales anotaron síntomas contradictorios entre sí. Y, por último, que tampoco quedó suficientemente acreditado en el plenario que el conductor rebasara el semáforo rector del cruce en su fase roja, por lo que tampoco puede extraerse conclusión alguna de esta circunstancia.</w:t>
      </w:r>
    </w:p>
    <w:p w:rsidR="00DE14C9" w:rsidRDefault="00DE14C9" w:rsidP="00DE14C9">
      <w:pPr>
        <w:pStyle w:val="TextoNormal"/>
      </w:pPr>
      <w:r>
        <w:lastRenderedPageBreak/>
        <w:t>Por el contrario, la Sentencia dictada en apelación afirmó probada dicha influencia sobre la base de algunas circunstancias presentes en los hechos enjuiciados y, más concretamente, la sintomatología que presentaba y la manera de conducir del acusado.</w:t>
      </w:r>
    </w:p>
    <w:p w:rsidR="00DE14C9" w:rsidRDefault="00DE14C9" w:rsidP="00DE14C9">
      <w:pPr>
        <w:pStyle w:val="TextoNormal"/>
      </w:pPr>
      <w:r>
        <w:t>En relación con los síntomas que el acusado presentaba, considera la Sala que es cierto que existen síntomas que pueden responder a otros factores diferentes al alcohol, pero aparecen otros que sólo responden a la ingesta de tal sustancia, como la deambulación vacilante, los ojos rojos y brillantes y el olor a alcohol. Ciertamente, afirma la Audiencia, este síntoma denota que la persona ha ingerido alcohol, pero no la cantidad. Pero si a este síntoma se añade otro muy característico y definitorio, como es la deambulación vacilante, sólo es factible concluir que la persona ha ingerido una elevada o muy elevada cantidad de alcohol. Por su parte, y en relación ahora con la manera de conducir, la Sala afirma que el acusado se saltó un semáforo en rojo, poniendo en peligro la vida de los demás usuarios de la vía pública; anómala conducción que contribuye a acreditar la influencia que la ingesta de alcohol tuvo en la conducción.</w:t>
      </w:r>
    </w:p>
    <w:p w:rsidR="00DE14C9" w:rsidRDefault="00DE14C9" w:rsidP="00DE14C9">
      <w:pPr>
        <w:pStyle w:val="TextoNormal"/>
      </w:pPr>
      <w:r>
        <w:t>La base del distinto fallo se apoya, como se comprueba, en la diferente valoración que el órgano ad quem realiza de dos pruebas de carácter personal, pues como tales han de considerarse la declaración del acusado y lo manifestado por los agentes policiales en relación con la ratificación que hicieron de lo consignado en la diligencia de comprobaciones sobre los signos externos que vieron en el acusado, y en relación con la maniobra que realizó el demandante. El Juez de lo Penal valoró estas pruebas y concluyó que los síntomas no eran concluyentes, y que el acusado pasó el semáforo cuando cambiaba a fase roja, mientras la Audiencia, sin haber oído al acusado ni a los testigos, estimó que algunos de los síntomas revelaban una “elevada o muy elevada ingesta de alcohol”, y que se saltó el semáforo cuando ya estaba en fase roja. Esta circunstancia es, para la Audiencia, la que resulta absolutamente determinante, puesto que pone de manifiesto tanto la influencia del alcohol en la conducción como la puesta en peligro del bien jurídico protegido.</w:t>
      </w:r>
    </w:p>
    <w:p w:rsidR="00DE14C9" w:rsidRDefault="00DE14C9" w:rsidP="00DE14C9">
      <w:pPr>
        <w:pStyle w:val="TextoNormal"/>
      </w:pPr>
      <w:r>
        <w:t>De este modo, como se comprueba, la Audiencia procedió a realizar una nueva valoración de la prueba testifical y de la declaración del acusado en patente contradicción con los principios de inmediación y contradicción, provocando con tal proceder la lesión del derecho a un proceso con todas las garantías.</w:t>
      </w:r>
    </w:p>
    <w:p w:rsidR="00DE14C9" w:rsidRDefault="00DE14C9" w:rsidP="00DE14C9">
      <w:pPr>
        <w:pStyle w:val="TextoNormal"/>
      </w:pPr>
    </w:p>
    <w:p w:rsidR="00DE14C9" w:rsidRDefault="00DE14C9" w:rsidP="00DE14C9">
      <w:pPr>
        <w:pStyle w:val="TextoNormal"/>
      </w:pPr>
      <w:r w:rsidRPr="00DE14C9">
        <w:rPr>
          <w:rStyle w:val="NumeroAFNegritaCaracter"/>
        </w:rPr>
        <w:t>5</w:t>
      </w:r>
      <w:r>
        <w:t>. La constatación de la anterior vulneración determinaría también la del derecho a la presunción de inocencia (art. 24.2 CE) si los aludidos medios de prueba indebidamente valorados por la Audiencia Provincial fueran las únicas pruebas de cargo en las que se fundamentase la condena (SSTC 167/2002, de 18 de septiembre; 197/2002, de 28 de octubre; 198/2002, de 28 de octubre), no ocurriendo lo mismo cuando, al margen de las pruebas no susceptibles de valoración por el Tribunal ad quem, existen otras válidamente practicadas, ya que en este último caso hemos declarado que no procede nuestro enjuiciamiento acerca de la vulneración del derecho a la presunción de inocencia (al que son reconducibles las restantes alegaciones de la demanda de amparo), porque a este Tribunal no le corresponde la valoración de si la prueba que pueda considerarse constitucionalmente legítima es suficiente o no para sustentar la declaración de culpabilidad y la condena de los recurrentes. Por ello, en tales ocasiones, lo procedente es ordenar la retroacción de las actuaciones judiciales al momento inmediatamente anterior al de dictar la Sentencia recurrida en amparo, a fin de que sea el órgano judicial competente quien decida si con las pruebas que subsisten en el proceso mantiene su conclusión condenatoria o, por el contrario, decide revisarla (por todas, STC 200/2004, de 15 de noviembre, FJ 4).</w:t>
      </w:r>
    </w:p>
    <w:p w:rsidR="00DE14C9" w:rsidRDefault="00DE14C9" w:rsidP="00DE14C9">
      <w:pPr>
        <w:pStyle w:val="TextoNormal"/>
      </w:pPr>
      <w:r>
        <w:lastRenderedPageBreak/>
        <w:t>En el presente caso, prescindiendo de la ratificación de los policías locales sobre los signos de alcohol en el acusado (que es prueba testifical) y de la declaración del acusado (que no puede considerarse autoincriminatoria), sólo resta como prueba la prueba alcoholométrica, por lo que la condena únicamente se sustentaría en la prueba alcoholométrica que, aunque es indicativa de que el acusado bebía alcohol, como tantas veces hemos repetido, aisladamente considerada no puede producir la condena pues lo que sanciona el art. 379 del Código penal (CP) no es sólo la presencia de una determinada concentración alcohólica en la sangre, sino que, además, esta circunstancia influya o se proyecte en la conducción, esto es, “no basta con comprobar a través de la pertinente prueba de alcoholemia que el conductor ha ingerido alcohol o alguna otra de las sustancias mencionadas en el mismo, sino que es necesario que se acredite que dicha ingestión ha afectado a la capacidad psicofísica del conductor y, como consecuencia de ello, a la seguridad en el tráfico, que es el bien protegido por dicho delito” (por todas, SSTC 200/2004, de 15 de noviembre, FJ 4; 68/2004, 19 de abril, FJ 2, y las que cita).</w:t>
      </w:r>
    </w:p>
    <w:p w:rsidR="00DE14C9" w:rsidRDefault="00DE14C9" w:rsidP="00DE14C9">
      <w:pPr>
        <w:pStyle w:val="TextoNormal"/>
      </w:pPr>
      <w:r>
        <w:t>En este sentido es doctrina reiterada de este Tribunal, recogida en la Sentencia últimamente mencionada, que el derecho a la presunción de inocencia experimentaría una vulneración, si por la acreditación de solamente uno de los elementos del delito —el de que el conductor haya ingerido bebidas alcohólicas— se presumieran realizados los restantes elementos del mismo. Al no existir prueba válida alguna sobre el requisito de la afectación a la conducción de la ingesta de alcohol (STC 128/2004, de 19 de julio) y residir el fundamento de la condena del recurrente de amparo exclusivamente en el testimonio de los policías locales y en las declaraciones del acusado, y no estar rodeada la ponderación de dichos medios de prueba de las debidas garantías de inmediación, oralidad, publicidad y contradicción, la Sentencia condenatoria carece de soporte constitucionalmente apto para enervar la presunción de inocencia. Por consiguiente, procede también por este motivo la anulación de la Sentencia de la Audiencia Provincial.</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CONSTITUCIÓN DE LA NACIÓN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don Pascual Menéndez Llorente y, en su virtud:</w:t>
      </w:r>
    </w:p>
    <w:p w:rsidR="00DE14C9" w:rsidRDefault="00DE14C9" w:rsidP="00DE14C9">
      <w:pPr>
        <w:pStyle w:val="TextoNormal"/>
      </w:pPr>
      <w:r>
        <w:t>1º Reconocer sus derechos al proceso con todas las garantías y a la presunción de inocencia (art. 24.2 CE).</w:t>
      </w:r>
    </w:p>
    <w:p w:rsidR="00DE14C9" w:rsidRDefault="00DE14C9" w:rsidP="00DE14C9">
      <w:pPr>
        <w:pStyle w:val="TextoNormal"/>
      </w:pPr>
      <w:r>
        <w:t>2º Anular la Sentencia de la Sección Sexta de la Audiencia Provincial de Madrid de 13 de julio de 2004.</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cuatro de junio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48" w:name="SENTENCIA_2007_135"/>
      <w:r>
        <w:lastRenderedPageBreak/>
        <w:t>SENTENCIA 135/2007, de 4 de junio de 2007</w:t>
      </w:r>
    </w:p>
    <w:bookmarkEnd w:id="48"/>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161, de 6 de julio de 2007)</w:t>
      </w:r>
    </w:p>
    <w:p w:rsidR="00DE14C9" w:rsidRDefault="00DE14C9" w:rsidP="00DE14C9">
      <w:pPr>
        <w:pStyle w:val="TtuloBOE"/>
      </w:pPr>
    </w:p>
    <w:p w:rsidR="00DE14C9" w:rsidRDefault="00DE14C9" w:rsidP="00DE14C9">
      <w:pPr>
        <w:pStyle w:val="SntesisDescriptiva"/>
      </w:pPr>
      <w:r>
        <w:t>ECLI:ES:TC:2007:135</w:t>
      </w:r>
    </w:p>
    <w:p w:rsidR="00DE14C9" w:rsidRDefault="00DE14C9" w:rsidP="00DE14C9">
      <w:pPr>
        <w:pStyle w:val="SntesisDescriptiva"/>
      </w:pPr>
    </w:p>
    <w:p w:rsidR="00DE14C9" w:rsidRDefault="00DE14C9" w:rsidP="00DE14C9">
      <w:pPr>
        <w:pStyle w:val="SntesisDescriptiva"/>
      </w:pPr>
      <w:r>
        <w:t>Recurso de amparo 6320-2004. Promovido por doña Dominga Suárez Álvarez y otra frente a la Sentencia y Auto de la Sala de lo Social del Tribunal Superior de Justicia del País Vasco que desestimó su demanda contra Bridgestone Firestone Hispania, S.A., sobre complemento de pensión de viudedad.</w:t>
      </w:r>
    </w:p>
    <w:p w:rsidR="00DE14C9" w:rsidRDefault="00DE14C9" w:rsidP="00DE14C9">
      <w:pPr>
        <w:pStyle w:val="SntesisDescriptiva"/>
      </w:pPr>
    </w:p>
    <w:p w:rsidR="00DE14C9" w:rsidRDefault="00DE14C9" w:rsidP="00DE14C9">
      <w:pPr>
        <w:pStyle w:val="SntesisAnaltica"/>
      </w:pPr>
      <w:r>
        <w:t>Vulneración del derecho a la tutela judicial efectiva: incidente de nulidad de actuaciones; sala que no corrige una incongruencia por haber solicitado la nulidad en vez del complemento de pronunciamiento; sentencia de suplicación que revoca el fallo de instancia y deja sin resolver las pretensiones subsidiarias.</w:t>
      </w:r>
    </w:p>
    <w:p w:rsidR="00DE14C9" w:rsidRDefault="00DE14C9" w:rsidP="00DE14C9">
      <w:pPr>
        <w:pStyle w:val="SntesisAnaltica"/>
      </w:pPr>
    </w:p>
    <w:p w:rsidR="00DE14C9" w:rsidRDefault="00DE14C9" w:rsidP="00DE14C9">
      <w:pPr>
        <w:pStyle w:val="Extracto"/>
      </w:pPr>
      <w:r>
        <w:t>1.</w:t>
      </w:r>
      <w:r>
        <w:tab/>
        <w:t>Caso resuelto en STC 174/2004, aunque el problema allí planteado era el inverso [FJ 5].</w:t>
      </w:r>
    </w:p>
    <w:p w:rsidR="00DE14C9" w:rsidRDefault="00DE14C9" w:rsidP="00DE14C9">
      <w:pPr>
        <w:pStyle w:val="Extracto"/>
      </w:pPr>
    </w:p>
    <w:p w:rsidR="00DE14C9" w:rsidRDefault="00DE14C9" w:rsidP="00DE14C9">
      <w:pPr>
        <w:pStyle w:val="Extracto"/>
      </w:pPr>
      <w:r>
        <w:t>2.</w:t>
      </w:r>
      <w:r>
        <w:tab/>
        <w:t>Ante el hecho de que el órgano judicial declare que aunque el pronunciamiento de suplicación leído aisladamente puede parecer que da respuesta a todas las pretensiones de la demanda, pero que tal conclusión se desvanece cuando se aprecia que, en su fundamentación, desestima el motivo primero del recurso y no contiene el más mínimo análisis de las pretensiones subsidiarias, aboca a confirmar la existencia de una incongruencia omisiva [FJ 6].</w:t>
      </w:r>
    </w:p>
    <w:p w:rsidR="00DE14C9" w:rsidRDefault="00DE14C9" w:rsidP="00DE14C9">
      <w:pPr>
        <w:pStyle w:val="Extracto"/>
      </w:pPr>
    </w:p>
    <w:p w:rsidR="00DE14C9" w:rsidRDefault="00DE14C9" w:rsidP="00DE14C9">
      <w:pPr>
        <w:pStyle w:val="Extracto"/>
      </w:pPr>
      <w:r>
        <w:t>3.</w:t>
      </w:r>
      <w:r>
        <w:tab/>
        <w:t>Doctrina sobre el alargamiento artificial de plazos para impugnar en amparo mediante la presentación de recursos manifiestamente improcedentes (STC 69/2003) [FJ 4].</w:t>
      </w:r>
    </w:p>
    <w:p w:rsidR="00DE14C9" w:rsidRDefault="00DE14C9" w:rsidP="00DE14C9">
      <w:pPr>
        <w:pStyle w:val="Extracto"/>
      </w:pPr>
    </w:p>
    <w:p w:rsidR="00DE14C9" w:rsidRDefault="00DE14C9" w:rsidP="00DE14C9">
      <w:pPr>
        <w:pStyle w:val="Extracto"/>
      </w:pPr>
      <w:r>
        <w:t>4.</w:t>
      </w:r>
      <w:r>
        <w:tab/>
        <w:t>El razonamiento examinado sustentado en el hecho de que el contenido del derecho de asistencia jurídica gratuita, explicitado en el art. 6 de la Ley 1/1996, no hace referencia expresa a las costas, debiendo ser interpretada dicha ausencia como una exclusión y excepción a tal derecho, no puede considerarse incursa en un error fáctico patente, ni calificarse como arbitrario o incurso en quiebras lógicas de tal magnitud que las conclusiones alcanzadas no pueden considerarse basadas en ninguna de las razones aducidas [FJ 2].</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lastRenderedPageBreak/>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6320-2004, promovido por doña Dominga Suárez Álvarez y otra, representadas por el Procurador de los Tribunales don José Lledo Moreno y asistidas por el Abogado don Bernabé Echevarría Mayo, contra Sentencia de la Sala de lo Social del Tribunal Superior de Justicia del País Vasco de 7 de enero de 2004, recurso núm. 2705-2003, y el Auto de la propia Sala de 21 de septiembre de 2004, que desestimó el incidente de nulidad de actuaciones promovido contra dicha Sentencia. Ha comparecido don Manuel Ortiz Urbina, Procurador de los Tribunales y de Bridgestone Firestone Hispania, S.A., asistida por el Letrado don Fernando Pérez Espinosa. Ha intervenido el Ministerio Fiscal. Ha sido Ponente el Magistrado don Eugeni Gay Montalvo,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Por escrito registrado el 22 de octubre de 2004 el Procurador de los Tribunales don José Lledo Moreno, en nombre y representación de doña Dominga Suárez Álvarez y otra, interpuso recurso de amparo contra las resoluciones y actuaciones referidas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de los que trae causa la pretensión de amparo son los siguientes: </w:t>
      </w:r>
    </w:p>
    <w:p w:rsidR="00DE14C9" w:rsidRDefault="00DE14C9" w:rsidP="00DE14C9">
      <w:pPr>
        <w:pStyle w:val="TextoNormal"/>
      </w:pPr>
      <w:r>
        <w:t xml:space="preserve">a) El 27 de septiembre de 2002 fue formulada demanda por quienes ahora acuden en amparo contra la empresa Bridgestone Firestone Hispania, S.A., en la que solicitaban: </w:t>
      </w:r>
    </w:p>
    <w:p w:rsidR="00DE14C9" w:rsidRDefault="00DE14C9" w:rsidP="00DE14C9">
      <w:pPr>
        <w:pStyle w:val="TextoNormal"/>
      </w:pPr>
      <w:r>
        <w:t xml:space="preserve">1) Se reconozca el derecho de mis representadas al percibo a cargo de la empresa demandada de un complemento vitalicio de la pensión de viudedad en cuantía del 50 por 100 de la pensión de jubilación del cónyuge fallecido y, en consecuencia, de los importes siguientes: </w:t>
      </w:r>
    </w:p>
    <w:p w:rsidR="00DE14C9" w:rsidRDefault="00DE14C9" w:rsidP="00DE14C9">
      <w:pPr>
        <w:pStyle w:val="TextoNormal"/>
      </w:pPr>
      <w:r>
        <w:t xml:space="preserve">- Para doña Dominga Suárez Álvarez por importe de 4.917,53 € anuales con efectos de 21 de agosto de 2001, por lo que al 30 de agosto de 2002 se le adeuda la cantidad de 5.038,78 €; </w:t>
      </w:r>
    </w:p>
    <w:p w:rsidR="00DE14C9" w:rsidRDefault="00DE14C9" w:rsidP="00DE14C9">
      <w:pPr>
        <w:pStyle w:val="TextoNormal"/>
      </w:pPr>
      <w:r>
        <w:t xml:space="preserve">- Para doña Concepción Prieto Madaria por importe de 8.310 € anuales con efectos de 1 de abril de 2002, por lo que al 30 de agosto de 2002 se le adeuda la cantidad de 3.462,5 €. Condenándose a la empresa demandada al pago de las cantidades indicadas en concepto de atrasos y a seguir abonando con carácter de fijo y vitalicio el complemento de pensión en las cuantías igualmente reseñadas. </w:t>
      </w:r>
    </w:p>
    <w:p w:rsidR="00DE14C9" w:rsidRDefault="00DE14C9" w:rsidP="00DE14C9">
      <w:pPr>
        <w:pStyle w:val="TextoNormal"/>
      </w:pPr>
      <w:r>
        <w:t xml:space="preserve">2) Subsidiariamente a lo anterior, una cantidad a tanto alzado consistente en el importe de una anualidad del salario de cada uno de los cónyuges de mis representadas, en la cuantía que se dirá en conclusiones definitivas a la vista de la prueba que se practique sobre dicho extremo. </w:t>
      </w:r>
    </w:p>
    <w:p w:rsidR="00DE14C9" w:rsidRDefault="00DE14C9" w:rsidP="00DE14C9">
      <w:pPr>
        <w:pStyle w:val="TextoNormal"/>
      </w:pPr>
      <w:r>
        <w:lastRenderedPageBreak/>
        <w:t xml:space="preserve">3) En último término, la parte de la cantidad a tanto alzado en concepto de compensación capitalizada prevista en el XVIII convenio colectivo que corresponda a la pensión de viudedad de mis representadas, en la cuantía que se dirá en conclusiones definitivas a la vista de la prueba que se practique sobre este extremo </w:t>
      </w:r>
    </w:p>
    <w:p w:rsidR="00DE14C9" w:rsidRDefault="00DE14C9" w:rsidP="00DE14C9">
      <w:pPr>
        <w:pStyle w:val="TextoNormal"/>
      </w:pPr>
      <w:r>
        <w:t xml:space="preserve">b) La demanda fue estimada en su pretensión principal por la Sentencia de 2 de diciembre de 2002 del Juzgado de lo Social núm. 8 de Bilbao que apreció el efecto positivo de la cosa juzgada, por entender que ya se había pronunciado el Juzgado de lo Social núm. 7 de Bilbao y la Sala de lo Social del Tribunal Superior de Justicia del País Vasco en Sentencias, respectivamente, de 2 de noviembre de 1999 y de 1 de octubre de 2002. </w:t>
      </w:r>
    </w:p>
    <w:p w:rsidR="00DE14C9" w:rsidRDefault="00DE14C9" w:rsidP="00DE14C9">
      <w:pPr>
        <w:pStyle w:val="TextoNormal"/>
      </w:pPr>
      <w:r>
        <w:t xml:space="preserve">c) La Sentencia anterior, sin embargo, fue anulada por Sentencia de la Sala de lo Social del Tribunal Superior de Justicia del País Vasco de 6 de mayo de 2003 en la que, acogiendo el recurso de suplicación de la empresa con fundamento en que se había aplicado mal el efecto de cosa juzgada, se ordenó la reposición de actuaciones con objeto de que se dictase un nuevo pronunciamiento en instancia sobre el fondo del asunto. </w:t>
      </w:r>
    </w:p>
    <w:p w:rsidR="00DE14C9" w:rsidRDefault="00DE14C9" w:rsidP="00DE14C9">
      <w:pPr>
        <w:pStyle w:val="TextoNormal"/>
      </w:pPr>
      <w:r>
        <w:t xml:space="preserve">d) El Juzgado de lo Social núm. 8 de Bilbao dictó nueva Sentencia el 18 de junio de 2003 donde, entrando en el examen de la cuestión de fondo, vuelve a estimar la pretensión principal de la demanda, razonando cautelarmente, además, sobre las pretensiones subsidiarias de la demanda en el siguiente sentido (último párrafo del fundamento jurídico segundo): </w:t>
      </w:r>
    </w:p>
    <w:p w:rsidR="00DE14C9" w:rsidRDefault="00DE14C9" w:rsidP="00DE14C9">
      <w:pPr>
        <w:pStyle w:val="TextoNormal"/>
      </w:pPr>
      <w:r>
        <w:t xml:space="preserve">“En orden a evitar demoras que pudiesen generarse en una supuesta nulidad, caso de no mantenerse nuestro criterio, estimamos que únicamente tendrían derecho a las prestaciones derivadas del Convenio vigente al momento de producirse el hecho causante, es decir el XVIII Convenio, y ello porque no cabe estimar razón alguna para la aplicación de otro Convenio diferente en este caso puesto que sería en este momento que adquirirían el derecho” (sic). </w:t>
      </w:r>
    </w:p>
    <w:p w:rsidR="00DE14C9" w:rsidRDefault="00DE14C9" w:rsidP="00DE14C9">
      <w:pPr>
        <w:pStyle w:val="TextoNormal"/>
      </w:pPr>
      <w:r>
        <w:t xml:space="preserve">e) El 27 de enero de 2004 la Sala de lo Social del Tribunal Superior de Justicia del País Vasco dictó Sentencia en la que, estimando el recurso de suplicación formulado por la empresa demandada, procedía a absolver a ésta de los pedimentos de la demanda. </w:t>
      </w:r>
    </w:p>
    <w:p w:rsidR="00DE14C9" w:rsidRDefault="00DE14C9" w:rsidP="00DE14C9">
      <w:pPr>
        <w:pStyle w:val="TextoNormal"/>
      </w:pPr>
      <w:r>
        <w:t xml:space="preserve">Considera la Sala que la demanda debe ser desestimada en virtud de lo resuelto ya por el Tribunal Supremo en Sentencia de 18 de julio de 2003 (que aunque referida a beneficiarios de complementos de pensión en otra empresa, estimó que podrían suprimirse por un convenio posterior aunque no estuviera previsto ese modo de disposición en la fuente que los creó), por lo que no cabe el abono del complemento de las pensiones solicitado, si bien no entra a considerar las pretensiones subsidiarias contenidas en el suplico de la demanda originaria. </w:t>
      </w:r>
    </w:p>
    <w:p w:rsidR="00DE14C9" w:rsidRDefault="00DE14C9" w:rsidP="00DE14C9">
      <w:pPr>
        <w:pStyle w:val="TextoNormal"/>
      </w:pPr>
      <w:r>
        <w:t xml:space="preserve">f) Por las demandantes se interpuso incidente de nulidad de actuaciones en el que alegaban vulneración del principio de cosa juzgada material (por aplicar una Sentencia del Tribunal Supremo sin proyección al caso concreto habida cuenta de que el complemento de pensión de sus esposos ya estaba reconocido en Sentencia firme), por infracción del requisito de exhaustividad de las Sentencias (al no razonar sobre la identidad o no de supuestos con la Sentencia del Tribunal Supremo, ni sobre la razón esgrimida por el Juzgado de instancia para fundar su decisión favorable a la demanda) y, subsidiariamente, por incongruencia, al no dar respuesta alguna la Sentencia de suplicación a las pretensiones subsidiarias de la demanda. </w:t>
      </w:r>
    </w:p>
    <w:p w:rsidR="00DE14C9" w:rsidRDefault="00DE14C9" w:rsidP="00DE14C9">
      <w:pPr>
        <w:pStyle w:val="TextoNormal"/>
      </w:pPr>
      <w:r>
        <w:t>g) El incidente fue desestimado por Auto de 21 de septiembre de 2004 al considerar que por la vía del incidente no se puede alegar defectos de motivación, ni la infracción de la cosa juzgada y, en relación con la incongruencia denunciada, aunque expresamente reconoce el órgano judicial que existe, por haber interpuesto un incidente de nulidad de actua</w:t>
      </w:r>
      <w:r>
        <w:lastRenderedPageBreak/>
        <w:t xml:space="preserve">ciones del art. 241 LOPJ en lugar de utilizar el remedio adecuado de complementación regulado en el art. 215.2 LEC previsto para casos como el presente de incongruencia omisiva manifiesta. </w:t>
      </w:r>
    </w:p>
    <w:p w:rsidR="00DE14C9" w:rsidRDefault="00DE14C9" w:rsidP="00DE14C9">
      <w:pPr>
        <w:pStyle w:val="TextoNormal"/>
      </w:pPr>
      <w:r>
        <w:t xml:space="preserve">En particular, el Auto considera que es impropio del incidente de nulidad de actuaciones una petición basada en la infracción del principio de cosa juzgada y en la falta de exhaustividad razonando que se trata de incumplimientos de los requisitos internos exigibles en la formación de la Sentencia que, a diferencia de la incongruencia, no se consideran de modo expreso como parte del objeto del incidente. En todo caso, considera que la falta de motivación alegada no se ha producido pues se explican las razones que apoyan el pronunciamiento judicial: </w:t>
      </w:r>
    </w:p>
    <w:p w:rsidR="00DE14C9" w:rsidRDefault="00DE14C9" w:rsidP="00DE14C9">
      <w:pPr>
        <w:pStyle w:val="TextoNormal"/>
      </w:pPr>
      <w:r>
        <w:t xml:space="preserve">“Desde esa perspectiva, queda claro que se ampara en el criterio expresado por el Tribunal Supremo en su Sentencia de 16 de julio de 2003. Cierto es que viene referido a un supuesto en el que concurren circunstancias que no son plenamente coincidentes con las del pleito actual, pero el hecho de que la Sala no las otorgue relevancia en orden a impedir la aplicación de su doctrina, no significa que debiera haber expuesto, en su resolución, los elementos diferenciadores y haber explicado por qué no le parecían significativos, pues no llega a esos extremos el deber de motivación de las Sentencias. Se aduce, igualmente, que no se da explicación alguna sobre la razón por la que no acepta el criterio del Juzgado, estimando que el carácter accesorio del complemento litigioso, respecto al que tenían sus cónyuges, obligaba a reconocer ahora el derecho pretendido, dado el previo reconocimiento judicial del que tenían éstos. Sin embargo, la Sala sí acepta esa accesoriedad, si bien sostiene que, a la vista del nuevo criterio del Tribunal Supremo que viene a suponer la inexistencia del derecho de sus maridos, no pueden tenerlo ellas. Cierto es que, al razonar así, no se atiene a lo que quedó Juzgado en el caso de sus cónyuges, pero no estamos ante un defecto de motivación de la Sentencia, sino ante una impugnación de falta de respeto a la cosa ya juzgada que, aunque fuera cierta, no es corregible por este concreto cauce, como hemos razonado en el fundamento precedente”. </w:t>
      </w:r>
    </w:p>
    <w:p w:rsidR="00DE14C9" w:rsidRDefault="00DE14C9" w:rsidP="00DE14C9">
      <w:pPr>
        <w:pStyle w:val="TextoNormal"/>
      </w:pPr>
      <w:r>
        <w:t xml:space="preserve">Finalmente en relación con la denuncia de incongruencia del pronunciamiento señala el Auto lo siguiente (fundamento jurídico cuarto): </w:t>
      </w:r>
    </w:p>
    <w:p w:rsidR="00DE14C9" w:rsidRDefault="00DE14C9" w:rsidP="00DE14C9">
      <w:pPr>
        <w:pStyle w:val="TextoNormal"/>
      </w:pPr>
      <w:r>
        <w:t xml:space="preserve">“A) No toda denuncia de incongruencia del pronunciamiento dictado en una resolución judicial constituye objeto propio del incidente de nulidad actuaciones previsto en artículo 241 LOPJ, ya que es preciso que no se hubiera podido denunciar con anterioridad y, además, que no fuese susceptible de corrección por vía de recurso (ordinario o extraordinario). La exigencia del primero de esos requisitos lleva a excluir de este cauce los casos incongruencia omisiva manifiesta cometidos por Sentencias o autos, dado que han tenido posibilidad de corregirse solicitando su complementación en el plazo de los cinco días siguientes a su notificación (artículo 215.2 LEC), al ser trámite previsto legalmente para los casos de resoluciones judiciales de ese tipo que hubieran omitido manifiestamente pronunciamientos relativos a pretensiones oportunamente deducidas y sustanciadas en el proceso. </w:t>
      </w:r>
    </w:p>
    <w:p w:rsidR="00DE14C9" w:rsidRDefault="00DE14C9" w:rsidP="00DE14C9">
      <w:pPr>
        <w:pStyle w:val="TextoNormal"/>
      </w:pPr>
      <w:r>
        <w:t xml:space="preserve">B) En el caso de autos, se imputa a nuestra Sentencia de 27 de enero de 2004 que ha incurrido en incongruencia al no resolver las pretensiones subsidiarias de la demanda. Anticipando ya su resultado, diremos que no es posible estimar la petición de nulidad ya que las demandantes tuvieron ocasión de corregir ese defecto que imputan a dicha resolución pidiendo su complementación al amparo de lo dispuesto en artículo 215.2 LEC. </w:t>
      </w:r>
    </w:p>
    <w:p w:rsidR="00DE14C9" w:rsidRDefault="00DE14C9" w:rsidP="00DE14C9">
      <w:pPr>
        <w:pStyle w:val="TextoNormal"/>
      </w:pPr>
      <w:r>
        <w:t xml:space="preserve">En efecto no cabe duda de que en un caso como el de autos ha habido una manifiesta omisión de pronunciamiento sobre las pretensiones subsidiarias de la demanda. Éstas se formularon para el caso de que se estimase que no habían causado derecho al complemento en la pensión de viudedad. La Sentencia dictada el 18 de junio de 2003 por el juzgado de lo </w:t>
      </w:r>
      <w:r>
        <w:lastRenderedPageBreak/>
        <w:t>social no se pronunció sobre ellas ya que estimó la pretensión principal de la demanda lo cual constituye la razón que justificaba su falta de decisión. No obstante en el último párrafo de su segundo fundamento de derecho razonaba sobre ellas con carácter cautelar, en modo de proceder un tanto irregular, pero irrelevante a estos efectos. El recurso de suplicación interpuesto por la empresa atacaba el único pronunciamiento recaído, si bien el motivo inicial articulado venía a incidir en cuestión precisamente relacionada exclusivamente con las pretensiones subsidiarias. La Sentencia que lo resuelve, lo estima, absolviendo a la demandada de las peticiones formuladas en la demanda. Pronunciamiento que si bien leído aisladamente puede parecer que da respuesta a todas las pretensiones de la demanda, tal conclusión se desvanece cuando se aprecia que, en su fundamentación, desestima el motivo primero del recurso y no contiene el más mínimo análisis de las pretensiones subsidiarias, máxime cuando el juzgado había razonado que en caso de no prosperar la pretensión principal debía acogerse la última de las pretensiones subsidiarias. No hay duda alguna de que en casos como éste, en que el Juzgado de lo Social acoge la pretensión principal de una demanda y, por ello, deja sin juzgar las formuladas con carácter subsidiario, el principio de congruencia exige que la Sentencia que resuelve el recurso de suplicación interpuesto contra dicho pronunciamiento y que revoca el pronunciamiento referido a la pretensión principal desestimándola, examine y decida sobre las pretensiones subsidiarias que no se llegaron a juzgar (salvo que en los trámites del recurso hubiera desistido expresamente de ellas la parte demandante, lo que no fue el caso). Hay, pues, incongruencia omisiva y además es manifiesta porque no se da respuesta alguna a la totalidad de las pretensiones subsidiarias de la demanda, lo que también impide el éxito de la denuncia formulada en este particular extremo”.</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La demanda de amparo se dirige contra el Auto de 21 de septiembre de 2004 y la Sentencia de 27 de enero de 2004 aduciendo expresamente con respecto a la Sentencia, y de forma tácita frente al Auto resolutorio del incidente, la lesión del derecho a la tutela judicial efectiva del artículo 24 CE por desconocimiento de la eficacia de la cosa juzgada, por falta de fundamentación de la Sentencia que no es enmendada en el Auto, y por la existencia de una clara incongruencia omisiva al no haberse producido ningún pronunciamiento sobre las pretensiones planteadas con carácter alternativo y subsidiario que se expresaban en el suplico de la demanda iniciadora del proceso laboral. </w:t>
      </w:r>
    </w:p>
    <w:p w:rsidR="00DE14C9" w:rsidRDefault="00DE14C9" w:rsidP="00DE14C9">
      <w:pPr>
        <w:pStyle w:val="TextoNormal"/>
      </w:pPr>
      <w:r>
        <w:t>Respecto el Auto de desestimación del incidente de nulidad se invoca, además, la lesión del derecho a la tutela judicial efectiva sin indefensión (art. 24 CE) en relación con el pronunciamiento de condena en costas, cuya procedencia de las actoras discuten.</w:t>
      </w:r>
    </w:p>
    <w:p w:rsidR="00DE14C9" w:rsidRDefault="00DE14C9" w:rsidP="00DE14C9">
      <w:pPr>
        <w:pStyle w:val="TextoNormal"/>
      </w:pPr>
    </w:p>
    <w:p w:rsidR="00DE14C9" w:rsidRDefault="00DE14C9" w:rsidP="00DE14C9">
      <w:pPr>
        <w:pStyle w:val="TextoNormal"/>
      </w:pPr>
      <w:r w:rsidRPr="00DE14C9">
        <w:rPr>
          <w:rStyle w:val="NumeroAFNegritaCaracter"/>
        </w:rPr>
        <w:t>4</w:t>
      </w:r>
      <w:r>
        <w:t>. Por providencia de 22 de noviembre de 2005 la Sección Tercera del Tribunal Constitucional, de conformidad con lo dispuesto en el art. 50.3 LOTC, acordó conceder al demandante de amparo y al Ministerio Fiscal el plazo común de diez días para la formulación de alegaciones en relación con la carencia manifiesta de contenido constitucional de la demanda —art. 50.1 c) del mismo cuerpo legal.</w:t>
      </w:r>
    </w:p>
    <w:p w:rsidR="00DE14C9" w:rsidRDefault="00DE14C9" w:rsidP="00DE14C9">
      <w:pPr>
        <w:pStyle w:val="TextoNormal"/>
      </w:pPr>
    </w:p>
    <w:p w:rsidR="00DE14C9" w:rsidRDefault="00DE14C9" w:rsidP="00DE14C9">
      <w:pPr>
        <w:pStyle w:val="TextoNormal"/>
      </w:pPr>
      <w:r w:rsidRPr="00DE14C9">
        <w:rPr>
          <w:rStyle w:val="NumeroAFNegritaCaracter"/>
        </w:rPr>
        <w:t>5</w:t>
      </w:r>
      <w:r>
        <w:t>. El 5 de diciembre de 2005 se registró en este Tribunal Constitucional escrito del Ministerio Fiscal solicitando el examen de la Sentencia de 20 de noviembre de 1999, el texto del convenio colectivo y del escrito planteando el incidente de nulidad contra la Sentencia ahora impugnada, y la suspensión del trámite para proceder a recabar las correspondientes actuaciones.</w:t>
      </w:r>
    </w:p>
    <w:p w:rsidR="00DE14C9" w:rsidRDefault="00DE14C9" w:rsidP="00DE14C9">
      <w:pPr>
        <w:pStyle w:val="TextoNormal"/>
      </w:pPr>
    </w:p>
    <w:p w:rsidR="00DE14C9" w:rsidRDefault="00DE14C9" w:rsidP="00DE14C9">
      <w:pPr>
        <w:pStyle w:val="TextoNormal"/>
      </w:pPr>
      <w:r w:rsidRPr="00DE14C9">
        <w:rPr>
          <w:rStyle w:val="NumeroAFNegritaCaracter"/>
        </w:rPr>
        <w:t>6</w:t>
      </w:r>
      <w:r>
        <w:t>. El mismo 5 de diciembre de 2005 se registró escrito de las demandantes de amparo reiterando los razonamientos contenidos en la demanda de amparo originaria.</w:t>
      </w:r>
    </w:p>
    <w:p w:rsidR="00DE14C9" w:rsidRDefault="00DE14C9" w:rsidP="00DE14C9">
      <w:pPr>
        <w:pStyle w:val="TextoNormal"/>
      </w:pPr>
    </w:p>
    <w:p w:rsidR="00DE14C9" w:rsidRDefault="00DE14C9" w:rsidP="00DE14C9">
      <w:pPr>
        <w:pStyle w:val="TextoNormal"/>
      </w:pPr>
      <w:r w:rsidRPr="00DE14C9">
        <w:rPr>
          <w:rStyle w:val="NumeroAFNegritaCaracter"/>
        </w:rPr>
        <w:t>7</w:t>
      </w:r>
      <w:r>
        <w:t>. Por diligencia de ordenación de 15 de diciembre de 2005, la Sala Segunda de este Tribunal Constitucional acordó incorporar a lo actuado los escritos presentados y, conforme a lo solicitado por el Ministerio Fiscal, dirigir atenta comunicación a la Sala de lo Social del Tribunal Superior de Justicia del País Vasco y al Juzgado de lo Social núm. 8 de Bilbao, a fin de que a la mayor brevedad posible remitieran a la Sala certificación o fotocopia adverada de las actuaciones correspondientes al recurso de suplicación núm. 2705-2003 y al procedimiento núm. 646-2002, respectivamente.</w:t>
      </w:r>
    </w:p>
    <w:p w:rsidR="00DE14C9" w:rsidRDefault="00DE14C9" w:rsidP="00DE14C9">
      <w:pPr>
        <w:pStyle w:val="TextoNormal"/>
      </w:pPr>
    </w:p>
    <w:p w:rsidR="00DE14C9" w:rsidRDefault="00DE14C9" w:rsidP="00DE14C9">
      <w:pPr>
        <w:pStyle w:val="TextoNormal"/>
      </w:pPr>
      <w:r w:rsidRPr="00DE14C9">
        <w:rPr>
          <w:rStyle w:val="NumeroAFNegritaCaracter"/>
        </w:rPr>
        <w:t>8</w:t>
      </w:r>
      <w:r>
        <w:t>. El 31 de enero de 2006 se dicta providencia de la Sala Segunda del Tribunal Constitucional concediendo un nuevo plazo común de diez días a los demandantes de amparo y al Ministerio Fiscal a fin de que, a la vista de las actuaciones recibidas, pudiesen formular las alegaciones que estimasen pertinentes en relación con la carencia manifiesta de contenido constitucional de la demanda.</w:t>
      </w:r>
    </w:p>
    <w:p w:rsidR="00DE14C9" w:rsidRDefault="00DE14C9" w:rsidP="00DE14C9">
      <w:pPr>
        <w:pStyle w:val="TextoNormal"/>
      </w:pPr>
    </w:p>
    <w:p w:rsidR="00DE14C9" w:rsidRDefault="00DE14C9" w:rsidP="00DE14C9">
      <w:pPr>
        <w:pStyle w:val="TextoNormal"/>
      </w:pPr>
      <w:r w:rsidRPr="00DE14C9">
        <w:rPr>
          <w:rStyle w:val="NumeroAFNegritaCaracter"/>
        </w:rPr>
        <w:t>9</w:t>
      </w:r>
      <w:r>
        <w:t>. Mediante escrito registrado en este Tribunal el 15 de febrero de 2006, las demandantes de amparo se remiten al contenido de la demanda originaria y al escrito de alegaciones anteriormente registrado.</w:t>
      </w:r>
    </w:p>
    <w:p w:rsidR="00DE14C9" w:rsidRDefault="00DE14C9" w:rsidP="00DE14C9">
      <w:pPr>
        <w:pStyle w:val="TextoNormal"/>
      </w:pPr>
    </w:p>
    <w:p w:rsidR="00DE14C9" w:rsidRDefault="00DE14C9" w:rsidP="00DE14C9">
      <w:pPr>
        <w:pStyle w:val="TextoNormal"/>
      </w:pPr>
      <w:r w:rsidRPr="00DE14C9">
        <w:rPr>
          <w:rStyle w:val="NumeroAFNegritaCaracter"/>
        </w:rPr>
        <w:t>10</w:t>
      </w:r>
      <w:r>
        <w:t xml:space="preserve">. El Ministerio Fiscal, por escrito registrado el 16 de febrero de 2006, interesó la inadmisión de la demanda de amparo, por extemporánea, o en su caso, de estimarse superado el óbice procesal, su admisión por no carecer manifiestamente la demanda de contenido constitucional. </w:t>
      </w:r>
    </w:p>
    <w:p w:rsidR="00DE14C9" w:rsidRDefault="00DE14C9" w:rsidP="00DE14C9">
      <w:pPr>
        <w:pStyle w:val="TextoNormal"/>
      </w:pPr>
      <w:r>
        <w:t xml:space="preserve">Rechaza el Ministerio Fiscal, en primer lugar y de plano, el contenido constitucional de la queja relativa al pronunciamiento de condena de costas donde las demandantes de amparo cuestionan la concreta interpretación que efectúa el órgano judicial sobre el alcance del beneficio de justicia gratuita, impugnando el significado que le ha dado a los artículos 233.1 LPL y 2 d) de la Ley 1/1996, de 10 de enero, pues con tal queja simplemente se pretende trasladar al Tribunal Constitucional la función que con carácter exclusivo se encomienda a los Jueces y Tribunales. </w:t>
      </w:r>
    </w:p>
    <w:p w:rsidR="00DE14C9" w:rsidRDefault="00DE14C9" w:rsidP="00DE14C9">
      <w:pPr>
        <w:pStyle w:val="TextoNormal"/>
      </w:pPr>
      <w:r>
        <w:t xml:space="preserve">En relación con la queja relativa a la cosa juzgada, la falta de fundamentación y la incongruencia, considera que existe un óbice procesal para la admisión a trámite de la demanda de amparo referido a su temporaneidad. En concreto, tras recordar la consolidada doctrina relativa al recurso manifiestamente improcedente y al alargamiento artificial del plazo para recurrir en amparo, señala que se emplea el incidente de nulidad de actuaciones del artículo 241 LOPJ para denunciar una supuesta falta de respeto de la eficacia de la cosa juzgada, para denunciar la supuesta incongruencia omisiva de dicha resolución y en última instancia la alegada deficiencia en la motivación. La respuesta dada por el Auto ahora impugnado, sobre la inadecuación procesal del planteamiento del incidente, se comparte por el Ministerio Fiscal al ceñirse el objeto de dicho incidente a la subsanación de defectos de forma o a la incongruencia del fallo, siempre que en uno u otro caso la resolución no sea susceptible de recurso ordinario o extraordinario. De este modo la denuncia de la supuesta falta de respeto a la eficacia de la cosa juzgada nunca podría plantearse a través del incidente, ni tampoco la deficiencia de la motivación. Con respecto a la pretendida incongruencia del fallo </w:t>
      </w:r>
      <w:r>
        <w:lastRenderedPageBreak/>
        <w:t xml:space="preserve">entiende que también el incidente resulta improcedente, pues si bien es cierto que tal extremo constituye un posible objeto de éste, no lo es menos que existe una previsión en la LEC referida a la subsanación o complemento de Sentencias o autos que hubieren omitido pronunciamientos relativos a pretensiones oportunamente deducidas y que las ahora demandantes de amparo no emplearon oportunamente para tratar de obtener de la Sala los pronunciamientos que juzgaban omitidos. Con todo ello, considera que se ha utilizado una vía procesal que sólo ha contribuido a un alargamiento innecesario del plazo para recurrir en amparo convirtiendo en extemporánea la demanda. </w:t>
      </w:r>
    </w:p>
    <w:p w:rsidR="00DE14C9" w:rsidRDefault="00DE14C9" w:rsidP="00DE14C9">
      <w:pPr>
        <w:pStyle w:val="TextoNormal"/>
      </w:pPr>
      <w:r>
        <w:t xml:space="preserve">Examinando el fondo de la cuestión planteada entiende, en primer término, que carece de contenido constitucional la queja sobre la falta de motivación, pues frente a la defensa que las demandantes hacen sobre el carácter irretroactivo de las normas paccionadas, como lo son los convenios colectivos, no sólo frente a los intereses de quienes han consolidado el derecho previsto en la norma anterior, sino también de aquellos que tienen una mera expectativa, la Sala efectúa la aplicación de la nueva línea jurisprudencial a un supuesto de hecho que es exactamente el mismo sobre el que se asienta la modificación jurisprudencial. Falta de contenido constitucional que, a su juicio, se produce igualmente respecto a la incongruencia omisiva denunciada habida cuenta de que el fundamento de Derecho tercero de la Sentencia, al transcribir la referida postura jurisprudencial, viene a dar una respuesta tácita al planteamiento subsidiario de las actoras, no reconociendo, en definitiva, la pervivencia de derecho alguno para ellas en orden a la mejora de su pensión como consecuencia de la eficacia retroactiva del XVIII convenio colectivo y la consiguiente afectación no sólo de los derechos en expectativa, sino incluso de los ya consolidados. </w:t>
      </w:r>
    </w:p>
    <w:p w:rsidR="00DE14C9" w:rsidRDefault="00DE14C9" w:rsidP="00DE14C9">
      <w:pPr>
        <w:pStyle w:val="TextoNormal"/>
      </w:pPr>
      <w:r>
        <w:t>Por el contrario, aduce que concurre la vulneración denunciada en relación con la cosa juzgada. En particular señala que la propia Sala, en el segundo párrafo del apartado c) del fundamento de Derecho segundo del Auto que resuelve el incidente de nulidad acepta que la Sentencia de la Sala de lo Social del Tribunal Superior de Justicia de 2 de noviembre de 1999, constituye, en tanto que antecedente, un “previo reconocimiento judicial” del que la pretensión de las actoras sería accesoria y por lo tanto acreedora, en principio, a la identificación de su carácter de cosa juzgada. Sin embargo, justifica la falta de los efectos propios de esta institución en razón de una nueva línea jurisprudencial (a partir del año 2003) que vendría a superponerse a pronunciamientos judiciales firmes y anteriores; razonamiento que provoca, en definitiva, que una Sentencia de condena que ya ha resuelto de modo definitivo sobre una acción ejercitada y que ha impuesto al demandado una obligación, se deje sin efecto por un posterior pronunciamiento del Tribunal Supremo dictado para otro caso diferente, haciendo inútil lo fallado en la citada Sentencia de condena, lo que a juicio del Ministerio público, constituye una argumentación irrazonable.</w:t>
      </w:r>
    </w:p>
    <w:p w:rsidR="00DE14C9" w:rsidRDefault="00DE14C9" w:rsidP="00DE14C9">
      <w:pPr>
        <w:pStyle w:val="TextoNormal"/>
      </w:pPr>
    </w:p>
    <w:p w:rsidR="00DE14C9" w:rsidRDefault="00DE14C9" w:rsidP="00DE14C9">
      <w:pPr>
        <w:pStyle w:val="TextoNormal"/>
      </w:pPr>
      <w:r w:rsidRPr="00DE14C9">
        <w:rPr>
          <w:rStyle w:val="NumeroAFNegritaCaracter"/>
        </w:rPr>
        <w:t>11</w:t>
      </w:r>
      <w:r>
        <w:t>. Por providencia de 23 de enero de 2007, la Sala Segunda del Tribunal Constitucional, de conformidad con el art. 11.2 LOTC, acordó conocer del recurso de amparo y admitir a trámite la demanda, ordenando al Juzgado de lo Social núm. 8 de Bilbao el emplazamiento de quienes hubieran sido parte en el procedimiento, salvo a las recurrentes en amparo, por si deseasen comparecer en el presente recurso.</w:t>
      </w:r>
    </w:p>
    <w:p w:rsidR="00DE14C9" w:rsidRDefault="00DE14C9" w:rsidP="00DE14C9">
      <w:pPr>
        <w:pStyle w:val="TextoNormal"/>
      </w:pPr>
    </w:p>
    <w:p w:rsidR="00DE14C9" w:rsidRDefault="00DE14C9" w:rsidP="00DE14C9">
      <w:pPr>
        <w:pStyle w:val="TextoNormal"/>
      </w:pPr>
      <w:r w:rsidRPr="00DE14C9">
        <w:rPr>
          <w:rStyle w:val="NumeroAFNegritaCaracter"/>
        </w:rPr>
        <w:t>12</w:t>
      </w:r>
      <w:r>
        <w:t xml:space="preserve">. Por diligencia de ordenación de 27 de febrero de 2007 se tuvo por personado y parte en el procedimiento al Procurador don Manuel Ortíz en nombre y representación de Bridgestone Hispania, S.A., acordándose entender con él las sucesivas actuaciones, si bien condicionado ello a la presentación de escritura de poder original acreditativa de la representación que dice ostentar. Asimismo se acordó dar vista de las actuaciones recibidas a las partes </w:t>
      </w:r>
      <w:r>
        <w:lastRenderedPageBreak/>
        <w:t>personadas y al Ministerio Fiscal por plazo común de veinte días para que presentaran dentro del mismo las alegaciones que estimasen pertinentes de conformidad con lo establecido en el artículo 52.1 LOTC.</w:t>
      </w:r>
    </w:p>
    <w:p w:rsidR="00DE14C9" w:rsidRDefault="00DE14C9" w:rsidP="00DE14C9">
      <w:pPr>
        <w:pStyle w:val="TextoNormal"/>
      </w:pPr>
    </w:p>
    <w:p w:rsidR="00DE14C9" w:rsidRDefault="00DE14C9" w:rsidP="00DE14C9">
      <w:pPr>
        <w:pStyle w:val="TextoNormal"/>
      </w:pPr>
      <w:r w:rsidRPr="00DE14C9">
        <w:rPr>
          <w:rStyle w:val="NumeroAFNegritaCaracter"/>
        </w:rPr>
        <w:t>13</w:t>
      </w:r>
      <w:r>
        <w:t xml:space="preserve">. El 2 de abril de 2007 se registró en este Tribunal escrito de la empresa Bridgestone Hispania, S.A., interesando la desestimación de la demanda de amparo. </w:t>
      </w:r>
    </w:p>
    <w:p w:rsidR="00DE14C9" w:rsidRDefault="00DE14C9" w:rsidP="00DE14C9">
      <w:pPr>
        <w:pStyle w:val="TextoNormal"/>
      </w:pPr>
      <w:r>
        <w:t xml:space="preserve">La empresa comienza su escrito con una pormenorizada exposición de lo que ha sido el iter procesal acaecido y sus posiciones desde una perspectiva de legalidad ordinaria. Desde el plano constitucional señala, en primer término, que la demanda es prematura pues quienes demandan ahora en amparo debieron interponer recurso de casación para la unificación de doctrina con carácter previo al igual que lo hicieron otros colectivos de demandantes que vieron desestimada su pretensión de reconocimiento de las prestaciones periódicas causadas con anterioridad a la modificación introducida por el XVIII convenio colectivo. </w:t>
      </w:r>
    </w:p>
    <w:p w:rsidR="00DE14C9" w:rsidRDefault="00DE14C9" w:rsidP="00DE14C9">
      <w:pPr>
        <w:pStyle w:val="TextoNormal"/>
      </w:pPr>
      <w:r>
        <w:t xml:space="preserve">En segundo lugar, la empresa aduce, en relación con la inaplicación del efecto de cosa juzgada positiva y la violación del derecho a la tutela judicial efectiva (art. 24 CE) que, precisamente, por aplicar dicho efecto en el sentido pretendido por las ahora demandantes de amparo se anuló la primera Sentencia del Juzgado de lo Social y que, en todo caso, no se habría vulnerado pues la cosa juzgada requiere la identidad subjetiva en las partes y en el otro proceso fueron demandantes sus esposos, sin que pueda vulnerarse la cosa juzgada cuando la Sentencia de suplicación impugnada no es más que consecuencia de la doctrina unificada del Tribunal Supremo. Tampoco considera que se haya producido infracción del deber de motivar impuesto por el art. 24.1 CE por cuanto la Sentencia impugnada lo que hace es señalar que la doctrina unificada es contraria a la expresada en la Sentencia de instancia revocada pero también a la del Tribunal Superior de Justicia de 2 de noviembre de 1999 en la que se reconocía a los esposos de las actoras el derecho al complemento de la pensión de jubilación a cargo de la empresa basada en que el convenio colectivo posterior no puede modificar las pensiones causadas y, por ello, contraria radicalmente a la doctrina jurisprudencial posterior. Tal falta de acogimiento de las pretensiones de las actoras, por el cambio de doctrina del Tribunal Supremo, con cita de la Sentencia en que se produce, resulta una motivación conforme constitucionalmente pues lo que en realidad expresa la Sala de suplicación es que si de acuerdo con la doctrina del Tribunal Supremo los esposos no tenían derecho a las prestaciones reclamadas, debe igualmente desestimarse como consecuencia de ello, el pretendido derecho de sus esposas a las pensiones de viudedad solicitadas y que traen causa de las primeras, por lo que deben ambas correr la misma suerte. </w:t>
      </w:r>
    </w:p>
    <w:p w:rsidR="00DE14C9" w:rsidRDefault="00DE14C9" w:rsidP="00DE14C9">
      <w:pPr>
        <w:pStyle w:val="TextoNormal"/>
      </w:pPr>
      <w:r>
        <w:t>Finalmente, niega que exista la falta de congruencia denunciada, pues lo que existe es una denegación tácita de la pretensión subsidiaria. Considera que hay una denegación tácita derivada del rechazo de la pretensión principal pues sería contradictorio que después de considerar ajustada a Derecho la cancelación por sustitución de las pensiones ya causadas llevadas a cabo por el convenio colectivo, así como que, a partir de la entrada en vigor del mismo ningún trabajador o familiar tiene ya derecho a que se reconozca una prestación complementaria con cargo al sistema de previsión desaparecido, se procediera a continuación a estimar, alternativamente, la pretensión subsidiaria articulada consistente en el reconocimiento de una prestación a tanto alzado prevista en el convenio como compensación o sustitución de las pensiones causadas que se extinguieron a partir de su entrada en vigor.</w:t>
      </w:r>
    </w:p>
    <w:p w:rsidR="00DE14C9" w:rsidRDefault="00DE14C9" w:rsidP="00DE14C9">
      <w:pPr>
        <w:pStyle w:val="TextoNormal"/>
      </w:pPr>
    </w:p>
    <w:p w:rsidR="00DE14C9" w:rsidRDefault="00DE14C9" w:rsidP="00DE14C9">
      <w:pPr>
        <w:pStyle w:val="TextoNormal"/>
      </w:pPr>
      <w:r w:rsidRPr="00DE14C9">
        <w:rPr>
          <w:rStyle w:val="NumeroAFNegritaCaracter"/>
        </w:rPr>
        <w:t>14</w:t>
      </w:r>
      <w:r>
        <w:t>. El Ministerio Fiscal, por escrito de 4 de abril de 2007, da por reproducidas en su integridad las consideraciones contenidas en el informe evacuado en trámite de admisión</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15</w:t>
      </w:r>
      <w:r>
        <w:t>. Por providencia de 31 de mayo de 2007, se señaló para deliberación y votación de la presente Sentencia el día 4 de junio del mismo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El presente recurso de amparo se interpone contra las resoluciones judiciales señaladas en el encabezamiento de la presente Sentencia. En relación con el Auto de desestimación del incidente de nulidad de actuaciones, se aduce que vulnera el derecho a una tutela judicial efectiva por la interpretación que ha llevado a cabo en la determinación de las costas. Por lo que se refiere a la Sentencia de suplicación impugnada, se alega también la vulneración del derecho a una tutela judicial efectiva (art.  24.1 CE) pero en su vertiente de irrazonable aplicación del efecto de la cosa juzgada (al no tener en cuenta el órgano judicial cuando aplica el nuevo criterio mantenido por el Tribunal Supremo que sus esposos ya contaban con un pronunciamiento firme reconociéndoles las pensiones en su día reclamadas), de falta de motivación y de incongruencia omisiva al no dar respuesta alguna a las pretensiones subsidiarias planteadas en la demanda que dio origen del proceso laboral.</w:t>
      </w:r>
    </w:p>
    <w:p w:rsidR="00DE14C9" w:rsidRDefault="00DE14C9" w:rsidP="00DE14C9">
      <w:pPr>
        <w:pStyle w:val="TextoNormal"/>
      </w:pPr>
      <w:r>
        <w:t>El Ministerio Fiscal interesa la inadmisión de la demanda por extemporánea, al haber interpuesto un recurso manifiestamente improcedente como el incidente de nulidad de actuaciones para reparar las infracciones que ahora se denuncian en amparo, así como la desestimación por el fondo de la queja relativa a la falta de motivación y a la supuesta incongruencia omisiva. Por el contrario, considera que, en caso de superarse el óbice procesal apuntado, la demanda debiera estimarse por vulneración de la cosa juzgada por cuanto la interpretación llevada a cabo por la Sala de suplicación resulta irrazonable.</w:t>
      </w:r>
    </w:p>
    <w:p w:rsidR="00DE14C9" w:rsidRDefault="00DE14C9" w:rsidP="00DE14C9">
      <w:pPr>
        <w:pStyle w:val="TextoNormal"/>
      </w:pPr>
      <w:r>
        <w:t>Por su parte la empresa compareciente solicita, en primer lugar, la inadmisión de la demanda de amparo, por no haber interpuesto recurso de casación para la unificación de doctrina, por lo que sería prematura, pero también, en segundo lugar, su desestimación porque no se produce ninguna de las infracciones denunciadas.</w:t>
      </w:r>
    </w:p>
    <w:p w:rsidR="00DE14C9" w:rsidRDefault="00DE14C9" w:rsidP="00DE14C9">
      <w:pPr>
        <w:pStyle w:val="TextoNormal"/>
      </w:pPr>
    </w:p>
    <w:p w:rsidR="00DE14C9" w:rsidRDefault="00DE14C9" w:rsidP="00DE14C9">
      <w:pPr>
        <w:pStyle w:val="TextoNormal"/>
      </w:pPr>
      <w:r w:rsidRPr="00DE14C9">
        <w:rPr>
          <w:rStyle w:val="NumeroAFNegritaCaracter"/>
        </w:rPr>
        <w:t>2</w:t>
      </w:r>
      <w:r>
        <w:t>. El examen de la demanda de amparo debe realizarse, como es tradicional, analizando con carácter previo la última de las resoluciones recurridas (el Auto de desestimación del incidente de actuaciones) por cuanto, de estimarse la queja, el efecto sería el de la retroacción de actuaciones hasta ese momento procesal, y no antes, para que se dictara una nueva resolución conforme con el derecho fundamental que fue en ese momento vulnerado.</w:t>
      </w:r>
    </w:p>
    <w:p w:rsidR="00DE14C9" w:rsidRDefault="00DE14C9" w:rsidP="00DE14C9">
      <w:pPr>
        <w:pStyle w:val="TextoNormal"/>
      </w:pPr>
      <w:r>
        <w:t xml:space="preserve">De este modo, como se expresa en antecedentes, se imputa al Auto de desestimación del incidente de nulidad de actuaciones planteado, una interpretación contraria al art. 24.1 CE y al principio de justicia gratuita en el concreto aspecto relativo a la condena, por mitades, en costas, por haber interpuesto dicho incidente excepcional. El razonamiento judicial que sustenta tal opción, según el Auto impugnado, es que la condena en costas se prevé expresamente para el caso de desestimación del incidente (art. 241.2 de la Ley Orgánica del Poder Judicial: LOPJ) y que a ella no son inmunes los beneficiarios de justicia gratuita “ya que no integra el contenido de ese derecho (art. 6 de la Ley 1/1996, de 10 de enero) y lo corrobora que cuando se ha querido excluirles de determinadas condenas en costas se les ha tenido que mencionar de forma expresa (art. 233.1 LPL)”. Argumento que, a juicio de las recurrentes, constituye una interpretación restrictiva del principio de justicia gratuita y no se compadece bien con el hecho de que el art. 2 d) de la Ley 1/1985, de 10 de enero (sic), </w:t>
      </w:r>
      <w:r>
        <w:lastRenderedPageBreak/>
        <w:t>incluya entre los beneficiarios del derecho en el orden social a los trabajadores y beneficiarios del sistema de seguridad social, condición esta última que ostentan las demandantes de amparo.</w:t>
      </w:r>
    </w:p>
    <w:p w:rsidR="00DE14C9" w:rsidRDefault="00DE14C9" w:rsidP="00DE14C9">
      <w:pPr>
        <w:pStyle w:val="TextoNormal"/>
      </w:pPr>
      <w:r>
        <w:t>Pero la queja no puede prosperar. En primer lugar por que no se sabe exactamente a qué norma se refieren cuando aluden a la Ley 1/1985, de 10 de enero. Pero, en segundo lugar y dando por presupuesto que la referencia es a la propia Ley 1/1996, de asistencia jurídica gratuita, lo cierto es que, con independencia del acierto o desacierto de la argumentación judicial esgrimida, es conforme a los parámetros constitucionales. En efecto, un razonamiento como el examinado sustentado en el hecho de que el contenido del derecho de asistencia jurídica gratuita, explicitado en el art. 6 de la Ley 1/1996, no hace referencia expresa a las costas, por lo que al no enumerarse expresamente (como sí se hace con otras facetas del derecho), debe ser interpretada dicha ausencia como una exclusión y excepción a tal derecho que corroboraría el hecho de que la normativa laboral, cuando quiere excluir las costas en otros supuestos lo haga expresamente, tal y como hace el legislador en el art. 233.1 de la Ley de procedimiento laboral (LPL), no puede considerarse incursa en un error fáctico patente, evidente o notorio, inmediatamente verificable de forma clara e incontrovertida de las actuaciones (por todas, STC 59/2003, de 24 de marzo, FJ 3, 114/2005, de 9 de mayo, FJ 4) y tampoco puede calificarse como arbitrario, en el sentido de un actuar judicial sin razones formales ni materiales y que resulta de una simple expresión de la voluntad (SSTC 51/1982, de 19 de julio, FJ 3; 164/2002, de 17 de septiembre, FJ 4), ni incurso en quiebras lógicas de tal magnitud que las conclusiones alcanzadas no pueden considerarse basadas en ninguna de las razones aducidas (SSTC 214/1999, de 29 de noviembre, FJ 4; 164/2002, 17 de septiembre, FJ 4; 41/2007, de 26 de febrero, FJ 5), por lo que la queja debe desestimarse.</w:t>
      </w:r>
    </w:p>
    <w:p w:rsidR="00DE14C9" w:rsidRDefault="00DE14C9" w:rsidP="00DE14C9">
      <w:pPr>
        <w:pStyle w:val="TextoNormal"/>
      </w:pPr>
    </w:p>
    <w:p w:rsidR="00DE14C9" w:rsidRDefault="00DE14C9" w:rsidP="00DE14C9">
      <w:pPr>
        <w:pStyle w:val="TextoNormal"/>
      </w:pPr>
      <w:r w:rsidRPr="00DE14C9">
        <w:rPr>
          <w:rStyle w:val="NumeroAFNegritaCaracter"/>
        </w:rPr>
        <w:t>3</w:t>
      </w:r>
      <w:r>
        <w:t>. Ya por lo que se refiere a la Sentencia de suplicación impugnada, las demandantes de amparo consideran que en ella se ha vulnerado el derecho a la tutela judicial efectiva por tres motivos: falta de motivación, vulneración de la eficacia de la cosa juzgada e incongruencia omisiva respecto a las pretensiones subsidiarias contenidas en la demanda rectora del proceso. Pero antes de entrar en el fondo de las quejas debemos examinar si, como argumentan el Ministerio Fiscal y la empresa compareciente, la demanda de amparo incurre en algún óbice procesal que impida a este Tribunal pronunciarse sobre todos o alguno de los aspectos del derecho a la tutela judicial efectiva que se dicen vulnerados. Inadmisión que podría llevarse a efecto en esta fase decisoria pues, como hemos reiterado,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(entre muchas, SSTC 53/1983, de 20 de junio, FJ 2; 72/2004, de 19 de abril).</w:t>
      </w:r>
    </w:p>
    <w:p w:rsidR="00DE14C9" w:rsidRDefault="00DE14C9" w:rsidP="00DE14C9">
      <w:pPr>
        <w:pStyle w:val="TextoNormal"/>
      </w:pPr>
      <w:r>
        <w:t xml:space="preserve">Pues bien, se alega, de un lado, que la demanda es prematura pues, a juicio de la empresa compareciente, debieron las demandantes de amparo acudir a la vía del recurso de casación para la unificación de doctrina con carácter previo al amparo, incumpliendo, con ello el carácter subsidiario de este recurso constitucional. Sin embargo esta queja debe rechazarse de plano por cuanto, como en otras ocasiones ha dicho este Tribunal, cuando se aduce este motivo como óbice procesal, no basta con hacerlo de un modo genérico e inespecífico, sino que la parte que lo alega debe fundamentarlo de modo concreto y preciso, pues este Tribunal ha reiterado que la especial naturaleza de dicho recurso, condicionado legalmente a la concurrencia de rígidos requisitos de admisión sobre identidad y contradicción, determina que su interposición no resulte siempre preceptiva para dar por agotada la vía judicial, siendo </w:t>
      </w:r>
      <w:r>
        <w:lastRenderedPageBreak/>
        <w:t>únicamente exigible, a los efectos de la subsidiariedad del amparo, cuando no quepa duda respecto de su procedencia, correspondiendo a quien pretende hacer valer su no interposición como motivo de inadmisibilidad acreditar la posibilidad de recurrir a esta extraordinaria vía en el supuesto concreto (por todas, SSTC 153/2004, de 20 de septiembre, FJ 2; 227/2006, de 17 de julio, FJ 2; 47/2006, de 13 de febrero, FJ 2). Y en el presente caso no cabe apreciar que la parte comparecida haya cumplido con la carga procesal, que le incumbe, de haber justificado la existencia de Sentencias contradictorias con la que se impugna, ni una identidad de hechos que pudiera hacer pensar en la indubitada procedencia del recurso de casación para la unificación de doctrina.</w:t>
      </w:r>
    </w:p>
    <w:p w:rsidR="00DE14C9" w:rsidRDefault="00DE14C9" w:rsidP="00DE14C9">
      <w:pPr>
        <w:pStyle w:val="TextoNormal"/>
      </w:pPr>
    </w:p>
    <w:p w:rsidR="00DE14C9" w:rsidRDefault="00DE14C9" w:rsidP="00DE14C9">
      <w:pPr>
        <w:pStyle w:val="TextoNormal"/>
      </w:pPr>
      <w:r w:rsidRPr="00DE14C9">
        <w:rPr>
          <w:rStyle w:val="NumeroAFNegritaCaracter"/>
        </w:rPr>
        <w:t>4</w:t>
      </w:r>
      <w:r>
        <w:t>. De otro lado, el Ministerio Fiscal, por el contrario, considera que la demanda de amparo es extemporánea por cuanto el incidente de nulidad de actuaciones interpuesto resulta manifiestamente improcedente para procurar una reparación de las lesiones que ahora se aducen en amparo tal y como, expresa y razonadamente, argumenta también en el Auto impugnado el órgano judicial.</w:t>
      </w:r>
    </w:p>
    <w:p w:rsidR="00DE14C9" w:rsidRDefault="00DE14C9" w:rsidP="00DE14C9">
      <w:pPr>
        <w:pStyle w:val="TextoNormal"/>
      </w:pPr>
      <w:r>
        <w:t>Al respecto debe recordarse que es doctrina pacífica de este Tribunal que no cabe alargar artificialmente el plazo para impugnar en amparo mediante la presentación de recursos manifiestamente improcedentes. No obstante dicha doctrina postula igualmente una interpretación restrictiva del concepto de recurso manifiestamente improcedente. En efecto, como recuerda la STC 69/2003, de 9 de abril (FJ 11), “este Tribunal ha establecido que la utilización de recursos o remedios procesales manifiestamente improcedentes contra una resolución judicial firme no suspende el plazo de veinte días para recurrir en amparo (art. 44.2 LOTC), que es un plazo de caducidad, improrrogable, y, por consiguiente, de inexorable cumplimiento, que no consiente prolongación artificial, ni puede quedar al arbitrio de las partes (por todas, SSTC 72/1991, de 8 de abril, FJ 2, 177/1995, de 11 de diciembre, FJ único, 201/1998, de 14 de octubre, FJ 3, y 78/2000, de 27 de marzo, FJ 2). Sin embargo también hemos declarado reiteradamente que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pues, como hemos igualmente señalado en la reciente STC 250/2005, de 10 de octubre, “el respeto debido al derecho de la parte a utilizar cuantos recursos considere útiles para la defensa de sus intereses impide que se abstenga de emplear aquellos cuya improcedencia sea razonablemente dudosa y, en consecuencia, que asuma el riesgo de incurrir en una falta de agotamiento de la vía judicial previa (por todas, STC 131/2004, de 19 de julio, FJ 2)” (FJ 2).</w:t>
      </w:r>
    </w:p>
    <w:p w:rsidR="00DE14C9" w:rsidRDefault="00DE14C9" w:rsidP="00DE14C9">
      <w:pPr>
        <w:pStyle w:val="TextoNormal"/>
      </w:pPr>
      <w:r>
        <w:t xml:space="preserve">En relación con el incidente de nulidad de actuaciones tenemos declarado que, tras la reforma del art. 240 de la Ley Orgánica del Poder Judicial (LOPJ) operada por la Ley Orgánica 5/1997, de 4 de diciembre —y cuyo régimen jurídico contemplaba el art.  241 LOPJ tras la modificación llevada a cabo por la Ley Orgánica 19/2003, de 23 de diciembre, hasta la entrada en vigor de la reciente Ley Orgánica 6/2007, de 24 de mayo, de reforma de la Ley Orgánica del Tribunal Constitucional— se muestra como imprescindible en orden al cumplimiento de la previsión del art. 44.1 a) LOTC (SSTC 105/2001, de 23 de abril, FJ 3; 18/2002, de 28 de enero, FJ 4; 47/2006, de 13 de febrero, FJ 2) y aunque ello no lo configura como un remedio que haya que utilizar obligatoriamente y en todo caso para poder acudir ante este Tribunal Constitucional, con independencia de la cuestión que se pretenda plantear, su utilización para agotar la vía previa resulta idónea cuando la queja se encuentre </w:t>
      </w:r>
      <w:r>
        <w:lastRenderedPageBreak/>
        <w:t>fundada en la vulneración de derechos consagrados en el art. 24 CE que tengan su origen en un defecto de forma causante de indefensión o en el vicio de incongruencia.</w:t>
      </w:r>
    </w:p>
    <w:p w:rsidR="00DE14C9" w:rsidRDefault="00DE14C9" w:rsidP="00DE14C9">
      <w:pPr>
        <w:pStyle w:val="TextoNormal"/>
      </w:pPr>
    </w:p>
    <w:p w:rsidR="00DE14C9" w:rsidRDefault="00DE14C9" w:rsidP="00DE14C9">
      <w:pPr>
        <w:pStyle w:val="TextoNormal"/>
      </w:pPr>
      <w:r w:rsidRPr="00DE14C9">
        <w:rPr>
          <w:rStyle w:val="NumeroAFNegritaCaracter"/>
        </w:rPr>
        <w:t>5</w:t>
      </w:r>
      <w:r>
        <w:t>. Ello señalado, debemos examinar si en el caso ahora enjuiciado cabe apreciar o no el óbice procesal manifestado por el Ministerio Fiscal, comenzado para ello por el análisis de la queja relativa a la incongruencia omisiva. En opinión del Ministerio Fiscal, como se recoge en antecedentes, dicho óbice procesal concurre porque las demandantes de amparo debieron ir al cauce del complemento de Sentencias previsto en el art. 215 de la Ley de enjuiciamiento civil (LEC) en lugar de al incidente de nulidad de actuaciones contemplado en el art. 241 LOPJ.</w:t>
      </w:r>
    </w:p>
    <w:p w:rsidR="00DE14C9" w:rsidRDefault="00DE14C9" w:rsidP="00DE14C9">
      <w:pPr>
        <w:pStyle w:val="TextoNormal"/>
      </w:pPr>
      <w:r>
        <w:t>El problema que ahora se nos presenta ya ha sido resuelto en la STC 174/2004, de 18 de octubre, aunque el caso que allí se analizaba fuera exactamente el inverso, que no opuesto, al que ahora se trae a nuestro enjuiciamiento. En aquel supuesto este Tribunal Constitucional se preguntaba, de oficio, si debía haber acudido el recurrente de amparo al incidente de nulidad de actuaciones al alegar en amparo una incongruencia omisiva, a fin de entender agotada la vía judicial previa por ser dicha vía el remedio procesal para reparar la lesión presuntamente sufrida. El hecho de que en lugar de tal incidente, el demandante de amparo hubiera formulado solicitud de subsanación de la Sentencia impugnada en aplicación del mecanismo previsto en el art.  215 LEC, llevó a este Tribunal a considerar que, comoquiera que, dado el objeto del complemento de Sentencias y Autos regulado en el apartado 2 del mencionado precepto, la respuesta que el recurrente podría obtener “sería muy similar (por no decir idéntica) a la que habría obtenido de haber promovido el incidente de nulidad de actuaciones … no se puede cuestionar que el actor haya agotado la vía judicial previa, pues, en definitiva, se ha conseguido lo pretendido a través de la exigencia del artículo 44.1 a) LOTC, dirigida a salvaguardar el carácter subsidiario del recurso de amparo” (FJ 2). Es decir, el examen en el plano constitucional de la cuestión suscitada sobre si un concreto medio de impugnación es o no procedente, en definitiva, lo que persigue es excluir la posibilidad de que se inste la tutela dispensable a través del recurso de amparo sin haberse intentado la reparación del derecho ante la jurisdicción ordinaria cuando había un razonable cauce legal para ello.</w:t>
      </w:r>
    </w:p>
    <w:p w:rsidR="00DE14C9" w:rsidRDefault="00DE14C9" w:rsidP="00DE14C9">
      <w:pPr>
        <w:pStyle w:val="TextoNormal"/>
      </w:pPr>
      <w:r>
        <w:t>En el presente caso, tampoco el cauce utilizado puede calificarse de “manifiestamente” improcedente, ni de inútil desde la perspectiva del recurso de amparo y del principio de subsidiariedad que lo preside, por lo que, como en aquella Sentencia afirmáramos, tampoco aquí cabe apreciar el óbice procesal propuesto por el Ministerio Fiscal.</w:t>
      </w:r>
    </w:p>
    <w:p w:rsidR="00DE14C9" w:rsidRDefault="00DE14C9" w:rsidP="00DE14C9">
      <w:pPr>
        <w:pStyle w:val="TextoNormal"/>
      </w:pPr>
    </w:p>
    <w:p w:rsidR="00DE14C9" w:rsidRDefault="00DE14C9" w:rsidP="00DE14C9">
      <w:pPr>
        <w:pStyle w:val="TextoNormal"/>
      </w:pPr>
      <w:r w:rsidRPr="00DE14C9">
        <w:rPr>
          <w:rStyle w:val="NumeroAFNegritaCaracter"/>
        </w:rPr>
        <w:t>6</w:t>
      </w:r>
      <w:r>
        <w:t>. Superado el óbice procesal respecto de esta queja resta por examinar si se produce o no la lesión de fondo alegada, esto es, si existe o no incongruencia omisiva en la Sentencia de suplicación.</w:t>
      </w:r>
    </w:p>
    <w:p w:rsidR="00DE14C9" w:rsidRDefault="00DE14C9" w:rsidP="00DE14C9">
      <w:pPr>
        <w:pStyle w:val="TextoNormal"/>
      </w:pPr>
      <w:r>
        <w:t>A este respecto debe recordarse que, como consta en antecedentes, el Ministerio Fiscal considera que la misma no se ha producido pues podría apreciarse una respuesta tácita a las pretensiones subsidiarias planteadas. En esta misma dirección parecen reconducirse algunas de las alegaciones realizadas por la empresa compareciente. Por el contrario, de modo claro y taxativo, el propio órgano judicial considera que existe la incongruencia omisiva denunciada en el Auto de desestimación del incidente de nulidad de actuaciones y no la corrige, por entender exclusivamente que es manifiesta y, por tal motivo, debió acudirse a la vía del complemento prevista en el art. 215 LEC en lugar del, a su juicio, improcedente incidente de nulidad de actuaciones previsto en el art. 241 LOPJ. En concreto, en palabras del propio Auto, afirma que:</w:t>
      </w:r>
    </w:p>
    <w:p w:rsidR="00DE14C9" w:rsidRDefault="00DE14C9" w:rsidP="00DE14C9">
      <w:pPr>
        <w:pStyle w:val="TextoNormal"/>
      </w:pPr>
      <w:r>
        <w:lastRenderedPageBreak/>
        <w:t>“no cabe duda de que en un caso como el de autos ha habido una manifiesta omisión de pronunciamiento sobre las pretensiones subsidiarias de la demanda. Éstas se formularon para el caso de que se estimase que no habían causado derecho al complemento en la pensión de viudedad. La Sentencia dictada el 18 de junio de 2003 por el juzgado de lo social no se pronunció sobre ellas ya que estimó la pretensión principal de la demanda lo cual constituye la razón que justificaba su falta de decisión. No obstante en el último párrafo de su segundo fundamento de derecho razonaba sobre ellas con carácter cautelar, en modo de proceder un tanto irregular, pero irrelevante a estos efectos. El recurso de suplicación interpuesto por la empresa atacaba el único pronunciamiento recaído, si bien el motivo inicial articulado venía a incidir en cuestión precisamente relacionada exclusivamente con las pretensiones subsidiarias. La Sentencia que lo resuelve, lo estima, absolviendo a la demandada de las peticiones formuladas en la demanda. Pronunciamiento que si bien leído aisladamente puede parecer que da respuesta a todas las pretensiones de la demanda, tal conclusión se desvanece cuando se aprecia que, en su fundamentación, desestima el motivo primero del recurso y no contiene el más mínimo análisis de las pretensiones subsidiarias, máxime cuando el juzgado había razonado que en caso de no prosperar la pretensión principal debía acogerse la última de las pretensiones subsidiarias. No hay duda alguna de que en casos como éste, en que el Juzgado de lo Social acoge la pretensión principal de una demanda y, por ello, deja sin juzgar las formuladas con carácter subsidiario, el principio de congruencia exige que la Sentencia que resuelve el recurso de suplicación interpuesto contra dicho pronunciamiento y que revoca el pronunciamiento referido a la pretensión principal desestimándola, examine y decida sobre las pretensiones subsidiarias que no se llegaron a juzgar (salvo que en los trámites del recurso hubiera desistido expresamente de ellas la parte demandante, lo que no fue el caso). Hay, pues, incongruencia omisiva y además es manifiesta porque no se da respuesta alguna a la totalidad de las pretensiones subsidiarias de la demanda, lo que también impide el éxito de la denuncia formulada en este particular extremo”.</w:t>
      </w:r>
    </w:p>
    <w:p w:rsidR="00DE14C9" w:rsidRDefault="00DE14C9" w:rsidP="00DE14C9">
      <w:pPr>
        <w:pStyle w:val="TextoNormal"/>
      </w:pPr>
      <w:r>
        <w:t>Es decir, el propio órgano judicial aunque reconoce que una lectura rápida pudiera dar lugar a pensar que la Sentencia de suplicación otorga una respuesta tácita a las pretensiones subsidiarias, tal y como parecen entender el Ministerio público y la empresa, considera, sin embargo, que tal posibilidad se desvanece cuando se aprecia que, en su fundamentación, se desestima sólo expresamente el motivo primero del recurso, pero sin contener el más mínimo análisis de las pretensiones subsidiarias.</w:t>
      </w:r>
    </w:p>
    <w:p w:rsidR="00DE14C9" w:rsidRDefault="00DE14C9" w:rsidP="00DE14C9">
      <w:pPr>
        <w:pStyle w:val="TextoNormal"/>
      </w:pPr>
      <w:r>
        <w:t xml:space="preserve">Ciertamente un examen de la Sentencia de suplicación pudiera abocar a entender que se ha producido una desestimación tácita cuando, tras razonar sobre el cambio de doctrina del Tribunal Supremo, la Sala concluye que “si se ha acordado la posibilidad principal de modificar ‘suprimiendo’ el derecho que los trabajadores tenían concedidos por mor de una norma convencional posterior que así lo dispone, deviene evidente que cualquier obligación subsiguiente o consecuente con tales derechos suprimidos deba correr igual suerte”. Sin embargo, como se deduce de las actuaciones y, en concreto, de la demanda rectora del proceso laboral, las demandantes de amparo aludían igualmente al XVIII convenio colectivo y al acta de principios suscrita el 22 de diciembre de 1997 en la que se indicaba que las obligaciones que hasta la fecha mantenía la empresa con los pensionistas afectados quedarían extinguidas y serían sustituidas por la obligación del pago de un capital, es decir la pérdida de la pensión a cambio de la cantidad a tanto alzado. Precisamente con tal argumentación se suplicaba como última pretensión subsidiaria la parte de la cantidad a tanto alzado en concepto de compensación capitalizada prevista en dicho convenio. Y a tal pretensión ni se le otorga respuesta expresa alguna en la Sentencia de suplicación, ni puede afirmarse con </w:t>
      </w:r>
      <w:r>
        <w:lastRenderedPageBreak/>
        <w:t>rotundidad que el silencio judicial constituya una desestimación tácita cuya motivación sea fácil de inducir del conjunto de razonamientos contenidos en la resolución impugnada.</w:t>
      </w:r>
    </w:p>
    <w:p w:rsidR="00DE14C9" w:rsidRDefault="00DE14C9" w:rsidP="00DE14C9">
      <w:pPr>
        <w:pStyle w:val="TextoNormal"/>
      </w:pPr>
      <w:r>
        <w:t>Así las cosas, ante el hecho de que el propio órgano judicial declare que aunque el pronunciamiento de suplicación “leído aisladamente puede parecer que da respuesta a todas las pretensiones de la demanda”, pero que “tal conclusión se desvanece cuando se aprecia que, en su fundamentación, desestima el motivo primero del recurso y no contiene el más mínimo análisis de las pretensiones subsidiarias”, aboca a confirmar la existencia de la incongruencia omisiva denunciada y estimar el amparo por este concreto motivo, habida cuenta de que, siendo tan manifiesta la omisión para quien es el dueño del proceso, a este Tribunal Constitucional no le cabe más que respetar el criterio judicialmente emitido en el ejercicio de la potestad jurisdiccional que le atribuye el art. 117.3 CE y confirmar la lesión alegada en amparo.</w:t>
      </w:r>
    </w:p>
    <w:p w:rsidR="00DE14C9" w:rsidRDefault="00DE14C9" w:rsidP="00DE14C9">
      <w:pPr>
        <w:pStyle w:val="TextoNormal"/>
      </w:pPr>
      <w:r>
        <w:t>Apreciada la lesión referida y, con ella, la necesidad de retroacción de actuaciones, no procede entrar en el examen del resto de quejas esgrimidas en la demanda de amparo.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Estimar la demanda de amparo formulada por doña Dominga Suárez Álvarez y doña Concepción Prieto Madaria y, en consecuencia:</w:t>
      </w:r>
    </w:p>
    <w:p w:rsidR="00DE14C9" w:rsidRDefault="00DE14C9" w:rsidP="00DE14C9">
      <w:pPr>
        <w:pStyle w:val="TextoNormal"/>
      </w:pPr>
      <w:r>
        <w:t>1º Declarar que ha sido vulnerado el derecho a la tutela judicial efectiva de las demandantes de amparo (art. 24.1 CE).</w:t>
      </w:r>
    </w:p>
    <w:p w:rsidR="00DE14C9" w:rsidRDefault="00DE14C9" w:rsidP="00DE14C9">
      <w:pPr>
        <w:pStyle w:val="TextoNormal"/>
      </w:pPr>
      <w:r>
        <w:t>2º Restablecerlas en su derecho y, a tal fin, declarar la nulidad de la Sentencia de 27 de enero de 2004 y del Auto de 21 de septiembre de 2004 dictados por la Sala de lo Social del Tribunal Superior de Justicia del País Vasco, retrotrayendo las actuaciones al momento inmediatamente anterior al dictado de la primera resolución citada, a fin de que se dicte una nueva con pleno respeto del derecho vulnerado.</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cuatro de junio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49" w:name="SENTENCIA_2007_136"/>
      <w:r>
        <w:lastRenderedPageBreak/>
        <w:t>SENTENCIA 136/2007, de 4 de junio de 2007</w:t>
      </w:r>
    </w:p>
    <w:bookmarkEnd w:id="49"/>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161, de 6 de julio de 2007)</w:t>
      </w:r>
    </w:p>
    <w:p w:rsidR="00DE14C9" w:rsidRDefault="00DE14C9" w:rsidP="00DE14C9">
      <w:pPr>
        <w:pStyle w:val="TtuloBOE"/>
      </w:pPr>
    </w:p>
    <w:p w:rsidR="00DE14C9" w:rsidRDefault="00DE14C9" w:rsidP="00DE14C9">
      <w:pPr>
        <w:pStyle w:val="SntesisDescriptiva"/>
      </w:pPr>
      <w:r>
        <w:t>ECLI:ES:TC:2007:136</w:t>
      </w:r>
    </w:p>
    <w:p w:rsidR="00DE14C9" w:rsidRDefault="00DE14C9" w:rsidP="00DE14C9">
      <w:pPr>
        <w:pStyle w:val="SntesisDescriptiva"/>
      </w:pPr>
    </w:p>
    <w:p w:rsidR="00DE14C9" w:rsidRDefault="00DE14C9" w:rsidP="00DE14C9">
      <w:pPr>
        <w:pStyle w:val="SntesisDescriptiva"/>
      </w:pPr>
      <w:r>
        <w:t>Recurso de amparo 6716-2004. Promovido por doña Adelina Virginia Estada Adiego frente a las Sentencias de la Audiencia Provincial y de un Juzgado de Primera Instancia de Barcelona que desestimaron su demanda contra Supermercados Champion, S.A., sobre indemnización de daños y perjuicios.</w:t>
      </w:r>
    </w:p>
    <w:p w:rsidR="00DE14C9" w:rsidRDefault="00DE14C9" w:rsidP="00DE14C9">
      <w:pPr>
        <w:pStyle w:val="SntesisDescriptiva"/>
      </w:pPr>
    </w:p>
    <w:p w:rsidR="00DE14C9" w:rsidRDefault="00DE14C9" w:rsidP="00DE14C9">
      <w:pPr>
        <w:pStyle w:val="SntesisAnaltica"/>
      </w:pPr>
      <w:r>
        <w:t>Vulneración del derecho a la prueba: sentencia de apelación civil que desestima una demanda por prescripción, tras haber inadmitido unas pruebas sobre ese extremo no practicadas en la instancia.</w:t>
      </w:r>
    </w:p>
    <w:p w:rsidR="00DE14C9" w:rsidRDefault="00DE14C9" w:rsidP="00DE14C9">
      <w:pPr>
        <w:pStyle w:val="SntesisAnaltica"/>
      </w:pPr>
    </w:p>
    <w:p w:rsidR="00DE14C9" w:rsidRDefault="00DE14C9" w:rsidP="00DE14C9">
      <w:pPr>
        <w:pStyle w:val="Extracto"/>
      </w:pPr>
      <w:r>
        <w:t>1.</w:t>
      </w:r>
      <w:r>
        <w:tab/>
        <w:t>Se vulnera el derecho a la prueba, al generarse un efecto material de indefensión, ya que el interrogatorio de los peritos se dirigía a probar el alcance de los daños padecidos, el momento de surgimiento de los mismos y su extensión en el tiempo, pudiendo las aclaraciones de los peritos haber determinado el momento del conocimiento de las consecuencias lesivas del accidente lo que habría tenido una incidencia decisiva en el juicio acerca de la prescripción de la acción [FJ 3].</w:t>
      </w:r>
    </w:p>
    <w:p w:rsidR="00DE14C9" w:rsidRDefault="00DE14C9" w:rsidP="00DE14C9">
      <w:pPr>
        <w:pStyle w:val="Extracto"/>
      </w:pPr>
    </w:p>
    <w:p w:rsidR="00DE14C9" w:rsidRDefault="00DE14C9" w:rsidP="00DE14C9">
      <w:pPr>
        <w:pStyle w:val="Extracto"/>
      </w:pPr>
      <w:r>
        <w:t>2.</w:t>
      </w:r>
      <w:r>
        <w:tab/>
        <w:t>Es notoria la falta de razonabilidad del motivo invocado por el órgano judicial para la denegación de las pruebas periciales, atinente a su falta de necesidad a la vista del objeto del recurso, pues las dos pruebas se dirigían a aclarar el alcance de las lesiones y secuelas y el momento en el que las mismas se manifestaron mediante la interrogación dell autor del informe que sirvió de base para establecer el momento del conocimiento del daño, y con ello del inicio del plazo de prescripción, y la prescripción misma [FJ 2].</w:t>
      </w:r>
    </w:p>
    <w:p w:rsidR="00DE14C9" w:rsidRDefault="00DE14C9" w:rsidP="00DE14C9">
      <w:pPr>
        <w:pStyle w:val="Extracto"/>
      </w:pPr>
    </w:p>
    <w:p w:rsidR="00DE14C9" w:rsidRDefault="00DE14C9" w:rsidP="00DE14C9">
      <w:pPr>
        <w:pStyle w:val="Extracto"/>
      </w:pPr>
      <w:r>
        <w:t>3.</w:t>
      </w:r>
      <w:r>
        <w:tab/>
        <w:t>Doctrina sobre el derecho a la utilización de los medios de prueba pertinentes para la defensa y sobre las condiciones que le permiten enjuiciar al Tribunal su vulneración [FFJJ 2, 3].</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lastRenderedPageBreak/>
        <w:t>SENTENCIA</w:t>
      </w:r>
    </w:p>
    <w:p w:rsidR="00DE14C9" w:rsidRDefault="00DE14C9" w:rsidP="00DE14C9">
      <w:pPr>
        <w:pStyle w:val="TextoNormalCentrado"/>
        <w:keepNext/>
      </w:pPr>
    </w:p>
    <w:p w:rsidR="00DE14C9" w:rsidRDefault="00DE14C9" w:rsidP="00DE14C9">
      <w:pPr>
        <w:pStyle w:val="TextoNormal"/>
      </w:pPr>
      <w:r>
        <w:t>En el recurso de amparo núm. 6716-2004, promovido por doña Adelina Virginia Estada Adiego, representada por el Procurador de los Tribunales don Juan Ignacio Valverde Cánovas y asistida por el Abogado don Antonio Gerbolés García-Andrade, contra la Sentencia de la Sección Decimonovena de la Audiencia Provincial de Barcelona 63/2004, de 10 de febrero —rectificada por Auto de 22 de marzo de 2004—, de ratificación en apelación de la Sentencia del Juzgado de Primera Instancia núm. 3 de Barcelona de 10 de junio de 2003, desestimatoria a su vez de demanda de indemnización de daños y perjuicios. Ha intervenido el Ministerio Fiscal. Ha sido Ponente la Presidenta doña María Emilia Casas Baamonde,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registrado en este Tribunal el día 12 de noviembre de 2004, el Procurador de los Tribunales don Juan Ignacio Valverde Cánovas interpone recurso de amparo en nombre de doña Adelina Virginia Estada Adiego contra la Sentencia mencionada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relevantes para el examen de la pretensión de amparo son, sucintamente relatados, los siguientes: </w:t>
      </w:r>
    </w:p>
    <w:p w:rsidR="00DE14C9" w:rsidRDefault="00DE14C9" w:rsidP="00DE14C9">
      <w:pPr>
        <w:pStyle w:val="TextoNormal"/>
      </w:pPr>
      <w:r>
        <w:t xml:space="preserve">a) El fallo de la Sentencia del Juzgado de Primera Instancia núm. 3 de Barcelona de 12 de junio de 2003 desestimó la demanda de indemnización de daños y perjuicios que había interpuesto doña Adelina Virginia Estada Adiego contra Supermercados Champion, S.A., y Allianz Compañía de Seguros y Reaseguros, S.A., por el accidente ocurrido en una escalera mecánica del supermercado Simago. La razón de la desestimación radicó en el acogimiento de la excepción de prescripción de la acción formulada por la demandada: el plazo de un año ha de computarse “a partir del día siguiente al siniestro … En el presente caso, el accidente de autos se produjo el día 30 de enero de 1999, y la primera reclamación que la actora remitió a la aseguradora demandada … es de fecha 3 de noviembre de 2000” (FD 2). </w:t>
      </w:r>
    </w:p>
    <w:p w:rsidR="00DE14C9" w:rsidRDefault="00DE14C9" w:rsidP="00DE14C9">
      <w:pPr>
        <w:pStyle w:val="TextoNormal"/>
      </w:pPr>
      <w:r>
        <w:t xml:space="preserve">Previamente, mediante Auto de 21 de octubre de 2002 el Juzgado había acordado que se practicaran como diligencias finales (arts. 435 y ss. LEC) determinadas pruebas que habían sido admitidas pero no practicadas. Entre ellas se encontraban los testimonios de los peritos Drs. Wheelock y Josa, que finalmente no se evacuaron por imposibilidad de comparecencia de ambos. </w:t>
      </w:r>
    </w:p>
    <w:p w:rsidR="00DE14C9" w:rsidRDefault="00DE14C9" w:rsidP="00DE14C9">
      <w:pPr>
        <w:pStyle w:val="TextoNormal"/>
      </w:pPr>
      <w:r>
        <w:t xml:space="preserve">b) El fallo de la Sentencia de la Sección Decimonovena de la Audiencia Provincial de Barcelona 63/2004, de 10 de febrero, desestima el recurso de apelación interpuesto por la demandante. Parte para ello, con cita extensa de la STS de 4 de mayo de 2000 —que contiene una referencia a la fecha de 26 de julio de 1990 como dies a quo en el caso que dicha resolución resolvía—, de que “habremos de fijar el día inicial así como rechazar la efectividad interruptiva de la demanda interpuesta ante el orden social, delimitándose aquél no al momento del alta de la enfermedad al resultar secuelas, sino cuando se pudo saber exactamente su alcance, es decir, el conocimiento del daño padecido. Entre la abundante prueba aportada en autos aparece el dictamen pericial médico elaborado por Salvador Josa Bullich, médico especialista en traumatología y cirugía ortopédica, folios 240 y ss.; en el mismo se describe de una forma minuciosa todo el iter sanitario seguido por la actora desde el día 30 de enero de 1999, momento de la inicial asistencia a consecuencia de los hechos que nos </w:t>
      </w:r>
      <w:r>
        <w:lastRenderedPageBreak/>
        <w:t xml:space="preserve">ocupan, diagnosticada como contusión en tobillo derecho y gonalgia bilateral en estudio sin que se objetivaran lesiones óseas traumáticas en esa fecha, el 17 de marzo de 1999 también se emite informe que alude a condropatía rotuliana postraumática y secuelas dolorosas en ambos tobillos a la que se aplica tratamiento rehabilitador. Entre la documentación examinada también constan las consecuencias de la caída también sufrida por la demandante en una escalera de caracol en el año 1969, diagnosticándose como artritis traumática astrágalo escafoidea y rotura de ligamento lateral externo de tobillo izquierdo que, según otro informe del año 2000 aparece como un proceso artrósico degenerativo. El perito Salvador Josa Bullich a la vista de esta documentación, así como del resto que abundantemente expone, concluye que el accidente sufrido el día 30 de enero de 1999 produjo en la demandante contusiones en ambas rodillas y en tobillo derecho que sólo exigieron 15 días de curación de naturaleza impeditiva y de los que resultó como secuela una gonalgia postraumática en rodilla derecha valorada en 3 puntos en la escala que va de 3 a 15 según el contenido de la Ley 30/1995, señalándose el resto de los días que la actora se encontró de baja como correspondientes a otros procesos ajenos al incidente que nos ocupa. Considerados los antecedentes mencionados, y atendidas las fechas tanto del accidente como de la reclamación a la aseguradora ahora demandada ni en aplicación de los mas laxos criterios de determinación del alcance y entidad de las consecuencias de aquel incidente podemos llegar a otra conclusión que la expresada por la Juzgadora de instancia, de prescripción de la acción entablada, con las consecuencias derivadas de esta apreciación sin que sea preciso pasar más adelante en el examen del asunto, ratificándose de este modo la resolución combatida” (FD 3). </w:t>
      </w:r>
    </w:p>
    <w:p w:rsidR="00DE14C9" w:rsidRDefault="00DE14C9" w:rsidP="00DE14C9">
      <w:pPr>
        <w:pStyle w:val="TextoNormal"/>
      </w:pPr>
      <w:r>
        <w:t xml:space="preserve">Mediante Auto de 22 de marzo de 2004 la Sala rectifica la Sentencia en el sentido de sustituir la mención del día 26 de julio de 1990 como dies a quo por la de 29 de septiembre de 2000. </w:t>
      </w:r>
    </w:p>
    <w:p w:rsidR="00DE14C9" w:rsidRDefault="00DE14C9" w:rsidP="00DE14C9">
      <w:pPr>
        <w:pStyle w:val="TextoNormal"/>
      </w:pPr>
      <w:r>
        <w:t xml:space="preserve">En el recurso de apelación se había solicitado, al amparo del art. 460.2, regla segunda, LEC, la práctica de determinadas pruebas en alzada: las periciales de los Drs. Josa y Weelock para aclaraciones y la testifical de una trabajadora del supermercado. Mediante Auto de 3 de noviembre de 2003 se inadmite la práctica de las pruebas, pues, “comprobado tanto el contenido de la resolución dictada como el objeto sometido a decisión en esta alzada, no entendemos necesaria la práctica probatoria interesada”. Esta decisión es confirmada en reposición mediante Auto de 15 de diciembre de 2003, “reiterando su consideración” de que las peticiones probatorias son “innecesarias justamente a la vista del objeto obrante”. </w:t>
      </w:r>
    </w:p>
    <w:p w:rsidR="00DE14C9" w:rsidRDefault="00DE14C9" w:rsidP="00DE14C9">
      <w:pPr>
        <w:pStyle w:val="TextoNormal"/>
      </w:pPr>
      <w:r>
        <w:t xml:space="preserve">c) Contra la Sentencia de apelación la demandante interpuso un recurso de casación conjuntamente con un recurso extraordinario por infracción procesal, que fueron rechazados mediante Auto de la Sección Decimonovena de la Audiencia Provincial de Barcelona de 21 de mayo de 2004, ratificado en reposición por otro de 5 de julio del mismo año, que entiende que “la vía casacional utilizada en el presente supuesto por el recurrente está reservada a los asuntos seguidos en atención a la materia, comprobando cómo el procedimiento ordinario 652/01 seguido ante el Juzgado de Primera Instancia núm. 3 de Barcelona se ha sustanciado por razón a su cuantía”. </w:t>
      </w:r>
    </w:p>
    <w:p w:rsidR="00DE14C9" w:rsidRDefault="00DE14C9" w:rsidP="00DE14C9">
      <w:pPr>
        <w:pStyle w:val="TextoNormal"/>
      </w:pPr>
      <w:r>
        <w:t>Este Auto fue finalmente confirmado por otro de la Sala de lo Civil del Tribunal Supremo, de 13 de octubre de 2004, en respuesta a un recurso de queja de la demandante.</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Pretende la demandante de amparo que se declare que se han vulnerado sus derechos a la tutela judicial efectiva (art. 24.1 CE) y a la utilización de los medios de prueba pertinentes para la defensa (art. 24.2 CE), y que, en consecuencia, se anulen la Sentencia de la Sección Decimonovena de la Audiencia Provincial de Barcelona 63/2004, de 10 de febrero, </w:t>
      </w:r>
      <w:r>
        <w:lastRenderedPageBreak/>
        <w:t xml:space="preserve">y los Autos del mismo órgano judicial de denegación de prueba de 3 de noviembre y de 15 de diciembre de 2003, para que se retrotraigan las actuaciones al momento de la decisión del recibimiento a prueba en fase de apelación. </w:t>
      </w:r>
    </w:p>
    <w:p w:rsidR="00DE14C9" w:rsidRDefault="00DE14C9" w:rsidP="00DE14C9">
      <w:pPr>
        <w:pStyle w:val="TextoNormal"/>
      </w:pPr>
      <w:r>
        <w:t xml:space="preserve">La primera de las quejas de la demanda se refiere a la vulneración del derecho a la prueba en la segunda instancia. Sustrato fáctico de la misma es la denegación de tres pruebas que se proponían en el recurso de apelación y que ya habían sido propuestas y admitidas en la primera instancia, pero no practicadas por causas ajenas a la proponente: la declaración de dos peritos y de una trabajadora del centro donde se produjo el accidente. Tales pruebas eran relevantes porque se dirigían a constatar tanto los días de baja que sufrió la demandante como consecuencia del accidente, como que hubo un empeoramiento grave de una lesión anterior y una afección psicológica que tienen su origen en tal accidente y que duraron toda la baja, “hasta el 29 de julio de 2000”. Este dato era, argumenta la demanda, muy importante porque, dado que la primera reclamación de la demandante a la aseguradora se produjo en noviembre de 2000, hubiera evitado la decisión de prescripción. Es más, la Sentencia impugnada “se basa como único elemento para desestimar el recuso de apelación en la controvertida prueba pericial del Dr. Josa” que era la que pretendía aclarar la prueba denegada: que era “imposible que en unos absurdos 15 días la Sra. Estada pudiera conocer de forma definitiva y última el estado médico en el que se encontraba producto del fatal accidente ocurrido en las escaleras mecánicas del supermercado”, conocimiento que es el que sirve para el inicio del cómputo del plazo de prescripción. </w:t>
      </w:r>
    </w:p>
    <w:p w:rsidR="00DE14C9" w:rsidRDefault="00DE14C9" w:rsidP="00DE14C9">
      <w:pPr>
        <w:pStyle w:val="TextoNormal"/>
      </w:pPr>
      <w:r>
        <w:t>En una segunda queja se invoca como vulnerado el derecho a la tutela judicial efectiva. Considera la representanción de la demandante que la Sentencia impugnada es doblemente incongruente. Por una parte, porque mientras que en el segundo fundamento de Derecho afirma que no entra a determinar las lesiones y secuelas de la perjudicada, porque no entra a conocer del fondo del asunto, posteriormente sí realiza tal determinación a partir únicamente del informe pericial del Dr. Josa; por otra parte, porque, tras la rectificación, la Sentencia sitúa el dies a quo para el cómputo del plazo de prescripción en el día 29 de septiembre de 2000 y mantiene la prescripción a pesar de que reconoce que la primera reclamación escrita de la perjudicada se produjo el 3 de noviembre de 2000, “existiendo otra reclamación escrita … de 10 de abril de 2001 y una contestación de la aseguradora demandada de 16 de abril de 2001, interponiendo esta parte la demanda … el 26 de octubre de 2001”.</w:t>
      </w:r>
    </w:p>
    <w:p w:rsidR="00DE14C9" w:rsidRDefault="00DE14C9" w:rsidP="00DE14C9">
      <w:pPr>
        <w:pStyle w:val="TextoNormal"/>
      </w:pPr>
    </w:p>
    <w:p w:rsidR="00DE14C9" w:rsidRDefault="00DE14C9" w:rsidP="00DE14C9">
      <w:pPr>
        <w:pStyle w:val="TextoNormal"/>
      </w:pPr>
      <w:r w:rsidRPr="00DE14C9">
        <w:rPr>
          <w:rStyle w:val="NumeroAFNegritaCaracter"/>
        </w:rPr>
        <w:t>4</w:t>
      </w:r>
      <w:r>
        <w:t>. Mediante providencia de 27 de septiembre de 2006, la Sección Primera de este Tribunal acuerda admitir a trámite la demanda de amparo. En la misma providencia acuerda, conforme a lo previsto en el art. 51 LOTC, requerir del Tribunal Supremo y de la Audiencia Provincial de Barcelona testimonio de las actuaciones del procedimiento que origina el presente recurso e interesar al mismo tiempo el emplazamiento de quienes fueron parte en el mismo.</w:t>
      </w:r>
    </w:p>
    <w:p w:rsidR="00DE14C9" w:rsidRDefault="00DE14C9" w:rsidP="00DE14C9">
      <w:pPr>
        <w:pStyle w:val="TextoNormal"/>
      </w:pPr>
    </w:p>
    <w:p w:rsidR="00DE14C9" w:rsidRDefault="00DE14C9" w:rsidP="00DE14C9">
      <w:pPr>
        <w:pStyle w:val="TextoNormal"/>
      </w:pPr>
      <w:r w:rsidRPr="00DE14C9">
        <w:rPr>
          <w:rStyle w:val="NumeroAFNegritaCaracter"/>
        </w:rPr>
        <w:t>5</w:t>
      </w:r>
      <w:r>
        <w:t>. Mediante diligencia de ordenación de su Secretaría de Justicia de 28 de noviembre de 2006, la Sección Primera tiene por recibidos los testimonios de las actuaciones que habían sido requeridos y acuerda dar vista de todas las actuaciones del presente recurso de amparo al Ministerio Fiscal y a la recurrente, con concesión de un plazo de veinte días para la presentación de las alegaciones previstas en el artículo 52.1 LOTC.</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6</w:t>
      </w:r>
      <w:r>
        <w:t xml:space="preserve">. En su escrito de alegaciones, de 3 de enero de 2007, la representación de la demandante de amparo insiste en las que ya expuso en la demanda. En relación con la queja atinente al derecho a la prueba (art. 24.2 CE) precisa, en orden a sustentar la relevancia de las pruebas omitidas, que a través de ellas se pretendía, en primer lugar, preguntar al Dr. Josa “acerca de la sentencia de invalidez absoluta de la perjudicada, acerca del tiempo de baja médica derivada de enfermedad común a la que se refiere la sentencia de invalidez hasta el 29 de septiembre de 2000, … acerca del empeoramiento del pie izquierdo de la perjudicada como consecuencia de la caída en las escaleras mecánicas del supermercado, … cómo podía explicar que el Hospital Clínico de Barcelona refiriera a un tiempo de curación de las lesiones muy superior a los 15 días que refiere la sentencia de instancia, … acerca del informe de la Dra. Elsa en relación a la sentencia de invalidez de la perjudicada”. También se pretendía preguntar al Dr. Weelock “acerca de la lesión psicológica residual en la Sra. Estada producto de la caída … . Se impidió en definitiva a mi representada demostrar que el tiempo que tuvo que estar de baja … superaba holgadamente los absurdos y breves 15 días que refiere la sentencia … . Se impidió preguntar a la encargada del supermercado … acerca del hecho sucedido el 30 de enero de 1999”. </w:t>
      </w:r>
    </w:p>
    <w:p w:rsidR="00DE14C9" w:rsidRDefault="00DE14C9" w:rsidP="00DE14C9">
      <w:pPr>
        <w:pStyle w:val="TextoNormal"/>
      </w:pPr>
      <w:r>
        <w:t>En relación con su segunda queja subraya de nuevo el escrito la contradicción existente entre señalar como inicio del plazo de prescripción el 29 de septiembre de 2000 y, a la vez que se admite que la primera reclamación de la perjudicada se produjo el 3 de noviembre de 2000, mantener el fallo de prescripción de la acción.</w:t>
      </w:r>
    </w:p>
    <w:p w:rsidR="00DE14C9" w:rsidRDefault="00DE14C9" w:rsidP="00DE14C9">
      <w:pPr>
        <w:pStyle w:val="TextoNormal"/>
      </w:pPr>
    </w:p>
    <w:p w:rsidR="00DE14C9" w:rsidRDefault="00DE14C9" w:rsidP="00DE14C9">
      <w:pPr>
        <w:pStyle w:val="TextoNormal"/>
      </w:pPr>
      <w:r w:rsidRPr="00DE14C9">
        <w:rPr>
          <w:rStyle w:val="NumeroAFNegritaCaracter"/>
        </w:rPr>
        <w:t>7</w:t>
      </w:r>
      <w:r>
        <w:t xml:space="preserve">. El Fiscal concluye su escrito de alegaciones, de 9 de enero de 2007, interesando la estimación de la demanda en lo que se refiere a la vulneración del derecho a la prueba (art. 24.2), y la anulación tanto de la Sentencia como de los Autos de denegación de prueba impugnados, a los efectos de que se dicte uno nuevo “en virtud del cual se acuerde la práctica de las diligencias de prueba propuestas en el escrito del recurso de apelación”. </w:t>
      </w:r>
    </w:p>
    <w:p w:rsidR="00DE14C9" w:rsidRDefault="00DE14C9" w:rsidP="00DE14C9">
      <w:pPr>
        <w:pStyle w:val="TextoNormal"/>
      </w:pPr>
      <w:r>
        <w:t xml:space="preserve">Considera para ello el Fiscal que, como afirma la actora, “tanto la sentencia de instancia como la de apelación, una vez fijado …el dies a quo del inicio del cómputo de conformidad con el criterio jurisprudencial, cuando se conocen los efectos de la secuelas, decidieron que el cómputo del tiempo de las lesiones y de sus secuelas se debía contemplar de acuerdo con el peritaje del Dr. Josa Bullich, que lo cifraba en 15 días de curación a partir de la fecha del accidente, 30 de enero de 1999. La sentencia de apelación descartaba otras secuelas, que podrían haber alargado el plazo y que fueron alegadas por la actora, porque entendía, apoyándose en un informe del año 2000, que eran producto de un proceso degenerativo artrósico debido a un accidente anterior”. Desde esta perspectiva es lo cierto que las propuestas eran “de evidencia contrastada con el objeto del pleito de apelación, la impugnación de la excepción de prescripción”, y que una de las pruebas, el interrogatorio del Dr. Josa, se refería precisamente al informe “sobre el que asienta la decisión desestimatoria de la apelación, lo que debilitó notablemente el principio de contradicción e incluso el de inmediación, causando indefensión a la parte alegante”. También la otra prueba, el interrogatorio de otro perito, apunta a la valoración de las secuelas y podía influir en el razonamiento final de la Sentencia. Por lo demás, esta resolución “posee un déficit de motivación” derivado de la propia inadmisión de las pruebas, “vaga e insuficientemente motivada en su rechazo frontal a la práctica”. </w:t>
      </w:r>
    </w:p>
    <w:p w:rsidR="00DE14C9" w:rsidRDefault="00DE14C9" w:rsidP="00DE14C9">
      <w:pPr>
        <w:pStyle w:val="TextoNormal"/>
      </w:pPr>
      <w:r>
        <w:t>La segunda queja de la demanda, en cambio, no puede prosperar, “porque no hace sino reproducir, con otra cobertura constitucional, idénticos argumentos a los expresados en el anterior motivo, y … por cuanto no existe incongruencia alguna, ya que la sentencia de apelación responde a los motivos de impugnación propuestos por la apelante”.</w:t>
      </w:r>
    </w:p>
    <w:p w:rsidR="00DE14C9" w:rsidRDefault="00DE14C9" w:rsidP="00DE14C9">
      <w:pPr>
        <w:pStyle w:val="TextoNormal"/>
      </w:pPr>
    </w:p>
    <w:p w:rsidR="00DE14C9" w:rsidRDefault="00DE14C9" w:rsidP="00DE14C9">
      <w:pPr>
        <w:pStyle w:val="TextoNormal"/>
      </w:pPr>
      <w:r w:rsidRPr="00DE14C9">
        <w:rPr>
          <w:rStyle w:val="NumeroAFNegritaCaracter"/>
        </w:rPr>
        <w:t>8</w:t>
      </w:r>
      <w:r>
        <w:t>. Mediante providencia de 31 de mayo de 2007, se señaló para deliberación y votación de la presente Sentencia el día 4 de junio del mismo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A raíz del accidente que sufrió en las escaleras mecánicas de un supermercado, la recurrente en amparo reclamó una indemnización por daños y perjuicios a la sociedad titular del mismo y a la compañía aseguradora. Su demanda resultó desestimada por prescripción. Según la Sentencia de apelación, por el transcurso de más de un año desde el momento en el que “se pudo saber el alcance del daño padecido”, que constituiría el dies a quo para el cómputo del plazo, hasta el día de la primera reclamación a la aseguradora; aquel momento inicial lo fija la Sección Decimonovena de la Audiencia Provincial de Barcelona a partir del contenido de uno de los informes periciales.</w:t>
      </w:r>
    </w:p>
    <w:p w:rsidR="00DE14C9" w:rsidRDefault="00DE14C9" w:rsidP="00DE14C9">
      <w:pPr>
        <w:pStyle w:val="TextoNormal"/>
      </w:pPr>
      <w:r>
        <w:t>En el recurso de amparo se suplica la anulación de esta decisión que se considera consecuencia de la vulneración del derecho a la prueba (art. 24.2 CE) de la recurrente, que había solicitado infructuosamente el interrogatorio del autor de este informe y de otro perito para la determinación de las lesiones y de las secuelas, así como del momento en el que se conoció el alcance de las mismas. Sostiene también la recurrente que la Sentencia impugnada es incongruente, y por ello lesiva del derecho a la tutela judicial efectiva (art. 24.1 CE), pues tras su Auto de rectificación sitúa el comienzo del plazo de prescripción en un momento, el día 29 de septiembre de 2000, en el que, según los datos que utiliza la propia resolución sobre su interrupción (3 de noviembre de 2000), la prescripción que afirma no habría podido producirse. El Ministerio Fiscal interesa que se otorgue el amparo por vulneración del derecho a la prueba y el restablecimiento de este derecho fundamental por medio de la anulación de la Sentencia de apelación y de la retroacción de actuaciones al momento de la decisión sobre la práctica de la prueba en dicha fase.</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Sobre el contenido del derecho a la utilización de los medios de prueba pertinentes para la defensa y sobre las condiciones que permiten a este Tribunal enjuiciar su vulneración existe una muy reiterada y consolidada doctrina jurisprudencial que cabe resumir, con palabras muy recientes de nuestra STC 42/2007, de 26 de febrero, del siguiente modo: “se trata de un derecho de configuración legal, correspondiendo al legislador establecer las normas reguladoras de su ejercicio en cada orden jurisdiccional.  Por lo tanto, para entenderlo vulnerado será preciso que la prueba no admitida o no practicada se haya solicitado en la forma y momento legalmente establecido, sin que este derecho faculte para exigir la admisión de todas las pruebas propuestas, sino sólo de aquéllas que sean pertinentes para la resolución del recurso. Hemos declarado, además, que corresponde a los órganos judiciales la decisión sobre la legalidad y pertinencia de las pruebas propuestas, que podrán rechazar de forma razonablemente motivada cuando estimen que las mismas no son relevantes para la resolución final del asunto litigioso. En consecuencia, debe ser imputable al órgano judicial la falta de práctica de la prueba admitida o la inadmisión de pruebas relevantes para la decisión final sin motivación alguna o con una interpretación y aplicación de la legalidad arbitraria e irrazonable, en el sentido de entender que, fuera de estos supuestos, corresponde a la jurisdicción ordinaria el examen sobre la legalidad y pertinencia de las pruebas en ejercicio de la potestad jurisdiccional otorgada por el art. 117.3 CE, así como su valoración conforme a las reglas de la lógica y de la sana crítica, según lo alegado y probado, fallando </w:t>
      </w:r>
      <w:r>
        <w:lastRenderedPageBreak/>
        <w:t>en consecuencia.  Finalmente, es necesario que la falta de actividad probatoria se haya traducido en una efectiva indefensión del recurrente por ser aquélla decisiva en términos de defensa, lo que exige que el recurrente haya alegado su indefensión material en la demanda de amparo. Esta exigencia se proyecta en un doble plano: por un lado, el recurrente debe razonar en esta vía la relación entre los hechos que se quisieron probar y no se pudieron probar y las pruebas inadmitidas. Y, por otro lado, debe argumentar de modo convincente que la resolución final del proceso a quo podía haber sido favorable a sus pretensiones de haberse aceptado y practicado la prueba propuesta (SSTC 26/2000, de 31 de enero, FJ 2; 165/2001, de 16 de julio, FJ 2; 133/2003, de 30 de junio, FJ 3; 129/2005, de 23 de mayo, FJ 3; 244/2005, de 10 de octubre, FJ 5; 308/2005, de 12 de diciembre, FJ 4)” (FJ 4).</w:t>
      </w:r>
    </w:p>
    <w:p w:rsidR="00DE14C9" w:rsidRDefault="00DE14C9" w:rsidP="00DE14C9">
      <w:pPr>
        <w:pStyle w:val="TextoNormal"/>
      </w:pPr>
    </w:p>
    <w:p w:rsidR="00DE14C9" w:rsidRDefault="00DE14C9" w:rsidP="00DE14C9">
      <w:pPr>
        <w:pStyle w:val="TextoNormal"/>
      </w:pPr>
      <w:r w:rsidRPr="00DE14C9">
        <w:rPr>
          <w:rStyle w:val="NumeroAFNegritaCaracter"/>
        </w:rPr>
        <w:t>3</w:t>
      </w:r>
      <w:r>
        <w:t>. La aplicación del canon de enjuiciamiento expuesto a la denegación de prueba que se impugna en este proceso conduce a la apreciación de la vulneración del derecho fundamental que se invoca como vulnerado y al correspondiente otorgamiento del amparo [art. 53 a) LOTC].</w:t>
      </w:r>
    </w:p>
    <w:p w:rsidR="00DE14C9" w:rsidRDefault="00DE14C9" w:rsidP="00DE14C9">
      <w:pPr>
        <w:pStyle w:val="TextoNormal"/>
      </w:pPr>
      <w:r>
        <w:t>a) Las tres pruebas que centran el objeto de la queja fueron propuestas en el tiempo y la forma legalmente previstos. Consta, en efecto, que el Juzgado de Primera Instancia núm. 3 de Barcelona acordó su práctica como diligencias finales según lo previsto en los arts. 435 y ss. de la Ley de enjuiciamiento civil (LEC), pues se trataba de pruebas admitidas “que después no se han podido practicar en su periodo, sin que ello haya sido culpa de las partes” (Auto de 21 de octubre de 2002); y consta también que las mismas no pudieron finalmente llevarse a cabo ante las dificultades de comparecencia de peritos y testigo y ante la finalización del plazo previsto para aquel tipo de diligencias (providencia de 14 de noviembre de 2002).</w:t>
      </w:r>
    </w:p>
    <w:p w:rsidR="00DE14C9" w:rsidRDefault="00DE14C9" w:rsidP="00DE14C9">
      <w:pPr>
        <w:pStyle w:val="TextoNormal"/>
      </w:pPr>
      <w:r>
        <w:t>Por ello, al amparo del art. 460.2, regla segunda LEC, la demandante solicitó de nuevo la práctica de las pruebas en su recurso de apelación. Pedía la “prueba pericial consistente en aclaraciones al perito judicial Médico traumatólogo Dr.  Salvador Josa”, la “prueba pericial consistente en aclaraciones al perito de parte psiquiatra Dr. Weelock”, y la prueba testifical “consistente en interrogatorio de la testigo Sra. Encargada del Supermercado”, advirtiendo que en los tres casos se trataba de pruebas propuestas y admitidas en la primera instancia y que no se pudieron practicar, ni siquiera en diligencias finales, por causas no imputables a quien las propone. Esta petición fue rechazada por el Tribunal de apelación, la Sección Decimonovena de la Audiencia Provincial de Barcelona, mediante Auto de 3 de noviembre de 2003 y, en respuesta al recurso de reposición de la recurrente, mediante Auto de 15 de diciembre de 2003.</w:t>
      </w:r>
    </w:p>
    <w:p w:rsidR="00DE14C9" w:rsidRDefault="00DE14C9" w:rsidP="00DE14C9">
      <w:pPr>
        <w:pStyle w:val="TextoNormal"/>
      </w:pPr>
      <w:r>
        <w:t>b) De otra parte, si bien es cierto que los citados Autos responden motivadamente a la pretensión probatoria, no podemos considerar que esa motivación judicial cumpla con las exigencias de no incurrir en la irrazonabilidad que nuestra jurisprudencia viene reclamando para no declarar la lesión del derecho fundamental a la tutela judicial efectiva (art. 24.1 CE) en su dimensión de derecho a la obtención de una resolución fundada en Derecho. La impertinencia que se afirma de las dos primeras pruebas aparece indudablemente desmentida por las razones que posteriormente esgrime la Sentencia para sostener la prescripción y la consiguiente desestimación del recurso.</w:t>
      </w:r>
    </w:p>
    <w:p w:rsidR="00DE14C9" w:rsidRDefault="00DE14C9" w:rsidP="00DE14C9">
      <w:pPr>
        <w:pStyle w:val="TextoNormal"/>
      </w:pPr>
      <w:r>
        <w:t xml:space="preserve">En efecto, el Auto de denegación de pruebas señala que, “comprobado tanto el contenido de la resolución dictada como el objeto sometido a decisión, no entendemos necesaria la práctica probatoria interesada”. El segundo Auto mantiene esa decisión, reiterando que las pruebas son “innecesarias justamente a la vista del objeto obrante”, a pesar de que la recurrente había argumentado en su recurso de reposición que las pruebas eran pertinentes no </w:t>
      </w:r>
      <w:r>
        <w:lastRenderedPageBreak/>
        <w:t>sólo para la resolución del fondo del asunto —si procedía una indemnización y en su caso de qué cuantía—, sino también para la propia apreciación de la prescripción en cuanto que incidían en la determinación del dies a quo del cómputo del plazo de la misma.</w:t>
      </w:r>
    </w:p>
    <w:p w:rsidR="00DE14C9" w:rsidRDefault="00DE14C9" w:rsidP="00DE14C9">
      <w:pPr>
        <w:pStyle w:val="TextoNormal"/>
      </w:pPr>
      <w:r>
        <w:t>Este juicio de pertinencia de parte aparece patentemente corroborado por el tenor de la Sentencia impugnada, que si bien resuelve sólo sobre la prescripción, al confirmarla, lo hace a partir de la consideración de que el plazo de la misma se iniciaba con el conocimiento del daño padecido y tras situar el momento de este conocimiento en atención al contenido de uno de los informes periciales aportados a la causa. Así, en efecto, después de reseñar la doctrina jurisprudencial del Tribunal Supremo al respecto, la Sentencia impugnada afirma que el día inicial para el cómputo del plazo de prescripción no es el del “momento del alta de la enfermedad al resultar secuelas, sino cuando se pudo saber exactamente su alcance, es decir, el conocimiento del daño padecido”. Al dato fáctico del momento de dicho conocimiento llega a continuación la Sentencia, de entre “la abundante prueba aportada en autos”, por lo que expresa “el dictamen pericial médico elaborado por Salvador Josa Bullich”, que se resume con algún detalle.</w:t>
      </w:r>
    </w:p>
    <w:p w:rsidR="00DE14C9" w:rsidRDefault="00DE14C9" w:rsidP="00DE14C9">
      <w:pPr>
        <w:pStyle w:val="TextoNormal"/>
      </w:pPr>
      <w:r>
        <w:t>De lo expuesto a partir de la argumentación de la Sentencia impugnada hemos de concluir en la notoria la falta de razonabilidad del motivo invocado por el órgano judicial para la denegación de las pruebas periciales, atinente a su falta de necesidad a la vista del objeto del recurso, pues las dos pruebas se dirigían a aclarar el alcance de las lesiones y secuelas y el momento en el que las mismas se manifestaron, y una de ellas, las “aclaraciones del Dr. Josa”, se dirigía más concretamente a interrogar al autor del informe que sirvió de base para establecer el momento del conocimiento del daño, y con ello del inicio del plazo de prescripción, y la prescripción misma.</w:t>
      </w:r>
    </w:p>
    <w:p w:rsidR="00DE14C9" w:rsidRDefault="00DE14C9" w:rsidP="00DE14C9">
      <w:pPr>
        <w:pStyle w:val="TextoNormal"/>
      </w:pPr>
      <w:r>
        <w:t>c) Respecto a las dos primeras diligencias de prueba, concurre también el tercero de los requisitos para la constatación de la vulneración del derecho a la prueba, cual es la generación de un efecto material de indefensión justificado por quien alega haberlo padecido. En sus escritos de demanda y de alegaciones la representación de la recurrente expone el dato a cuya prueba se dirigían las diligencias que proponía y la influencia decisiva que habría tenido su alteración en la resolución final del litigio. Así, expresa de un modo detallado y convincente que el interrogatorio de los peritos se dirigía a probar el alcance de los daños padecidos como consecuencia del accidente que origina la reclamación, el momento de surgimiento de los mismos y su extensión en el tiempo. Señala también que las aclaraciones de ambos peritos podrían haber determinado que el conocimiento de las consecuencias lesivas del accidente se produjo en un momento relevantemente posterior al que considera la Sentencia impugnada y que ello habría tenido una incidencia decisiva en el juicio acerca de la prescripción de la acción, al situar el inicio del cómputo del plazo en un momento posterior al que demarca la resta temporal de un año al momento, no discutido, de la interrupción de tal plazo.</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La estimación de la queja relativa al derecho a la utilización de los medios de prueba pertinentes para la defensa comporta la anulación de la Sentencia impugnada y también, y enteramente, la del Auto que deniega las pruebas y la del Auto que lo confirma en reposición. Aunque la tacha constitucional afecta sólo a las dos primeras pruebas solicitadas en el recurso de apelación, corresponde a la Sección Decimonovena de la Audiencia Provincial de Barcelona determinar en qué medida la pertinencia y la relevancia de la tercera de las pruebas propuestas queda afectada por la nueva situación procesal constituida por la nueva </w:t>
      </w:r>
      <w:r>
        <w:lastRenderedPageBreak/>
        <w:t>decisión sobre las dos primeras conforme a las exigencias que impone el art. 24.2 CE. Debemos por ello ordenar la retroacción de las actuaciones al momento previo a la decisión sobre la admisibilidad de las pruebas en el recurso de apelación.</w:t>
      </w:r>
    </w:p>
    <w:p w:rsidR="00DE14C9" w:rsidRDefault="00DE14C9" w:rsidP="00DE14C9">
      <w:pPr>
        <w:pStyle w:val="TextoNormal"/>
      </w:pPr>
      <w:r>
        <w:t>La retroacción ordenada impide que nos pronunciemos sobre la segunda queja de la demanda, referente a la vulneración que del derecho a la tutela judicial efectiva resultaría del contenido de la Sentencia impugnada tras el Auto de rectificación.  La anulación de la misma y la retroacción de actuaciones que acordamos convierten en este momento la queja en prematura (SSTC 240/2005, de 10 de octubre, FJ 2; 313/2005, de 12 de diciembre, FJ 2; 343/2006, de 11 de diciembre, FJ 2).</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doña Adelina Virginia Estada Adiego, y en su virtud:</w:t>
      </w:r>
    </w:p>
    <w:p w:rsidR="00DE14C9" w:rsidRDefault="00DE14C9" w:rsidP="00DE14C9">
      <w:pPr>
        <w:pStyle w:val="TextoNormal"/>
      </w:pPr>
      <w:r>
        <w:t>1º Reconocer su derecho a utilizar los medios de prueba pertinentes para la defensa (art. 24.2 CE).</w:t>
      </w:r>
    </w:p>
    <w:p w:rsidR="00DE14C9" w:rsidRDefault="00DE14C9" w:rsidP="00DE14C9">
      <w:pPr>
        <w:pStyle w:val="TextoNormal"/>
      </w:pPr>
      <w:r>
        <w:t>2º Declarar la nulidad de la Sentencia de la Sección Decimonovena de la Audiencia Provincial de Barcelona 63/2004, de 10 de febrero —rectificada por Auto de 22 de marzo de 2004— y de los Autos del mismo órgano judicial de 3 de noviembre y de 15 de diciembre de 2003 (rollo de apelación 544-2003-A).</w:t>
      </w:r>
    </w:p>
    <w:p w:rsidR="00DE14C9" w:rsidRDefault="00DE14C9" w:rsidP="00DE14C9">
      <w:pPr>
        <w:pStyle w:val="TextoNormal"/>
      </w:pPr>
      <w:r>
        <w:t>3º Retrotraer las actuaciones al momento procesal anterior al de dictarse la primera de dichas resoluciones, a fin de que el órgano judicial adopte una nueva respetuosa con el derecho fundamental reconocido.</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cuatro de junio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50" w:name="SENTENCIA_2007_137"/>
      <w:r>
        <w:lastRenderedPageBreak/>
        <w:t>SENTENCIA 137/2007, de 4 de junio de 2007</w:t>
      </w:r>
    </w:p>
    <w:bookmarkEnd w:id="50"/>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161, de 6 de julio de 2007)</w:t>
      </w:r>
    </w:p>
    <w:p w:rsidR="00DE14C9" w:rsidRDefault="00DE14C9" w:rsidP="00DE14C9">
      <w:pPr>
        <w:pStyle w:val="TtuloBOE"/>
      </w:pPr>
    </w:p>
    <w:p w:rsidR="00DE14C9" w:rsidRDefault="00DE14C9" w:rsidP="00DE14C9">
      <w:pPr>
        <w:pStyle w:val="SntesisDescriptiva"/>
      </w:pPr>
      <w:r>
        <w:t>ECLI:ES:TC:2007:137</w:t>
      </w:r>
    </w:p>
    <w:p w:rsidR="00DE14C9" w:rsidRDefault="00DE14C9" w:rsidP="00DE14C9">
      <w:pPr>
        <w:pStyle w:val="SntesisDescriptiva"/>
      </w:pPr>
    </w:p>
    <w:p w:rsidR="00DE14C9" w:rsidRDefault="00DE14C9" w:rsidP="00DE14C9">
      <w:pPr>
        <w:pStyle w:val="SntesisDescriptiva"/>
      </w:pPr>
      <w:r>
        <w:t>Recurso de amparo 6894-2004. Promovido por don Francisco Javier Sánchez de Dios frente a la Sentencia de la Audiencia Provincial de Pontevedra que, en grado de apelación, le condenó por delito contra la propiedad intelectual.</w:t>
      </w:r>
    </w:p>
    <w:p w:rsidR="00DE14C9" w:rsidRDefault="00DE14C9" w:rsidP="00DE14C9">
      <w:pPr>
        <w:pStyle w:val="SntesisDescriptiva"/>
      </w:pPr>
    </w:p>
    <w:p w:rsidR="00DE14C9" w:rsidRDefault="00DE14C9" w:rsidP="00DE14C9">
      <w:pPr>
        <w:pStyle w:val="SntesisAnaltica"/>
      </w:pPr>
      <w:r>
        <w:t>Vulneración del derecho a la presunción de inocencia: condena penal fundada en prueba indiciaria  insuficiente sobre el plagio de una obra.</w:t>
      </w:r>
    </w:p>
    <w:p w:rsidR="00DE14C9" w:rsidRDefault="00DE14C9" w:rsidP="00DE14C9">
      <w:pPr>
        <w:pStyle w:val="SntesisAnaltica"/>
      </w:pPr>
    </w:p>
    <w:p w:rsidR="00DE14C9" w:rsidRDefault="00DE14C9" w:rsidP="00DE14C9">
      <w:pPr>
        <w:pStyle w:val="Extracto"/>
      </w:pPr>
      <w:r>
        <w:t>1.</w:t>
      </w:r>
      <w:r>
        <w:tab/>
        <w:t>El derecho a la presunción de inocencia se configura, como aquel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ellos (STC 222/2001) [FJ 4].</w:t>
      </w:r>
    </w:p>
    <w:p w:rsidR="00DE14C9" w:rsidRDefault="00DE14C9" w:rsidP="00DE14C9">
      <w:pPr>
        <w:pStyle w:val="Extracto"/>
      </w:pPr>
    </w:p>
    <w:p w:rsidR="00DE14C9" w:rsidRDefault="00DE14C9" w:rsidP="00DE14C9">
      <w:pPr>
        <w:pStyle w:val="Extracto"/>
      </w:pPr>
      <w:r>
        <w:t>2.</w:t>
      </w:r>
      <w:r>
        <w:tab/>
        <w:t>A falta de prueba directa, la prueba de cargo puede ser indiciaria siempre que parta de hechos plenamente probados y que los hechos constitutivos de delito se deduzcan de esos indicios a través de un proceso mental razonado y acorde con las reglas del criterio humano, explicitado en la sentencia condenatoria, lo que permite distinguirla de las simples sospechas (STC 174/1985) [FJ 4].</w:t>
      </w:r>
    </w:p>
    <w:p w:rsidR="00DE14C9" w:rsidRDefault="00DE14C9" w:rsidP="00DE14C9">
      <w:pPr>
        <w:pStyle w:val="Extracto"/>
      </w:pPr>
    </w:p>
    <w:p w:rsidR="00DE14C9" w:rsidRDefault="00DE14C9" w:rsidP="00DE14C9">
      <w:pPr>
        <w:pStyle w:val="Extracto"/>
      </w:pPr>
      <w:r>
        <w:t>3.</w:t>
      </w:r>
      <w:r>
        <w:tab/>
        <w:t>Doctrina sobre la vulneración del derecho a un proceso con todas las garantías (STC 167/2002) [FFJJ 2, 3].</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 xml:space="preserve">En el recurso de amparo núm. 6894-2004, promovido por don Francisco Javier Sánchez de Dios, representado por la Procuradora de los Tribunales doña Gema Fernández-Blanco San Miguel y asistido por el Abogado don Vicente García Legísima, contra la Sentencia de la Sección Sexta de la Audiencia Provincial de Pontevedra de 1 de octubre de 2004, recaída en el recurso de apelación núm. 32-2004, interpuesto contra la Sentencia del Juzgado de lo </w:t>
      </w:r>
      <w:r>
        <w:lastRenderedPageBreak/>
        <w:t>Penal núm. 3 de Vigo de 17 de diciembre de 2003, dictada en procedimiento abreviado núm. 175-2001. Ha comparecido La Voz de Galicia, S.A., representada por el Procurador de los Tribunales don Argimiro Vázquez Guillén y asistida por la Abogada doña Mercedes Pedreira Fandiño. Ha intervenido el Ministerio Fiscal. Ha sido Ponente el Magistrado don Manuel Aragón Reyes,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registrado en este Tribunal el 18 de noviembre de 2004, don Francisco Javier Sánchez de Dios, representado por la Procuradora de los Tribunales doña Gema Fernández-Blanco San Miguel, interpuso recurso de amparo contra la Sentencia de la Sección Sexta de la Audiencia Provincial de Pontevedra dictada el 1 de octubre de 2004 en el recurso de apelación núm. 32-2004, que se cita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de los que trae causa la demanda de amparo, relevantes para la resolución de este recurso, son los que se expresan a continuación: </w:t>
      </w:r>
    </w:p>
    <w:p w:rsidR="00DE14C9" w:rsidRDefault="00DE14C9" w:rsidP="00DE14C9">
      <w:pPr>
        <w:pStyle w:val="TextoNormal"/>
      </w:pPr>
      <w:r>
        <w:t xml:space="preserve">a) El recurrente en amparo fue absuelto por Sentencia del Juzgado de lo Penal núm. 3 de Vigo (procedimiento abreviado núm. 175-2001) del delito contra la propiedad intelectual (art. 270.1 del Código penal) del que venía siendo acusado junto a otra persona (don Valentín Carmelo Rodríguez Fernández). </w:t>
      </w:r>
    </w:p>
    <w:p w:rsidR="00DE14C9" w:rsidRDefault="00DE14C9" w:rsidP="00DE14C9">
      <w:pPr>
        <w:pStyle w:val="TextoNormal"/>
      </w:pPr>
      <w:r>
        <w:t xml:space="preserve">En dicha Sentencia se declara probado que el recurrente en amparo aceptó el encargo de Faro de Vigo, S.A., de redactar y coordinar una obra ilustrada, de carácter divulgativo, sobre la historia de la ciudad de Pontevedra (“Historia Ilustrada de Pontevedra”), obra destinada a su distribución gratuita mediante fascículos con el periódico “Faro de Vigo”, teniendo lugar las dos primeras entregas el jueves 26 de septiembre de 1996. El recurrente (Subdirector del diario “Faro de Vigo”) encargó la redacción de los textos a don Valentín Carmelo Rodríguez Fernández —coacusado— y las ilustraciones a don Alberto Cuartero Coloma, reservándose para sí mismo las funciones de dirección, supervisión y control de la obra. Para redactar los textos de los tres primeros fascículos el coacusado don Valentín Carmelo Rodríguez Fernández copió en lo sustancial, sin autorización y sin citar la fuente, diversos párrafos (llegando en el fascículo tercero a reproducir literalmente párrafos enteros, incluso con las erratas de imprenta) del libro “Historia de la Ciudad de Pontevedra”, cuyo autor es el historiador don José Fortes Bouzán, quien había suscrito con La Voz de Galicia, S.A., un contrato de cesión de derechos de edición y publicación de la citada obra con fecha 14 de enero de 1988. Se añade que aunque las dos obras tratan de la historia de la ciudad de Pontevedra, la forma de concebirlas por sus respectivos autores es muy diferente, siendo la realizada por los acusados de carácter marcadamente divulgativo, resultando especialmente accesible para toda clase de público, habiendo manifestado públicamente el acusado don Valentín Carmelo Rodríguez Fernández que para la redacción de los textos ha seguido la obra de historiadores de prestigio, como la del profesor Fortes Bouzán, consistiendo su labor en resumir y extractar la misma. Tras la publicación del tercer fascículo y ante la denuncia de plagio formulada por el Sr. Fortes Bouzán en una rueda de prensa, los fascículos posteriores se publicaron ya con citas expresas, indicando la fuente en cada caso. </w:t>
      </w:r>
    </w:p>
    <w:p w:rsidR="00DE14C9" w:rsidRDefault="00DE14C9" w:rsidP="00DE14C9">
      <w:pPr>
        <w:pStyle w:val="TextoNormal"/>
      </w:pPr>
      <w:r>
        <w:t xml:space="preserve">El Juzgador considera que, pese a haberse producido el plagio denunciado en los tres primeros fascículos de la obra en cuestión, no cabe condenar a los acusados como autores del delito tipificado en el art. 270.1 del Código penal, porque, aunque concurre el elemento objetivo del tipo, falta, en cambio, en su actuación el elemento subjetivo del tipo que exige </w:t>
      </w:r>
      <w:r>
        <w:lastRenderedPageBreak/>
        <w:t xml:space="preserve">dicho precepto, consistente en la conciencia de la antijuridicidad de la conducta plagiadora, dado que no se advierte que exista una voluntad expresa de apropiarse de la obra del Sr. Fortes Bouzán, toda vez que los acusados no se presentan ante el público “como autores de una obra de gran rigor científico… sino como autores de un resumen de obras de este tipo”, de carácter divulgativo, debiendo asimismo tenerse en cuenta que a partir del fascículo cuarto ya se cita al Sr. Fortes Bouzán cuando su libro es utilizado como fuente por el redactor de los textos. Y se añade respecto del recurrente en amparo que es el coordinador de la obra, no el autor material, y que no consta que conociera el contenido del libro del Sr. Fortes Bouzán plagiado por el coacusado, por lo que tampoco cabe atribuirle responsabilidad por la vía del art. 28 del Código penal. </w:t>
      </w:r>
    </w:p>
    <w:p w:rsidR="00DE14C9" w:rsidRDefault="00DE14C9" w:rsidP="00DE14C9">
      <w:pPr>
        <w:pStyle w:val="TextoNormal"/>
      </w:pPr>
      <w:r>
        <w:t xml:space="preserve">b) Interpuesto por las acusaciones particulares (don José Fortes Bouzán y La Voz de Galicia, S.A.) recurso de apelación contra la anterior Sentencia, en el que se celebró vista, fue estimado por Sentencia de la Sección Sexta de la Audiencia Provincial de Pontevedra de 1 de octubre de 2004. La Sentencia de apelación, manteniendo el mismo relato de hechos probados de la Sentencia de instancia, revoca ésta y condena al demandante de amparo y al coacusado como autores de un delito contra la propiedad intelectual del art. 270.1 del Código penal, con la atenuante analógica de dilaciones indebidas, a la pena, para cada uno, de seis meses de multa con cuota diaria de 20 euros, y a indemnizar de forma conjunta y solidaria a La Voz de Galicia, S.A., la suma de 2.000 euros (con responsabilidad civil subsidiaria de la empresa Faro de Vigo, S.A.). Asimismo ordena la publicación a costa de los condenados del relato de hechos probados y del fallo de la Sentencia en un periódico de tirada en la ciudad de Pontevedra, y les condena al pago de las costas procesales de primera instancia, incluidas las causadas por las acusaciones particulares, declarando de oficio las de apelación. </w:t>
      </w:r>
    </w:p>
    <w:p w:rsidR="00DE14C9" w:rsidRDefault="00DE14C9" w:rsidP="00DE14C9">
      <w:pPr>
        <w:pStyle w:val="TextoNormal"/>
      </w:pPr>
      <w:r>
        <w:t xml:space="preserve">La Audiencia Provincial de Pontevedra comienza por referirse a la doctrina sentada por el Tribunal Constitucional a partir de su STC 167/2002, de 18 de septiembre, en relación con los requisitos exigibles para que un Tribunal de apelación penal pueda legítimamente dictar una sentencia condenatoria, revocando la sentencia absolutoria recaída en la instancia, y concluye que en el presente supuesto se van a cumplir tales exigencias, porque se acepta el relato de hechos probados de la Sentencia de instancia, pero se discrepa de los juicios de inferencia realizados por el Juez a quo, por lo que estamos ante una cuestión de índole exclusivamente jurídica en la que el Tribunal de apelación, corrigiendo el criterio de instancia, puede efectuar un pronunciamiento de condena. </w:t>
      </w:r>
    </w:p>
    <w:p w:rsidR="00DE14C9" w:rsidRDefault="00DE14C9" w:rsidP="00DE14C9">
      <w:pPr>
        <w:pStyle w:val="TextoNormal"/>
      </w:pPr>
      <w:r>
        <w:t xml:space="preserve">Sentada esta premisa, la Audiencia Provincial señala que considera erróneas las conclusiones jurídicas a las que llega el Juzgador a quo en la Sentencia de instancia partiendo del relato de hechos probados, pues la Audiencia Provincial entiende, en síntesis, que concurren en la conducta del recurrente en amparo (y del coacusado) no sólo los elementos objetivos del tipo del art. 270.1 del Código penal, sino también el elemento subjetivo. La Audiencia razona en la Sentencia impugnada (fundamento jurídico 4) que —a diferencia de lo que sucedía en el anterior Código penal— el vigente art. 270.1 del Código penal no exige en cuanto al elemento subjetivo del delito contra la propiedad intelectual esa especial “conciencia de la antijuridicidad” de la conducta plagiadora o “dolo reduplicado o ánimo especial de transgredir el bien jurídico protegido” que sostiene el Juzgador a quo, a lo que se añade que, en cualquier caso, los acusados, por su experiencia profesional como periodistas, no podían desconocer que transcribir párrafos enteros de una obra ajena sin autorización de su autor (y sin citarle siquiera) constituye una conducta ilícita, por lo que resulta palmario que en el presente caso concurre la especial conciencia de la antijuridicidad que erróneamente ha negado el Juzgador a quo. Por ello concluye la Sentencia impugnada, en lo que </w:t>
      </w:r>
      <w:r>
        <w:lastRenderedPageBreak/>
        <w:t>aquí importa, que del delito del art. 270.1 del Código penal son autores el recurrente en amparo y el coacusado don Valentín Carmelo Rodríguez Fernández, “éste en concepto de autor material del plagio y aquél en su posición de encargado de las funciones de coordinación, supervisión y control, y como tal, con dominio del hecho” (fundamento jurídico 6).</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El demandante de amparo alega, en primer lugar, con cita de la doctrina sentada en la STC 167/2002, de 18 de septiembre, que la Sentencia de apelación impugnada ha vulnerado su derecho a un proceso con todas las garantías (art. 24.2 CE), porque tras ser absuelto en la instancia, le condena como coautor del delito de plagio por considerar que tenía el dominio del hecho, dada su posición de encargado de las funciones de coordinación, supervisión y control, y para llegar a esta conclusión la Audiencia Provincial necesariamente tuvo que realizar una nueva valoración de las declaraciones de ambos acusados, valoración de prueba personal que llevó a cabo sin respetar las garantías de contradicción e inmediación, ya que (afirma) no se practicó vista pública en apelación. </w:t>
      </w:r>
    </w:p>
    <w:p w:rsidR="00DE14C9" w:rsidRDefault="00DE14C9" w:rsidP="00DE14C9">
      <w:pPr>
        <w:pStyle w:val="TextoNormal"/>
      </w:pPr>
      <w:r>
        <w:t>En segundo lugar el recurrente alega la vulneración de su derecho a la presunción de inocencia (art. 24.2 CE), pues entiende que no existe prueba de que conociese la obra del Sr. Fortes Bouzán que fue objeto de plagio por el coacusado don Valentín Carmelo Rodríguez Fernández, ni tampoco de que conociera que dicho coacusado había copiado o plagiado dicha obra. Las funciones de dirección, coordinación y control que asumía el recurrente no implican tal conocimiento, y tampoco cabe la comisión del delito del art. 270.1 del Código penal por omisión. En consecuencia, la simple mención al dominio funcional del hecho por parte del recurrente que se contiene en la Sentencia impugnada no constituye una motivación suficiente para considerar enervada la presunción de inocencia.</w:t>
      </w:r>
    </w:p>
    <w:p w:rsidR="00DE14C9" w:rsidRDefault="00DE14C9" w:rsidP="00DE14C9">
      <w:pPr>
        <w:pStyle w:val="TextoNormal"/>
      </w:pPr>
    </w:p>
    <w:p w:rsidR="00DE14C9" w:rsidRDefault="00DE14C9" w:rsidP="00DE14C9">
      <w:pPr>
        <w:pStyle w:val="TextoNormal"/>
      </w:pPr>
      <w:r w:rsidRPr="00DE14C9">
        <w:rPr>
          <w:rStyle w:val="NumeroAFNegritaCaracter"/>
        </w:rPr>
        <w:t>4</w:t>
      </w:r>
      <w:r>
        <w:t>. Por providencia de 24 de mayo de 2006 la Sección Primera de este Tribunal acordó admitir a trámite la demanda de amparo y, a tenor de lo dispuesto en el art. 51 LOTC, requerir a la Sección Sexta de la Audiencia Provincial de Pontevedra y al Juzgado de lo Penal núm. 3 de Vigo para que en el plazo de diez días remitiesen, respectivamente, testimonio del rollo de apelación núm. 32-2004 y del procedimiento abreviado núm. 175- 2001, interesándose asimismo el emplazamiento de quienes fueron parte en el referido procedimiento, con excepción del recurrente en amparo, ya personado, para que en el plazo de diez días pudiesen comparecer en el presente proceso constitucional, con traslado a dichos efectos de la demanda de amparo presentada.</w:t>
      </w:r>
    </w:p>
    <w:p w:rsidR="00DE14C9" w:rsidRDefault="00DE14C9" w:rsidP="00DE14C9">
      <w:pPr>
        <w:pStyle w:val="TextoNormal"/>
      </w:pPr>
    </w:p>
    <w:p w:rsidR="00DE14C9" w:rsidRDefault="00DE14C9" w:rsidP="00DE14C9">
      <w:pPr>
        <w:pStyle w:val="TextoNormal"/>
      </w:pPr>
      <w:r w:rsidRPr="00DE14C9">
        <w:rPr>
          <w:rStyle w:val="NumeroAFNegritaCaracter"/>
        </w:rPr>
        <w:t>5</w:t>
      </w:r>
      <w:r>
        <w:t>. Por diligencia de ordenación de la Secretaría de Justicia de la Sala Primera de este Tribunal de 15 de diciembre de 2006 se tuvieron por recibidos los testimonios de actuaciones y por personado al Procurador de los Tribunales don Argimiro Vázquez Guillén, en nombre y representación de La Voz de Galicia, S.A. Asimismo, se acordó, conforme a lo dispuesto en el art. 52 LOTC, dar vista de las actuaciones por un plazo común de veinte días al Ministerio Fiscal y a los Procuradores del demandante de amparo y de La Voz de Galicia, S.A., para que dentro de dicho plazo presentasen las alegaciones que a su derecho conviniesen.</w:t>
      </w:r>
    </w:p>
    <w:p w:rsidR="00DE14C9" w:rsidRDefault="00DE14C9" w:rsidP="00DE14C9">
      <w:pPr>
        <w:pStyle w:val="TextoNormal"/>
      </w:pPr>
    </w:p>
    <w:p w:rsidR="00DE14C9" w:rsidRDefault="00DE14C9" w:rsidP="00DE14C9">
      <w:pPr>
        <w:pStyle w:val="TextoNormal"/>
      </w:pPr>
      <w:r w:rsidRPr="00DE14C9">
        <w:rPr>
          <w:rStyle w:val="NumeroAFNegritaCaracter"/>
        </w:rPr>
        <w:t>6</w:t>
      </w:r>
      <w:r>
        <w:t>. Mediante escrito registrado en este Tribunal el 17 de enero de 2007 la representación procesal del recurrente en amparo formuló sus alegaciones, en las que venía a reproducir las quejas expuestas en la demanda de amparo.</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7</w:t>
      </w:r>
      <w:r>
        <w:t xml:space="preserve">. La representación procesal de La Voz de Galicia, S.A., presentó su escrito de alegaciones con fecha 22 de enero de 2007, oponiéndose al otorgamiento del amparo. </w:t>
      </w:r>
    </w:p>
    <w:p w:rsidR="00DE14C9" w:rsidRDefault="00DE14C9" w:rsidP="00DE14C9">
      <w:pPr>
        <w:pStyle w:val="TextoNormal"/>
      </w:pPr>
      <w:r>
        <w:t xml:space="preserve">Rechaza esta representación que exista la pretendida vulneración del derecho a un proceso con todas las garantías (art. 24.2 CE) que alega el recurrente, pues la Sentencia de apelación aceptó el relato de hechos probados de la Sentencia de instancia, en la que se declara acreditado que el recurrente en amparo desempeñaba las funciones de dirección, coordinación y control de la obra, por lo no existe ningún obstáculo para que la Audiencia Provincial califique tal hecho como constitutivo de la categoría penal “dominio del hecho”. La Sentencia impugnada respeta, por tanto, las garantías sentadas en la STC 167/2002 que invoca el recurrente en amparo, pues la condena en apelación no se fundamenta en revisar la valoración de pruebas personales del Juzgador de instancia, sino en una distinta apreciación por el Tribunal ad quem de una cuestión estrictamente jurídica, cual es la de entender (a diferencia del Juzgador a quo) que concurren en la conducta de los acusados todos los elementos del delito del art. 270.1 del Código penal, incluido el elemento subjetivo, pues la conciencia de la antijuridicidad del hecho no exige un dolo reduplicado, a lo que se une la inferencia de que los acusados, por su profesión de periodistas, no podían desconocer la ilicitud de la conducta consistente en reproducir párrafos enteros de una obra ajena sin autorización de su autor. </w:t>
      </w:r>
    </w:p>
    <w:p w:rsidR="00DE14C9" w:rsidRDefault="00DE14C9" w:rsidP="00DE14C9">
      <w:pPr>
        <w:pStyle w:val="TextoNormal"/>
      </w:pPr>
      <w:r>
        <w:t>Asimismo descarta que la Sentencia impugnada haya lesionado el derecho a la presunción de inocencia (art. 24.2 CE) del recurrente en amparo, toda vez que está acreditado (a la vista de la prueba documental practicada) el plagio cometido por el coimputado encargado de la redacción de los textos, como lo está igualmente que el recurrente en amparo asumió las funciones de dirección, coordinación y control de la obra distribuida en fascículos con el diario Faro de Vigo, de donde se infiere razonablemente que el recurrente tenía el dominio del hecho, no siendo creíble que desconociese que su colaborador había copiado el libro del Sr. Fortes Bouzán.</w:t>
      </w:r>
    </w:p>
    <w:p w:rsidR="00DE14C9" w:rsidRDefault="00DE14C9" w:rsidP="00DE14C9">
      <w:pPr>
        <w:pStyle w:val="TextoNormal"/>
      </w:pPr>
    </w:p>
    <w:p w:rsidR="00DE14C9" w:rsidRDefault="00DE14C9" w:rsidP="00DE14C9">
      <w:pPr>
        <w:pStyle w:val="TextoNormal"/>
      </w:pPr>
      <w:r w:rsidRPr="00DE14C9">
        <w:rPr>
          <w:rStyle w:val="NumeroAFNegritaCaracter"/>
        </w:rPr>
        <w:t>8</w:t>
      </w:r>
      <w:r>
        <w:t xml:space="preserve">. El Ministerio Fiscal presentó su escrito de alegaciones el 25 de enero de 2007, interesando que se dicte Sentencia otorgando el amparo solicitado, pues considera que la Sentencia impugnada ha lesionado los derechos del recurrente a un proceso con todas las garantías y a la presunción de inocencia (art. 24.2 CE). En consecuencia, solicita que se declare la nulidad de la Sentencia recurrida en amparo y se confirme el pronunciamiento absolutorio de la Sentencia de instancia. </w:t>
      </w:r>
    </w:p>
    <w:p w:rsidR="00DE14C9" w:rsidRDefault="00DE14C9" w:rsidP="00DE14C9">
      <w:pPr>
        <w:pStyle w:val="TextoNormal"/>
      </w:pPr>
      <w:r>
        <w:t xml:space="preserve">Tras recordar la doctrina sentada por este Tribunal a partir de la STC 167/2002, de 18 de septiembre, en cuanto a los límites constitucionales a la posibilidad de revisión fáctica en apelación de las sentencias absolutorias, censura el Fiscal que la Sentencia de apelación haya condenado a los acusados manteniendo incólume el relato de hechos probados de la Sentencia absolutoria de instancia, en cuyo último párrafo (en el que se hace constar que la obra de los acusados tiene un carácter marcadamente divulgativo que la hace accesible a todos los públicos, habiendo manifestado el acusado Sr. Rodríguez Fernández que para redactar los textos siguió la obra de historiadores de prestigio, como el profesor Fortes Bouzán; y asimismo que desde el cuarto fascículo ya se incluye cita expresa indicando la fuente u obra del autor) radican precisamente los dos argumentos exculpatorios en los que el Juzgador a quo fundamenta su pronunciamiento absolutorio, esto es, “el derecho de cita y la carencia de animus de contravenir el derecho de autor por los acusados”. </w:t>
      </w:r>
    </w:p>
    <w:p w:rsidR="00DE14C9" w:rsidRDefault="00DE14C9" w:rsidP="00DE14C9">
      <w:pPr>
        <w:pStyle w:val="TextoNormal"/>
      </w:pPr>
      <w:r>
        <w:t xml:space="preserve">En todo caso, respecto del recurrente en amparo resulta que la Audiencia Provincial le considera autor del delito tipificado en el art. 270.1 del Código penal por aplicación de la </w:t>
      </w:r>
      <w:r>
        <w:lastRenderedPageBreak/>
        <w:t xml:space="preserve">doctrina jurisprudencial del dominio del hecho (que implica disponer de las riendas del hecho, pudiendo decidir si se ejecuta o no, en un contexto de reparto funcional de la acción típica), al haber asumido el recurrente las funciones de coordinación, supervisión y control de la obra ilustrada publicada en fascículos. El Fiscal considera que de la prueba documental practicada no se deduce que el recurrente en amparo, por el mero hecho de reservarse para sí esas funciones de coordinación, supervisión y control, debiese conocer que el coacusado había copiado sin autorización el libro del Sr. Fortes Bouzán; para llegar a esta conclusión la Audiencia Provincial debió confrontar la prueba documental con la declaración del recurrente en amparo, prueba personal que exige el respeto a las garantías de contradicción e inmediación, conforme a la STC 167/2002. En consecuencia, al haber valorado la Audiencia Provincial pruebas personales sin oír al recurrente en amparo, resulta vulnerado el derecho de éste a un proceso con todas las garantías (art. 24.2 CE), de conformidad con la citada doctrina constitucional. </w:t>
      </w:r>
    </w:p>
    <w:p w:rsidR="00DE14C9" w:rsidRDefault="00DE14C9" w:rsidP="00DE14C9">
      <w:pPr>
        <w:pStyle w:val="TextoNormal"/>
      </w:pPr>
      <w:r>
        <w:t>Asimismo considera el Fiscal que la Sentencia impugnada ha vulnerado el derecho a la presunción de inocencia (art. 24.2 CE) del recurrente en amparo, pues le condena como autor del delito del art. 270.1 del Código penal atribuyéndole el dominio funcional del hecho, sin precisar por qué la circunstancia de que el recurrente ejerciese las funciones de coordinación, supervisión y control de la obra permite presumir que conocía el libro del Sr. Fortes Bouzán y el plagio cometido por el coacusado.</w:t>
      </w:r>
    </w:p>
    <w:p w:rsidR="00DE14C9" w:rsidRDefault="00DE14C9" w:rsidP="00DE14C9">
      <w:pPr>
        <w:pStyle w:val="TextoNormal"/>
      </w:pPr>
    </w:p>
    <w:p w:rsidR="00DE14C9" w:rsidRDefault="00DE14C9" w:rsidP="00DE14C9">
      <w:pPr>
        <w:pStyle w:val="TextoNormal"/>
      </w:pPr>
      <w:r w:rsidRPr="00DE14C9">
        <w:rPr>
          <w:rStyle w:val="NumeroAFNegritaCaracter"/>
        </w:rPr>
        <w:t>9</w:t>
      </w:r>
      <w:r>
        <w:t>. Por providencia de 3 de mayo de 2007 se acordó señalar para deliberación y votación de la presente Sentencia el día 7 de mayo del mismo mes y año, en que comenzó, habiendo terminado en el día de hoy.</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Como ha quedado expuesto en el relato de antecedentes, el recurrente considera que la Sentencia impugnada en amparo, dictada el 1 de octubre de 2004 por la Sección Sexta de la Audiencia Provincial de Pontevedra en el recurso de apelación núm.  32-2004, vulneró su derecho a un proceso con todas las garantías (art. 24.2 CE), al haberle condenado como autor de un delito contra la propiedad intelectual del que había sido absuelto en instancia, para lo cual la Audiencia Provincial realizó una nueva valoración de pruebas personales sin respetar las exigencias de inmediación y contradicción.  Asimismo considera lesionado su derecho a la presunción de inocencia (art. 24.2 CE), toda vez que su condena se fundamenta en la afirmación de que tenía el dominio funcional del hecho delictivo por haber asumido las funciones de dirección, coordinación y control de la obra ilustrada publicada en fascículos, pero no se razona cómo se puede inferir del mero desempeño de tales funciones que el recurrente tuviese conocimiento de que el coacusado había plagiado la obra del profesor Fortes Bouzán.</w:t>
      </w:r>
    </w:p>
    <w:p w:rsidR="00DE14C9" w:rsidRDefault="00DE14C9" w:rsidP="00DE14C9">
      <w:pPr>
        <w:pStyle w:val="TextoNormal"/>
      </w:pPr>
      <w:r>
        <w:t>El Ministerio Fiscal apoya la pretensión del recurrente, interesando a su vez el otorgamiento del amparo, pretensión a la que se opone la representación procesal de La Voz de Galicia, S.A., conforme a los razonamientos expuestos en sus respectivos escritos de alegaciones.</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Por lo que se refiere a la vulneración del derecho a un proceso con todas las garantías (art.  24.2 CE), resulta obligado recordar la doctrina sentada por este Tribunal a partir de la </w:t>
      </w:r>
      <w:r>
        <w:lastRenderedPageBreak/>
        <w:t>STC 167/2002, de 18 de septiembre, y que se ha reiterado en numerosas Sentencias posteriores de este Tribunal (entre otras muchas, SSTC 170/2002, de 30 de septiembre; 209/2003, de 1 de diciembre; 40/2004, de 22 de marzo; 119/2005, de 9 de mayo; 151/2005, de 6 de junio; 199/2005, de 18 de julio; 324/2005, de 12 de diciembre; 95/2006, de 27 de marzo; 217/2006, de 3 de julio; y 11/2007, de 15 de enero).</w:t>
      </w:r>
    </w:p>
    <w:p w:rsidR="00DE14C9" w:rsidRDefault="00DE14C9" w:rsidP="00DE14C9">
      <w:pPr>
        <w:pStyle w:val="TextoNormal"/>
      </w:pPr>
      <w:r>
        <w:t>Conforme a esta doctrina, el respeto a los principios de publicidad, inmediación y contradicción, contenidos en el derecho a un proceso con todas las garantías, impone inexcusablemente que toda condena se fundamente en una actividad probatoria que el órgano judicial haya examinado directa y personalmente y en un debate público en el que se respete la posibilidad de contradicción, por lo que, cuando el recurso de apelación se plantee contra una Sentencia absolutoria y el motivo de apelación concreto verse sobre cuestiones de hecho suscitadas por la valoración o ponderación de pruebas personales de las que dependa la condena o absolución del acusado, el Tribunal de apelación no puede entrar a valorar esas pruebas personales sin inmediación y contradicción, pues ha de tomar un conocimiento directo e inmediato de dichas pruebas. Por el contrario, no existe vulneración del derecho a un proceso con todas las garantías cuando la condena en apelación se fundamenta en una nueva y distinta valoración de las pruebas documentales, cuya valoración sí es posible en segunda instancia sin necesidad de reproducción del debate procesal. Ni tampoco cuando la condena en apelación se basa en una cuestión estrictamente jurídica, considerando el Tribunal ad quem, frente a lo mantenido por la Sentencia de instancia, que concurren todos los elementos del tipo penal en la conducta del acusado, pues para proceder a esa distinta subsunción de los hechos tampoco resulta exigible la garantía de inmediación.</w:t>
      </w:r>
    </w:p>
    <w:p w:rsidR="00DE14C9" w:rsidRDefault="00DE14C9" w:rsidP="00DE14C9">
      <w:pPr>
        <w:pStyle w:val="TextoNormal"/>
      </w:pPr>
      <w:r>
        <w:t>Asimismo señala la citada doctrina constitucional que la constatación, en su caso, de la vulneración derecho a un proceso con todas las garantías determina también la del derecho a la presunción de inocencia si la eliminación de los medios de prueba indebidamente valorados en la segunda instancia deja sin sustento el relato de hechos probados que soporta la declaración de culpabilidad del acusado. Esto sucederá, por supuesto, cuando la prueba personal eliminada sea la única tomada en cuenta por la Sentencia de apelación, pero también cuando, a partir de su propia motivación, se constate que dicha prueba era esencial para llegar a la conclusión fáctica incriminatoria, de modo que la inferencia de dicha conclusión deviene ilógica o no concluyente a partir de los presupuestos de la propia Sentencia.</w:t>
      </w:r>
    </w:p>
    <w:p w:rsidR="00DE14C9" w:rsidRDefault="00DE14C9" w:rsidP="00DE14C9">
      <w:pPr>
        <w:pStyle w:val="TextoNormal"/>
      </w:pPr>
    </w:p>
    <w:p w:rsidR="00DE14C9" w:rsidRDefault="00DE14C9" w:rsidP="00DE14C9">
      <w:pPr>
        <w:pStyle w:val="TextoNormal"/>
      </w:pPr>
      <w:r w:rsidRPr="00DE14C9">
        <w:rPr>
          <w:rStyle w:val="NumeroAFNegritaCaracter"/>
        </w:rPr>
        <w:t>3</w:t>
      </w:r>
      <w:r>
        <w:t>. La aplicación de esta consolidada doctrina constitucional al supuesto que nos ocupa conduce al rechazo de la queja del recurrente, pues el examen de la Sentencia impugnada y de las actuaciones pone de relieve que en el presente caso no existe lesión del derecho a un proceso con todas las garantías del recurrente por haber sido condenado en apelación tras ser absuelto en instancia. En primer lugar, es incontestable que la Sentencia de apelación no modifica los hechos probados, sino que acepta íntegramente el relato de hechos probados de la Sentencia de instancia; en segundo lugar, se constata que (frente a lo afirmado en la demanda de amparo) se celebró vista pública en la apelación (si bien los acusados no prestaron declaración en la misma); finalmente —y esto es determinante— resulta que la condena del recurrente de amparo (y del coacusado) por el delito del art. 270.1 del Código penal no se fundamenta en una nueva valoración de las declaraciones prestadas en el juicio oral por los acusados, o de cualquier otra prueba de carácter personal que por su naturaleza no pudiera ser valorada de nuevo en apelación sin inmediación y contradicción, sino que el fallo condenatorio al que se llega en la Sentencia de apelación parte de la distinta valoración jurídica por parte de la Audiencia Provincial de los hechos declarados probados en la Sentencia de instancia, como ha quedado expuesto en los antecedentes de la presente Sentencia.</w:t>
      </w:r>
    </w:p>
    <w:p w:rsidR="00DE14C9" w:rsidRDefault="00DE14C9" w:rsidP="00DE14C9">
      <w:pPr>
        <w:pStyle w:val="TextoNormal"/>
      </w:pPr>
      <w:r>
        <w:lastRenderedPageBreak/>
        <w:t>En efecto, la Audiencia Provincial entiende que concurren en la conducta del recurrente en amparo (y del coacusado) todos los elementos del tipo del art. 270.1 del Código penal, discrepando en este sentido del criterio del Juzgador a quo, que rechazaba la concurrencia del elemento subjetivo del tipo en la conducta de ambos acusados. A partir de esta distinta apreciación jurídica concluye la Sentencia impugnada que del delito contra la propiedad intelectual tipificado por el art. 270.1 del Código penal son responsables el recurrente en amparo y el coacusado don Valentín Carmelo Rodríguez Fernández, “éste en concepto de autor material del plagio y aquél en su posición de encargado de las funciones de coordinación, supervisión y control, y como tal, con dominio del hecho” (fundamento jurídico 6). Como se razona en la Sentencia impugnada, la ejecución material del plagio por el coacusado, redactor de los textos de la obra “Historia Ilustrada de Pontevedra”, resulta acreditada por la prueba documental, al igual que está plenamente acreditado en la prueba documental que el recurrente en amparo asumió las funciones de coordinación, supervisión y control de dicha obra ilustrada, en cuyos tres primeros fascículos fueron reproducidos diversos párrafos del libro “Historia de la Ciudad de Pontevedra”, cuyo autor es don José Fortes Bouzán, sin su autorización y sin citarle.</w:t>
      </w:r>
    </w:p>
    <w:p w:rsidR="00DE14C9" w:rsidRDefault="00DE14C9" w:rsidP="00DE14C9">
      <w:pPr>
        <w:pStyle w:val="TextoNormal"/>
      </w:pPr>
      <w:r>
        <w:t>En suma, no ha existido lesión del derecho del recurrente en amparo a un proceso con todas las garantías (art. 24.2 CE), pues, como ya quedó indicado, para proceder en apelación a esa diferente valoración jurídica de los hechos documentados en autos no son exigibles las garantías de inmediación y contradicción (por todas, SSTC 170/2002, de 30 de septiembre, FJ 15; 119/2005, de 9 de mayo, FJ 3; y 151/2005, de 6 de junio, FJ 8).</w:t>
      </w:r>
    </w:p>
    <w:p w:rsidR="00DE14C9" w:rsidRDefault="00DE14C9" w:rsidP="00DE14C9">
      <w:pPr>
        <w:pStyle w:val="TextoNormal"/>
      </w:pPr>
    </w:p>
    <w:p w:rsidR="00DE14C9" w:rsidRDefault="00DE14C9" w:rsidP="00DE14C9">
      <w:pPr>
        <w:pStyle w:val="TextoNormal"/>
      </w:pPr>
      <w:r w:rsidRPr="00DE14C9">
        <w:rPr>
          <w:rStyle w:val="NumeroAFNegritaCaracter"/>
        </w:rPr>
        <w:t>4</w:t>
      </w:r>
      <w:r>
        <w:t>. Descartada la vulneración del derecho a un proceso con todas las garantías, resta por examinar la queja del recurrente referida a la vulneración de su derecho a la presunción de inocencia (art. 24.2 CE).</w:t>
      </w:r>
    </w:p>
    <w:p w:rsidR="00DE14C9" w:rsidRDefault="00DE14C9" w:rsidP="00DE14C9">
      <w:pPr>
        <w:pStyle w:val="TextoNormal"/>
      </w:pPr>
      <w:r>
        <w:t>Debe recordarse que desde la STC 31/1981, de 28 de julio, FJ 3, este Tribunal tiene declarado que para poder desvirtuar la presunción de inocencia es preciso una mínima actividad probatoria, producida con las garantías procesales exigibles, que pueda entenderse de cargo y de la que deducir de forma razonable, por tanto, la culpabilidad del procesado. Dicho de otro modo,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ellos (entre otras, SSTC 222/2001, de 5 de noviembre, 219/2002, de 25 de noviembre, y 56/2003, de 24 de marzo).</w:t>
      </w:r>
    </w:p>
    <w:p w:rsidR="00DE14C9" w:rsidRDefault="00DE14C9" w:rsidP="00DE14C9">
      <w:pPr>
        <w:pStyle w:val="TextoNormal"/>
      </w:pPr>
      <w:r>
        <w:t xml:space="preserve">Asimismo desde la STC 174/1985, de 17 de diciembre, hemos sostenido que, a falta de prueba directa, la prueba de cargo puede ser indiciaria, siempre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Nuestro control de la razonabilidad del discurso, esto es,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dicho de otro modo, no pueden considerarse válidas las inferencias faltas de lógica o de coherencia o inconsecuentes, así como las inferencias </w:t>
      </w:r>
      <w:r>
        <w:lastRenderedPageBreak/>
        <w:t>no concluyentes, catalogando como tales las que son excesivamente abiertas, débiles o indeterminadas, y aquellas en las que caben tal pluralidad de conclusiones alternativas que ninguna de ellas puede darse por probada (SSTC 189/1998, de 28 de septiembre, FJ 3; 220/1998, de 16 de noviembre, FJ 4; 120/1999, de 28 de junio, FJ 2; 44/2000, de 14 de febrero, FJ 2; 155/2002, de 22 de julio, FJ 14; 135/2003, de 30 de junio, FJ 2; 145/2005, de 6 de junio, FJ 5; y 170/2005, de 20 de junio, FJ 4, por todas).</w:t>
      </w:r>
    </w:p>
    <w:p w:rsidR="00DE14C9" w:rsidRDefault="00DE14C9" w:rsidP="00DE14C9">
      <w:pPr>
        <w:pStyle w:val="TextoNormal"/>
      </w:pPr>
    </w:p>
    <w:p w:rsidR="00DE14C9" w:rsidRDefault="00DE14C9" w:rsidP="00DE14C9">
      <w:pPr>
        <w:pStyle w:val="TextoNormal"/>
      </w:pPr>
      <w:r w:rsidRPr="00DE14C9">
        <w:rPr>
          <w:rStyle w:val="NumeroAFNegritaCaracter"/>
        </w:rPr>
        <w:t>5</w:t>
      </w:r>
      <w:r>
        <w:t>. En el presente caso la Audiencia Provincial de Pontevedra considera en la Sentencia impugnada que el recurrente en amparo es autor del delito contra la propiedad intelectual tipificado en el art. 270.1 del Código penal por tener el “dominio del hecho”, dada su posición de encargado de las funciones de coordinación, supervisión y control de la obra “Historia Ilustrada de Pontevedra”, en cuyos tres primeros fascículos el coacusado don Valentín Carmelo Rodríguez Fernández realizó materialmente el plagio, al copiar diversos párrafos del libro “Historia de la Ciudad de Pontevedra”, cuyo autor es don José Fortes Bouzán, sin autorización de éste y sin citarle.</w:t>
      </w:r>
    </w:p>
    <w:p w:rsidR="00DE14C9" w:rsidRDefault="00DE14C9" w:rsidP="00DE14C9">
      <w:pPr>
        <w:pStyle w:val="TextoNormal"/>
      </w:pPr>
      <w:r>
        <w:t>Es decir, la Audiencia Provincial infiere o presume en su Sentencia que el recurrente en amparo, por ejercitar esas funciones de dirección y coordinación de la obra “Historia Ilustrada de Pontevedra” (extremo que no se discute), debía necesariamente conocer el plagio cometido por su colaborador, el coacusado don Valentín Carmelo Rodríguez Fernández, lo que supone inferir, a su vez, que el recurrente conocía los contenidos del libro plagiado del que es autor el Sr. Fortes Bouzán (lo que no consta, según se afirma expresamente en la Sentencia de instancia) o, alternativamente, que el coacusado había puesto en conocimiento del recurrente en amparo que había copiado dicho libro (lo que tampoco consta que sucediera). De este modo, la Sentencia impugnada no contiene una motivación suficiente del juicio de inferencia en el que se sustenta la convicción sobre la autoría del recurrente en la comisión del delito tipificado en el art. 270.1 del Código penal, de forma que la condena de éste se fundamenta en una inferencia ilógica y no concluyente, por su carácter excesivamente abierto, por lo que no puede considerarse que haya existido prueba de cargo válida para desvirtuar la presunción de inocencia del recurrente.</w:t>
      </w:r>
    </w:p>
    <w:p w:rsidR="00DE14C9" w:rsidRDefault="00DE14C9" w:rsidP="00DE14C9">
      <w:pPr>
        <w:pStyle w:val="TextoNormal"/>
      </w:pPr>
      <w:r>
        <w:t>En efecto, no existe prueba directa alguna en las actuaciones de que el recurrente conociese que el coacusado había cometido plagio, sin que pueda considerarse como suficiente desde las exigencias del derecho a la presunción de inocencia, a la vista de la motivación de la Sentencia impugnada en amparo, la inferencia que sustenta la convicción incriminatoria de la Audiencia Provincial respecto del recurrente en amparo, basada en el mero dato incontestado de que éste asumía las funciones de dirección y coordinación de la obra “Historia Ilustrada de Pontevedra”, pues el ejercicio de dichas funciones no conduce naturalmente a la conclusión del conocimiento del plagio cometido por el colaborador, por lo que estamos ante una inferencia ilógica y no concluyente, incapaz de convencer objetivamente de la razonabilidad de la convicción judicial (por todas, SSTC 189/1998, de 28 de septiembre, FJ 3, y 145/2005, de 6 de junio, FJ 5).</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lastRenderedPageBreak/>
        <w:t>Ha decidido</w:t>
      </w:r>
    </w:p>
    <w:p w:rsidR="00DE14C9" w:rsidRDefault="00DE14C9" w:rsidP="00DE14C9">
      <w:pPr>
        <w:pStyle w:val="TextoNormalCentrado"/>
        <w:keepNext/>
      </w:pPr>
    </w:p>
    <w:p w:rsidR="00DE14C9" w:rsidRDefault="00DE14C9" w:rsidP="00DE14C9">
      <w:pPr>
        <w:pStyle w:val="TextoNormal"/>
      </w:pPr>
      <w:r>
        <w:t>Otorgar a don Francisco Javier Sánchez de Dios el amparo solicitado y, en consecuencia:</w:t>
      </w:r>
    </w:p>
    <w:p w:rsidR="00DE14C9" w:rsidRDefault="00DE14C9" w:rsidP="00DE14C9">
      <w:pPr>
        <w:pStyle w:val="TextoNormal"/>
      </w:pPr>
      <w:r>
        <w:t>1º Reconocer su derecho a la presunción de inocencia (art. 24.2 CE).</w:t>
      </w:r>
    </w:p>
    <w:p w:rsidR="00DE14C9" w:rsidRDefault="00DE14C9" w:rsidP="00DE14C9">
      <w:pPr>
        <w:pStyle w:val="TextoNormal"/>
      </w:pPr>
      <w:r>
        <w:t>2º Anular la Sentencia de la Sección Sexta de la Audiencia Provincial de Pontevedra de 1 de octubre de 2004, recaída en el recurso de apelación núm. 32-2004 (interpuesto contra la Sentencia del Juzgado de lo Penal núm. 3 de Vigo de 17 de diciembre de 2003, dictada en procedimiento abreviado núm. 175-2001), únicamente en lo referido a la condena del recurrente en amparo.</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cuatro de junio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51" w:name="SENTENCIA_2007_138"/>
      <w:r>
        <w:lastRenderedPageBreak/>
        <w:t>SENTENCIA 138/2007, de 4 de junio de 2007</w:t>
      </w:r>
    </w:p>
    <w:bookmarkEnd w:id="51"/>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161, de 6 de julio de 2007)</w:t>
      </w:r>
    </w:p>
    <w:p w:rsidR="00DE14C9" w:rsidRDefault="00DE14C9" w:rsidP="00DE14C9">
      <w:pPr>
        <w:pStyle w:val="TtuloBOE"/>
      </w:pPr>
    </w:p>
    <w:p w:rsidR="00DE14C9" w:rsidRDefault="00DE14C9" w:rsidP="00DE14C9">
      <w:pPr>
        <w:pStyle w:val="SntesisDescriptiva"/>
      </w:pPr>
      <w:r>
        <w:t>ECLI:ES:TC:2007:138</w:t>
      </w:r>
    </w:p>
    <w:p w:rsidR="00DE14C9" w:rsidRDefault="00DE14C9" w:rsidP="00DE14C9">
      <w:pPr>
        <w:pStyle w:val="SntesisDescriptiva"/>
      </w:pPr>
    </w:p>
    <w:p w:rsidR="00DE14C9" w:rsidRDefault="00DE14C9" w:rsidP="00DE14C9">
      <w:pPr>
        <w:pStyle w:val="SntesisDescriptiva"/>
      </w:pPr>
      <w:r>
        <w:t>Recurso de amparo 7026-2004. Promovido por don Jorge Federico Bayón Velázquez respecto a la Sentencia y el Auto de la Audiencia Provincial de Valencia que desestimó su recurso de apelación contra su condena por delito de amenazas condicionales.</w:t>
      </w:r>
    </w:p>
    <w:p w:rsidR="00DE14C9" w:rsidRDefault="00DE14C9" w:rsidP="00DE14C9">
      <w:pPr>
        <w:pStyle w:val="SntesisDescriptiva"/>
      </w:pPr>
    </w:p>
    <w:p w:rsidR="00DE14C9" w:rsidRDefault="00DE14C9" w:rsidP="00DE14C9">
      <w:pPr>
        <w:pStyle w:val="SntesisAnaltica"/>
      </w:pPr>
      <w:r>
        <w:t>Vulneración del derecho a la tutela judicial efectiva: sentencia de apelación penal que deja sin resolver los dos motivos subsidiarios del recurso y otras peticiones sobre prueba y vista.</w:t>
      </w:r>
    </w:p>
    <w:p w:rsidR="00DE14C9" w:rsidRDefault="00DE14C9" w:rsidP="00DE14C9">
      <w:pPr>
        <w:pStyle w:val="SntesisAnaltica"/>
      </w:pPr>
    </w:p>
    <w:p w:rsidR="00DE14C9" w:rsidRDefault="00DE14C9" w:rsidP="00DE14C9">
      <w:pPr>
        <w:pStyle w:val="Extracto"/>
      </w:pPr>
      <w:r>
        <w:t>1.</w:t>
      </w:r>
      <w:r>
        <w:tab/>
        <w:t>La Sala incurrió en incongruencia omisiva al dictar sentencia desestimatoria del recurso de apelación, puesto que no responde expresa ni tácitamente a dos de los tres motivos del mismo y, asimismo, tampoco contesta a la expresa petición probatoria ni a la solicitud de celebración de vista para la práctica del medio de prueba propuesto [FJ 3].</w:t>
      </w:r>
    </w:p>
    <w:p w:rsidR="00DE14C9" w:rsidRDefault="00DE14C9" w:rsidP="00DE14C9">
      <w:pPr>
        <w:pStyle w:val="Extracto"/>
      </w:pPr>
    </w:p>
    <w:p w:rsidR="00DE14C9" w:rsidRDefault="00DE14C9" w:rsidP="00DE14C9">
      <w:pPr>
        <w:pStyle w:val="Extracto"/>
      </w:pPr>
      <w:r>
        <w:t>2.</w:t>
      </w:r>
      <w:r>
        <w:tab/>
        <w:t>Doctrina sobre la prohibición de incongruencia omisiva o ex silentio (STC 118/1989, STEDH caso Ruiz Torija e Hiro Balani c. España de 1994) [FJ 2].</w:t>
      </w:r>
    </w:p>
    <w:p w:rsidR="00DE14C9" w:rsidRDefault="00DE14C9" w:rsidP="00DE14C9">
      <w:pPr>
        <w:pStyle w:val="Extracto"/>
      </w:pPr>
    </w:p>
    <w:p w:rsidR="00DE14C9" w:rsidRDefault="00DE14C9" w:rsidP="00DE14C9">
      <w:pPr>
        <w:pStyle w:val="Extracto"/>
      </w:pPr>
      <w:r>
        <w:t>3.</w:t>
      </w:r>
      <w:r>
        <w:tab/>
        <w:t>La inadmisión del incidente de nulidad de actuaciones abundó en la violación del art. 24.1 CE, porque no respondió a las quejas  planteadas, limitándose a afirmar que la Sentencia impugnada no había incurrido en falta de motivación ni de incongruencia omisiva, lo que no resulta conforme con las circunstancias del caso, puesto que la resolución dictada incurrió de manera flagrante en una incongruencia omisiva que debió ser remediada a través del incidente de nulidad [FJ 3].</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 xml:space="preserve">En el recurso de amparo núm. 7026-2004, promovido por don Jorge Federico Bayón Velázquez, representado por la Procuradora de los Tribunales doña Isabel Juliá Corujo y asistido por el Letrado don Javier Boix Reig, contra la Sentencia dictada por la Sección Cuarta de la Audiencia Provincial de Valencia, de fecha 20 de septiembre de 2004, que </w:t>
      </w:r>
      <w:r>
        <w:lastRenderedPageBreak/>
        <w:t>desestimó el recurso de apelación núm. 214-2004, interpuesto contra la Sentencia de condena del Juzgado de lo Penal núm. 2 de la misma ciudad, de 30 de abril de 2004 (procedimiento abreviado núm. 383-2003), y contra el Auto de la citada Sala de 28 de octubre de 2004, que inadmitió el incidente de nulidad de actuaciones formulado contra la Sentencia dictada en apelación. Ha intervenido el Ministerio Fiscal. Ha sido Ponente el Magistrado don Pascual Sala Sánchez,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que tuvo entrada en el Registro General de este Tribunal el 23 de noviembre de 2004 doña Isabel Juliá Corujo, Procuradora de don Jorge Federico Bayón Velázquez, interpuso recurso de amparo contra las resoluciones indicadas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en que se fundamenta el presente recurso son, en síntesis, los siguientes: </w:t>
      </w:r>
    </w:p>
    <w:p w:rsidR="00DE14C9" w:rsidRDefault="00DE14C9" w:rsidP="00DE14C9">
      <w:pPr>
        <w:pStyle w:val="TextoNormal"/>
      </w:pPr>
      <w:r>
        <w:t xml:space="preserve">a) El 30 de abril de 2004, el Juzgado de lo Penal núm. 2 de Valencia dictó Sentencia por la que condenaba al recurrente por un delito de amenazas condicionales a la pena de un año de prisión, con la pena accesoria de inhabilitación especial para el derecho de sufragio pasivo durante el tiempo de la condena, y al pago de las costas procesales. La misma Sentencia recoge en los antecedentes de hecho que el Ministerio Fiscal y la acusación particular solicitaron la condena del recurrente por un delito de amenazas “del art. 169.2 del Código Penal”, es decir, por amenazas no condicionales. </w:t>
      </w:r>
    </w:p>
    <w:p w:rsidR="00DE14C9" w:rsidRDefault="00DE14C9" w:rsidP="00DE14C9">
      <w:pPr>
        <w:pStyle w:val="TextoNormal"/>
      </w:pPr>
      <w:r>
        <w:t xml:space="preserve">b) El condenado interpuso recurso de apelación basado en tres motivos: el primero (pp. 1-4 del escrito) tenía por rúbrica “nulidad de la Sentencia. Infracción del art. 24.1 y 2 de la Constitución, art. 240 de la LOPJ, art. 1.2 b) de la LOTJ y art. 789.3 de la LECrim”, debido a que había sido condenado por un delito de amenazas condicionales del art. 169.1 CP, “pese a que el procedimiento seguido no ha sido el del Tribunal del Jurado y pese a que el Ministerio Fiscal y la Acusación Particular acusaron, en conclusiones definitivas, como consta en el Acta del Juicio Oral, por un delito de amenazas no condicionales del art. 169.2 CP.” Por todo ello interesaba “la nulidad de la Sentencia recurrida”. </w:t>
      </w:r>
    </w:p>
    <w:p w:rsidR="00DE14C9" w:rsidRDefault="00DE14C9" w:rsidP="00DE14C9">
      <w:pPr>
        <w:pStyle w:val="TextoNormal"/>
      </w:pPr>
      <w:r>
        <w:t xml:space="preserve">Con carácter subsidiario al primero (ver p. 12), el segundo motivo —desarrollado en las páginas 4 a 12 del escrito de apelación— se titulaba “error en la apreciación de la prueba. Vulneración del derecho a la presunción de inocencia y del derecho a la tutela judicial efectiva (art. 24.1 y 2 CE)”, mediante el cual puso de manifiesto, entre otras cuestiones, las contradicciones habidas en la declaración testifical de la víctima (el Sr. Molina) y de otros testigos (el Sr. Mata, la Sra. Pellicer y el Sr. Campoamor). Finalizaba el recurrente diciendo que “todo lo dicho pone de manifiesto la falta de congruencia de la Sentencia recurrida en relación con la prueba practicada, la presencia de errores positivos y por omisión de la misma, la ausencia de suficiencia lógica y coherente en su motivación fáctica, la pérdida de credibilidad, siquiera sea por sus propias contradicciones, entre el grupo de testigos relacionados entre sí, en el contexto litigioso descrito, y en suma la necesidad de revocar por todo ello la Sentencia dictada, la que por lo dicho lesiona el derecho a la presunción de inocencia, dictando otra por la que revocando la impugnada, acuerde la libre absolución de mi mandante.” </w:t>
      </w:r>
    </w:p>
    <w:p w:rsidR="00DE14C9" w:rsidRDefault="00DE14C9" w:rsidP="00DE14C9">
      <w:pPr>
        <w:pStyle w:val="TextoNormal"/>
      </w:pPr>
      <w:r>
        <w:t xml:space="preserve">El tercer y último motivo, también formulado con carácter subsidiario respecto de los anteriores, se basaba en la “infracción del art. 169.1 CP, por aplicación indebida”, dado que estimaba la improcedencia de la condena impuesta al no concurrir los elementos típicos de </w:t>
      </w:r>
      <w:r>
        <w:lastRenderedPageBreak/>
        <w:t xml:space="preserve">las amenazas condicionales, ni tampoco el de las no condicionales (“los propios hechos probados no delimitan qué expresiones de las referidas en los mismos se dirigieron al Sr. Molina —la víctima de las amenazas—, sujeto pasivo, o a otros empleados. Lo que no se concluye, a la vista de los hechos probados, es qué se dice al Sr. Molina o a las otras personas. Y desde luego lo que está claro, como ya se ha expuesto, es que las expresiones citadas en los hechos probados nunca se le dijeron por mi mandante al Sr. Molina. Lo reconoce el propio Sr. Molina”). </w:t>
      </w:r>
    </w:p>
    <w:p w:rsidR="00DE14C9" w:rsidRDefault="00DE14C9" w:rsidP="00DE14C9">
      <w:pPr>
        <w:pStyle w:val="TextoNormal"/>
      </w:pPr>
      <w:r>
        <w:t xml:space="preserve">Finalmente el escrito de formalización del recurso de apelación concluía solicitando, en el primer otrosí digo, “la práctica de la diligencia de prueba testifical de D. Jesús Gibosos Díaz de Lamadrid, quien declaró en fase instructora, por exhorto, en fecha 23 de mayo de 2003, … testifical que se interesó en nuestro escrito de defensa, denegándose en el Auto de señalamiento de juicio oral, y habiéndose propuesto y fundamentado la proposición de dicho testigo al inicio del juicio oral, al amparo del art. 793.2 LECrim … se inadmitió dicha prueba, entre otras, consignándose expresamente la protesta. La testifical es pertinente y necesaria, dado lo declarado por el testigo en fase instructora, visto el contenido del certificado obrante al folio 330. Una vez celebrado el juicio oral la pertinencia de la prueba es, si cabe, más evidente, visto lo declarado en relación con tal documento por el Sr. Sainz (acta juicio oral). Estamos, pues, ante una diligencia testifical indebidamente denegada, habiéndose formulado la oportuna protesta. Suplico al Juzgado, tenga por formulada la anterior manifestación y solicito de la Sala acuerde la práctica de la mencionada diligencia testifical”. </w:t>
      </w:r>
    </w:p>
    <w:p w:rsidR="00DE14C9" w:rsidRDefault="00DE14C9" w:rsidP="00DE14C9">
      <w:pPr>
        <w:pStyle w:val="TextoNormal"/>
      </w:pPr>
      <w:r>
        <w:t xml:space="preserve">También solicitó, en el segundo otrosí digo, la celebración de vista, “dada la anterior proposición de prueba y en todo caso por entenderlo adecuado para la correcta formación de una convicción fundada por la Sala”. </w:t>
      </w:r>
    </w:p>
    <w:p w:rsidR="00DE14C9" w:rsidRDefault="00DE14C9" w:rsidP="00DE14C9">
      <w:pPr>
        <w:pStyle w:val="TextoNormal"/>
      </w:pPr>
      <w:r>
        <w:t xml:space="preserve">c) La Sección Cuarta de la Sala de Valencia, sin responder a las peticiones realizadas en los antes citados otrosí digo del escrito de apelación, dictó Sentencia de fecha 20 de septiembre de 2004 por la que desestimaba el recurso interpuesto: “confirmando dicha Sentencia, salvando el error material detectado. En la fundamentación de la Sentencia, la referencia a las amenazas condicionales del art. 169.1 del CP, habrá de entenderse hecha a las amenazas no condicionales del apartado 2º de este mismo artículo. Así, la condena es por el apartado 2 del art. 169 del CP. Declaramos de oficio las costas de esta alzada”. </w:t>
      </w:r>
    </w:p>
    <w:p w:rsidR="00DE14C9" w:rsidRDefault="00DE14C9" w:rsidP="00DE14C9">
      <w:pPr>
        <w:pStyle w:val="TextoNormal"/>
      </w:pPr>
      <w:r>
        <w:t xml:space="preserve">En el fundamento de Derecho único afirmó lo siguiente: </w:t>
      </w:r>
    </w:p>
    <w:p w:rsidR="00DE14C9" w:rsidRDefault="00DE14C9" w:rsidP="00DE14C9">
      <w:pPr>
        <w:pStyle w:val="TextoNormal"/>
      </w:pPr>
      <w:r>
        <w:t xml:space="preserve">“Del análisis de las actuaciones, su desarrollo, y en particular de la narración de hechos probados, de la fundamentación de la sentencia recurrida y del fallo, resulta evidente que a Jorge Federico Bayon Velasco se le acusa de un delito de amenazas no condicionales y es condenado por un delito del apartado 1 del art. 169 CP. </w:t>
      </w:r>
    </w:p>
    <w:p w:rsidR="00DE14C9" w:rsidRDefault="00DE14C9" w:rsidP="00DE14C9">
      <w:pPr>
        <w:pStyle w:val="TextoNormal"/>
      </w:pPr>
      <w:r>
        <w:t xml:space="preserve">Así pues, como apunta el Ministerio Fiscal, estamos ante un error material manifiesto, un lapsus calami, que pudo y debió ser corregido bien de oficio bien a instancia de parte, mediante una simple solicitud de aclaración o corrección de tal error, eliminando de la sentencia toda referencia al apartado 1 del art. 169 CP, dado que los hechos se incardinan en el apartado 2 de este mismo artículo. </w:t>
      </w:r>
    </w:p>
    <w:p w:rsidR="00DE14C9" w:rsidRDefault="00DE14C9" w:rsidP="00DE14C9">
      <w:pPr>
        <w:pStyle w:val="TextoNormal"/>
      </w:pPr>
      <w:r>
        <w:t xml:space="preserve">La L.O. del Poder Judicial (art. 267.2), permite rectificar los errores materiales manifiestos en cualquier momento; por tanto, también en este trámite de apelación, de acuerdo con el principio de economía procesal. Así lo tiene reconocido el Tribunal Supremo (STS de 20.05.1996 entre otras). </w:t>
      </w:r>
    </w:p>
    <w:p w:rsidR="00DE14C9" w:rsidRDefault="00DE14C9" w:rsidP="00DE14C9">
      <w:pPr>
        <w:pStyle w:val="TextoNormal"/>
      </w:pPr>
      <w:r>
        <w:t xml:space="preserve">No cabe, por tanto hablar de nulidad ni de los restantes alegatos de un recurso de apelación totalmente innecesario”. </w:t>
      </w:r>
    </w:p>
    <w:p w:rsidR="00DE14C9" w:rsidRDefault="00DE14C9" w:rsidP="00DE14C9">
      <w:pPr>
        <w:pStyle w:val="TextoNormal"/>
      </w:pPr>
      <w:r>
        <w:lastRenderedPageBreak/>
        <w:t xml:space="preserve">d) Contra esta Sentencia el recurrente interpuso incidente extraordinario de nulidad de actuaciones ex art. 241 LOPJ, en el que denunciaba, entre otras, la incongruencia omisiva padecida respecto del segundo motivo del recurso de apelación basado en el error en la apreciación de la prueba y en la lesión del derecho fundamental a la presunción de inocencia, “motivo que no guarda relación con la calificación jurídica, amenaza condicional o no, sino con la prueba, los errores en su apreciación y la lesión de los dichos derechos fundamentales. No es comprensible que se diga que estamos ante una alegación ‘innecesaria’ y no se dé respuesta al recurso en este motivo”. Además también denunció el silencio de la Sala en lo relativo a las solicitudes contenidas en los dos otrosí digo de su escrito de apelación. </w:t>
      </w:r>
    </w:p>
    <w:p w:rsidR="00DE14C9" w:rsidRDefault="00DE14C9" w:rsidP="00DE14C9">
      <w:pPr>
        <w:pStyle w:val="TextoNormal"/>
      </w:pPr>
      <w:r>
        <w:t>e) La Sala de Valencia, mediante Auto de 28 de octubre de 2004, inadmitió de plano el incidente de nulidad, pues la Sentencia dictada “está suficientemente motivada y fundamentada”, insistiendo en el error padecido por el Juzgado a quo al calificar el delito de amenazas como condicionadas en lugar de realizarlo como no condicionadas.</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El recurrente basa su demanda de amparo en tres motivos. En el primero invoca la vulneración del derecho fundamental a la tutela judicial efectiva (art. 24.1 CE), al incurrir en incongruencia omisiva la Sentencia dictada en apelación, que, en opinión del recurrente, sólo responde al primero de los tres motivos del recurso de apelación, dejando sin contestar los dos restantes relativos (en lo que ahora interesa) al derecho fundamental a la presunción de inocencia y a la indebida aplicación del art. 169.1 CP, y sin responder, tampoco, a las peticiones realizadas en los dos otrosí digo de su escrito del recurso de apelación (la solicitud de práctica de un medio de prueba testifical y la celebración de vista en la segunda instancia). El Auto dictado en el incidente excepcional de nulidad de actuaciones, basado en el art. 241 LOPJ también es impugnado por incongruencia omisiva, dado que resuelve no dar lugar a la tramitación de indicado incidente y, con ello, “exaspera la vulneración del derecho a la tutela judicial efectiva al no reconocer la incongruencia denunciada y, a la vez, incurr[ir] también en incongruencia omisiva, ya que tampoco hace referencia alguna a la alegación tercera en el incidente de nulidad”. </w:t>
      </w:r>
    </w:p>
    <w:p w:rsidR="00DE14C9" w:rsidRDefault="00DE14C9" w:rsidP="00DE14C9">
      <w:pPr>
        <w:pStyle w:val="TextoNormal"/>
      </w:pPr>
      <w:r>
        <w:t xml:space="preserve">Los restantes motivos los plantea con carácter subsidiario y consisten en la lesión de los derechos de defensa, a un proceso con todas las garantías, al Juez ordinario predeterminado por la Ley y a la tutela judicial efectiva (art. 24.1 y 2 CE), por incongruencia de la Sentencia del Juzgado de lo Penal, y por condenar por un delito careciendo de competencia objetiva para ello (“ha incurrido en incongruencia por no fallar conforme a lo solicitado por las acusaciones y por condenar por un delito del que carece de competencia, y en consecuencia, se debe proceder a la nulidad de dicha resolución, celebrándose nuevo juicio por el Juzgado de lo Penal”), y en la vulneración de los derechos fundamentales a la presunción de inocencia y a la tutela judicial efectiva (art. 24.1 y 2 CE). </w:t>
      </w:r>
    </w:p>
    <w:p w:rsidR="00DE14C9" w:rsidRDefault="00DE14C9" w:rsidP="00DE14C9">
      <w:pPr>
        <w:pStyle w:val="TextoNormal"/>
      </w:pPr>
      <w:r>
        <w:t>La demanda concluye con una petición cautelar de suspensión de la ejecución de la Sentencia firme de condena a un año de pena privativa de libertad por la comisión de un delito de amenazas, puesto que el recurrente goza de libertad provisional y de reconocido arraigo.</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La Sala Segunda de este Tribunal, mediante providencia de 21 de marzo de 2006, acordó la admisión a trámite de la demanda de amparo y, a tenor de lo dispuesto en el art. 51 LOTC, dirigir atenta comunicación a los órganos judiciales competentes para la remisión de certificación o fotocopia adverada de las actuaciones de la segunda y de la primera instancia, así como para el emplazamiento a quienes hubieran sido parte en el procedimiento, a excepción del demandante, para que, si lo desearen, comparezcan, en el plazo de diez días, en el presente recurso de amparo. </w:t>
      </w:r>
    </w:p>
    <w:p w:rsidR="00DE14C9" w:rsidRDefault="00DE14C9" w:rsidP="00DE14C9">
      <w:pPr>
        <w:pStyle w:val="TextoNormal"/>
      </w:pPr>
      <w:r>
        <w:lastRenderedPageBreak/>
        <w:t>Mediante resolución de la misma fecha se acordó formar la oportuna pieza separada sobre el incidente cautelar y conceder, con base en el art. 56 LOTC, un plazo común de tres días al recurrente y al Ministerio Fiscal para que alegasen lo pertinente sobre la medida cautelar interesada por el actor. Este incidente fue resuelto por la Sala Segunda de este Tribunal, en el Auto de 8 de mayo de 2006, a la vista de lo interesado por ésta en el sentido de tener por desistido al demandante en su petición cautelar, dado que el Juzgado a quo había suspendido la ejecución de la pena privativa de libertad.</w:t>
      </w:r>
    </w:p>
    <w:p w:rsidR="00DE14C9" w:rsidRDefault="00DE14C9" w:rsidP="00DE14C9">
      <w:pPr>
        <w:pStyle w:val="TextoNormal"/>
      </w:pPr>
    </w:p>
    <w:p w:rsidR="00DE14C9" w:rsidRDefault="00DE14C9" w:rsidP="00DE14C9">
      <w:pPr>
        <w:pStyle w:val="TextoNormal"/>
      </w:pPr>
      <w:r w:rsidRPr="00DE14C9">
        <w:rPr>
          <w:rStyle w:val="NumeroAFNegritaCaracter"/>
        </w:rPr>
        <w:t>5</w:t>
      </w:r>
      <w:r>
        <w:t>. Por diligencia de ordenación del Secretario de Justicia de la Sala Segunda de este Tribunal, de fecha 8 de junio de 2006, se acordó dar vista de las actuaciones recibidas a la parte recurrente y al Ministerio Fiscal, por plazo común de veinte días, para presentar las alegaciones que estimasen pertinentes, de conformidad con el art. 52.1 LOTC.</w:t>
      </w:r>
    </w:p>
    <w:p w:rsidR="00DE14C9" w:rsidRDefault="00DE14C9" w:rsidP="00DE14C9">
      <w:pPr>
        <w:pStyle w:val="TextoNormal"/>
      </w:pPr>
    </w:p>
    <w:p w:rsidR="00DE14C9" w:rsidRDefault="00DE14C9" w:rsidP="00DE14C9">
      <w:pPr>
        <w:pStyle w:val="TextoNormal"/>
      </w:pPr>
      <w:r w:rsidRPr="00DE14C9">
        <w:rPr>
          <w:rStyle w:val="NumeroAFNegritaCaracter"/>
        </w:rPr>
        <w:t>6</w:t>
      </w:r>
      <w:r>
        <w:t>. El actor presentó su escrito de alegaciones con fecha de registro de 30 de junio de 2006, en el que, básicamente, reiteraba lo ya plasmado en su escrito de demanda.</w:t>
      </w:r>
    </w:p>
    <w:p w:rsidR="00DE14C9" w:rsidRDefault="00DE14C9" w:rsidP="00DE14C9">
      <w:pPr>
        <w:pStyle w:val="TextoNormal"/>
      </w:pPr>
    </w:p>
    <w:p w:rsidR="00DE14C9" w:rsidRDefault="00DE14C9" w:rsidP="00DE14C9">
      <w:pPr>
        <w:pStyle w:val="TextoNormal"/>
      </w:pPr>
      <w:r w:rsidRPr="00DE14C9">
        <w:rPr>
          <w:rStyle w:val="NumeroAFNegritaCaracter"/>
        </w:rPr>
        <w:t>7</w:t>
      </w:r>
      <w:r>
        <w:t xml:space="preserve">. El Ministerio Fiscal, mediante escrito de alegaciones registrado el 12 de julio de 2006, interesó la estimación del motivo principal de la demanda. </w:t>
      </w:r>
    </w:p>
    <w:p w:rsidR="00DE14C9" w:rsidRDefault="00DE14C9" w:rsidP="00DE14C9">
      <w:pPr>
        <w:pStyle w:val="TextoNormal"/>
      </w:pPr>
      <w:r>
        <w:t xml:space="preserve">Tras el análisis de los hechos y del contenido constitucional del recurso de amparo, comparte con el recurrente el criterio de que la Sentencia dictada por el Tribunal de apelación de Valencia vulneró el derecho a la congruencia que las resoluciones judiciales deben guardar con las pretensiones de las partes, de conformidad con la exigencia del art. 24.1 CE. El Fiscal sostiene que en modo alguno puede entenderse que, al responder la Sentencia de apelación al primer motivo del recurso, afirmando que en realidad, por un mero error material o “lapsus calami”, donde ponía amenazas condicionales y art. 169.1 CP debía entenderse amenzas no condicionales y art. 169.2 CP, quedaban ya vaciados de contenido y sin necesidad de respuesta los motivos segundo y tercero del recurso de apelación. Como correctamente argumenta la demanda de amparo, en el segundo motivo se alega la vulneración del derecho a la presunción de inocencia del condenado por un delito, fuera éste de amenazas condicionales o no lo fuera, de igual manera que tampoco se alegaba la falta de concurrencia de los elementos del delito de amenazas, fueran éstas condicionales o no. Amén de ello tampoco la Sentencia se pronuncia sobre las peticiones contenidas en los otrosí digo del recurso de apelación y en el que se interesaba la práctica del medio de prueba testifical que había sido denegada por el Juzgado de instancia así como la petición de vista. Podría entenderse que implícitamente ello está resuelto negativamente, lo que es factible respecto de la vista pero no es posible para con una petición de prueba, al afectar incluso a un derecho fundamental (art. 24.2 CE), lo que obliga a una respuesta explícita que la Sala ni en la tramitación del recurso, ni en la Sentencia que lo resolvía tuvo a bien responder en Derecho. Del mismo modo el Ministerio Fiscal considera que el Auto que resolvió no haber lugar a la tramitación del incidente de nulidad de actuaciones ex art. 241 LOPJ también incurrió en incongruencia ex silentio, al no subsanar el vicio contenido en la resolución cuya nulidad radical pretendía el recurrente, al considerar la Sala que había respondido a todas las pretensiones del apelante. </w:t>
      </w:r>
    </w:p>
    <w:p w:rsidR="00DE14C9" w:rsidRDefault="00DE14C9" w:rsidP="00DE14C9">
      <w:pPr>
        <w:pStyle w:val="TextoNormal"/>
      </w:pPr>
      <w:r>
        <w:t xml:space="preserve">El Fiscal se pronuncia ad cautelam sobre los restantes motivos del recurso de amparo debido a que tienen carácter subsidiario respecto del primero cuya estimación interesa. El Ministerio público no comparte la tesis del actor en relación con las dos siguientes quejas fundadas en la vulneración del Juez ordinario predeterminado por la ley, defensa, derecho </w:t>
      </w:r>
      <w:r>
        <w:lastRenderedPageBreak/>
        <w:t xml:space="preserve">a un proceso con todas las garantías y a la presunción de inocencia con base en los argumentos reflejados en su escrito de alegaciones (epígrafes II y III) a cuyo tenor nos remitimos. </w:t>
      </w:r>
    </w:p>
    <w:p w:rsidR="00DE14C9" w:rsidRDefault="00DE14C9" w:rsidP="00DE14C9">
      <w:pPr>
        <w:pStyle w:val="TextoNormal"/>
      </w:pPr>
      <w:r>
        <w:t xml:space="preserve">Por todo lo expuesto el Ministerio Fiscal interesa que se estime el primero de los motivos del recurso de amparo y en consecuencia: 1) se considere vulnerado el art. 24.1 CE en cuanto al deber de congruencia de las resoluciones judiciales y el correspondiente derecho fundamental que en tal sentido corresponde al demandante; 2) que se proceda a la anulación de la Sentencia dictada por la Sala de apelación de Valencia, así como el Auto dictado por dicho Tribunal inadmitiendo el incidente de nulidad de actuaciones; 3) que se retrotraiga el procedimiento al momento de dictar Sentencia en apelación a fin de que por la indicada Sala se resuelvan cuantos motivos consten en el recurso de apelación y sobre las cuestiones planteadas en sus Otrosí. </w:t>
      </w:r>
    </w:p>
    <w:p w:rsidR="00DE14C9" w:rsidRDefault="00DE14C9" w:rsidP="00DE14C9">
      <w:pPr>
        <w:pStyle w:val="TextoNormal"/>
      </w:pPr>
      <w:r>
        <w:t>De contrario, y subsidiariamente a lo anterior, procede la desestimación de los motivos segundo y tercero.</w:t>
      </w:r>
    </w:p>
    <w:p w:rsidR="00DE14C9" w:rsidRDefault="00DE14C9" w:rsidP="00DE14C9">
      <w:pPr>
        <w:pStyle w:val="TextoNormal"/>
      </w:pPr>
    </w:p>
    <w:p w:rsidR="00DE14C9" w:rsidRDefault="00DE14C9" w:rsidP="00DE14C9">
      <w:pPr>
        <w:pStyle w:val="TextoNormal"/>
      </w:pPr>
      <w:r w:rsidRPr="00DE14C9">
        <w:rPr>
          <w:rStyle w:val="NumeroAFNegritaCaracter"/>
        </w:rPr>
        <w:t>8</w:t>
      </w:r>
      <w:r>
        <w:t>. Por providencia de 31 de mayo de 2007 se señaló para la deliberación y fallo el día 4 de junio del mismo mes y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El presente recurso de amparo se dirige contra la Sentencia dictada por la Sección Cuarta de la Audiencia Provincial de Valencia que desestimó el recurso de apelación interpuesto por el acusado contra la Sentencia de condena del Juzgado de lo Penal núm. 2 de la misma ciudad y contra el Auto dictado por la indicada Sala que inadmitió el incidente excepcional de nulidad de actuaciones formulado por la parte apelante contra la Sentencia firme. El recurrente considera que ambas resoluciones han vulnerado su derecho fundamental a la tutela judicial efectiva, sin indefensión (art. 24.1 CE), al incurrir en incongruencia omisiva, dado que sólo han respondido al primero de los tres motivos del recurso de apelación, sin contestar a los dos restantes, y tampoco se han pronunciado sobre las peticiones contenidas en los dos otrosí digo de su escrito de apelación en relación con la petición de práctica de un medio de prueba testifical inadmitido en la primera instancia y con la celebración de vista en la apelación. Con carácter subsidiario también estima el demandante de amparo que las dos Sentencias dictadas por los órganos judiciales penales han lesionado sus derechos fundamentales a la defensa, a un proceso con todas las garantías, al Juez ordinario predeterminado por la ley, a la tutela judicial efectiva y a la presunción de inocencia.</w:t>
      </w:r>
    </w:p>
    <w:p w:rsidR="00DE14C9" w:rsidRDefault="00DE14C9" w:rsidP="00DE14C9">
      <w:pPr>
        <w:pStyle w:val="TextoNormal"/>
      </w:pPr>
      <w:r>
        <w:t>El Ministerio Fiscal coincide, en parte, con el recurrente al interesar el otorgamiento del amparo respecto del primer motivo de la demanda, pues entiende que la Sala de Valencia no se ha pronunciado sobre dos de los tres motivos del recurso de apelación, ni tampoco sobre las peticiones contenidas en los otrosí digo del escrito de interposición del recurso de apelación. En el caso de que no se estimara el primero de los motivos del recurso de amparo, no interesa la estimación de los dos restantes, al no existir lesión alguna del art. 24 CE.</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En relación con el primer motivo, el principal, de la demanda de amparo, relativo a la vulneración del derecho fundamental a la tutela judicial efectiva, sin indefensión (art. 24.1 CE), en particular respecto de la prohibición de la incongruencia omisiva o ex silentio, este Tribunal, al igual que el Tribunal Europeo de Derechos Humanos (Sentencias Ruiz Torija e </w:t>
      </w:r>
      <w:r>
        <w:lastRenderedPageBreak/>
        <w:t>Hiro Balani c. España, de 9 de diciembre de 1994, por sólo citar las que hacen referencia a España como alta parte demandada), recuerda que:</w:t>
      </w:r>
    </w:p>
    <w:p w:rsidR="00DE14C9" w:rsidRDefault="00DE14C9" w:rsidP="00DE14C9">
      <w:pPr>
        <w:pStyle w:val="TextoNormal"/>
      </w:pPr>
      <w:r>
        <w:t>“determinados supuestos de falta de respuesta judicial a las cuestiones planteadas por las partes en el proceso constituyen denegaciones de justicia en sentido propio y aparecen por ello vedadas por el art. 24.1 CE. Tal vacío de tutela judicial con trascendencia constitucional se produce, en esencia, cuando una pretensión relevante y debidamente planteada ante un órgano judicial no encuentra respuesta alguna, siquiera tácita, por parte de éste. No es el nuestro en tales casos un juicio acerca de ‘la lógica de los argumentos empleados por el juzgador para fundamentar su fallo’, sino sobre el ‘desajuste externo entre el fallo judicial y las pretensiones de las partes’ (SSTC 118/1989, de 3 de julio, FJ 3; 53/1999, de 12 de abril, FJ 3; 114/2003, de 16 de junio, FJ 3). Como recordaba recientemente la STC 8/2004, de 9 de febrero, se trata de ‘un quebrantamiento de forma que ... provoca la indefensión de alguno de los justiciables alcanzando relevancia constitucional cuando, por dejar imprejuzgada la pretensión oportunamente planteada, el órgano judicial no tutela los derechos o intereses legítimos sometidos a su jurisdicción, provocando una denegación de justicia’ (FJ 4).</w:t>
      </w:r>
    </w:p>
    <w:p w:rsidR="00DE14C9" w:rsidRDefault="00DE14C9" w:rsidP="00DE14C9">
      <w:pPr>
        <w:pStyle w:val="TextoNormal"/>
      </w:pPr>
      <w:r>
        <w:t>a) En la lógica de la cuestión fundamental no resuelta por el órgano judicial, constituye el primer requisito de la incongruencia omisiva que infringe el art. 24.1 CE el de que dicha cuestión fuera ‘efectivamente planteada ante el órgano judicial en momento procesal oportuno’ (STC 5/2001, de 15 de enero, FJ 4; también, entre otras, SSTC 91/1995, de 19 de junio, FJ 4; 206/1998, de 26 de octubre, FJ 2).</w:t>
      </w:r>
    </w:p>
    <w:p w:rsidR="00DE14C9" w:rsidRDefault="00DE14C9" w:rsidP="00DE14C9">
      <w:pPr>
        <w:pStyle w:val="TextoNormal"/>
      </w:pPr>
      <w:r>
        <w:t>b) Debe reseñarse, en segundo lugar, que no se trata de cualquier cuestión, sino, en rigor, de una pretensión, de una petición que tiene lugar en el proceso en virtud de una determinada fundamentación o causa petendi. Como subrayaban las SSTC 124/2000, de 16 de mayo, y 40/2001, de 12 de febrero, ‘el juicio sobre la congruencia de la resolución judicial presupone la confrontación entre su parte dispositiva y el objeto del proceso delimitado por referencia a sus elementos subjetivos —partes— y objetivos —causa de pedir y petitum. …</w:t>
      </w:r>
    </w:p>
    <w:p w:rsidR="00DE14C9" w:rsidRDefault="00DE14C9" w:rsidP="00DE14C9">
      <w:pPr>
        <w:pStyle w:val="TextoNormal"/>
      </w:pPr>
      <w:r>
        <w:t>Además, en segundo lugar, la constricción de la incongruencia omisiva relevante a la que tiene por objeto la pretensión procesal distingue estos supuestos de los que se suscitan por falta de respuesta a las alegaciones no sustanciales con las que se quiere avalar las pretensiones. Estos últimos supuestos no deben analizarse desde la perspectiva de la inexistencia de respuesta judicial, sino desde la menos rigurosa de la motivación de la misma. Así lo recordaba la STC 23/2000, de 31 de enero: ‘No toda ausencia de respuesta a las cuestiones planteadas por las partes produce una vulneración del derecho constitucional a la tutela judicial efectiva. Para apreciar esta lesión constitucional debe distinguirse, en primer lugar, entre lo que son meras alegaciones aportadas por las partes en defensa de sus pretensiones y estas últimas en sí mismas consideradas, pues, si con respecto a las primeras puede no ser necesaria una respuesta explícita y pormenorizada a todas ellas —y, además, la eventual lesión del derecho fundamental deberá enfocarse desde el prisma del derecho a la motivación de toda resolución judicial—, respecto de las segundas la exigencia de respuesta congruente se muestra con todo rigor, sin más posible excepción que la existencia de una desestimación tácita de la pretensión sobre la que se denuncia la omisión de respuesta explícita’ (FJ 2; también, entre otras, SSTC 91/1995, de 19 de junio, FJ 4; 56/1996, de 15 de abril, FJ 4; 246/2004, de 20 de diciembre, FJ 7).</w:t>
      </w:r>
    </w:p>
    <w:p w:rsidR="00DE14C9" w:rsidRDefault="00DE14C9" w:rsidP="00DE14C9">
      <w:pPr>
        <w:pStyle w:val="TextoNormal"/>
      </w:pPr>
      <w:r>
        <w:t xml:space="preserve">c) Obvio es decir que el tercero de los requisitos de la incongruencia omisiva constitutiva de un vacío de tutela es la falta de respuesta del órgano judicial a la pretensión debidamente planteada por una de las partes en el proceso. Tal falta de respuesta no debe hacerse equivaler a la falta de respuesta expresa, pues los requisitos constitucionales mínimos de la tutela </w:t>
      </w:r>
      <w:r>
        <w:lastRenderedPageBreak/>
        <w:t>judicial pueden satisfacerse con una respuesta tácita, análisis éste que exigirá una cuidadosa y particularizada atención al tenor de la resolución impugnada (por todas, SSTC 91/1995, de 19 de junio, FJ 4; 56/1996, de 15 de abril, FJ 4; 114/2003, de 16 de junio, FJ 3). Para poder apreciar la existencia de una respuesta tácita tal —y, con ello, de una mera omisión sin trascendencia constitucional— ‘es necesario que del conjunto de los razonamientos contenidos en la resolución pueda deducirse razonablemente no sólo que el órgano judicial ha valorado la pretensión deducida sino, además, los motivos fundamentadores de la respuesta tácita» (SSTC 1/2001, de 15 de enero, FJ 4; 141/2002, de 17 de junio, FJ 3). En tal sentido «no se produce incongruencia omisiva prohibida por el art. 24.1 de la Constitución, cuando la falta de respuesta judicial se refiera a pretensiones cuyo examen venga subordinado a la decisión que se adopta respecto de otras pretensiones que, siendo de enjuiciamiento preferente, determinen que su estimación haga innecesario o improcedente pronunciarse sobre éstas, como ocurre en el ejemplo típico de estimación de un defecto formal que impida o prive de sentido entrar en la resolución de la cuestión de fondo’ (STC 4/1994, de 17 de enero, FJ 2)” (STC 52/2005, de 14 de marzo , FJ 2).</w:t>
      </w:r>
    </w:p>
    <w:p w:rsidR="00DE14C9" w:rsidRDefault="00DE14C9" w:rsidP="00DE14C9">
      <w:pPr>
        <w:pStyle w:val="TextoNormal"/>
      </w:pPr>
    </w:p>
    <w:p w:rsidR="00DE14C9" w:rsidRDefault="00DE14C9" w:rsidP="00DE14C9">
      <w:pPr>
        <w:pStyle w:val="TextoNormal"/>
      </w:pPr>
      <w:r w:rsidRPr="00DE14C9">
        <w:rPr>
          <w:rStyle w:val="NumeroAFNegritaCaracter"/>
        </w:rPr>
        <w:t>3</w:t>
      </w:r>
      <w:r>
        <w:t>. La aplicación de la indicada jurisprudencia al presente caso produce, como consecuencia, la estimación de este primer motivo de la demanda de amparo. En efecto, tal y como con mayor detalle ha quedado expuesto en el epígrafe 2 de los antecedentes, basta comparar el escrito de interposición del recurso de apelación con la Sentencia desestimatoria de dicho recurso para colegir que la Sala de Valencia incurrió en incongruencia omisiva al dictar la resolución judicial ahora impugnada, puesto que no responde expresa ni tácitamente a dos de los tres motivos del recurso de apelación; en particular al basado en el error en la apreciación de la prueba, con vulneración del derecho a la presunción de inocencia y a la tutela judicial efectiva, y en la infracción del art. 169.1 del Código penal (CP) por su indebida aplicación. Es cierto que dichos motivos se plantearon con carácter subsidiario a la estimación del primero de ellos, pero también lo es que el Tribunal de la apelación, lejos de estimar el primer motivo de la apelación en el que se solicitaba la anulación de la Sentencia condenatoria dictada en primera instancia por vulnerar el art. 24 CE, lo desestimó, limitándose a corregir el error material padecido por el Juzgador a quo, sustituyendo las referencias a las amenazas condicionales del art. 169.1 CP por las amenazas no condicionales del apartado segundo del mencionado artículo de la ley penal. Dada la desestimación del primer motivo del recurso de apelación, el deber de congruencia obligaba a la Sala de Valencia a entrar a conocer del segundo motivo —basado en la violación del derecho a la presunción de inocencia— y, subsidiariamente, en el del tercero y último de ellos —fundado en la indebida aplicación del mencionado art.  169.1 CP. Al no haber obrado de esa forma (no olvidemos que la respuesta dada en la Sentencia a los restantes dos motivos del recurso de apelación fue, literalmente: “No cabe, por tanto hablar de nulidad ni de los restantes alegatos de un recurso de apelación totalmente innecesario”) ha vulnerado el art. 24.1 CE, en su vertiente del derecho del ahora recurrente en amparo a ha obtener una Sentencia congruente con las pretensiones debidamente formuladas en tiempo y forma, al haber obtenido del Tribunal de apelación, como única respuesta a sus pretensiones impugnatorias, un clamoroso silencio.</w:t>
      </w:r>
    </w:p>
    <w:p w:rsidR="00DE14C9" w:rsidRDefault="00DE14C9" w:rsidP="00DE14C9">
      <w:pPr>
        <w:pStyle w:val="TextoNormal"/>
      </w:pPr>
      <w:r>
        <w:t>Como recuerda el Ministerio Fiscal, tampoco la citada Sala de apelación contestó a la expresa petición probatoria contenida en el primer otrosí digo del escrito del recurso de apelación, que consistía en la práctica de un medio de prueba testifical inadmitido en la primera instancia, ni a la solicitud de celebración de vista para la práctica del medio de prueba propuesto, también solicitado en el segundo otrosí digo del mencionado escrito.</w:t>
      </w:r>
    </w:p>
    <w:p w:rsidR="00DE14C9" w:rsidRDefault="00DE14C9" w:rsidP="00DE14C9">
      <w:pPr>
        <w:pStyle w:val="TextoNormal"/>
      </w:pPr>
      <w:r>
        <w:lastRenderedPageBreak/>
        <w:t>Por último, el Auto que inadmitió el incidente de nulidad de actuaciones ex art. 241 de la Ley Orgánica del Poder Judicial (LOPJ) no hizo sino abundar en la violación del art. 24.1 CE, porque no respondió a las quejas, ahora, con razón, planteadas ante este Tribunal, limitándose a afirmar que la Sentencia impugnada no había incurrido en “falta de motivación ni de incongruencia omisiva. Los recurrentes … no alega [sic] razón nueva alguna que no hubiera planteado en su escrito anterior interponiendo recurso de apelación, el cual fue resuelto en su día”. Tal afirmación no resulta conforme con las circunstancias del caso, puesto que la resolución dictada incurrió de manera flagrante en una incongruencia omisiva que debió ser remediada a través del incidente de nulidad por el Tribunal de la apelación. Al no haberla corregido, procede, de igual modo, la anulación de este Auto carente de motivación sobre las concretas quejas planteadas por el recurrente en su escrito basado en el mencionado art.  241 LOPJ.</w:t>
      </w:r>
    </w:p>
    <w:p w:rsidR="00DE14C9" w:rsidRDefault="00DE14C9" w:rsidP="00DE14C9">
      <w:pPr>
        <w:pStyle w:val="TextoNormal"/>
      </w:pPr>
      <w:r>
        <w:t>Procede, pues, la estimación del primer motivo del recurso de amparo, dado que el recurrente no obtuvo respuesta judicial alguna a las distintas peticiones que había planteado en tiempo y forma en relación con la Sentencia impugnada en apelación.  La estimación del recurso hace improcedente un pronunciamiento sobre los restantes formulados por el demandante de amparo con carácter subsidiario.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don Jorge Federico Bayón Velázquez y, en consecuencia:</w:t>
      </w:r>
    </w:p>
    <w:p w:rsidR="00DE14C9" w:rsidRDefault="00DE14C9" w:rsidP="00DE14C9">
      <w:pPr>
        <w:pStyle w:val="TextoNormal"/>
      </w:pPr>
      <w:r>
        <w:t>1º Declarar que se ha vulnerado el derecho fundamental del recurrente a la tutela judicial efectiva (art. 24.1 CE).</w:t>
      </w:r>
    </w:p>
    <w:p w:rsidR="00DE14C9" w:rsidRDefault="00DE14C9" w:rsidP="00DE14C9">
      <w:pPr>
        <w:pStyle w:val="TextoNormal"/>
      </w:pPr>
      <w:r>
        <w:t>2º Restablecerlo en la integridad de su derecho y, a tal fin, anular el Auto dictado por la Sección Cuarta de la Audiencia Provincial de Valencia, de fecha 28 de octubre de 2004, que inadmitió el incidente de nulidad de actuaciones formulado contra la Sentencia del mismo Tribunal, que también se anula, de 20 de septiembre de 2004 (recurso de apelación núm. 214-2004), retrotrayendo las actuaciones al momento inmediatamente anterior al de dictarse la mencionada Sentencia para que la citada Sala, con plenitud de jurisdicción pero con respeto al derecho fundamental reconocido, proceda a resolver cuantos motivos constan en el recurso de apelación promovido por el demandante de amparo, así como las cuestiones suscitadas en sus otrosí digo.</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cuatro de junio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52" w:name="SENTENCIA_2007_139"/>
      <w:r>
        <w:lastRenderedPageBreak/>
        <w:t>SENTENCIA 139/2007, de 4 de junio de 2007</w:t>
      </w:r>
    </w:p>
    <w:bookmarkEnd w:id="52"/>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161, de 6 de julio de 2007)</w:t>
      </w:r>
    </w:p>
    <w:p w:rsidR="00DE14C9" w:rsidRDefault="00DE14C9" w:rsidP="00DE14C9">
      <w:pPr>
        <w:pStyle w:val="TtuloBOE"/>
      </w:pPr>
    </w:p>
    <w:p w:rsidR="00DE14C9" w:rsidRDefault="00DE14C9" w:rsidP="00DE14C9">
      <w:pPr>
        <w:pStyle w:val="SntesisDescriptiva"/>
      </w:pPr>
      <w:r>
        <w:t>ECLI:ES:TC:2007:139</w:t>
      </w:r>
    </w:p>
    <w:p w:rsidR="00DE14C9" w:rsidRDefault="00DE14C9" w:rsidP="00DE14C9">
      <w:pPr>
        <w:pStyle w:val="SntesisDescriptiva"/>
      </w:pPr>
    </w:p>
    <w:p w:rsidR="00DE14C9" w:rsidRDefault="00DE14C9" w:rsidP="00DE14C9">
      <w:pPr>
        <w:pStyle w:val="SntesisDescriptiva"/>
      </w:pPr>
      <w:r>
        <w:t>Recurso de amparo 7172-2004. Promovido por don Joaquín Prieto Pérez y otras respecto a las Sentencias de la Sala de lo Civil del Tribunal Supremo y de la Audiencia Provincial de Madrid que desestimaron su demanda contra Radiotelevisión Española y otros sobre una emisión del programa "¿Quién sabe dónde?".</w:t>
      </w:r>
    </w:p>
    <w:p w:rsidR="00DE14C9" w:rsidRDefault="00DE14C9" w:rsidP="00DE14C9">
      <w:pPr>
        <w:pStyle w:val="SntesisDescriptiva"/>
      </w:pPr>
    </w:p>
    <w:p w:rsidR="00DE14C9" w:rsidRDefault="00DE14C9" w:rsidP="00DE14C9">
      <w:pPr>
        <w:pStyle w:val="SntesisAnaltica"/>
      </w:pPr>
      <w:r>
        <w:t>Vulneración del derecho al honor: programa de televisión donde se vierten acusaciones de asesinato que no está protegido por la libertad de información de las entrevistadas ni es un reportaje neutral.</w:t>
      </w:r>
    </w:p>
    <w:p w:rsidR="00DE14C9" w:rsidRDefault="00DE14C9" w:rsidP="00DE14C9">
      <w:pPr>
        <w:pStyle w:val="SntesisAnaltica"/>
      </w:pPr>
    </w:p>
    <w:p w:rsidR="00DE14C9" w:rsidRDefault="00DE14C9" w:rsidP="00DE14C9">
      <w:pPr>
        <w:pStyle w:val="Extracto"/>
      </w:pPr>
      <w:r>
        <w:t>1.</w:t>
      </w:r>
      <w:r>
        <w:tab/>
        <w:t>No es posible entender que la libertad de expresión de las hermanas de la desaparecida y de los comunicadores televisivos así como su derecho a comunicar libremente información, hayan sido objeto, por parte de las sentencias recurridas, de la debida ponderación a la hora de confrontarlo con las graves acusaciones que herían frontalmente el honor de los demandantes de amparo, y al hacerlo así vulneraron su derecho fundamental [FJ 12].</w:t>
      </w:r>
    </w:p>
    <w:p w:rsidR="00DE14C9" w:rsidRDefault="00DE14C9" w:rsidP="00DE14C9">
      <w:pPr>
        <w:pStyle w:val="Extracto"/>
      </w:pPr>
    </w:p>
    <w:p w:rsidR="00DE14C9" w:rsidRDefault="00DE14C9" w:rsidP="00DE14C9">
      <w:pPr>
        <w:pStyle w:val="Extracto"/>
      </w:pPr>
      <w:r>
        <w:t>2.</w:t>
      </w:r>
      <w:r>
        <w:tab/>
        <w:t>Las manifestaciones del conductor del programa de televisión, así como las de los periodistas que elaboraron el reportaje que se proyectó al inicio del programa, conducen inevitablemente a concluir que no nos encontramos ante un caso de reportaje neutral, pues los informadores no se limitaron a invitar a las entrevistadas a narrar su versión de los hechos, sino que tomaron partido, manifestando que la opinión expresada por estas era la de toda la familia transmitiendo a su público la clara impresión de que el ahora recurrente estaba relacionado con la desaparición violenta de su esposa [FJ 12].</w:t>
      </w:r>
    </w:p>
    <w:p w:rsidR="00DE14C9" w:rsidRDefault="00DE14C9" w:rsidP="00DE14C9">
      <w:pPr>
        <w:pStyle w:val="Extracto"/>
      </w:pPr>
    </w:p>
    <w:p w:rsidR="00DE14C9" w:rsidRDefault="00DE14C9" w:rsidP="00DE14C9">
      <w:pPr>
        <w:pStyle w:val="Extracto"/>
      </w:pPr>
      <w:r>
        <w:t>3.</w:t>
      </w:r>
      <w:r>
        <w:tab/>
        <w:t>La importancia de valorar el hecho de que las declaraciones se realizaron durante una entrevista realizada en el curso de un programa de televisión emitido en hora punta, cuando se trata de considerar los deberes y responsabilidades de un periodista, conduce a concluir que el deber de responsabilidad exigible a los periodistas y medios de comunicación es si cabe mayor cuando se trata de medios audiovisuales habida cuenta de que por las imágenes los medios audiovisuales pueden transmitir mensajes que un medio escrito no es apto para trasmitir (STEDH de 23 de septiembre de 1994, caso Jersild c. Dinamarca) [FJ 11].</w:t>
      </w:r>
    </w:p>
    <w:p w:rsidR="00DE14C9" w:rsidRDefault="00DE14C9" w:rsidP="00DE14C9">
      <w:pPr>
        <w:pStyle w:val="Extracto"/>
      </w:pPr>
    </w:p>
    <w:p w:rsidR="00DE14C9" w:rsidRDefault="00DE14C9" w:rsidP="00DE14C9">
      <w:pPr>
        <w:pStyle w:val="Extracto"/>
      </w:pPr>
      <w:r>
        <w:t>4.</w:t>
      </w:r>
      <w:r>
        <w:tab/>
        <w:t>Doctrina que distingue entre la libertad de expresión y la libertad de información a través del elemento predominante (STC 51/1997) [FJ 6].</w:t>
      </w:r>
    </w:p>
    <w:p w:rsidR="00DE14C9" w:rsidRDefault="00DE14C9" w:rsidP="00DE14C9">
      <w:pPr>
        <w:pStyle w:val="Extracto"/>
      </w:pPr>
    </w:p>
    <w:p w:rsidR="00DE14C9" w:rsidRDefault="00DE14C9" w:rsidP="00DE14C9">
      <w:pPr>
        <w:pStyle w:val="Extracto"/>
      </w:pPr>
      <w:r>
        <w:t>5.</w:t>
      </w:r>
      <w:r>
        <w:tab/>
        <w:t xml:space="preserve">Jurisprudencia sobre la concurrencia de los requisitos inexcusables para que el ejercicio del derecho a la libre información goce de protección constitucional, a saber, que se trate de difundir información sobre un hecho noticioso o noticiable </w:t>
      </w:r>
      <w:r>
        <w:lastRenderedPageBreak/>
        <w:t>por su interés público, y que la información sobre tales hechos sea veraz (SSTC 6/1988, 28/1996) [FJ 7].</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7172-2004, promovido por don Joaquín Prieto Pérez, doña Antonia Prieto Calero y doña Susana Prieto Calero, representados por el Procurador de los Tribunales don Antonio Barreiro-Meiro Barbero y asistidos por el Letrado don Pablo Viana Tomé, contra la Sentencia de fecha 25 de octubre de 2004 dictada por Sala de lo Civil del Tribunal Supremo, en el recurso de casación núm. 1336-1999 interpuesto contra la dictada por la Audiencia Provincial de Madrid (rollo 503-1997). Ha intervenido el Ministerio Fiscal; han comparecido doña Matilde Calero Sierra, representada por la Procuradora de los Tribunales doña María Lourdes Cano Ochoa y asistida por la Letrada doña Concepción Gómez Bermúdez; don Francisco Lobatón Sánchez Merino, representado por la Procuradora de los Tribunales doña Pilar Rico Cadenas y asistida por el Letrado don José Felipe Masa Fernández, y el ente público Radiotelevisión Española, representado por el Procurador de los Tribunales don Luis Pozas Osset. Ha sido Ponente el Magistrado don Roberto García-Calvo y Montiel,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registrado en el Registro General de este Tribunal el día 29 de noviembre de 2004 el Procurador de los Tribunales, don Antonio Barreiro-Meiro Barbero, en nombre y representación de don Joaquín Prieto Pérez, doña Antonia Prieto Calero y doña Susana Prieto Calero, y bajo la dirección del Letrado don Pablo Viana Tomé, formuló demanda de amparo constitucional contra la resolución judicial de que se hace mérito en el encabezamiento por la vulneración de sus derechos al honor, intimidad personal y familiar (art. 18 CE) y a la presunción de inocencia (art. 24.2 CE). Mediante otrosí se solicitaba que se suspendiera la ejecución de la señalada resolución judicial en lo que respecta a la condena en costas.</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de los que trae causa la presente demanda de amparo son, sucintamente, los siguientes: </w:t>
      </w:r>
    </w:p>
    <w:p w:rsidR="00DE14C9" w:rsidRDefault="00DE14C9" w:rsidP="00DE14C9">
      <w:pPr>
        <w:pStyle w:val="TextoNormal"/>
      </w:pPr>
      <w:r>
        <w:t xml:space="preserve">a) Don Joaquín Prieto Pérez y sus dos hijas, doña Antonia Prieto Calero y doña Susana Prieto Calero, interpusieron demanda incidental de protección al honor e intimidad familiar </w:t>
      </w:r>
      <w:r>
        <w:lastRenderedPageBreak/>
        <w:t xml:space="preserve">contra doña Matilde Calero Sierra y doña Enriqueta Calero Sierra, el ente público Radiotelevisión Española, y don Francisco Lobatón Sánchez Merino y don José Benito Fernández Domínguez, periodistas, iniciándose autos 464-1995 en el Juzgado de Primera Instancia núm. 41 de Madrid, que finalizaron con Sentencia de fecha 21 de febrero de 1997 parcialmente estimatoria. </w:t>
      </w:r>
    </w:p>
    <w:p w:rsidR="00DE14C9" w:rsidRDefault="00DE14C9" w:rsidP="00DE14C9">
      <w:pPr>
        <w:pStyle w:val="TextoNormal"/>
      </w:pPr>
      <w:r>
        <w:t xml:space="preserve">Dicha Sentencia declaró que con la emisión del programa “¿Quién sabe dónde?”, el día 20 de marzo de 1995, dedicado a la desaparición de doña Amalia Calero Sierra, se produjo una intromisión en el derecho al honor y a la intimidad familiar de los demandantes, condenando a los demandados al pago de una indemnización, sin costas. En dicho programa, las demandadas, hermanas de doña Amalia Calero Sierra, expresaron su deseo de que se prosiguiera la investigación sobre la desaparición de su hermana, y se esclareciese la responsabilidad que tuvo su cuñado (ahora demandante de amparo) en dicha desaparición. En el curso del programa una de las hermanas Calero Sierra vertió las siguientes afirmaciones: “Cuando mi hermana se separó de él hicieron separación de bienes; a él le tocó un piso que tiene aquí, en Calella, y le tocó una casita que tiene en Madrid, en Mejorada del Campo, que es donde vive la hija pequeña. Y a él [refiriéndose a don Joaquín Prieto Pérez] le tocaba lo de Calella, lo de Mejorada del Campo y algún dinero. A mi hermana le tocaba el piso. Entonces él no quería marcharse del piso, no me voy, no me voy… y entonces la mató para quedarse con el piso. Esto está bien claro, es así, es que es así”; “Se lo digo a la cara, es un asesino. Tengo miedo por lo que pudiera hacer a mis hijos”; “Que él la había amenazado, pegado, incluso violado alguna vez; y eso lo sabía su hija Antonia”; “Que aquella noche no durmió ni el padre ni el hijo en el piso. Eso dicho por sus hijas; pero ellas no quieren decir nada porque tienen miedo. Y ellas están seguras de que a mi hermana la mató el marido y la puso en el baúl, y eso las hijas me lo han dicho así, clarísimamente”; “sus hijas me lo han dicho, que sobre todo les dijera a ustedes, que me acordara de decir, que podría ser que estuviera en las Rías de Galicia, que la tiraron del puente de Rande. Me han recalcado que lo dijera, y que me acordara, que podría ser que estuviera en las rías de Galicia, porque su padre ¿de dónde sacó un pico y una pala para ir a enterrar a su madre al campo, que podría ser muy bien, muy bien que estuviera bajo el puente de Rande?”. </w:t>
      </w:r>
    </w:p>
    <w:p w:rsidR="00DE14C9" w:rsidRDefault="00DE14C9" w:rsidP="00DE14C9">
      <w:pPr>
        <w:pStyle w:val="TextoNormal"/>
      </w:pPr>
      <w:r>
        <w:t xml:space="preserve">b) Los demandados interpusieron recurso de apelación ante la Sección Decimonovena de la Audiencia Provincial de Madrid, que dictó Sentencia, de fecha 21 de diciembre de 1998, estimando el recurso de apelación interpuesto y desestimando la demanda. </w:t>
      </w:r>
    </w:p>
    <w:p w:rsidR="00DE14C9" w:rsidRDefault="00DE14C9" w:rsidP="00DE14C9">
      <w:pPr>
        <w:pStyle w:val="TextoNormal"/>
      </w:pPr>
      <w:r>
        <w:t xml:space="preserve">c) Preparado recurso de casación y luego interpuesto el mismo, la Sala Primera del Tribunal Supremo dictó Sentencia, de fecha 25 de octubre de 2004, declarando no haber lugar al recurso de casación. </w:t>
      </w:r>
    </w:p>
    <w:p w:rsidR="00DE14C9" w:rsidRDefault="00DE14C9" w:rsidP="00DE14C9">
      <w:pPr>
        <w:pStyle w:val="TextoNormal"/>
      </w:pPr>
      <w:r>
        <w:t xml:space="preserve">La Sentencia indica que las hermanas codemandadas actuaron en legítimo ejercicio de su libertad de información, en su afán de que se procediese a la reapertura de las diligencias penales y se esclareciese la responsabilidad que tuvo su cuñado en la desaparición de su hermana. Según la Sentencia así lo hicieron basándose en los propios actos y sospechas ofrecidos por sus sobrinas y también codemandantes, las cuales no pueden invocar, a la vista de su actuación anterior, su derecho a la intimidad familiar, debiendo prevalecer el derecho a la información de las hermanas codemandadas, y ello teniendo en cuenta la naturaleza del hecho objeto de la información, es decir, la desaparición de su hermana, y el consiguiente interés general derivado de ello, sin que pueda apreciarse por parte de éstas una actuación ligera o precipitada y desprovista de toda gestión encaminada a contrastar el objeto de su información, ante los datos proporcionados por las citadas codemandadas, muchos de ellos ofrecidos por las propias hermanas codemandantes y reflejados en las diligencias penales. </w:t>
      </w:r>
    </w:p>
    <w:p w:rsidR="00DE14C9" w:rsidRDefault="00DE14C9" w:rsidP="00DE14C9">
      <w:pPr>
        <w:pStyle w:val="TextoNormal"/>
      </w:pPr>
      <w:r>
        <w:lastRenderedPageBreak/>
        <w:t>Por otra parte, también se desestima el motivo que considera que no se ha aplicado correctamente la doctrina del reportaje neutral, porque el ente público y el presentador de televisión codemandado se limitaron a entrevistar a las hermanas codemandadas y a emitir un reportaje sin hacer propias las manifestaciones de las mismas ni a tomar partido sobre lo que se dice.</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Los demandantes de amparo consideran, en primer lugar, que la Sentencia de la Sala de lo Civil del Tribunal Supremo vulnera sus derechos al honor, intimidad personal y familiar (art. 18 CE). A tal efecto aducen los dos motivos siguientes: 1) la Sentencia recurrida ha realizado una incorrecta valoración del conflicto entre el derecho a la libertad de información y el derecho fundamental al honor de los recurrentes pues el programa no se limitó a informar de la desaparición de una persona y de abrir todas las posibilidades de localizarla sino que señaló públicamente a un culpable. 2) Por estas mismas razones se denuncia la vulneración del art. 20.1 d) CE, ya que la veracidad de la noticia ha de exigirse en los términos requeridos en relación con el reportaje neutral a que alude el Tribunal Constitucional en su doctrina. </w:t>
      </w:r>
    </w:p>
    <w:p w:rsidR="00DE14C9" w:rsidRDefault="00DE14C9" w:rsidP="00DE14C9">
      <w:pPr>
        <w:pStyle w:val="TextoNormal"/>
      </w:pPr>
      <w:r>
        <w:t>El recurso de amparo alega, en segundo lugar, la vulneración del derecho a la presunción de inocencia (art. 24.2 CE), pues tanto la Audiencia Provincial de Madrid como el Tribunal Supremo basaron sus decisiones en determinadas afirmaciones de parte sobre la conducta o condición de una persona, atribuyéndoles virtualidad suficiente para extraer de ellas consecuencias jurídicas que limitan claramente los derechos del Sr. Prieto.</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Mediante providencia de 13 de julio de 2006, la Sección Segunda del Tribunal Constitucional admitió a trámite la demanda de amparo, acordando dirigir atenta comunicación a la Sala de lo Civil del Tribunal Supremo, a la Sección Decimonovena de la Audiencia Provincial de Madrid y al Juzgado de Primera Instancia núm. 41 de Madrid, para que, en el plazo de diez días, remitieran respectivamente testimonio del recurso de casación núm. 1336-1999, rollo de apelación núm. 503-1997 y autos núm. 464-1995 sobre protección del derecho al honor e intimidad familiar, interesándose al mismo tiempo que se emplazara a quienes hubieran sido parte en el procedimiento, con excepción de los recurrentes en amparo que aparecen ya personados, para que en el plazo de diez días pudieran comparecer en este proceso constitucional. </w:t>
      </w:r>
    </w:p>
    <w:p w:rsidR="00DE14C9" w:rsidRDefault="00DE14C9" w:rsidP="00DE14C9">
      <w:pPr>
        <w:pStyle w:val="TextoNormal"/>
      </w:pPr>
      <w:r>
        <w:t>Por esta misma providencia se acordó formar la oportuna pieza separada de suspensión. Por escrito registrado el día 24 de julio de 2006, la representación de los demandantes de amparo manifestó su voluntad de desistir de la solicitud de suspensión presentada. En consecuencia, por Auto 319/2006, de 25 de septiembre, se tuvo por desistido a los demandantes de amparo de su solicitud de suspensión.</w:t>
      </w:r>
    </w:p>
    <w:p w:rsidR="00DE14C9" w:rsidRDefault="00DE14C9" w:rsidP="00DE14C9">
      <w:pPr>
        <w:pStyle w:val="TextoNormal"/>
      </w:pPr>
    </w:p>
    <w:p w:rsidR="00DE14C9" w:rsidRDefault="00DE14C9" w:rsidP="00DE14C9">
      <w:pPr>
        <w:pStyle w:val="TextoNormal"/>
      </w:pPr>
      <w:r w:rsidRPr="00DE14C9">
        <w:rPr>
          <w:rStyle w:val="NumeroAFNegritaCaracter"/>
        </w:rPr>
        <w:t>5</w:t>
      </w:r>
      <w:r>
        <w:t>. Mediante escritos registrados en este Tribunal los días 15, 19 y 20 de septiembre de 2006, respectivamente, se personaron don Francisco Lobatón Sánchez Medina, representado por la Procuradora de los Tribunales doña Pilar Rico Cadenas, el ente público RTVE, representado por el Procurador de los Tribunales don Luis Pozas Osset, y doña Matilde Calero Sierra, representada por la Procuradora de los Tribunales doña María Lourdes Cano Ochoa.</w:t>
      </w:r>
    </w:p>
    <w:p w:rsidR="00DE14C9" w:rsidRDefault="00DE14C9" w:rsidP="00DE14C9">
      <w:pPr>
        <w:pStyle w:val="TextoNormal"/>
      </w:pPr>
    </w:p>
    <w:p w:rsidR="00DE14C9" w:rsidRDefault="00DE14C9" w:rsidP="00DE14C9">
      <w:pPr>
        <w:pStyle w:val="TextoNormal"/>
      </w:pPr>
      <w:r w:rsidRPr="00DE14C9">
        <w:rPr>
          <w:rStyle w:val="NumeroAFNegritaCaracter"/>
        </w:rPr>
        <w:t>6</w:t>
      </w:r>
      <w:r>
        <w:t xml:space="preserve">. Por diligencia de ordenación de 11 de octubre de 2006 se acordó tenerles por personados y parte. Del mismo modo, de conformidad con lo dispuesto en el art. 52 LOTC, se </w:t>
      </w:r>
      <w:r>
        <w:lastRenderedPageBreak/>
        <w:t>acordó dar vista de las actuaciones recibidas al Ministerio Fiscal y a las partes personadas por plazo común de veinte días, para que pudieran presentar las alegaciones que estimasen pertinentes.</w:t>
      </w:r>
    </w:p>
    <w:p w:rsidR="00DE14C9" w:rsidRDefault="00DE14C9" w:rsidP="00DE14C9">
      <w:pPr>
        <w:pStyle w:val="TextoNormal"/>
      </w:pPr>
    </w:p>
    <w:p w:rsidR="00DE14C9" w:rsidRDefault="00DE14C9" w:rsidP="00DE14C9">
      <w:pPr>
        <w:pStyle w:val="TextoNormal"/>
      </w:pPr>
      <w:r w:rsidRPr="00DE14C9">
        <w:rPr>
          <w:rStyle w:val="NumeroAFNegritaCaracter"/>
        </w:rPr>
        <w:t>7</w:t>
      </w:r>
      <w:r>
        <w:t>. El 21 de noviembre de 2006 (y de nuevo el día 11 de diciembre de 2006 a instancias en este último caso de la Sección Segunda de este Tribunal que, por medio de diligencia de ordenación de 28 de noviembre de 2006, solicitó su nuevo envío dado que el anterior escrito resultaba ilegible) tuvo entrada en este Tribunal escrito de alegaciones presentado por la representación de los recurrentes, quienes insisten en las mantenidas con anterioridad en su demanda de amparo.</w:t>
      </w:r>
    </w:p>
    <w:p w:rsidR="00DE14C9" w:rsidRDefault="00DE14C9" w:rsidP="00DE14C9">
      <w:pPr>
        <w:pStyle w:val="TextoNormal"/>
      </w:pPr>
    </w:p>
    <w:p w:rsidR="00DE14C9" w:rsidRDefault="00DE14C9" w:rsidP="00DE14C9">
      <w:pPr>
        <w:pStyle w:val="TextoNormal"/>
      </w:pPr>
      <w:r w:rsidRPr="00DE14C9">
        <w:rPr>
          <w:rStyle w:val="NumeroAFNegritaCaracter"/>
        </w:rPr>
        <w:t>8</w:t>
      </w:r>
      <w:r>
        <w:t>. Por escrito registrado el 21 de noviembre de 2006 la representación de doña Matilde Calero Sierra interesó la desestimación del amparo. En su escrito pone de manifiesto que los antecedentes de hecho expuestos por la parte recurrente en su demanda de amparo resultan incompletos, parciales, inexactos y sacados de contexto. Añade que la Audiencia Provincial de Madrid y el Tribunal Supremo, al tomar en consideración los antecedentes que obran en autos así como el video que recoge el contenido del programa y que también consta en autos, pudieron realizar una adecuada ponderación de todas las circunstancias, lo que les llevó a reconocer en este caso que las hermanas codemandadas actuaron en legítimo ejercicio de su derecho a la información.</w:t>
      </w:r>
    </w:p>
    <w:p w:rsidR="00DE14C9" w:rsidRDefault="00DE14C9" w:rsidP="00DE14C9">
      <w:pPr>
        <w:pStyle w:val="TextoNormal"/>
      </w:pPr>
    </w:p>
    <w:p w:rsidR="00DE14C9" w:rsidRDefault="00DE14C9" w:rsidP="00DE14C9">
      <w:pPr>
        <w:pStyle w:val="TextoNormal"/>
      </w:pPr>
      <w:r w:rsidRPr="00DE14C9">
        <w:rPr>
          <w:rStyle w:val="NumeroAFNegritaCaracter"/>
        </w:rPr>
        <w:t>9</w:t>
      </w:r>
      <w:r>
        <w:t>. El 22 de noviembre de 2006 tuvo entrada en este Tribunal escrito de alegaciones presentado por la representación de Francisco Lobatón Sánchez Medina, interesando la desestimación del recurso de amparo. En el mismo, partiendo de la doctrina de este Tribunal, afirma el interés público del programa “¿Quién sabe dónde?” y, en concreto, del programa emitido con relación a la desaparición de doña Amalia Calero Sierra. A continuación pone de relieve la diligencia del informador del programa en el manejo de las fuentes informativas y el cumplimiento del deber de contrastación de la información emitida que le es exigido. Del mismo modo, se hace hincapié en la postura mantenida por el Sr. Lobatón, quien no hizo suyas las manifestaciones de las hermanas Calero Sierra ni tomó partido sobre lo dicho durante la emisión del programa. Se afirma, en suma, que el programa ha transmitido una información veraz y de interés público, de tal modo que el derecho a la información ha de prevalecer sobre el derecho al honor y a la intimidad personal y familiar. Por lo que se refiere a la alegada vulneración del derecho a la presunción de inocencia, el escrito afirma que tal alegación no sólo incurre en la causa de inadmisión de falta de invocación previa (art. 44.1.c LOTC) sino que carece de consistencia, pues la Sentencia del Tribunal Supremo impugnada se limita a tomar unos hechos, acreditados a través de las actuaciones penales que se siguieron con motivo de la desaparición de doña Amalia, como uno de los criterios por los que no se pueden considerar totalmente infundadas las declaraciones ofrecidas por las hermanas Calero Sierra, sin que de esta afirmación se derive una inculpación del Sr. Prieto.</w:t>
      </w:r>
    </w:p>
    <w:p w:rsidR="00DE14C9" w:rsidRDefault="00DE14C9" w:rsidP="00DE14C9">
      <w:pPr>
        <w:pStyle w:val="TextoNormal"/>
      </w:pPr>
    </w:p>
    <w:p w:rsidR="00DE14C9" w:rsidRDefault="00DE14C9" w:rsidP="00DE14C9">
      <w:pPr>
        <w:pStyle w:val="TextoNormal"/>
      </w:pPr>
      <w:r w:rsidRPr="00DE14C9">
        <w:rPr>
          <w:rStyle w:val="NumeroAFNegritaCaracter"/>
        </w:rPr>
        <w:t>10</w:t>
      </w:r>
      <w:r>
        <w:t xml:space="preserve">. Por escrito registrado el 22 de noviembre de 2006 el Ministerio Fiscal, cumplimentando el trámite de alegaciones, interesó la estimación del amparo. En primer lugar, se pone de relieve la gravedad de las imputaciones que se hicieron en la edición del programa televisivo “¿Quién sabe dónde?”, destacándose además que tales imputaciones se realizaron de manera pública y notoria en un programa de televisión de muy amplia audiencia. </w:t>
      </w:r>
    </w:p>
    <w:p w:rsidR="00DE14C9" w:rsidRDefault="00DE14C9" w:rsidP="00DE14C9">
      <w:pPr>
        <w:pStyle w:val="TextoNormal"/>
      </w:pPr>
      <w:r>
        <w:lastRenderedPageBreak/>
        <w:t xml:space="preserve">En segundo lugar, se cuestiona el Ministerio Fiscal si la ponderación entre el derecho a informar y comunicar información de las codemandadas y el respeto del derecho al honor de los demandantes de amparo realizada por la Audiencia Provincial de Madrid y el Tribunal Supremo es la única posible. En síntesis, señala el Fiscal, la Audiencia y el Tribunal Supremo entendieron que las demandadas no hicieron en el programa más afirmaciones que las obrantes en los procesos penales archivados y que, aun cuando lo hubieran hecho, no podría pensarse que el honor de los imputados pudiera ceder ante la publicación de datos ya expresados. Frente a ese razonamiento —añade el Fiscal— podría cuestionarse que, pese a esas informaciones, los instructores de los procesos penales calibraron que tales informaciones no estuvieran probadas para con el esposo tachado de asesino y homicida. De ser así se elevó en público una acusación que no había sido probada en el ámbito reservado de un proceso penal con todo el rigor que cabe atribuir a éstos. </w:t>
      </w:r>
    </w:p>
    <w:p w:rsidR="00DE14C9" w:rsidRDefault="00DE14C9" w:rsidP="00DE14C9">
      <w:pPr>
        <w:pStyle w:val="TextoNormal"/>
      </w:pPr>
      <w:r>
        <w:t xml:space="preserve">Por otra parte, y con relación a la alegada vulneración de la presunción de inocencia, el Fiscal indica que los demandados no se limitaron a informar a la opinión pública de un hecho criminal no descubierto —la desaparición y muerte de una hermana— ya que ello ya había sido objeto de denuncia e investigación en la vía penal; antes al contrario el tono de sus intervenciones no dejaba duda sobre la autoría material del crimen por parte del esposo acusado. </w:t>
      </w:r>
    </w:p>
    <w:p w:rsidR="00DE14C9" w:rsidRDefault="00DE14C9" w:rsidP="00DE14C9">
      <w:pPr>
        <w:pStyle w:val="TextoNormal"/>
      </w:pPr>
      <w:r>
        <w:t xml:space="preserve">En este mismo sentido el Fiscal considera que la posición de los periodistas que conducían el programa distó del concepto de reportaje neutral, siendo así que el tono de las intervenciones y su tenor literal más parecía corroborar lo indicado por las hermanas de la desaparecida que el mantenimiento de una mera presentación de hechos o una transmisión neutra de opiniones ajenas, siendo así que el programa no trató de presentar ni indagar en la realidad procesal de las actuaciones judiciales archivadas. </w:t>
      </w:r>
    </w:p>
    <w:p w:rsidR="00DE14C9" w:rsidRDefault="00DE14C9" w:rsidP="00DE14C9">
      <w:pPr>
        <w:pStyle w:val="TextoNormal"/>
      </w:pPr>
      <w:r>
        <w:t>Por todo lo dicho el Ministerio Fiscal concluye que no es posible entender que las Sentencias recurridas hayan realizado la debida ponderación entre el derecho a la libertad de expresión de las hermanas de la desaparecida y el honor del demandante de amparo, de forma que esta deficiente ponderación ha supuesto la vulneración del señalado derecho fundamental de este último.</w:t>
      </w:r>
    </w:p>
    <w:p w:rsidR="00DE14C9" w:rsidRDefault="00DE14C9" w:rsidP="00DE14C9">
      <w:pPr>
        <w:pStyle w:val="TextoNormal"/>
      </w:pPr>
    </w:p>
    <w:p w:rsidR="00DE14C9" w:rsidRDefault="00DE14C9" w:rsidP="00DE14C9">
      <w:pPr>
        <w:pStyle w:val="TextoNormal"/>
      </w:pPr>
      <w:r w:rsidRPr="00DE14C9">
        <w:rPr>
          <w:rStyle w:val="NumeroAFNegritaCaracter"/>
        </w:rPr>
        <w:t>11</w:t>
      </w:r>
      <w:r>
        <w:t>. No se recibió escrito de alegaciones del Procurador Sr. Pozas Osset, en representación del ente público RTVE.</w:t>
      </w:r>
    </w:p>
    <w:p w:rsidR="00DE14C9" w:rsidRDefault="00DE14C9" w:rsidP="00DE14C9">
      <w:pPr>
        <w:pStyle w:val="TextoNormal"/>
      </w:pPr>
    </w:p>
    <w:p w:rsidR="00DE14C9" w:rsidRDefault="00DE14C9" w:rsidP="00DE14C9">
      <w:pPr>
        <w:pStyle w:val="TextoNormal"/>
      </w:pPr>
      <w:r w:rsidRPr="00DE14C9">
        <w:rPr>
          <w:rStyle w:val="NumeroAFNegritaCaracter"/>
        </w:rPr>
        <w:t>12</w:t>
      </w:r>
      <w:r>
        <w:t>. Por providencia de 3 de mayo de 2007, se señaló para deliberación y votación de la presente Sentencia el día 7 de dicho mes y año en que comenzó habiendo finalizado en el día de hoy.</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xml:space="preserve">. El recurso de amparo se dirige contra la Sentencia de fecha 25 de octubre de 2004, dictada por Sala de lo Civil del Tribunal Supremo, en el recurso de casación núm. 1336-1999 interpuesto contra la dictada por la Audiencia Provincial de Madrid (Sección Decimonovena), de fecha 21 de diciembre de 1998, como consecuencia de autos de juicio incidental sobre protección del derecho al honor, seguidos ante el Juzgado de Primera Instancia núm. 41 de Madrid, rollo 464-1995. Ello no obstante, tenemos dicho que cuando se impugna en amparo una resolución judicial confirmatoria de otras, que han sido lógica y cronológicamente presupuesto de aquélla, han de entenderse también por recurridas las precedentes </w:t>
      </w:r>
      <w:r>
        <w:lastRenderedPageBreak/>
        <w:t>resoluciones confirmadas (últimamente, STC 39/2005, de 28 de febrero, FJ 1). Y, como las denuncias de inconstitucionalidad realizadas únicamente cobran su verdadero sentido refiriéndolas a ambas resoluciones, habrá de concluirse que, en efecto, cabe entender dirigido el amparo también contra la expresada resolución de la Audiencia Provincial de Madrid.</w:t>
      </w:r>
    </w:p>
    <w:p w:rsidR="00DE14C9" w:rsidRDefault="00DE14C9" w:rsidP="00DE14C9">
      <w:pPr>
        <w:pStyle w:val="TextoNormal"/>
      </w:pPr>
    </w:p>
    <w:p w:rsidR="00DE14C9" w:rsidRDefault="00DE14C9" w:rsidP="00DE14C9">
      <w:pPr>
        <w:pStyle w:val="TextoNormal"/>
      </w:pPr>
      <w:r w:rsidRPr="00DE14C9">
        <w:rPr>
          <w:rStyle w:val="NumeroAFNegritaCaracter"/>
        </w:rPr>
        <w:t>2</w:t>
      </w:r>
      <w:r>
        <w:t>. Señalado lo anterior nos corresponde a continuación, y con carácter previo, examinar el óbice procesal planteado por la representación de don Francisco Lobatón Sánchez Medina quien señala que la invocación del derecho a la presunción de inocencia (art.  24.2 CE) no puede ser objeto en esta sede de amparo de un pronunciamiento sobre el fondo, al estar incursa en la causa de inadmisión de falta de invocación en la vía judicial previa [art. 44.1 c) LOTC].</w:t>
      </w:r>
    </w:p>
    <w:p w:rsidR="00DE14C9" w:rsidRDefault="00DE14C9" w:rsidP="00DE14C9">
      <w:pPr>
        <w:pStyle w:val="TextoNormal"/>
      </w:pPr>
      <w:r>
        <w:t>En efecto, como queda acreditado en las actuaciones el recurrente no alegó ni en su demanda incidental sobre protección del derecho al honor y la intimidad familiar ni en su ulterior recurso de casación ante la Sala de lo Civil del Tribunal Supremo la vulneración del derecho a la presunción de inocencia, limitando sus quejas a la cuestión de la vulneración de los derechos al honor e intimidad personal y familiar como consecuencia de la falta de aplicación de la jurisprudencia aplicable a los supuestos de colisión entre el derecho a la información contenido en el art. 20.1 CE y el derecho al honor e intimidad de las personas (art. 18 CE). Por tanto, conforme con lo que es doctrina reiterada de este Tribunal (por todas, STC 24/2007, de 12 de febrero, FJ 1), al no haberse posibilitado en la vía judicial previa un pronunciamiento sobre la eventual vulneración del derecho a la presunción de inocencia de los demandantes de amparo (art. 24.2 CE), no puede ser tomada en consideración en el presente amparo por imperativo del carácter subsidiario de esta jurisdicción.</w:t>
      </w:r>
    </w:p>
    <w:p w:rsidR="00DE14C9" w:rsidRDefault="00DE14C9" w:rsidP="00DE14C9">
      <w:pPr>
        <w:pStyle w:val="TextoNormal"/>
      </w:pPr>
      <w:r>
        <w:t>Por lo demás, en cuanto al principio de presunción de inocencia, como reiteradamente ha recordado este Tribunal (entre otras SSTC 30/1992, de 18 de marzo, FJ 7), el campo de aplicación natural de este principio es el proceso penal, y por extensión el procedimiento administrativo sancionador, y no es factible extenderlo constitucionalmente a un proceso civil como el que analizamos, lo que no obsta sin embargo, para que este principio resulte de carácter instrumental en la construcción del concepto de veracidad sin que, por las razones expuestas, pueda dársele el sentido de autonomía que pretende la demanda de amparo.</w:t>
      </w:r>
    </w:p>
    <w:p w:rsidR="00DE14C9" w:rsidRDefault="00DE14C9" w:rsidP="00DE14C9">
      <w:pPr>
        <w:pStyle w:val="TextoNormal"/>
      </w:pPr>
    </w:p>
    <w:p w:rsidR="00DE14C9" w:rsidRDefault="00DE14C9" w:rsidP="00DE14C9">
      <w:pPr>
        <w:pStyle w:val="TextoNormal"/>
      </w:pPr>
      <w:r w:rsidRPr="00DE14C9">
        <w:rPr>
          <w:rStyle w:val="NumeroAFNegritaCaracter"/>
        </w:rPr>
        <w:t>3</w:t>
      </w:r>
      <w:r>
        <w:t>. El recurso de amparo queda limitado, por consiguiente, a determinar si las dos resoluciones referidas han supuesto una vulneración del derecho al honor, intimidad personal y familiar (art. 18.1 CE) de los demandantes.</w:t>
      </w:r>
    </w:p>
    <w:p w:rsidR="00DE14C9" w:rsidRDefault="00DE14C9" w:rsidP="00DE14C9">
      <w:pPr>
        <w:pStyle w:val="TextoNormal"/>
      </w:pPr>
      <w:r>
        <w:t>En primer lugar, don Joaquín Prieto Pérez y sus dos hijas consideran que su derecho fundamental al honor (art. 18.1 CE) ha resultado lesionado por las manifestaciones realizadas por doña Enriqueta y doña Matilde Calero Sierra en una edición del programa de TVE “¿Quién sabe dónde?” emitido el día 20 de marzo de 1995 y dedicado a la desaparición de doña Amalia Calero Sierra, ex esposa y madre de los hoy recurrentes en amparo y hermana de las señoras Calero Sierra. En ese reportaje, una de las dos hermanas de la desaparecida manifestó que su cuñado no quería marcharse de un piso que le tocaba desalojar tras el acuerdo de separación con la posteriormente desaparecida, y “entonces la mató para quedarse con el piso”. A ello añadió su convicción de que “es un asesino”, y aportó una serie de supuestos indicios y elementos que consideraba que acreditaban esa aseveración. No dijo, sin embargo, que entre los años 1986 y 1991 se habían desarrollado distintas investigaciones policiales y judiciales, que habían sido siempre archivadas y sobreseídas.</w:t>
      </w:r>
    </w:p>
    <w:p w:rsidR="00DE14C9" w:rsidRDefault="00DE14C9" w:rsidP="00DE14C9">
      <w:pPr>
        <w:pStyle w:val="TextoNormal"/>
      </w:pPr>
      <w:r>
        <w:t xml:space="preserve">En segundo lugar, los demandantes de amparo consideran que su derecho fundamental al honor (art. 18.1 CE) ha resultado lesionado también por la actitud del informador, el Sr. </w:t>
      </w:r>
      <w:r>
        <w:lastRenderedPageBreak/>
        <w:t>Lobatón Sánchez Medina, y de la propia TVE quienes, según el parecer de los recurrentes, “por el tono de la presentación, la valoración de los datos, la calificación de los protagonistas, el contexto general y las propias afirmaciones vertidas”, se convirtieron en instrumento amplificador de un mensaje que el medio asumió y presentó como propio.</w:t>
      </w:r>
    </w:p>
    <w:p w:rsidR="00DE14C9" w:rsidRDefault="00DE14C9" w:rsidP="00DE14C9">
      <w:pPr>
        <w:pStyle w:val="TextoNormal"/>
      </w:pPr>
      <w:r>
        <w:t>En suma, según los recurrentes la Audiencia Provincial de Madrid y la Sala de lo Civil del Tribunal Supremo han realizado una ponderación indebida de su derecho al honor (art. 18 CE) frente al ejercicio de la libertad de información tanto de las hermanas codemandadas como de los conductores del programa y del medio televisivo en que éste se emitió [art. 20.1 d) CE].</w:t>
      </w:r>
    </w:p>
    <w:p w:rsidR="00DE14C9" w:rsidRDefault="00DE14C9" w:rsidP="00DE14C9">
      <w:pPr>
        <w:pStyle w:val="TextoNormal"/>
      </w:pPr>
    </w:p>
    <w:p w:rsidR="00DE14C9" w:rsidRDefault="00DE14C9" w:rsidP="00DE14C9">
      <w:pPr>
        <w:pStyle w:val="TextoNormal"/>
      </w:pPr>
      <w:r w:rsidRPr="00DE14C9">
        <w:rPr>
          <w:rStyle w:val="NumeroAFNegritaCaracter"/>
        </w:rPr>
        <w:t>4</w:t>
      </w:r>
      <w:r>
        <w:t>. En el proceso de amparo ha comparecido doña Matilde Calero Sierra, a quien por las manifestaciones realizadas en el curso del programa “¿Quién sabe dónde?” la demanda atribuye la intromisión ilegítima en el honor ajeno. Además de señalar que los antecedentes de hecho expuestos por la parte recurrente en su demanda de amparo resultan incompletos, parciales, inexactos y sacados de contexto, niega que tal lesión del honor se haya producido, tal como sostiene la Sentencia de la Sala de lo Civil del Tribunal Supremo que culmina la vía judicial ordinaria. Por su parte la representación procesal de don Francisco Lobatón Sánchez Medina argumenta que en este caso debe prevalecer la libertad de información, puesto que se trata de un programa que retransmite una información veraz y de interés público, sin que el conductor del programa hiciera suyas las manifestaciones de las hermanas Calero Sierra ni tomara partido sobre lo dicho durante la emisión del programa (doctrina del reportaje neutral).  Solicita, por todo ello, que se deniegue el amparo. En lo referente a la alegada vulneración del derecho a la presunción de inocencia, afirma que tal alegación no sólo incurre en la causa de inadmisión de falta de invocación previa (art. 44.1.c LOTC) sino que carece de consistencia.</w:t>
      </w:r>
    </w:p>
    <w:p w:rsidR="00DE14C9" w:rsidRDefault="00DE14C9" w:rsidP="00DE14C9">
      <w:pPr>
        <w:pStyle w:val="TextoNormal"/>
      </w:pPr>
      <w:r>
        <w:t>El Fiscal ante el Tribunal Constitucional interesa el otorgamiento del amparo al considerar que las declaraciones debatidas contienen imputaciones graves y se realizaron de manera pública y notoria en un programa de televisión de muy amplia audiencia.  Para el Ministerio Fiscal la ponderación realizada por la Audiencia Provincial de Madrid y el Tribunal Supremo entre el derecho a informar y comunicar información de las codemandadas y el respeto del derecho al honor de los demandantes de amparo realizada por los órganos judiciales obvia que la clausura de los procesos penales relativos al caso pudiera deberse a que los instructores de los procesos penales calibraron que las informaciones expuestas por las demandadas no estuviera probadas para con el esposo tachado de asesino y homicida. De ser así se elevó en público una acusación que no había sido probada en el ámbito reservado de un proceso penal con todo el rigor que cabe atribuir a éstos. En este mismo sentido el Fiscal considera que la posición de los periodistas que conducían el programa y de RTVE distó del concepto de reportaje neutral, siendo así que el tono de las intervenciones y su tenor literal más parecía corroborar lo indicado por las hermanas de la desaparecida que el mantenimiento de una mera presentación de hechos o una transmisión neutra de opiniones ajenas. Por otra parte, y con relación a la alegada vulneración de la presunción de inocencia, el Fiscal indica que los demandados no se limitaron a informar a la opinión pública de un hecho criminal no descubierto —la desaparición y muerte de una hermana— ya que ello ya había sido objeto de denuncia e investigación en la vía penal; antes al contrario el tono de sus intervenciones no dejaba duda sobre la autoría material del crimen por parte del esposo acusado.</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5</w:t>
      </w:r>
      <w:r>
        <w:t>. Delimitado, pues, el alcance del presente recurso de amparo y puestos de manifiesto los aspectos esenciales de las alegaciones formuladas por las partes en el presente proceso de amparo constitucional, es preciso, con carácter previo a determinar si en el presente asunto se ha producido la alegada colisión entre el derecho a la información contenido en el art. 20.1 CE de los demandados en el proceso ordinario, recordar que, en estos casos, “la competencia de este Tribunal no se circunscribe a examinar la suficiencia y consistencia de la motivación de las resoluciones judiciales bajo el prisma del art. 24 CE. Por el contrario, en supuestos como el presente, el Tribunal Constitucional, en su condición de garante máximo de los derechos fundamentales, debe resolver el eventual conflicto entre el derecho a comunicar información veraz y el derecho al honor, determinando si efectivamente se han vulnerado aquellos derechos atendiendo al contenido que constitucionalmente corresponda a cada uno de ellos, aunque para este fin sea preciso utilizar criterios distintos de los aplicados por los órganos judiciales, ya que sus razones no vinculan a este Tribunal ni reducen su jurisdicción a la simple revisión de la motivación de las resoluciones judiciales” (entre otras STC 171/2004, de 18 de octubre, FJ 2).</w:t>
      </w:r>
    </w:p>
    <w:p w:rsidR="00DE14C9" w:rsidRDefault="00DE14C9" w:rsidP="00DE14C9">
      <w:pPr>
        <w:pStyle w:val="TextoNormal"/>
      </w:pPr>
      <w:r>
        <w:t>A los efectos de realizar este examen procederemos del siguiente modo. Se procederá, en primer lugar, a determinar si en el presente caso están involucradas las libertades de expresión, consagrada en el art. 20.1 a) CE y de información, reconocida en el art. 20.1 d) CE, concluyendo, por las razones que se expondrán, que la perspectiva de análisis que procede es la relativa a la libertad de información. En segundo lugar, se analizará si en el presente asunto concurren los elementos señalados por nuestra doctrina jurisprudencial para considerar que el ejercicio de la libertad de información goza de protección constitucional. Este análisis habrá de realizarse, en atención al petitum de la demanda de amparo, tanto respecto de las manifestaciones realizadas por las hermanas Calero Sierra en la correspondiente edición del programa “Quién sabe dónde”, como respecto de la participación del conductor del programa, del periodista autor del reportaje que fue emitido durante el mismo y del propio ente RTVE.</w:t>
      </w:r>
    </w:p>
    <w:p w:rsidR="00DE14C9" w:rsidRDefault="00DE14C9" w:rsidP="00DE14C9">
      <w:pPr>
        <w:pStyle w:val="TextoNormal"/>
      </w:pPr>
    </w:p>
    <w:p w:rsidR="00DE14C9" w:rsidRDefault="00DE14C9" w:rsidP="00DE14C9">
      <w:pPr>
        <w:pStyle w:val="TextoNormal"/>
      </w:pPr>
      <w:r w:rsidRPr="00DE14C9">
        <w:rPr>
          <w:rStyle w:val="NumeroAFNegritaCaracter"/>
        </w:rPr>
        <w:t>6</w:t>
      </w:r>
      <w:r>
        <w:t>. De acuerdo con lo señalado, se procede a continuación a determinar si en el presente caso están involucradas las libertades de expresión, consagrada en el art. 20.1 a) CE y de información, reconocida en el art. 20.1 d) CE.</w:t>
      </w:r>
    </w:p>
    <w:p w:rsidR="00DE14C9" w:rsidRDefault="00DE14C9" w:rsidP="00DE14C9">
      <w:pPr>
        <w:pStyle w:val="TextoNormal"/>
      </w:pPr>
      <w:r>
        <w:t>Para ello, es menester recordar la consolidada doctrina de este Tribunal sobre el distinto contenido que cada una de estas libertades protege y reconoce. La libertad de expresión consistiría en el derecho a formular juicios y opiniones, sin pretensión de sentar hechos o afirmar datos objetivos, por lo que el campo de acción vendría sólo determinado por la ausencia de expresiones indudablemente injuriosas sin relación con las ideas u opiniones que se expongan, y que resulten innecesarias para la exposición de las mismas. Por el contrario, cuando lo que se persigue es suministrar información sobre hechos que se pretenden ciertos, estaríamos ante la libertad de información; entonces, la protección constitucional se extiende únicamente a la información veraz.  Ciertamente, resultará en ocasiones difícil o imposible separar, en una misma exposición, los elementos que pretenden informar de los dirigidos a valorar, y en tal caso habrá de atenderse al elemento predominante (entre otras muchas STC 51/1997, de 11 de marzo, FJ 4).</w:t>
      </w:r>
    </w:p>
    <w:p w:rsidR="00DE14C9" w:rsidRDefault="00DE14C9" w:rsidP="00DE14C9">
      <w:pPr>
        <w:pStyle w:val="TextoNormal"/>
      </w:pPr>
      <w:r>
        <w:t xml:space="preserve">A la luz de la doctrina reseñada, el derecho que en este caso podría amparar las expresiones vertidas por las hermanas entrevistadas es el derecho a la libertad de información. Por lo relatado, lo que las hermanas de la desaparecida transmitían era una información sobre unos determinados hechos: que su hermana había desaparecido, que concurrían una serie de indicios objetivos extraños y que el demandante era responsable de tal desaparición </w:t>
      </w:r>
      <w:r>
        <w:lastRenderedPageBreak/>
        <w:t>llegando incluso a afirmar que la había matado y que era un asesino. Parece, pues, que la intención preponderante de tales afirmaciones era la de afirmar datos objetivos y sentar hechos; hechos consistentes en una determinada actuación del demandante, que se pretendían ciertos por la informante.</w:t>
      </w:r>
    </w:p>
    <w:p w:rsidR="00DE14C9" w:rsidRDefault="00DE14C9" w:rsidP="00DE14C9">
      <w:pPr>
        <w:pStyle w:val="TextoNormal"/>
      </w:pPr>
      <w:r>
        <w:t>Mayores dudas pueden plantearse respecto del apelativo “asesino” empleado por una de las hermanas de la desaparecida en la entrevista, en la medida en que esta expresión encierra un juicio de valor claramente negativo. Desde luego, como se ha dicho, es difícil deslindar pensamientos, ideas y opiniones, de un lado, y comunicación informativa, de otro, puesto que la expresión de la propia opinión necesita a menudo apoyarse en la narración de hechos y, a la inversa, la comunicación de hechos o noticias comprende casi siempre algún elemento valorativo, una vocación a la formación de una opinión (STC 174/2006, de 5 de junio, FJ 3). En el presente caso, si el uso de la expresión “asesino” no se hubiera incardinado en el contexto de toda la información anterior, constituiría una frase de descalificación personal empleada sin otro objeto que la deslegitimación y el ataque al ofendido. Sin embargo, el empleo de este término se realizó como conclusión crítica de un comportamiento previamente expuesto, en que se pretendía poner de manifiesto que el demandante de amparo había matado a su ex esposa. Este dato es el que permite inferir un hecho, expuesto con toda concreción, lo que lleva a entender que la específica manifestación analizada se realizó, como las anteriores, al amparo de la libertad de información, ya que estamos ante la pretensión de difundir “hechos que puedan considerarse noticiables” (STC 19/1996, de 12 de junio, FJ 1).</w:t>
      </w:r>
    </w:p>
    <w:p w:rsidR="00DE14C9" w:rsidRDefault="00DE14C9" w:rsidP="00DE14C9">
      <w:pPr>
        <w:pStyle w:val="TextoNormal"/>
      </w:pPr>
      <w:r>
        <w:t>Por esta razón, el análisis de constitucionalidad se hará desde esta perspectiva.</w:t>
      </w:r>
    </w:p>
    <w:p w:rsidR="00DE14C9" w:rsidRDefault="00DE14C9" w:rsidP="00DE14C9">
      <w:pPr>
        <w:pStyle w:val="TextoNormal"/>
      </w:pPr>
    </w:p>
    <w:p w:rsidR="00DE14C9" w:rsidRDefault="00DE14C9" w:rsidP="00DE14C9">
      <w:pPr>
        <w:pStyle w:val="TextoNormal"/>
      </w:pPr>
      <w:r w:rsidRPr="00DE14C9">
        <w:rPr>
          <w:rStyle w:val="NumeroAFNegritaCaracter"/>
        </w:rPr>
        <w:t>7</w:t>
      </w:r>
      <w:r>
        <w:t>. Señalado que nuestro examen se realizará desde la perspectiva del derecho a la libertad de información, procede recordar que nuestra jurisprudencia señala la concurrencia de dos requisitos inexcusables para que el ejercicio del derecho a la libre información goce de protección constitucional. Así lo hace de forma condensada, pero expresiva, la STC 28/1996, de 26 de febrero, FJ 2: “Forma parte ya del acervo jurisprudencial de este Tribunal el criterio de que la comunicación que la Constitución protege es la que transmite información veraz relativa a asuntos de interés general o relevancia pública (SSTC 6/1988, 171/1990, 219/1992 y 22/1995)”.</w:t>
      </w:r>
    </w:p>
    <w:p w:rsidR="00DE14C9" w:rsidRDefault="00DE14C9" w:rsidP="00DE14C9">
      <w:pPr>
        <w:pStyle w:val="TextoNormal"/>
      </w:pPr>
      <w:r>
        <w:t>Han de concurrir, pues, los dos mencionados requisitos, a saber: que se trate de difundir información sobre un hecho noticioso o noticiable, por su interés público, y que la información sobre tales hechos sea veraz. En ausencia de alguno de ellos la libertad de información no está constitucionalmente respaldada y, por ende, su ejercicio podrá afectar, lesionándolo, a alguno de los derechos que como límite enuncia el art. 20.4 CE, singularmente y por lo que al caso atañe, los derechos fundamentales al honor y a la intimidad.</w:t>
      </w:r>
    </w:p>
    <w:p w:rsidR="00DE14C9" w:rsidRDefault="00DE14C9" w:rsidP="00DE14C9">
      <w:pPr>
        <w:pStyle w:val="TextoNormal"/>
      </w:pPr>
    </w:p>
    <w:p w:rsidR="00DE14C9" w:rsidRDefault="00DE14C9" w:rsidP="00DE14C9">
      <w:pPr>
        <w:pStyle w:val="TextoNormal"/>
      </w:pPr>
      <w:r w:rsidRPr="00DE14C9">
        <w:rPr>
          <w:rStyle w:val="NumeroAFNegritaCaracter"/>
        </w:rPr>
        <w:t>8</w:t>
      </w:r>
      <w:r>
        <w:t xml:space="preserve">. En el presente asunto no es cuestionable la concurrencia del primero de los enunciados requisitos, a saber: que la información tenga por objeto hechos que, ya sea por la relevancia pública de la persona implicada en los mismos, ya sea por la trascendencia social de los hechos en sí mismos considerados, puedan calificarse como noticiables o susceptibles de difusión, para conocimiento y formación de la opinión pública. Esta exigencia ha sido reiteradamente establecida por la doctrina de este Tribunal, que ha estimado la existencia de acontecimientos noticiables en los sucesos de relevancia penal (STC 320/1994, de 28 de noviembre, FJ 3), y ello con independencia del carácter de sujeto privado de la persona afectada por la noticia (STC 320/1994, de 28 de noviembre FJ 4), apreciándose, asimismo, </w:t>
      </w:r>
      <w:r>
        <w:lastRenderedPageBreak/>
        <w:t>que la relevancia pública de los hechos ha de ser también reconocida respecto de los que hayan alcanzado notoriedad (STC 154/1999, de 14 de septiembre, FJ 4).</w:t>
      </w:r>
    </w:p>
    <w:p w:rsidR="00DE14C9" w:rsidRDefault="00DE14C9" w:rsidP="00DE14C9">
      <w:pPr>
        <w:pStyle w:val="TextoNormal"/>
      </w:pPr>
      <w:r>
        <w:t>Pues bien, a la luz de esta doctrina, no cabe poner en tela de juicio que la información difundida por las demandadas en el programa de televisión venía referida a hechos o acontecimientos que, si bien no afectaban a una persona con proyección pública, sí habían alcanzado pública notoriedad y habían constituido objeto de una investigación policial y judicial en causa penal, con trascendencia social evidente, dado que se trataba de la desaparición de una persona. Hemos de partir, por consiguiente, de que la información periodística del caso se produjo en relación con hechos noticiables, en tanto que concerniente a asuntos de indudable relevancia pública.</w:t>
      </w:r>
    </w:p>
    <w:p w:rsidR="00DE14C9" w:rsidRDefault="00DE14C9" w:rsidP="00DE14C9">
      <w:pPr>
        <w:pStyle w:val="TextoNormal"/>
      </w:pPr>
    </w:p>
    <w:p w:rsidR="00DE14C9" w:rsidRDefault="00DE14C9" w:rsidP="00DE14C9">
      <w:pPr>
        <w:pStyle w:val="TextoNormal"/>
      </w:pPr>
      <w:r w:rsidRPr="00DE14C9">
        <w:rPr>
          <w:rStyle w:val="NumeroAFNegritaCaracter"/>
        </w:rPr>
        <w:t>9</w:t>
      </w:r>
      <w:r>
        <w:t>. Por su parte, en relación con la veracidad de la información, segundo elemento exigido por el art. 20.1 d) CE, es oportuno traer a colación, siquiera sea de modo sucinto, la doctrina del Tribunal recaída en torno al mismo.</w:t>
      </w:r>
    </w:p>
    <w:p w:rsidR="00DE14C9" w:rsidRDefault="00DE14C9" w:rsidP="00DE14C9">
      <w:pPr>
        <w:pStyle w:val="TextoNormal"/>
      </w:pPr>
      <w:r>
        <w:t>En tal sentido, ha de recordarse que la veracidad a que se refiere el art. 20.1 d) CE no debe identificarse con la idea de objetividad, ni con la “realidad incontrovertible” de los hechos, pues ello implicaría la constricción del cauce informativo a aquellos hechos o acontecimientos de la realidad que hayan sido plenamente demostrados. Como ha dicho la STC 144/1998, de 30 de junio, FJ 4: “El requisito constitucional de la veracidad de la información ex art. 20.1 d) CE, no se halla ordenado a procurar la concordancia entre la información difundida y la verdad material u objetiva de los hechos narrados, de manera tal que proscriba los errores o inexactitudes en que pueda incurrir el autor de aquélla, sino que, más propiamente, se encamina a exigir del informador un específico deber de diligencia en la búsqueda de la verdad de la noticia y en la comprobación de la información difundida, de tal manera que lo que transmita como hechos o noticias haya sido objeto de previo contraste con datos objetivos o con fuentes informativas de solvencia”.</w:t>
      </w:r>
    </w:p>
    <w:p w:rsidR="00DE14C9" w:rsidRDefault="00DE14C9" w:rsidP="00DE14C9">
      <w:pPr>
        <w:pStyle w:val="TextoNormal"/>
      </w:pPr>
      <w:r>
        <w:t>La exigencia constitucional de veracidad, predicada de la información que se emite y recibe, guarda relación con el deber del informador de emplear una adecuada diligencia en la comprobación de la veracidad de la noticia, de manera que lo transmitido como tal no sean simples rumores, meras invenciones o insinuaciones insidiosas, sino que se trate de una información contrastada “según los cánones de la profesionalidad”, y ello, insistimos, con independencia de que la plena o total exactitud de los hechos sea controvertible (STC 52/2002, de 25 de febrero, FJ 6).</w:t>
      </w:r>
    </w:p>
    <w:p w:rsidR="00DE14C9" w:rsidRDefault="00DE14C9" w:rsidP="00DE14C9">
      <w:pPr>
        <w:pStyle w:val="TextoNormal"/>
      </w:pPr>
      <w:r>
        <w:t>El nivel de diligencia exigible al informador adquiere una especial intensidad “cuando la noticia divulgada pueda suponer, por su propio contenido, un descrédito de la persona a la que la información se refiere, como dijimos en la STC 240/1992, pero es indudable que cuando la fuente que proporciona la noticia reúne características objetivas que la hacen fidedigna, seria o fiable, puede no ser necesaria mayor comprobación que la exactitud o identidad de la fuente, máxime si ésta puede mencionarse en la información misma” (STC 178/1993, de 31 de mayo, FJ 5).</w:t>
      </w:r>
    </w:p>
    <w:p w:rsidR="00DE14C9" w:rsidRDefault="00DE14C9" w:rsidP="00DE14C9">
      <w:pPr>
        <w:pStyle w:val="TextoNormal"/>
      </w:pPr>
      <w:r>
        <w:t>La Sentencia de la Sala de lo Civil del Tribunal Supremo impugnada estimó que no existió, por parte de las demandadas en el proceso civil, una extralimitación en el ejercicio de su derecho fundamental a la libre información y que su actuación no fue ligera, precipitada ni desprovista de toda gestión encaminada a contrastar el objeto de su información ante los datos proporcionados por las citadas codemandadas, muchos de ellos ofrecidos por las propias hermanas y reflejados en las diligencias penales.</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10</w:t>
      </w:r>
      <w:r>
        <w:t>. Expuesta la ponderación judicial realizada acerca de los derechos fundamentales objeto de adecuada delimitación, debemos verificar ahora, conforme a la expuesta doctrina constitucional, si por parte de las hermanas, y particularmente de la que fue entrevistada, se dio cumplimiento a la exigencia constitucional de veracidad de la información, ajustándonos al sentido y alcance del art. 20.1 d) CE. La perspectiva para hacerlo ha de ser la que sitúe dicha exigencia de veracidad en la conducta diligente de la informadora y en el atenimiento de ésta a los datos objetivos procedentes de fuentes serias y fiables disponibles en el momento en que la noticia se produce, y sin que tales datos sean sustituidos por los personales y sesgados criterios del periodista que transmite la noticia.</w:t>
      </w:r>
    </w:p>
    <w:p w:rsidR="00DE14C9" w:rsidRDefault="00DE14C9" w:rsidP="00DE14C9">
      <w:pPr>
        <w:pStyle w:val="TextoNormal"/>
      </w:pPr>
      <w:r>
        <w:t>En este caso, lo cierto es que las manifestaciones realizadas no se limitaron a narrar hechos de veracidad comprobada, sino que presentaron ante la opinión pública a la persona objeto de dichas informaciones como autor real y verdadero de un asesinato, hasta el punto de calificarlo literalmente de “asesino”. Y todo ello cuando las demandadas conocían sobradamente que las investigaciones policiales y judiciales practicadas habían sido reiteradamente archivadas. La información suministrada, por lo tanto, no se realizó sobre la base de datos procedentes de fuentes informativas serias y solventes, ni sobre la base de los elementos que en tal momento pusiera de relieve el proceso penal en curso (como ocurrió, por el contrario, en el caso planteado en la STC 154/1999, de 14 de septiembre, FJ 7), sino con la base de unas, más o menos fundadas, sospechas impregnadas de subjetivismo.</w:t>
      </w:r>
    </w:p>
    <w:p w:rsidR="00DE14C9" w:rsidRDefault="00DE14C9" w:rsidP="00DE14C9">
      <w:pPr>
        <w:pStyle w:val="TextoNormal"/>
      </w:pPr>
      <w:r>
        <w:t>La entrevistada en el programa, en definitiva, no se limitó a informar acerca de unos hechos veraces y de indudable interés general (en cuyo supuesto la prevalencia del derecho de información sería innegable), sino que afirmó que el marido de la desaparecida mató a su ex esposa y que es un asesino. La entrevistada, por lo tanto, sustituyó los datos existentes por sus personales y sesgados criterios, para entrar en la valoración de conductas personales, lo que determina la desprotección constitucional del derecho reconocido en el art. 20.1 d) de la Constitución.</w:t>
      </w:r>
    </w:p>
    <w:p w:rsidR="00DE14C9" w:rsidRDefault="00DE14C9" w:rsidP="00DE14C9">
      <w:pPr>
        <w:pStyle w:val="TextoNormal"/>
      </w:pPr>
      <w:r>
        <w:t>Desde esta perspectiva, por lo tanto, procede la estimación de la demanda.</w:t>
      </w:r>
    </w:p>
    <w:p w:rsidR="00DE14C9" w:rsidRDefault="00DE14C9" w:rsidP="00DE14C9">
      <w:pPr>
        <w:pStyle w:val="TextoNormal"/>
      </w:pPr>
    </w:p>
    <w:p w:rsidR="00DE14C9" w:rsidRDefault="00DE14C9" w:rsidP="00DE14C9">
      <w:pPr>
        <w:pStyle w:val="TextoNormal"/>
      </w:pPr>
      <w:r w:rsidRPr="00DE14C9">
        <w:rPr>
          <w:rStyle w:val="NumeroAFNegritaCaracter"/>
        </w:rPr>
        <w:t>11</w:t>
      </w:r>
      <w:r>
        <w:t>. Sin embargo, como se ha señalado, los demandantes de amparo consideran que su derecho fundamental al honor (art. 18.1 CE) ha resultado lesionado también por la actitud del informador, el Sr. Lobatón Sánchez Medina, del Sr. Fernández Domínguez, periodista autor del reportaje con el que se abrió el programa, y de la propia TVE quienes, según el parecer de los recurrentes, “por el tono de la presentación, la valoración de los datos, la calificación de los protagonistas, el contexto general y las propias afirmaciones vertidas”, se convirtieron en instrumento amplificador de un mensaje que el medio asumió y presentó como propio.</w:t>
      </w:r>
    </w:p>
    <w:p w:rsidR="00DE14C9" w:rsidRDefault="00DE14C9" w:rsidP="00DE14C9">
      <w:pPr>
        <w:pStyle w:val="TextoNormal"/>
      </w:pPr>
      <w:r>
        <w:t>Debemos, por lo tanto, analizar si se realizó por parte de los conductores del programa un reportaje neutral o, por el contrario, la manera de presentar la información fue sesgada. Para ello es procedente, una vez más, partir de la doctrina relativa al tema elaborada por este Tribunal. En la STC 53/2006, de 27 de febrero (FJ 8) —que, por su parte, remite a las SSTC 54/2004, de 15 de abril, FJ 7, y 76/2002, de 8 de abril, FJ 4— ha declarado este Tribunal que para que pueda hablarse de reportaje neutral han de concurrir los siguientes requisitos:</w:t>
      </w:r>
    </w:p>
    <w:p w:rsidR="00DE14C9" w:rsidRDefault="00DE14C9" w:rsidP="00DE14C9">
      <w:pPr>
        <w:pStyle w:val="TextoNormal"/>
      </w:pPr>
      <w:r>
        <w:t>“a) El objeto de la noticia ha de hallarse constituido por declaraciones que imputan hechos lesivos del honor, pero que han de ser por sí mismas, esto es, como tales declaraciones, noticia y han de ponerse en boca de personas determinadas responsables de ellas (SSTC 41/1994, de 15 de febrero, FJ 4, y 52/1996, de 26 de marzo FJ 5). De modo que se excluye el reportaje neutral cuando no se determina quién hizo tales declaraciones [STC 190/1996, de 25 de noviembre, FJ 4 b)]”.</w:t>
      </w:r>
    </w:p>
    <w:p w:rsidR="00DE14C9" w:rsidRDefault="00DE14C9" w:rsidP="00DE14C9">
      <w:pPr>
        <w:pStyle w:val="TextoNormal"/>
      </w:pPr>
      <w:r>
        <w:lastRenderedPageBreak/>
        <w:t>“b) El medio informativo ha de ser mero transmisor de tales declaraciones, limitándose a narrarlas sin alterar la importancia que tengan en el conjunto de la noticia (STC 41/1994, de 15 de febrero, FJ 4). De modo que si se reelabora la noticia no hay reportaje neutral (STC 144/1998, de 30 de junio, FJ 5).</w:t>
      </w:r>
    </w:p>
    <w:p w:rsidR="00DE14C9" w:rsidRDefault="00DE14C9" w:rsidP="00DE14C9">
      <w:pPr>
        <w:pStyle w:val="TextoNormal"/>
      </w:pPr>
      <w:r>
        <w:t>“Y sobre esta base ‘cuando se reúnen ambas circunstancias la veracidad exigible se limita a la verdad objetiva de la existencia de dichas declaraciones y a la fidelidad a su contenido: si concurren ambas circunstancias el medio ha de quedar exonerado de responsabilidad. Como dijimos en la STC 76/2002, de 8 de abril, FJ 4, ‘en los casos de reportaje neutral propio la veracidad exigible se limita a la verdad objetiva de la existencia de la declaración, quedando el medio exonerado de responsabilidad respecto de su contenido (STC 232/1993, de 12 de julio, FJ 3). Consecuentemente la mayor o menor proximidad al reportaje neutral propio modula la responsabilidad por el contenido de las declaraciones (SSTC 240/1992, de 21 de diciembre, FJ 7, y 144/1998, de 30 de junio, FJ 5)’; de este modo, la ausencia o el cumplimiento imperfecto de los señalados requisitos determinarán el progresivo alejamiento de su virtualidad exoneratoria”.</w:t>
      </w:r>
    </w:p>
    <w:p w:rsidR="00DE14C9" w:rsidRDefault="00DE14C9" w:rsidP="00DE14C9">
      <w:pPr>
        <w:pStyle w:val="TextoNormal"/>
      </w:pPr>
      <w:r>
        <w:t>“Y en la STC 136/1999, de 20 de julio, FJ 17, afirmamos que no cabrá hablar de reportaje neutral cuando quien lo difunde no se limita a ser un mero transmisor del mensaje, es decir, a comunicar la información, sino que utiliza el mensaje, no para transmitir una noticia, sino para darle otra dimensión. Por fin, en la STC 134/1999, de 15 de julio, FJ 4, se recuerda que ‘estaremos ante un reportaje neutral si el medio de comunicación se ha limitado a cumplir su función transmisora de lo dicho por otro, aunque él haya provocado esa información, siempre que no la manipule mediante su artero fraccionamiento en el seno de un reportaje de mayor extensión, interfiriendo en su discurrir con manifestaciones propias, componiéndolo con textos o imágenes cuyo propósito sea, precisamente, quebrar la neutralidad del medio de comunicación respecto de lo trascrito, de suerte que esa información haya dejado de tener su fuente en un tercero, para hacerla suya el medio de comunicación que la reproduce y difunde; es decir, cuando el medio, haya permanecido o no ajeno a la generación de la información, no lo fuera, y esto es lo que importa, respecto de la forma en la que lo ha transmitido al público”.</w:t>
      </w:r>
    </w:p>
    <w:p w:rsidR="00DE14C9" w:rsidRDefault="00DE14C9" w:rsidP="00DE14C9">
      <w:pPr>
        <w:pStyle w:val="TextoNormal"/>
      </w:pPr>
      <w:r>
        <w:t>Por fin, conviene recordar que en el presente asunto concurre una circunstancia muy relevante a los efectos de determinar los deberes y responsabilidades de los conductores del programa y de RTVE. Esta circunstancia consiste en el hecho de que las declaraciones de las hermanas Calero Sierra se realizaron durante una entrevista realizada en el curso de un programa de televisión emitido en hora punta, de tal forma que no puede pasarse por alto el impacto, dada la inmediatez y poder de penetración de los medios audiovisuales, que las afirmaciones realizadas pudieron llegar a poseer. La importancia de valorar este extremo cuando se trata de considerar los deberes y responsabilidades de un periodista ha sido puesta de relieve por el Tribunal Europeo de Derechos Humanos, entre otras, en su Sentencia de 23 de septiembre de 1994, dictada con motivo del asunto Jersild c. Danemark, y conduce a concluir que el deber de responsabilidad exigible a los periodistas y medios de comunicación es si cabe mayor cuando se trata de medios audiovisuales habida cuenta de que “por las imágenes los medios audiovisuales pueden transmitir mensajes que un medio escrito no es apto para trasmitir” (§ 31).</w:t>
      </w:r>
    </w:p>
    <w:p w:rsidR="00DE14C9" w:rsidRDefault="00DE14C9" w:rsidP="00DE14C9">
      <w:pPr>
        <w:pStyle w:val="TextoNormal"/>
      </w:pPr>
    </w:p>
    <w:p w:rsidR="00DE14C9" w:rsidRDefault="00DE14C9" w:rsidP="00DE14C9">
      <w:pPr>
        <w:pStyle w:val="TextoNormal"/>
      </w:pPr>
      <w:r w:rsidRPr="00DE14C9">
        <w:rPr>
          <w:rStyle w:val="NumeroAFNegritaCaracter"/>
        </w:rPr>
        <w:t>12</w:t>
      </w:r>
      <w:r>
        <w:t xml:space="preserve">. Aplicando al caso la doctrina expuesta podemos concluir que el supuesto analizado dista del concepto de reportaje neutral propio tal y como éste es entendido por la jurisprudencia de este Tribunal. En el presente asunto, aunque la palabra se cede a las hermanas de la desaparecida y se ofreció la posibilidad de contraste al aludido, que la declinó, el tono de </w:t>
      </w:r>
      <w:r>
        <w:lastRenderedPageBreak/>
        <w:t>las intervenciones de los periodistas y su tenor literal corroboran lo indicado por aquéllas y no se limitó al mantenimiento de una mera presentación de hechos o una transmisión neutra de opiniones ajenas.</w:t>
      </w:r>
    </w:p>
    <w:p w:rsidR="00DE14C9" w:rsidRDefault="00DE14C9" w:rsidP="00DE14C9">
      <w:pPr>
        <w:pStyle w:val="TextoNormal"/>
      </w:pPr>
      <w:r>
        <w:t>En este sentido es de interés retener algunas de las afirmaciones vertidas por los realizadores y conductores del programa. Al inicio del mismo se incluye un reportaje, en el que se ofrece la siguiente descripción de la personalidad del Sr.  Prieto: “Ya han transcurrido diez largos años. Todo sucedió una triste noche en las Rías Bajas gallegas, concretamente en la ciudad de Vigo. Un día de octubre de 1984, la extremeña Amalia Calero Sierra, entonces con 40 años, y separada de su marido, desapareció tras salir del que fuera su domicilio conyugal. En el décimo primer piso de este edificio vivían los tres hijos de Amalia y su esposo, D. Joaquín Prieto Pérez, un falangista todavía hoy muy vehemente, con antecedentes policiales por malos tratos a su esposa.  Amalia y Joaquín entonces ya estaban separados. Ella tenía su propio domicilio en Vigo. Aquel aciago día, Amalia visitó a su hija, residente en el domicilio paterno. Su ex marido decidió acompañarla a casa; hasta hoy”.</w:t>
      </w:r>
    </w:p>
    <w:p w:rsidR="00DE14C9" w:rsidRDefault="00DE14C9" w:rsidP="00DE14C9">
      <w:pPr>
        <w:pStyle w:val="TextoNormal"/>
      </w:pPr>
      <w:r>
        <w:t>Por otra parte, la presentación de las hermanas Calero se realiza del modo siguiente: “La búsqueda de Amalia está impulsada por sus hermanas, Matilde y Enriqueta quien ha tomado la voz cantante para expresar lo que piensa toda la familia, y también los hijos de esta mujer, aunque ellos hayan preferido permanecer detrás de la cámara”. Se da la circunstancia, según expresan los codemandantes, entre los que se encuentran dos hijas de la desaparecida, que ni ellos estuvieron detrás de la cámara ni las afirmaciones de doña Enriqueta expresaron “lo que piensa toda la familia”. Este último extremo se corrobora por la mera presentación de la demanda incidental de protección del derecho al honor e intimidad familiar y la continuación del procedimiento.</w:t>
      </w:r>
    </w:p>
    <w:p w:rsidR="00DE14C9" w:rsidRDefault="00DE14C9" w:rsidP="00DE14C9">
      <w:pPr>
        <w:pStyle w:val="TextoNormal"/>
      </w:pPr>
      <w:r>
        <w:t>Llevan, por tanto, razón los demandantes de amparo cuando afirman que de la lectura de la trascripción literal del programa —que consta en autos— se deduce la convicción y conclusión inequívoca de que el Sr. Prieto es una persona, unánimemente acusado por toda una familia, incluso por sus propios hijos, de estar relacionado con la desaparición violenta de su esposa, y pese a los serios indicios que lo implican en esa desaparición, nunca ha sido investigado (o lo ha sido negligente o defectuosamente).  Esta convicción se reafirma por lo solicitado por don Francisco Lobatón Sánchez Medina cuando en la conclusión del programa afirma: “Se trata de hechos muy graves, donde hay una familia que tiene sospechas muy serias y que señalan de una manera muy directa a una persona sobre la desaparición de otra”.</w:t>
      </w:r>
    </w:p>
    <w:p w:rsidR="00DE14C9" w:rsidRDefault="00DE14C9" w:rsidP="00DE14C9">
      <w:pPr>
        <w:pStyle w:val="TextoNormal"/>
      </w:pPr>
      <w:r>
        <w:t>Habría que valorar de nuevo negativamente que aunque el carácter de la noticia era relevante y noticioso y la fuente directa, las hermanas de la desaparecida, el programa —del que ya se ha dicho que por el tono, presentación y aportación de intenciones no puede quedar salvaguardado por nuestra doctrina sobre el reportaje neutral— afirmó, como ha quedado precisado, que “Aquel aciago día, Amalia visitó a su hija, residente en el domicilio paterno. Su ex marido decidió acompañarla a casa; hasta hoy”.  Prosiguiendo el programa con los siguientes diálogos: “A propósito de los Tribunales, Enriqueta, Ud. ha dicho estar dispuesta a todo. Han pasado 10 años y ha hecho muchas cosas, ¿qué ha pasado con la justicia? Enriqueta: Pues que no lo entiendo porque tantas cosas, tantas denuncias que hemos hechos, tanto que hemos hecho… yo pienso que cuando se hace una denuncia pues hay un juicio; a este señor jamás se le ha llamado, se le ha avisado ni nada de nada, no lo entiendo. Lobatón: ¿Nunca las denuncias que Uds. han hecho han llevado a instruir un sumario, ni a que haya un juicio? Enriqueta: Jamás, jamás, incluso una denuncia se perdió, en vez de ir a un sitio fue a otro y se enteró primero él que los policías que lo estaban esperando … Lobatón ¿Por qué no buscaron ayuda? Enriqueta: ¿A quién, a la justicia? ¿ Qué han hecho hasta ahora?”</w:t>
      </w:r>
    </w:p>
    <w:p w:rsidR="00DE14C9" w:rsidRDefault="00DE14C9" w:rsidP="00DE14C9">
      <w:pPr>
        <w:pStyle w:val="TextoNormal"/>
      </w:pPr>
      <w:r>
        <w:lastRenderedPageBreak/>
        <w:t>Las manifestaciones del Sr. Lobatón, así como las de los periodistas que elaboraron el reportaje que se proyectó al inicio del programa, conducen inevitablemente a concluir que no nos encontramos ante un caso de reportaje neutral, pues los informadores no se limitaron a invitar a las entrevistadas a narrar su versión de los hechos, sino que tomaron partido, ofreciendo un determinado perfil de la personalidad del Sr. Prieto, manifestando que la opinión expresada por las hermanas Calero Sierra es la de toda la familia —lo que ha sido negado por los codemandantes, entre los que se encuentran dos hijas de la desaparecida—, transmitiendo a su público la clara impresión de que el Sr. Prieto está relacionado con la desaparición violenta de su esposa.</w:t>
      </w:r>
    </w:p>
    <w:p w:rsidR="00DE14C9" w:rsidRDefault="00DE14C9" w:rsidP="00DE14C9">
      <w:pPr>
        <w:pStyle w:val="TextoNormal"/>
      </w:pPr>
    </w:p>
    <w:p w:rsidR="00DE14C9" w:rsidRDefault="00DE14C9" w:rsidP="00DE14C9">
      <w:pPr>
        <w:pStyle w:val="TextoNormal"/>
      </w:pPr>
      <w:r w:rsidRPr="00DE14C9">
        <w:rPr>
          <w:rStyle w:val="NumeroAFNegritaCaracter"/>
        </w:rPr>
        <w:t>13</w:t>
      </w:r>
      <w:r>
        <w:t>. En suma, no es posible entender que la libertad de expresión de las hermanas de la desaparecida y de los comunicadores televisivos así como su derecho a comunicar libremente información, hayan sido objeto, por parte de las sentencias recurridas, de la debida ponderación a la hora de confrontarlo con las graves acusaciones que herían frontalmente el honor de los demandantes de amparo, y al hacerlo así vulneraron su derecho fundamental.</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don Joaquín Prieto Pérez y sus dos hijas, doña Antonia Prieto Calero y doña Susana Prieto Calero y, en su virtud:</w:t>
      </w:r>
    </w:p>
    <w:p w:rsidR="00DE14C9" w:rsidRDefault="00DE14C9" w:rsidP="00DE14C9">
      <w:pPr>
        <w:pStyle w:val="TextoNormal"/>
      </w:pPr>
      <w:r>
        <w:t>1º Reconocer su derecho al honor (art. 18 CE).</w:t>
      </w:r>
    </w:p>
    <w:p w:rsidR="00DE14C9" w:rsidRDefault="00DE14C9" w:rsidP="00DE14C9">
      <w:pPr>
        <w:pStyle w:val="TextoNormal"/>
      </w:pPr>
      <w:r>
        <w:t>2º Anular las Sentencias de la Audiencia Provincial (Sección Decimonovena) de Madrid de 21 de diciembre de 1998 y de la Sala de lo Civil del Tribunal Supremo de 25 de octubre de 2004.</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cuatro de junio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53" w:name="SENTENCIA_2007_140"/>
      <w:r>
        <w:lastRenderedPageBreak/>
        <w:t>SENTENCIA 140/2007, de 4 de junio de 2007</w:t>
      </w:r>
    </w:p>
    <w:bookmarkEnd w:id="53"/>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161, de 6 de julio de 2007)</w:t>
      </w:r>
    </w:p>
    <w:p w:rsidR="00DE14C9" w:rsidRDefault="00DE14C9" w:rsidP="00DE14C9">
      <w:pPr>
        <w:pStyle w:val="TtuloBOE"/>
      </w:pPr>
    </w:p>
    <w:p w:rsidR="00DE14C9" w:rsidRDefault="00DE14C9" w:rsidP="00DE14C9">
      <w:pPr>
        <w:pStyle w:val="SntesisDescriptiva"/>
      </w:pPr>
      <w:r>
        <w:t>ECLI:ES:TC:2007:140</w:t>
      </w:r>
    </w:p>
    <w:p w:rsidR="00DE14C9" w:rsidRDefault="00DE14C9" w:rsidP="00DE14C9">
      <w:pPr>
        <w:pStyle w:val="SntesisDescriptiva"/>
      </w:pPr>
    </w:p>
    <w:p w:rsidR="00DE14C9" w:rsidRDefault="00DE14C9" w:rsidP="00DE14C9">
      <w:pPr>
        <w:pStyle w:val="SntesisDescriptiva"/>
      </w:pPr>
      <w:r>
        <w:t>Recurso de amparo 4603-2006. Promovido por don Salvador Alfonso Escrivá respecto a los Auto de la Sala de lo Penal de la Audiencia Nacional que acuerdan su extradición a Perú para cumplir pena en la prisión de Lurigancho.</w:t>
      </w:r>
    </w:p>
    <w:p w:rsidR="00DE14C9" w:rsidRDefault="00DE14C9" w:rsidP="00DE14C9">
      <w:pPr>
        <w:pStyle w:val="SntesisDescriptiva"/>
      </w:pPr>
    </w:p>
    <w:p w:rsidR="00DE14C9" w:rsidRDefault="00DE14C9" w:rsidP="00DE14C9">
      <w:pPr>
        <w:pStyle w:val="SntesisAnaltica"/>
      </w:pPr>
      <w:r>
        <w:t>Vulneración del derecho a la tutela judicial efectiva en relación con la integridad personal: extradición pasiva sin indagar ni motivar sobre las alegaciones de que el reclamado será sometido a tratos inhumanos o degradantes en la cárcel (STC 181/2004).</w:t>
      </w:r>
    </w:p>
    <w:p w:rsidR="00DE14C9" w:rsidRDefault="00DE14C9" w:rsidP="00DE14C9">
      <w:pPr>
        <w:pStyle w:val="SntesisAnaltica"/>
      </w:pPr>
    </w:p>
    <w:p w:rsidR="00DE14C9" w:rsidRDefault="00DE14C9" w:rsidP="00DE14C9">
      <w:pPr>
        <w:pStyle w:val="Extracto"/>
      </w:pPr>
      <w:r>
        <w:t>1.</w:t>
      </w:r>
      <w:r>
        <w:tab/>
        <w:t>Se ha vulnerado el derecho a la tutela judicial efectiva al haber dado la Audiencia Nacional una respuesta genérica y limitada al plano legislativo sobre la situación penitenciaria del Estado peruano, ciñendo su análisis a la escasa documentación aportada por éste, sin hacer mención alguna a las alegaciones del recurrente y sin haber tomado en consideración el informe de la Defensoría del Pueblo peruana, mucho más exhaustivo que el remitido por las autoridades peruanas [FJ 3].</w:t>
      </w:r>
    </w:p>
    <w:p w:rsidR="00DE14C9" w:rsidRDefault="00DE14C9" w:rsidP="00DE14C9">
      <w:pPr>
        <w:pStyle w:val="Extracto"/>
      </w:pPr>
    </w:p>
    <w:p w:rsidR="00DE14C9" w:rsidRDefault="00DE14C9" w:rsidP="00DE14C9">
      <w:pPr>
        <w:pStyle w:val="Extracto"/>
      </w:pPr>
      <w:r>
        <w:t>2.</w:t>
      </w:r>
      <w:r>
        <w:tab/>
        <w:t>Los órganos judiciales españoles se encuentran obligados a prevenir la vulneración de derechos fundamentales que se espera de las autoridades extranjeras, con una especial intensidad cuando sean los reconocidos en el art. 15 CE (STC 181/2004) [FJ 2].</w:t>
      </w:r>
    </w:p>
    <w:p w:rsidR="00DE14C9" w:rsidRDefault="00DE14C9" w:rsidP="00DE14C9">
      <w:pPr>
        <w:pStyle w:val="Extracto"/>
      </w:pPr>
    </w:p>
    <w:p w:rsidR="00DE14C9" w:rsidRDefault="00DE14C9" w:rsidP="00DE14C9">
      <w:pPr>
        <w:pStyle w:val="Extracto"/>
      </w:pPr>
      <w:r>
        <w:t>3.</w:t>
      </w:r>
      <w:r>
        <w:tab/>
        <w:t>Doctrina del Tribunal Europeo de Derechos Humanos sobre derechos a la vida y a no padecer torturas ni penas o tratos inhumanos o degradantes (SSTEDH caso Soering c. Reino Unido 1989; caso Ahmed c. Austria 1996) [FJ 2].</w:t>
      </w:r>
    </w:p>
    <w:p w:rsidR="00DE14C9" w:rsidRDefault="00DE14C9" w:rsidP="00DE14C9">
      <w:pPr>
        <w:pStyle w:val="Extracto"/>
      </w:pPr>
    </w:p>
    <w:p w:rsidR="00DE14C9" w:rsidRDefault="00DE14C9" w:rsidP="00DE14C9">
      <w:pPr>
        <w:pStyle w:val="Extracto"/>
      </w:pPr>
      <w:r>
        <w:t>4.</w:t>
      </w:r>
      <w:r>
        <w:tab/>
        <w:t>Dada la directa conexión existente en los procedimientos de extradición entre el derecho a la tutela judicial efectiva y el derecho a no ser sometido a tratos inhumanos o degradantes, además de con los derechos a la libertad y a la libertad de residencia, resulta siempre exigible un canon reforzado en las motivaciones del órgano judicial (SSTC 292/2005, 30/2006) [FJ 3].</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lastRenderedPageBreak/>
        <w:t>SENTENCIA</w:t>
      </w:r>
    </w:p>
    <w:p w:rsidR="00DE14C9" w:rsidRDefault="00DE14C9" w:rsidP="00DE14C9">
      <w:pPr>
        <w:pStyle w:val="TextoNormalCentrado"/>
        <w:keepNext/>
      </w:pPr>
    </w:p>
    <w:p w:rsidR="00DE14C9" w:rsidRDefault="00DE14C9" w:rsidP="00DE14C9">
      <w:pPr>
        <w:pStyle w:val="TextoNormal"/>
      </w:pPr>
      <w:r>
        <w:t>En el recurso de amparo núm. 4603-2006, promovido por don Salvador Alfonso Escrivá, representado por el Procurador de los Tribunales don Luis Pozas Osset y asistido por el Letrado don Francisco Javier Reig Garrigues, contra el Auto del Pleno de la Sala de lo Penal de la Audiencia Nacional de 20 de febrero de 2006, dictado en rollo de súplica 11-2006, que confirma el Auto de la Sección Primera de la Sala de lo Penal de la Audiencia Nacional de 18 de enero de 2006, dictado en procedimiento de extradición 93-2003, por el que se acuerda la extradición a Perú. Ha intervenido el Ministerio Fiscal. Ha sido Ponente el Magistrado don Eugeni Gay Montalvo,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el Registro General de este Tribunal el día 24 de abril de 2006 don Luis Pozas Osset, Procurador de los Tribunales, en nombre y representación de don Salvador Alfonso Escrivá, y asistido por el Letrado don Francisco Javier Reig Garrigues, interpuso recurso de amparo contra el Auto del Pleno de la Sala de lo Penal de la Audiencia Nacional de 20 de febrero de 2006 que, desestimando el recurso de súplica interpuesto contra el Auto de la Sección Primera de la Sala de lo Penal de la Audiencia Nacional de 18 de enero de 2006, dictado en procedimiento de extradición 93-2003, confirma la extradición del recurrente a Perú.</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La demanda de amparo trae causa, en síntesis, de los siguientes hechos: </w:t>
      </w:r>
    </w:p>
    <w:p w:rsidR="00DE14C9" w:rsidRDefault="00DE14C9" w:rsidP="00DE14C9">
      <w:pPr>
        <w:pStyle w:val="TextoNormal"/>
      </w:pPr>
      <w:r>
        <w:t xml:space="preserve">a) Con fecha de 13 de noviembre de 2003 el Juzgado Central de Instrucción núm. 1 procedió a la incoación de procedimiento extradicional interesado por el Gobierno de la República de Perú, que había remitido Nota verbal con fecha de 1 de septiembre de 2003 solicitando la entrega del ciudadano español don Salvador Alfonso Escrivá para ejecución del resto de la pena de diez años de prisión impuesta por la Sentencia dictada por el Juzgado Decimotercero Penal de Lima de 25 de marzo de 1997 por delito de tráfico de drogas, y de la que restan por cumplir cinco años al haberse fugado el recurrente de la prisión de Lurigancho, a la mitad de su cumplimiento, el 30 de enero de 2001. </w:t>
      </w:r>
    </w:p>
    <w:p w:rsidR="00DE14C9" w:rsidRDefault="00DE14C9" w:rsidP="00DE14C9">
      <w:pPr>
        <w:pStyle w:val="TextoNormal"/>
      </w:pPr>
      <w:r>
        <w:t xml:space="preserve">b) Celebrada la comparecencia extradicional prevista en el art. 12.2 de la Ley de extradición pasiva el reclamado se opuso a su entrega. El Ministerio Fiscal interesó la entrega del reclamado. Por Auto de 4 de junio de 2004 el Juzgado Central de Instrucción acordó elevar las actuaciones a la Sala de lo Penal de la Audiencia Nacional. </w:t>
      </w:r>
    </w:p>
    <w:p w:rsidR="00DE14C9" w:rsidRDefault="00DE14C9" w:rsidP="00DE14C9">
      <w:pPr>
        <w:pStyle w:val="TextoNormal"/>
      </w:pPr>
      <w:r>
        <w:t xml:space="preserve">c) Mediante escrito registrado en la Audiencia Nacional el 21 de julio de 2004 el recurrente formuló alegaciones, oponiéndose a la extradición por entender que, bajo aplicación de la legislación penal española a los hechos cometidos en Perú, ya se habría extinguido la responsabilidad penal, así como por considerar que la situación de las cárceles en Perú, y en particular de la de Lurigancho, impide asegurar que el reclamado no sufrirá un trato inhumano y degradante, como de hecho sufrió ya en su estancia en dicha prisión. Asimismo proponía diversa prueba documental y solicitaba que se recabara del funcionario de la Embajada española en Perú encargado de las visitas a presos un informe sobre la situación del recurrente en el establecimiento penitenciario citado, así como que se recabara la información en la prensa peruana acerca de la fuga del recurrente. </w:t>
      </w:r>
    </w:p>
    <w:p w:rsidR="00DE14C9" w:rsidRDefault="00DE14C9" w:rsidP="00DE14C9">
      <w:pPr>
        <w:pStyle w:val="TextoNormal"/>
      </w:pPr>
      <w:r>
        <w:t xml:space="preserve">d) Tal solicitud fue denegada por Auto de la Audiencia Nacional de 1 de septiembre de 2004, siendo admitida la prueba documental presentada y señalándose fecha para la vista </w:t>
      </w:r>
      <w:r>
        <w:lastRenderedPageBreak/>
        <w:t xml:space="preserve">extradicional. Celebrada la vista oral, y en virtud de las alegaciones del reclamado, por providencia de 15 de octubre de 2004 la Audiencia Nacional dispuso que se oficiara al Instituto Nacional Penitenciario de Perú para que emitiera informe sobre las condiciones de internamiento cerrado ordinario en el centro penitenciario de Lurigancho. </w:t>
      </w:r>
    </w:p>
    <w:p w:rsidR="00DE14C9" w:rsidRDefault="00DE14C9" w:rsidP="00DE14C9">
      <w:pPr>
        <w:pStyle w:val="TextoNormal"/>
      </w:pPr>
      <w:r>
        <w:t xml:space="preserve">e) Recibida dicha documentación, celebrada nuevamente vista extradicional, por la Audiencia Nacional se dictó nueva providencia con fecha de 25 de abril de 2005 en la que, dado que de la documentación aportada a la vista se desprendía que por la autoridad peruana se siguió expediente para autorizar el cumplimiento de la pena del recurrente en España, se procedía a solicitar de la autoridad peruana que informara del resultado de dicho expediente, así como de que “si en definitiva el Gobierno peruano autoriza el cumplimiento del resto de la pena en España”. </w:t>
      </w:r>
    </w:p>
    <w:p w:rsidR="00DE14C9" w:rsidRDefault="00DE14C9" w:rsidP="00DE14C9">
      <w:pPr>
        <w:pStyle w:val="TextoNormal"/>
      </w:pPr>
      <w:r>
        <w:t xml:space="preserve">f) La Audiencia Nacional, por Auto de 18 de enero de 2006, acordó la procedencia de la extradición a Perú del recurrente en virtud de lo dispuesto en el Tratado bilateral de extradición entre España y Perú de 28 de junio de 1989 y de la Ley de extradición pasiva. </w:t>
      </w:r>
    </w:p>
    <w:p w:rsidR="00DE14C9" w:rsidRDefault="00DE14C9" w:rsidP="00DE14C9">
      <w:pPr>
        <w:pStyle w:val="TextoNormal"/>
      </w:pPr>
      <w:r>
        <w:t xml:space="preserve">En relación con la alegación del actor fundada en la situación infrahumana de las cárceles peruanas manifiesta la Audiencia Nacional que “la documentación remitida por la Autoridad Penitenciaria peruana viene en establecer de forma clara la existencia de una normativa penitenciaria acorde con un Estado de Derecho, que puede ser exigida por el penado con el amparo judicial, por lo que se estima decae tal causa de oposición”. </w:t>
      </w:r>
    </w:p>
    <w:p w:rsidR="00DE14C9" w:rsidRDefault="00DE14C9" w:rsidP="00DE14C9">
      <w:pPr>
        <w:pStyle w:val="TextoNormal"/>
      </w:pPr>
      <w:r>
        <w:t xml:space="preserve">En segundo lugar, a la nacionalidad española del reclamado como causa obstativa a la entrega, opone la Audiencia Nacional que “tal causa de oposición aparece regulada en el Tratado Extradicional de 1989 como una posibilidad que puede o no aplicar el Tribunal del país requerido conforme a lo previsto en el art. 3º de la Ley de Extradición Pasiva, debiendo en consecuencia desestimarse tal causa de oposición una vez acreditada la no culminación del expediente iniciado en su día por el reclamado y que fue archivado habida cuenta su huida del Perú, sin que pueda desde el país requerido seguirse el expediente de traslado para el cumplimiento de la pena pendiente, ya que ello debe realizarse conforme al Tratado bilateral de 25 de febrero de 1986 ante la Embajada del Reino de España en Perú”. </w:t>
      </w:r>
    </w:p>
    <w:p w:rsidR="00DE14C9" w:rsidRDefault="00DE14C9" w:rsidP="00DE14C9">
      <w:pPr>
        <w:pStyle w:val="TextoNormal"/>
      </w:pPr>
      <w:r>
        <w:t xml:space="preserve">Por último el resto de las alegaciones formuladas por la defensa del recurrente son desestimadas en los siguientes términos: “Y en cuanto a la existencia de defectos formales en la documentación aportada por la Autoridad Peruana, cabe indicar que examinada la inicialmente unida a la nota verbal y que da origen al acuerdo del Consejo de Ministros del Reino de España inicial de estas actuaciones, con la que figura aportada en agosto de 2005, se advierte que la primera de ellas cumple los requisitos exigidos en el art. 15 del Tratado bilateral de 1989, siendo la adoptada posteriormente complementaria de la anterior. Respecto del defecto apuntado por la defensa en cuanto a la no existencia de liquidación de condena por parte de la Autoridad Peruana, es evidente que tal documentación no se corresponde con los requisitos legales exigibles a tenor del Tratado bilateral indicado, debiendo en su caso, junto con la certificación que proceda de la prisión provisional cumplida en España, realizar dicha Autoridad la misma, pero sin que ello pueda ser obstáculo para la extradición interesada. Igual solución recae sobre el planteamiento de la defensa en orden a la variación de pena sufrida por el delito cuyo cumplimiento se interesa y que podría como norma más favorable beneficiar al reclamado, ya que ello es competencia de la Autoridad Judicial peruana”. </w:t>
      </w:r>
    </w:p>
    <w:p w:rsidR="00DE14C9" w:rsidRDefault="00DE14C9" w:rsidP="00DE14C9">
      <w:pPr>
        <w:pStyle w:val="TextoNormal"/>
      </w:pPr>
      <w:r>
        <w:t xml:space="preserve">g) Recurrida en súplica la decisión de entrega, en virtud de alegaciones que después se reiterarán en la demanda de amparo, fue confirmada por Auto del Pleno de la Sala de lo Penal de 20 de febrero de 2006. Además de reiterar los argumentos ya esgrimidos por el Auto de instancia, con relación a la queja relativa al trato degradante y vejatorio enfatiza la </w:t>
      </w:r>
      <w:r>
        <w:lastRenderedPageBreak/>
        <w:t>Audiencia Nacional que, “si bien pudiera ser que la situación de los derechos humanos y las condiciones de los Centros penitenciarios del Perú no serían equiparables a las de los Estados occidentales avanzados, no es menos cierto que tal situación no implicaría que existiese una vulneración sistemática, generalizada e institucionalizada de dichos derechos ni que el reclamado vaya o pudiera sufrirlas. En todo caso, este Tribunal no puede constatar, desde una perspectiva estrictamente jurídica, que exista tal vulneración de derechos fundamentales en los Centros penitenciarios peruanos”.</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La demanda de amparo se fundamenta en la vulneración de los derechos a la tutela judicial efectiva (art. 24.1 CE), a la vida y la integridad física y moral (art. 15 CE), así como en el derecho a la libertad (art. 17 CE), y está basada en los siguientes argumentos: En primer lugar, se alega que la nota verbal remitida por las Autoridades peruanas que dio inicio al procedimiento de extradición no era una petición formal de extradición, sino una mera solicitud de detención preventiva, lo que queda acreditado porque, siendo tal nota verbal de 1 de septiembre de 2003, no fue hasta junio de 2005 cuando se resolvió iniciar los trámites de la extradición activa en Perú. Tal proceder es contrario al art. 24 del Tratado bilateral, que sólo lo admite para casos de urgencia, y vulnera los derechos fundamentales recogidos en los arts. 24 CE y 17 CE, pues el recurrente estuvo privado de libertad durante dos años sin habilitación legal para ello. </w:t>
      </w:r>
    </w:p>
    <w:p w:rsidR="00DE14C9" w:rsidRDefault="00DE14C9" w:rsidP="00DE14C9">
      <w:pPr>
        <w:pStyle w:val="TextoNormal"/>
      </w:pPr>
      <w:r>
        <w:t xml:space="preserve">En segundo lugar, alega que durante su estancia en la prisión de Lurigancho el recurrente sufrió un trato degradante y vejatorio, lo que queda acreditado por la documentación aportada, y que es más que previsible que la entrega a Perú derivará en sufrir nuevamente un trato semejante, sin que la argumentación de la Audiencia Nacional al desestimar tal alegación resulte mínimamente satisfactoria, siendo contraria a la doctrina del Tribunal Constitucional (STC 91/2000, por ejemplo). En tercer lugar, denuncia que, siendo nacional español, la facultad que ofrece el Tratado bilateral de aplicar la Ley de extradición pasiva habría dado lugar a no ser entregado; cuestión a la que la Audiencia Nacional responde con un manifiesto déficit de motivación, al limitarse a decir que tal posibilidad dispuesta en el art. 7 del Tratado es una mera facultad y no una obligación y que el recurrente tiene pendiente un expediente de traslado para cumplimiento en España. </w:t>
      </w:r>
    </w:p>
    <w:p w:rsidR="00DE14C9" w:rsidRDefault="00DE14C9" w:rsidP="00DE14C9">
      <w:pPr>
        <w:pStyle w:val="TextoNormal"/>
      </w:pPr>
      <w:r>
        <w:t>En cuarto lugar, alega que previamente a la decisión de extradición debía practicarse la liquidación de condena que resta por cumplir, y ello, tanto porque una vez entregado sus garantías procesales no serán respetadas, como porque en el Tratado bilateral se establece un mínimo de cumplimiento para la entrega. Así, en rigor, aplicando las redenciones contempladas en la legislación peruana, sólo le restarían seis meses de cumplimiento, lo que impediría la extradición. No haberlo hecho por parte de la Audiencia Nacional vulnera, no sólo el art. 24 CE, sino asimismo el 17 CE. Por último manifiesta también que la condena impuesta en Perú estuvo presidida por una sistemática lesión de sus garantías procesales, al haberse obtenido la prueba a partir de un registro sin mandamiento judicial y al no habérsele aplicado ni siquiera una atenuante a pesar de ser politoxicómano; por ello la Audiencia Nacional debería como mínimo haber condicionado la entrega a una serie de garantías, y no haberlo hecho lesiona el art. 24 CE.</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Por medio de providencia dictada el día 20 de junio de 2006 acordó la Sala Segunda de este Tribunal, de conformidad con el núm. 3 del art. 50 LOTC, conceder al demandante de amparo y al Ministerio Fiscal plazo común de diez días para que formularan, con las aportaciones documentales que procediesen, las alegaciones que estimasen pertinentes en </w:t>
      </w:r>
      <w:r>
        <w:lastRenderedPageBreak/>
        <w:t>relación con la causa de inadmisión de carencia manifiesta de contenido constitucional de la demanda [art. 50.1 c) LOTC].</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Evacuando el citado trámite, mediante escrito registrado en este Tribunal el 7 de julio de 2006, el recurrente reiteró el contenido de la demanda de amparo. </w:t>
      </w:r>
    </w:p>
    <w:p w:rsidR="00DE14C9" w:rsidRDefault="00DE14C9" w:rsidP="00DE14C9">
      <w:pPr>
        <w:pStyle w:val="TextoNormal"/>
      </w:pPr>
      <w:r>
        <w:t>Mediante el escrito registrado el 10 de julio de 2006 el Ministerio Fiscal manifestó que la demanda no carece de contenido constitucional, por lo que propuso su admisión a trámite, considerando que los Autos recurridos fundamentan la concesión de extradición con argumentos escuetos o demasiado generales en ocasiones, por lo que, particularmente en relación con la denuncia relativa al trato vejatorio, procede un análisis más detenido.</w:t>
      </w:r>
    </w:p>
    <w:p w:rsidR="00DE14C9" w:rsidRDefault="00DE14C9" w:rsidP="00DE14C9">
      <w:pPr>
        <w:pStyle w:val="TextoNormal"/>
      </w:pPr>
    </w:p>
    <w:p w:rsidR="00DE14C9" w:rsidRDefault="00DE14C9" w:rsidP="00DE14C9">
      <w:pPr>
        <w:pStyle w:val="TextoNormal"/>
      </w:pPr>
      <w:r w:rsidRPr="00DE14C9">
        <w:rPr>
          <w:rStyle w:val="NumeroAFNegritaCaracter"/>
        </w:rPr>
        <w:t>6</w:t>
      </w:r>
      <w:r>
        <w:t xml:space="preserve">. La Sala Segunda de este Tribunal, por providencia de 17 de julio de 2006,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w:t>
      </w:r>
    </w:p>
    <w:p w:rsidR="00DE14C9" w:rsidRDefault="00DE14C9" w:rsidP="00DE14C9">
      <w:pPr>
        <w:pStyle w:val="TextoNormal"/>
      </w:pPr>
      <w:r>
        <w:t>Igualmente se acordó formar la correspondiente pieza separada de suspensión, en la que, tras los trámites oportunos, se dictó por la Sala Segunda de este Tribunal el Auto de 24 de julio de 2006 acordando suspender la ejecución de los Autos impugnados.</w:t>
      </w:r>
    </w:p>
    <w:p w:rsidR="00DE14C9" w:rsidRDefault="00DE14C9" w:rsidP="00DE14C9">
      <w:pPr>
        <w:pStyle w:val="TextoNormal"/>
      </w:pPr>
    </w:p>
    <w:p w:rsidR="00DE14C9" w:rsidRDefault="00DE14C9" w:rsidP="00DE14C9">
      <w:pPr>
        <w:pStyle w:val="TextoNormal"/>
      </w:pPr>
      <w:r w:rsidRPr="00DE14C9">
        <w:rPr>
          <w:rStyle w:val="NumeroAFNegritaCaracter"/>
        </w:rPr>
        <w:t>7</w:t>
      </w:r>
      <w:r>
        <w:t>. Por diligencia de ordenación de la Secretaría de Justicia de la Sala Segunda de este Tribunal, de 5 de septiembre de 2006, se acordó dar vista de las actuaciones a la parte recurrente y al Ministerio Fiscal, por plazo común de veinte días, para presentar las alegaciones que estimasen pertinentes, de conformidad con el art. 52.1 LOTC.</w:t>
      </w:r>
    </w:p>
    <w:p w:rsidR="00DE14C9" w:rsidRDefault="00DE14C9" w:rsidP="00DE14C9">
      <w:pPr>
        <w:pStyle w:val="TextoNormal"/>
      </w:pPr>
    </w:p>
    <w:p w:rsidR="00DE14C9" w:rsidRDefault="00DE14C9" w:rsidP="00DE14C9">
      <w:pPr>
        <w:pStyle w:val="TextoNormal"/>
      </w:pPr>
      <w:r w:rsidRPr="00DE14C9">
        <w:rPr>
          <w:rStyle w:val="NumeroAFNegritaCaracter"/>
        </w:rPr>
        <w:t>8</w:t>
      </w:r>
      <w:r>
        <w:t xml:space="preserve">. Mediante escrito registrado en este Tribunal el 5 de octubre de 2006 el demandante de amparo dio por ratificadas sus alegaciones. </w:t>
      </w:r>
    </w:p>
    <w:p w:rsidR="00DE14C9" w:rsidRDefault="00DE14C9" w:rsidP="00DE14C9">
      <w:pPr>
        <w:pStyle w:val="TextoNormal"/>
      </w:pPr>
      <w:r>
        <w:t xml:space="preserve">Evacuando idéntico trámite, por escrito registrado el 10 de octubre de 2006, el Ministerio Fiscal propuso la estimación de la demanda de amparo por entender que los Autos recurridos vulneran el art. 24.1 CE en relación con el art. 15 CE, con la consiguiente anulación de los mismos y la retroacción del proceso a la primera instancia. Ello es fundado en la consideración de que la respuesta dada por la Audiencia Nacional a la alegación relativa al sufrimiento de trato degradante y vejatorio es demasiado formalista y no satisface los requisitos de motivación reforzada que impone la doctrina del Tribunal Constitucional en estos supuestos. Así, el rechazo al denunciado riesgo de ser objeto de represalias y de tratos inhumano, vejatorio o degradante si se concede la extradición, “se basa en una apreciación estrictamente normativo jurídica … la argumentación desestimatoria de los mentados autos se nos antoja en exceso formalista”. Si bien de la documentación remitida por las autoridades peruanas se deduce la existencia de un sistema penitenciario respetuoso de las garantías, obra también un Informe de la Defensoría del Pueblo del Perú sobre las condiciones de la cárcel de Lurigancho, así como del sistema penitenciario peruano, del que se infieren las penosas condiciones de hacinamiento y la inherente violencia estructural, datos que vienen avalados por los recortes periodísticos aportados por la defensa. Pues bien, a nada de ello se refieren los autos impugnados, “y a la gravedad de esa ausencia debe contraponerse la formalidad de los argumentos de contrario de carácter abstractamente normativos que en algún caso, como el Informe oficial de la situación penitenciaria ocupa apenas dos folios … frente al extenso </w:t>
      </w:r>
      <w:r>
        <w:lastRenderedPageBreak/>
        <w:t xml:space="preserve">y pormenorizado informe de la Defensoría del Pueblo … que por su naturaleza no menos oficial e independiente, habría requerido una respuesta argumental que no se ha producido … lo que conlleva la vulneración del art. 24.1 CE en relación con el art. 15 CE”. </w:t>
      </w:r>
    </w:p>
    <w:p w:rsidR="00DE14C9" w:rsidRDefault="00DE14C9" w:rsidP="00DE14C9">
      <w:pPr>
        <w:pStyle w:val="TextoNormal"/>
      </w:pPr>
      <w:r>
        <w:t>En lo tocante al resto de las quejas, en cambio, considera el Ministerio Fiscal que respecto de todas ellas se satisface el canon de motivación reforzada que impone el art. 17 CE, y sus razones no pueden calificarse como arbitrarias, irracionales, o carentes de razonabilidad.</w:t>
      </w:r>
    </w:p>
    <w:p w:rsidR="00DE14C9" w:rsidRDefault="00DE14C9" w:rsidP="00DE14C9">
      <w:pPr>
        <w:pStyle w:val="TextoNormal"/>
      </w:pPr>
    </w:p>
    <w:p w:rsidR="00DE14C9" w:rsidRDefault="00DE14C9" w:rsidP="00DE14C9">
      <w:pPr>
        <w:pStyle w:val="TextoNormal"/>
      </w:pPr>
      <w:r w:rsidRPr="00DE14C9">
        <w:rPr>
          <w:rStyle w:val="NumeroAFNegritaCaracter"/>
        </w:rPr>
        <w:t>9</w:t>
      </w:r>
      <w:r>
        <w:t>. Por providencia de fecha de 31 de mayo de 2007, se señaló para deliberación y fallo de la Sentencia el día 4 de junio del mismo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 presente demanda de amparo se dirige contra el Auto del Pleno de la Sala de lo Penal de la Audiencia Nacional, de 20 de febrero de 2006, y contra el Auto de la Sección Primera de la Sala de lo Penal de la Audiencia Nacional de 18 de enero de 2006, que acuerdan acceder a la extradición solicitada por Perú para la finalización del cumplimiento de la condena impuesta por tráfico de drogas, interrumpida tras la fuga del recurrente de la prisión donde había sido ingresado. Se denuncia la vulneración del derecho a la tutela judicial efectiva (art. 24.1 CE) en relación con el derecho a la integridad física y psíquica y proscripción de tratos inhumanos o degradantes (art. 15 CE) y con el derecho a la libertad (art. 17 CE). El Ministerio Fiscal solicita el otorgamiento del amparo por considerar que los Autos recurridos no satisfacen la exigencia de motivación reforzada que imponen las alegaciones del recurrente sobre el riesgo de sufrir un trato inhumano o degradante si es devuelto a Perú, lesionando, entonces, el derecho a la tutela judicial efectiva en relación con el art. 15 CE.</w:t>
      </w:r>
    </w:p>
    <w:p w:rsidR="00DE14C9" w:rsidRDefault="00DE14C9" w:rsidP="00DE14C9">
      <w:pPr>
        <w:pStyle w:val="TextoNormal"/>
      </w:pPr>
    </w:p>
    <w:p w:rsidR="00DE14C9" w:rsidRDefault="00DE14C9" w:rsidP="00DE14C9">
      <w:pPr>
        <w:pStyle w:val="TextoNormal"/>
      </w:pPr>
      <w:r w:rsidRPr="00DE14C9">
        <w:rPr>
          <w:rStyle w:val="NumeroAFNegritaCaracter"/>
        </w:rPr>
        <w:t>2</w:t>
      </w:r>
      <w:r>
        <w:t>. Siendo varias las quejas formuladas conviene precisar que, con arreglo a nuestra reiterada doctrina, debemos comenzar con el examen de aquellas de las que pueda derivarse una retroacción de actuaciones, con el fin de salvaguardar el carácter subsidiario del proceso de amparo (por todas, SSTC 19/2000, de 31 de enero, FJ 2; 31/2001, de 12 de febrero, FJ 2; 70/2002, de 3 de abril, FJ 2; 229/2003, de 18 de diciembre, FJ 2; 100/2004, de 2 de junio, FJ 4; y 53/2005, de 14 de marzo, FJ 2).  Asimismo, y dado que tanto el recurrente como el Ministerio Fiscal centran el peso de sus respectivas argumentaciones sobre el motivo de amparo fundado en la lesión del derecho a la tutela judicial efectiva en relación con el derecho a la proscripción de tratos inhumanos o degradantes, resulta procedente comenzar por dicha queja.</w:t>
      </w:r>
    </w:p>
    <w:p w:rsidR="00DE14C9" w:rsidRDefault="00DE14C9" w:rsidP="00DE14C9">
      <w:pPr>
        <w:pStyle w:val="TextoNormal"/>
      </w:pPr>
      <w:r>
        <w:t xml:space="preserve">Al respecto es preciso traer a colación la doctrina desarrollada por este Tribunal acerca de los deberes de protección de los derechos fundamentales del extraditurus por parte de los órganos judiciales españoles. Como recuerda la STC 82/2006, de 13 de marzo, citando resoluciones anteriores (SSTC 91/2000, de 30 de marzo, 13/1994, de 17 de enero) “la responsabilidad de los órganos judiciales españoles por acción u omisión en los procedimientos de extradición no se limita a las consecuencias de su propia conducta. En la medida en que con dicho procedimiento se concreta un estrecho complejo de actuaciones imbricadas, en el país requirente y en el requerido, el destino del extraditado en aquél no es ni puede ser indiferente para las autoridades de éste.  Por ello, se encuentran obligados a prevenir [esto es, a impedir que se convierta en daño un peligro efectivo] la vulneración de derechos fundamentales, que les vinculan como bases objetivas de nuestro Ordenamiento, incluso si esa vulneración </w:t>
      </w:r>
      <w:r>
        <w:lastRenderedPageBreak/>
        <w:t>se espera de autoridades extranjeras, atrayéndose la competencia de los Tribunales españoles por el dominio de que disponen sobre la situación personal del extraditado y, por tanto, por los medios con que cuentan para remediar los efectos de las irregularidades denunciadas” (FJ 2). En este sentido, hemos puesto de manifiesto que “el procedimiento de extradición ... exige una cuidadosa labor de verificación por el órgano judicial en relación con las circunstancias alegadas por el reclamado, con el fin de evitar que, en caso de accederse a la extradición, se pudiera convertir en autor de una lesión contra los derechos del extraditado, bien porque hubiera contribuido a que la lesión de un derecho ya acaecida en el extranjero no fuera restablecida, o a que no se impidiera que de la misma se derivaran consecuencias perjudiciales para el reclamado, bien porque, existiendo un temor racional y fundado de que tales lesiones se produzcan en el futuro, éstas resulten favorecidas por la actuación de los órganos judiciales españoles al no haberlas evitado con los medios de que, mientras el reclamado se encuentra sometido a su jurisdicción, disponen, de modo que la actuación del Juez español produzca un riesgo relevante de vulneración de los derechos del reclamado” (SSTC 91/2000, de 30 de marzo, FJ 6; 32/2003, de 5 de marzo, FJ 2; 49/2006, de 13 de febrero, FJ 3; 82/2006, FJ 2).</w:t>
      </w:r>
    </w:p>
    <w:p w:rsidR="00DE14C9" w:rsidRDefault="00DE14C9" w:rsidP="00DE14C9">
      <w:pPr>
        <w:pStyle w:val="TextoNormal"/>
      </w:pPr>
      <w:r>
        <w:t>En aras de salvaguardar los derechos fundamentales del ciudadano sometido al procedimiento de extradición, los órganos judiciales “al conocer del procedimiento de extradición, han de valorar las específicas circunstancias concurrentes en el supuesto sometido a su consideración, tomando en cuenta la relevancia de los derechos e intereses que se consideran lesionados o en riesgo de lesión, las consecuencias que pueden derivarse de la entrega al Estado requirente en relación con la imposibilidad de reparación de los perjuicios, la argumentación desplegada por el sometido al procedimiento y los elementos probatorios en la que intenta sostenerla y, en relación con esto último, la dificultad probatoria que para el mismo puede derivarse, precisamente, de encontrarse en un Estado distinto de aquél en el que supuestamente se cometieron o podrían cometerse las vulneraciones. En particular, de acuerdo con las consideraciones que hemos expuesto, siempre que el reclamado haya aportado determinados y concretos elementos que sirvan de apoyo razonable a su argumentación y que no le sea reprochable una actitud de falta de diligencia en la aportación del material probatorio, los órganos judiciales no podrán, sin más, denegar o desatender la relevancia de tal argumentación sobre la base de que la misma no resulta adecuadamente acreditada, sino que, por el contrario, deberán realizar cuantas actuaciones sean precisas, en función de los derechos fundamentales que puedan encontrarse en juego y demás factores en presencia, para conseguir esclarecer las circunstancias alegadas o, incluso, ante la existencia de elementos, temores o riesgos racionales de que las mismas efectivamente se hayan producido, existan, o puedan producirse, sin que aquéllos hayan sido desvirtuados por la información y documentación de la que el órgano judicial dispone, declarar improcedente la entrega del sometido al procedimiento extradicional, evitando así las consecuencias perjudiciales que de una decisión contraria podrían derivarse” (SSTC 32/2003, de 5 de marzo, FJ 2; 49/2006, de 13 de febrero, FJ 3).</w:t>
      </w:r>
    </w:p>
    <w:p w:rsidR="00DE14C9" w:rsidRDefault="00DE14C9" w:rsidP="00DE14C9">
      <w:pPr>
        <w:pStyle w:val="TextoNormal"/>
      </w:pPr>
      <w:r>
        <w:t xml:space="preserve">Del mismo modo, “cuando el reclamado sostiene la concurrencia de alguna de las circunstancias determinantes de que el órgano judicial pueda o deba denegar la entrega al Estado requirente, y desarrolla al efecto una actividad probatoria mínimamente diligente, de la que pueda extraerse razonablemente la existencia de motivos o indicios para creer que, efectivamente, tales circunstancias pudieron acontecer, el órgano judicial debe desarrollar una actividad encaminada a obtener los datos precisos para adoptar adecuadamente su decisión que, por lo demás, no podrá fundarse sin más en la inexistencia de una prueba plena y cumplida sobre las apuntadas circunstancias alegadas por el reclamado, sino que tendrá </w:t>
      </w:r>
      <w:r>
        <w:lastRenderedPageBreak/>
        <w:t>que ponderar y valorar todos los factores y aspectos concurrentes para determinar si, a la vista de los mismos, debe accederse o no a la extradición” (SSTC 148/2004, de 13 de septiembre, FJ 6; 49/2006, de 13 de febrero, FJ 3).</w:t>
      </w:r>
    </w:p>
    <w:p w:rsidR="00DE14C9" w:rsidRDefault="00DE14C9" w:rsidP="00DE14C9">
      <w:pPr>
        <w:pStyle w:val="TextoNormal"/>
      </w:pPr>
      <w:r>
        <w:t>Por otra parte, esa obligación judicial se va tornando más acusada en función de la mayor trascendencia de los derechos e intereses del reclamado que están en juego, “de modo que alcanza una amplia exigencia cuando se trata de los derechos fundamentales reconocidos en la Constitución, que les vinculan como bases objetivas de nuestro ordenamiento (por todas, SSTC 13/1994, FJ 4, y 91/2000, FJ 7), y que tienen una especial relevancia y posición en nuestro sistema (por todas, STC 5/2002, de 14 de enero, FJ 4) e, incluso, tal elevada exigencia ha de graduarse en función del derecho o derechos fundamentales que puedan resultar afectados, de modo que necesariamente alcanzará una especial intensidad cuando sean los reconocidos en el art. 15 CE los que se encuentren en esa situación o, también desde otra perspectiva, cuando se incida sobre lo que en la STC 91/2000 denominamos contenido absoluto de los derechos fundamentales” (STC 181/2004, de 2 de noviembre, FJ 14).</w:t>
      </w:r>
    </w:p>
    <w:p w:rsidR="00DE14C9" w:rsidRDefault="00DE14C9" w:rsidP="00DE14C9">
      <w:pPr>
        <w:pStyle w:val="TextoNormal"/>
      </w:pPr>
      <w:r>
        <w:t>Además, debe tomarse en consideración que, como hemos puesto de manifiesto en la citada STC 181/2004, si bien es preciso que “el temor o riesgos aducidos, sean fundados, en el sentido de mínimamente acreditados por el propio reclamado”, debiendo el reclamado poder efectuar concretas alegaciones en relación a su persona y derechos y sin que sea suficiente la formulación de alusiones o alegaciones “genéricas” sobre la situación del país (STC 148/2004, de 13 de septiembre, FJ 8), “lo anterior no conlleva la exigencia de que la ‘persona acredite de modo pleno y absoluto la vulneración de sus derechos en el extranjero, de la que van a derivarse consecuencias perjudiciales para la misma, o que esa vulneración va a tener lugar en el futuro, toda vez que ello ... supondría normalmente una carga exorbitante para el afectado’ (STC 32/2003, de 13 de febrero, FJ 3). Así, hemos reiterado en dicha STC 32/2003 (FJ 3), tan citada, que la protección del derecho alegado por el reclamado habría de otorgarse en el caso de que existiera un temor racional y fundado de que el mismo habría de ser vulnerado (STC 13/1994, de 17 de enero, FJ 5), y en la STC 91/2000, de 30 de marzo (FJ 6), aludimos al riesgo relevante de vulneración de los derechos por parte de los órganos de un Estado extranjero, o a las consecuencias previsibles que una extradición entraña fuera de la jurisdicción del Estado, insistiéndose en el ATC 23/1997, de 27 de enero (FJ 1), en la necesidad de excluir la entrega de sujetos que, presumiblemente, con cierto grado de seguridad, puedan sufrir vulneraciones relevantes, por existir al respecto un temor racional y fundado. El Tribunal Europeo de Derechos Humanos, por su parte, en relación con los derechos a la vida y a no padecer torturas ni penas o tratos inhumanos o degradantes, tomando en consideración las circunstancias concretas que pueden entrañar en estos casos una dificultad probatoria, ha aludido a la existencia de motivos serios y acreditados para creer que si el interesado es entregado al Estado requirente correrá un riesgo real de ser sometido a torturas o a penas o tratos inhumanos o degradantes (caso Soering; caso Ahmed contra Austria, § 39; Sentencia de 11 de julio de 2000, caso G.H.H. y otros contra Turquía, § 35)” (STC 181/2004, de 2 de noviembre, FJ 14).</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Aplicando la citada doctrina al caso que nos ocupa debemos estimar este primer motivo de amparo por vulneración del derecho a la tutela judicial efectiva (art. 24.1 CE) en relación con el derecho fundamental recogido en el art. 15 CE, porque la motivación dada por la Audiencia Nacional a las alegaciones del recurrente no satisface los mínimos requeridos por el canon de motivación reforzado aplicable en supuestos como el que nos ocupa, dada la directa conexión existente en el presente caso con el derecho no ser sometido a tratos inhumanos o degradantes (art. 15 CE), además, ciertamente, de con los derechos a la libertad </w:t>
      </w:r>
      <w:r>
        <w:lastRenderedPageBreak/>
        <w:t>(art. 17 CE) y a la libertad de residencia (art. 19 CE), que se hallan siempre concernidos en los procedimientos de extradición (por todas, SSTC 292/2005, de 10 de noviembre, FJ 2; 30/2006, de 30 de enero, FJ 5). Con arreglo a tal canon reforzado debe exigirse “un plus de motivación que hace referencia a criterios de orden cualitativo y no cuantitativo (por todas STC 196/2002, de 28 de octubre), al ser perfectamente posible que existan resoluciones judiciales que satisfagan las exigencias del meritado art. 24.1 CE, pues expresen las razones de hecho y de derecho que fundamenten la medida acordada, pero que, desde la perspectiva del libre ejercicio de los derechos fundamentales, no exterioricen o manifiesten de modo constitucionalmente adecuado las razones justificativas de las decisiones adoptadas” (STC 292/2005, de 10 de noviembre, FJ 2, citando a su vez el ATC 412/2004, de 2 de noviembre, FJ 5).</w:t>
      </w:r>
    </w:p>
    <w:p w:rsidR="00DE14C9" w:rsidRDefault="00DE14C9" w:rsidP="00DE14C9">
      <w:pPr>
        <w:pStyle w:val="TextoNormal"/>
      </w:pPr>
      <w:r>
        <w:t>Tal como pone de manifiesto el Ministerio Fiscal, ante la denuncia del recurrente de que si se concedía la extradición y se le devolvía a la prisión de Lurigancho podía ser objeto de tratos degradantes y vejatorios, la Audiencia Nacional responde con una argumentación de índole normativo-jurídica en exceso formalista, sin atender a las particulares circunstancias que rodeaban la situación del reclamado y a las concretas alegaciones efectuadas, tal como a continuación se analiza.</w:t>
      </w:r>
    </w:p>
    <w:p w:rsidR="00DE14C9" w:rsidRDefault="00DE14C9" w:rsidP="00DE14C9">
      <w:pPr>
        <w:pStyle w:val="TextoNormal"/>
      </w:pPr>
      <w:r>
        <w:t>En primer lugar debemos destacar el hecho de que al recurrente no puede achacársele falta de diligencia en la aportación de datos y documentos que avalen sus alegaciones, sino que, por el contrario, desde su primer escrito de alegaciones de 21 de julio de 2004 aportó, además de diversos recortes de la prensa peruana donde se relataba la noticia de su fuga y los rumores acerca de que pudiera haber sido víctima de actos de canibalismo por parte de otros presos, un amplio informe de carácter oficial de la Defensoría de Pueblo del Estado peruano sobre la situación del sistema penitenciario peruano, así como sobre concreta situación de la prisión de Lurigancho, solicitando además de la Audiencia Nacional que recabara información del encargado de visitar presos de la Embajada española, en aras de acreditar la concreta situación en que el recurrente se hallaba.</w:t>
      </w:r>
    </w:p>
    <w:p w:rsidR="00DE14C9" w:rsidRDefault="00DE14C9" w:rsidP="00DE14C9">
      <w:pPr>
        <w:pStyle w:val="TextoNormal"/>
      </w:pPr>
      <w:r>
        <w:t>Sentado ese extremo debe mencionarse también que la Audiencia Nacional, ante tales alegaciones, recabó del Estado peruano informe sobre la situación de su sistema penitenciario, respondiendo éste con una copia parcial del reglamento del Código de ejecución penal peruano, así como con informe oficial del Instituto Nacional Penitenciario de dos folios en el que, junto a una descripción genérica sobre el sistema penitenciario peruano —clasificación y régimen de visitas, esencialmente—, con relación a la prisión de Lurigancho se afirma, además de la mención de determinados proyectos de mejora, que rige en ella un régimen ordinario, que se considera un penal de “mediana peligrosidad”, y que teniendo capacidad para 2524 internos alberga a 8200. Pues bien, de la lectura de los Autos impugnados se desprende que, pese a haber admitido la documental aportada por el recurrente, la única documentación que por la Audiencia Nacional se ha tenido en cuenta ha sido la emitida por el Estado peruano, concluyendo, así, que “la documentación remitida por la Autoridad Peruana, viene en establecer de forma clara la existencia de una normativa penitenciaria acorde con el Estado de Derecho, que puede ser exigida por el penado con el amparo judicial” (Auto de la Sección Primera de 18 de enero de 2006), e infiriendo de la misma el Pleno, en el Auto de 20 de febrero que resuelve la súplica, que aun cuando la situación de las condiciones de los centros penitenciarios peruanos no sería equiparable a las de los Estados occidentales avanzados, no puede inferirse de ello una vulneración sistemática y generalizada de los derechos humanos ni que el reclamado vaya a sufrirla.</w:t>
      </w:r>
    </w:p>
    <w:p w:rsidR="00DE14C9" w:rsidRDefault="00DE14C9" w:rsidP="00DE14C9">
      <w:pPr>
        <w:pStyle w:val="TextoNormal"/>
      </w:pPr>
      <w:r>
        <w:lastRenderedPageBreak/>
        <w:t>Es en este aspecto, como acertadamente destaca el Ministerio Fiscal, donde radica la vulneración del derecho fundamental a la tutela judicial efectiva: en que la Audiencia Nacional haya dado una respuesta genérica y limitada al plano legislativo sobre la situación penitenciaria del Estado peruano, ciñendo su análisis a la escasa documentación aportada por éste, sin haber hecho mención alguna, por el contrario, a las concretas alegaciones del recurrente acerca del trato vejatorio sufrido durante su estancia en la prisión de Lurigancho y del que podrá sufrir en el futuro, y sin haber tomado en consideración el informe de la Defensoría del Pueblo peruana, informe mucho más exhaustivo que el remitido por las autoridades peruanas y cuyo carácter oficial habría de merecer el mismo crédito que el que cabe atribuir a éste.</w:t>
      </w:r>
    </w:p>
    <w:p w:rsidR="00DE14C9" w:rsidRDefault="00DE14C9" w:rsidP="00DE14C9">
      <w:pPr>
        <w:pStyle w:val="TextoNormal"/>
      </w:pPr>
      <w:r>
        <w:t>Ciertamente no corresponde a este Tribunal entrar a valorar el contenido de dicho informe. Baste poner de manifiesto que en el mismo se describe una situación de general hacinamiento e inseguridad en las necesidades básicas de los reclusos —higiene, alimentación— en la prisión de Lurigancho, y que da cuenta de diversos disturbios y motines duramente reprimidos con resultados de muerte y lesiones de los presos; circunstancias directamente conectadas con las alegaciones del recurrente y que, en consecuencia, habrían debido merecer la atención de los órganos judiciales a la hora de ponderar las alegaciones efectuadas por el demandante en contra de su entrega. Teniendo en cuenta, además, que por la Audiencia Nacional se rechazó recabar el informe de la Embajada española solicitado por el actor sobre las vicisitudes sufridas en su estancia en la citada prisión peruana sobre la base de que ya existían las actuaciones informes oficiales sobre la corrección del sistema penitenciario, debemos considerar como un déficit en la motivación exigible, lesivo del derecho fundamental recogido en el art. 24.1 CE, el hecho de que la Audiencia Nacional no haya tenido en cuenta el citado informe de la Defensoría del Pueblo, ni haya descendido a dar respuesta a las concretas alegaciones del recurrente sobre su situación en la prisión de Lurigancho, limitando su respuesta a un plano puramente legislativo y genérico.</w:t>
      </w:r>
    </w:p>
    <w:p w:rsidR="00DE14C9" w:rsidRDefault="00DE14C9" w:rsidP="00DE14C9">
      <w:pPr>
        <w:pStyle w:val="TextoNormal"/>
      </w:pPr>
    </w:p>
    <w:p w:rsidR="00DE14C9" w:rsidRDefault="00DE14C9" w:rsidP="00DE14C9">
      <w:pPr>
        <w:pStyle w:val="TextoNormal"/>
      </w:pPr>
      <w:r w:rsidRPr="00DE14C9">
        <w:rPr>
          <w:rStyle w:val="NumeroAFNegritaCaracter"/>
        </w:rPr>
        <w:t>4</w:t>
      </w:r>
      <w:r>
        <w:t>. Lo razonado conduce a la declaración de vulneración del derecho a la tutela judicial efectiva (art. 24.1 CE) en relación con el derecho a no ser sometido a tratos inhumanos o degradantes (art. 15 CE), con la consecuencia de anular el Auto de la Sección Primera de la Sala de lo Penal de la Audiencia Nacional de 18 de enero de 2006 y el Auto del Pleno de la misma de 20 de febrero de 2006, y retrotraer las actuaciones ante la Sección Primera de la Audiencia Nacional para que, previa realización de las actuaciones que estime pertinentes, dicte nueva resolución con respeto de los derechos fundamentales del recurrente y la libertad de criterio que le confiere el art. 117 CE. Siendo tal el efecto del otorgamiento del amparo, procede detener aquí nuestro enjuiciamiento, sin que por consiguiente debamos entrar a analizar el resto de los motivos de amparo expuestos en la demanda.</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Estimar la demanda de amparo de don Salvador Alfonso Escrivá y, en consecuencia:</w:t>
      </w:r>
    </w:p>
    <w:p w:rsidR="00DE14C9" w:rsidRDefault="00DE14C9" w:rsidP="00DE14C9">
      <w:pPr>
        <w:pStyle w:val="TextoNormal"/>
      </w:pPr>
      <w:r>
        <w:lastRenderedPageBreak/>
        <w:t>1º Declarar que se ha vulnerado el derecho del recurrente a la tutela judicial efectiva (art. 24.1 CE) en relación con el derecho a no ser sometido a tratos inhumano o degradantes (art. 15 CE).</w:t>
      </w:r>
    </w:p>
    <w:p w:rsidR="00DE14C9" w:rsidRDefault="00DE14C9" w:rsidP="00DE14C9">
      <w:pPr>
        <w:pStyle w:val="TextoNormal"/>
      </w:pPr>
      <w:r>
        <w:t>2º Restablecerlo en su derecho y, a tal fin, declarar la nulidad de los Autos de la Sección Primera de la Sala de lo Penal de la Audiencia Nacional de 18 de enero de 2006 y del Pleno de la misma de 20 de febrero de 2006, retrotrayendo las actuaciones al momento inmediatamente anterior a su dictado, a fin de que con libertad de criterio se pronuncie nueva Resolución respetuosa con el derecho fundamental vulnerado.</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cuatro de junio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54" w:name="SENTENCIA_2007_141"/>
      <w:r>
        <w:lastRenderedPageBreak/>
        <w:t>SENTENCIA 141/2007, de 18 de junio de 2007</w:t>
      </w:r>
    </w:p>
    <w:bookmarkEnd w:id="54"/>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179, de 27 de julio de 2007)</w:t>
      </w:r>
    </w:p>
    <w:p w:rsidR="00DE14C9" w:rsidRDefault="00DE14C9" w:rsidP="00DE14C9">
      <w:pPr>
        <w:pStyle w:val="TtuloBOE"/>
      </w:pPr>
    </w:p>
    <w:p w:rsidR="00DE14C9" w:rsidRDefault="00DE14C9" w:rsidP="00DE14C9">
      <w:pPr>
        <w:pStyle w:val="SntesisDescriptiva"/>
      </w:pPr>
      <w:r>
        <w:t>ECLI:ES:TC:2007:141</w:t>
      </w:r>
    </w:p>
    <w:p w:rsidR="00DE14C9" w:rsidRDefault="00DE14C9" w:rsidP="00DE14C9">
      <w:pPr>
        <w:pStyle w:val="SntesisDescriptiva"/>
      </w:pPr>
    </w:p>
    <w:p w:rsidR="00DE14C9" w:rsidRDefault="00DE14C9" w:rsidP="00DE14C9">
      <w:pPr>
        <w:pStyle w:val="SntesisDescriptiva"/>
      </w:pPr>
      <w:r>
        <w:t>Recurso de amparo 4142-2001. Promovido por don José Toledo Sobrón y otro frente a los Acuerdos de la Mesa del Parlamento de La Rioja relacionados con la disolución del grupo parlamentario del Partido Riojano.</w:t>
      </w:r>
    </w:p>
    <w:p w:rsidR="00DE14C9" w:rsidRDefault="00DE14C9" w:rsidP="00DE14C9">
      <w:pPr>
        <w:pStyle w:val="SntesisDescriptiva"/>
      </w:pPr>
    </w:p>
    <w:p w:rsidR="00DE14C9" w:rsidRDefault="00DE14C9" w:rsidP="00DE14C9">
      <w:pPr>
        <w:pStyle w:val="SntesisAnaltica"/>
      </w:pPr>
      <w:r>
        <w:t>Vulneración del derecho al ejercicio del cargo parlamentario: aplicación no discriminatoria pero inmediata de una reforma del reglamento parlamentario, sin disposiciones transitorias, que eleva el umbral de diputados requerido para constituir grupo propio.</w:t>
      </w:r>
    </w:p>
    <w:p w:rsidR="00DE14C9" w:rsidRDefault="00DE14C9" w:rsidP="00DE14C9">
      <w:pPr>
        <w:pStyle w:val="SntesisAnaltica"/>
      </w:pPr>
    </w:p>
    <w:p w:rsidR="00DE14C9" w:rsidRDefault="00DE14C9" w:rsidP="00DE14C9">
      <w:pPr>
        <w:pStyle w:val="Extracto"/>
      </w:pPr>
      <w:r>
        <w:t>1.</w:t>
      </w:r>
      <w:r>
        <w:tab/>
        <w:t>En ausencia de disposiciones relativas a la aplicación transitoria del nuevo Reglamento de la Cámara de la Rioja, los acuerdos cuestionados optaron por la interpretación más lesiva de los derechos a constituir grupo parlamentario y participar en los debates, alterando las normas que hasta el momento regían su ejercicio, por tanto, la alteración, una vez iniciada la legislatura resulta lesiva del derecho fundamental garantizado en el art. 23.2 CE [FJ 5].</w:t>
      </w:r>
    </w:p>
    <w:p w:rsidR="00DE14C9" w:rsidRDefault="00DE14C9" w:rsidP="00DE14C9">
      <w:pPr>
        <w:pStyle w:val="Extracto"/>
      </w:pPr>
    </w:p>
    <w:p w:rsidR="00DE14C9" w:rsidRDefault="00DE14C9" w:rsidP="00DE14C9">
      <w:pPr>
        <w:pStyle w:val="Extracto"/>
      </w:pPr>
      <w:r>
        <w:t>2.</w:t>
      </w:r>
      <w:r>
        <w:tab/>
        <w:t>La facultad de constituir grupo parlamentario se ha visto gravemente afectada con la aplicación del nuevo Reglamento del Parlamento de la Rioja, en la medida en que la elevación del número mínimo de parlamentarios necesario priva a los recurrentes de ella [FJ 4].</w:t>
      </w:r>
    </w:p>
    <w:p w:rsidR="00DE14C9" w:rsidRDefault="00DE14C9" w:rsidP="00DE14C9">
      <w:pPr>
        <w:pStyle w:val="Extracto"/>
      </w:pPr>
    </w:p>
    <w:p w:rsidR="00DE14C9" w:rsidRDefault="00DE14C9" w:rsidP="00DE14C9">
      <w:pPr>
        <w:pStyle w:val="Extracto"/>
      </w:pPr>
      <w:r>
        <w:t>3.</w:t>
      </w:r>
      <w:r>
        <w:tab/>
        <w:t>La aplicación del Reglamento del Parlamento de la Rioja una vez comenzada la legislatura ha supuesto a los recurrentes la pérdida de parte de las facultades parlamentarias que como diputados autonómicos disfrutaban anteriormente, pues es evidente que, en cuanto parlamentarios individuales, han pasado a disponer de menos tiempo en los debates para la defensa de sus intereses [FJ 5].</w:t>
      </w:r>
    </w:p>
    <w:p w:rsidR="00DE14C9" w:rsidRDefault="00DE14C9" w:rsidP="00DE14C9">
      <w:pPr>
        <w:pStyle w:val="Extracto"/>
      </w:pPr>
    </w:p>
    <w:p w:rsidR="00DE14C9" w:rsidRDefault="00DE14C9" w:rsidP="00DE14C9">
      <w:pPr>
        <w:pStyle w:val="Extracto"/>
      </w:pPr>
      <w:r>
        <w:t>4.</w:t>
      </w:r>
      <w:r>
        <w:tab/>
        <w:t>Conforme a la doctrina de este Tribunal, la Constitución veta la privación o perturbación al representante político de la práctica de su cargo, introduciendo obstáculos que puedan colocar a unos representantes en condiciones de inferioridad respecto de otros (SSTC 10/1983, 32/1985, 227/2004) [FJ 5].</w:t>
      </w:r>
    </w:p>
    <w:p w:rsidR="00DE14C9" w:rsidRDefault="00DE14C9" w:rsidP="00DE14C9">
      <w:pPr>
        <w:pStyle w:val="Extracto"/>
      </w:pPr>
    </w:p>
    <w:p w:rsidR="00DE14C9" w:rsidRDefault="00DE14C9" w:rsidP="00DE14C9">
      <w:pPr>
        <w:pStyle w:val="Extracto"/>
      </w:pPr>
      <w:r>
        <w:t>5.</w:t>
      </w:r>
      <w:r>
        <w:tab/>
        <w:t>Respecto a supuestos similares, no cabe adoptar en el fallo de nuestra Sentencia una medida destinada al pleno restablecimiento del derecho vulnerado por la Mesa del Parlamento de la Rioja, de suerte que la pretensión del grupo parlamentario demandante de amparo ha de quedar satisfecha mediante la declaración de la lesión de su derecho recogido en el art. 23.2 CE y la nulidad de los acuerdos que impidieron su ejercicio (SSTC 107/2001, 90/2005) [FJ 6].</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 xml:space="preserve">La Sala Primera del Tribunal Constitucional, compuesta por doña María Emilia Casas Baamonde, Presidenta, don Javier Delgado Barrio, don Roberto García-Calvo y Montiel, </w:t>
      </w:r>
      <w:r>
        <w:lastRenderedPageBreak/>
        <w:t>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4142-2001, promovido por don José Toledo Sobrón y don Miguel González de Legarra, representados por la Procuradora de los Tribunales doña Rosalía Rosique Samper y asistido por el Abogado don Carlos Coello Martín, contra los Acuerdos de la Mesa del Parlamento de La Rioja de 19 de abril de 2001, por el que se acuerda la disolución del grupo parlamentario del Partido Riojano y se concede un plazo de ocho días para que, si lo desean, se asocien a alguno de los grupos parlamentarios que integran la Cámara y, en caso de no hacerlo, serían incorporados al grupo mixto; 26 de abril de 2001, de no reconsideración del Acuerdo anterior; 2 de mayo de 2001, de incorporación de los recurrentes al grupo mixto; 2 de mayo de 2001, de designación del Sr. González de Legarra como portavoz del grupo mixto; 9 de mayo, relativo a la Resolución de la Presidencia sobre funcionamiento del grupo mixto; 22 de mayo de 2001, de libramiento de subvenciones a los grupos parlamentarios; 31 de mayo de 2001, que inadmite solicitud de abono de cotizaciones a la Seguridad Social correspondientes al Diputado Sr. González de Legarra. Han comparecido y formulado alegaciones el Parlamento de la Rioja, representado y asistido por su Letrado Mayor, don Jorge Apellániz Barrio. Ha intervenido el Ministerio Fiscal. Ha sido Ponente el Magistrado don Roberto García-Calvo y Montiel,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el Registro General de este Tribunal el día 19 de julio de 2001, doña Rosalía Rosique Samper, Procuradora de los Tribunales, en nombre y representación de don José Toledo Sobrón y de don Miguel González de Legarra, interpuso recurso de amparo contra los acuerdos de la Mesa del Parlamento de la Rioja a los que se ha hecho mención en el encabezamiento de esta Sentencia.</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en los que se fundamenta la demanda de amparo son, sucintamente expuestos, los que siguen: </w:t>
      </w:r>
    </w:p>
    <w:p w:rsidR="00DE14C9" w:rsidRDefault="00DE14C9" w:rsidP="00DE14C9">
      <w:pPr>
        <w:pStyle w:val="TextoNormal"/>
      </w:pPr>
      <w:r>
        <w:t xml:space="preserve">a) Los recurrentes fueron elegidos Diputados al Parlamento de la Rioja en la candidatura del Partido Riojano, tomando posesión del cargo en la sesión constitutiva de dicho Parlamento celebrada el 2 de julio de 1999. Con arreglo al reglamento vigente en ese momento, se constituyeron en grupo parlamentario del Partido Riojano, integrado por dos diputados, lo que fue aceptado por la Mesa del Parlamento por acuerdo de 6 de julio de 1999. </w:t>
      </w:r>
    </w:p>
    <w:p w:rsidR="00DE14C9" w:rsidRDefault="00DE14C9" w:rsidP="00DE14C9">
      <w:pPr>
        <w:pStyle w:val="TextoNormal"/>
      </w:pPr>
      <w:r>
        <w:t xml:space="preserve">b) El 7 de marzo de 2001 el “Boletín Oficial del Parlamento de la Rioja” publicó una proposición de Ley de reforma del Parlamento de la Diputación General de La Rioja que fue tomada en consideración por el Pleno del Parlamento en su sesión de 15 de marzo de </w:t>
      </w:r>
      <w:r>
        <w:lastRenderedPageBreak/>
        <w:t xml:space="preserve">2001. El 3 de abril de 2001 el citado boletín publicó las enmiendas parciales calificadas a la proposición de Ley. La enmienda número 69 es de modificación, instando a la modificación del número mínimo de diputados precisos para la constitución de un grupo parlamentario propio, elevándolo de 2 a 3. Aparecía motivada en intentar recuperar el texto inicial reglamentario modificado en su momento (año 1998) por circunstancias derivadas de la gobernabilidad y adaptarlo al resto de Parlamentos autonómicos. El 18 de abril de 2001 se publica el nuevo Reglamento de la Cámara, cuyo artículo 22 establece que los diputados en número no inferior a tres, podrán constituirse en grupo parlamentario. </w:t>
      </w:r>
    </w:p>
    <w:p w:rsidR="00DE14C9" w:rsidRDefault="00DE14C9" w:rsidP="00DE14C9">
      <w:pPr>
        <w:pStyle w:val="TextoNormal"/>
      </w:pPr>
      <w:r>
        <w:t xml:space="preserve">c) El 19 de abril de 2001, la Mesa de la Cámara acordó aplicar el nuevo Reglamento de tal manera que aquellos grupos que incumplieran el requisito del número mínimo de miembros establecido en su art. 22.1 habían de entenderse disueltos, siendo éste el caso del hasta entonces grupo parlamentario del Partido Riojano. En consecuencia acuerda abrir un plazo de ocho días para que los diputados que integraban el grupo parlamentario del Partido Riojano puedan, si lo desean, asociarse a alguno de los grupos parlamentarios que integran la cámara. Transcurrido ese plazo sin formalizarse tal asociación o puesta de manifiesto su voluntad de no asociarse a ninguno de los grupos existentes serían incorporados al grupo mixto. Contra el mismo, los recurrentes presentaron ante la Mesa de la Cámara un escrito solicitando su reconsideración. Ésta, en su sesión de 26 de abril de 2001 acordó inadmitir las solicitudes de reconsideración. Lo funda en que el nuevo Reglamento sólo prevé la reconsideración respecto a los acuerdos de la Mesa de la Cámara calificando escritos y documentos de índole parlamentaria, por lo que no contempla la posibilidad de solicitar la reconsideración del acuerdo de 19 de abril de 2001 antes referido, que declara susceptible únicamente de recurso de amparo ante este Tribunal Constitucional, de conformidad con el art. 42 LOTC. </w:t>
      </w:r>
    </w:p>
    <w:p w:rsidR="00DE14C9" w:rsidRDefault="00DE14C9" w:rsidP="00DE14C9">
      <w:pPr>
        <w:pStyle w:val="TextoNormal"/>
      </w:pPr>
      <w:r>
        <w:t xml:space="preserve">d) Posteriormente, el 30 de abril de 2001, los recurrentes presentaron ante la Mesa sendos escritos denunciando la vulneración de sus derechos fundamentales y comunicando su intención de seguir perteneciendo al grupo parlamentario del Partido Riojano legalmente constituido. En sesión del 2 de mayo de 2001 la Mesa del Parlamento acordó incorporar a los recurrentes al grupo parlamentario mixto. También, el mismo día, acordó designar a don Miguel González de Lejarra como portavoz del grupo parlamentario mixto. En posterior sesión de 9 de mayo de 2001 se aprobó la “Resolución de la Presidencia sobre funcionamiento del grupo mixto”. En la misma se establece su composición, el lugar del hemiciclo parlamentario donde han de sentarse, la rotación semestral en el cargo de portavoz en tanto no designaran uno por sí mismos, su representación en las comisiones parlamentarias, el tiempo de intervención en los debates, la cuantificación de la subvención fija del grupo en razón de su número de miembros y el despacho que habían de utilizar. Asimismo, su apartado décimo dispone que el grupo mixto podrá asumir la tramitación de las iniciativas parlamentarias del grupo parlamentario del partido riojano que se encontraban pendientes de sustanciación a la entrada en vigor del nuevo Reglamento. </w:t>
      </w:r>
    </w:p>
    <w:p w:rsidR="00DE14C9" w:rsidRDefault="00DE14C9" w:rsidP="00DE14C9">
      <w:pPr>
        <w:pStyle w:val="TextoNormal"/>
      </w:pPr>
      <w:r>
        <w:t>e) Por último, el 31 de mayo de 2001 la Mesa del Parlamento resolvió la petición que le había sido dirigida por el Sr. González de Legarra comunicando su nombramiento como portavoz del grupo mixto y la plena dedicación a la Cámara, a efectos de que dispusiera el abono de sus cotizaciones a la Seguridad Social. Lo hizo por acuerdo en el que razonaba que a pesar de que el art. 15.3 del Reglamento permitía esa posibilidad en aquel momento el abono de las cotizaciones a la Seguridad Social de los diputados con plena dedicación corría por cuenta de los grupos parlamentarios, y por ello denegó la solicitud de abono de las cotizaciones a la Seguridad Social.</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3</w:t>
      </w:r>
      <w:r>
        <w:t xml:space="preserve">. En la demanda de amparo, los recurrentes fundan su recurso en los siguientes argumentos de Derecho: </w:t>
      </w:r>
    </w:p>
    <w:p w:rsidR="00DE14C9" w:rsidRDefault="00DE14C9" w:rsidP="00DE14C9">
      <w:pPr>
        <w:pStyle w:val="TextoNormal"/>
      </w:pPr>
      <w:r>
        <w:t xml:space="preserve">A su entender, la disolución del grupo parlamentario del partido riojano conculca directamente su derecho a participar en los asuntos públicos como diputados en representación de los ciudadanos riojanos. Han sido integrados en el grupo parlamentario mixto y como consecuencia de ello han visto reducidos sus derechos económicos y limitadas sus intervenciones en los órganos parlamentarios, infringiendo el clásico principio de proporcionalidad. </w:t>
      </w:r>
    </w:p>
    <w:p w:rsidR="00DE14C9" w:rsidRDefault="00DE14C9" w:rsidP="00DE14C9">
      <w:pPr>
        <w:pStyle w:val="TextoNormal"/>
      </w:pPr>
      <w:r>
        <w:t xml:space="preserve">Su pertenencia al grupo parlamentario del Partido Riojano formaba parte de su estatuto representativo como diputados que, conforme a la jurisprudencia constitucional, no puede ser modificado o alterado en plena legislatura por una decisión política. </w:t>
      </w:r>
    </w:p>
    <w:p w:rsidR="00DE14C9" w:rsidRDefault="00DE14C9" w:rsidP="00DE14C9">
      <w:pPr>
        <w:pStyle w:val="TextoNormal"/>
      </w:pPr>
      <w:r>
        <w:t xml:space="preserve">La Mesa de la Cámara, a su entender, carece de potestad para declarar la disolución de un grupo parlamentario. Las causas de disolución posibles son únicamente las previstas en el art. 24.7 del Reglamento de la Cámara (reducción de los componentes de un grupo a menos de la mitad de los exigidos para su constitución). A estos efectos, la intervención de la Mesa de la Cámara sólo puede ser declarativa, de certificación de que se han cumplido los requisitos para constituir un grupo parlamentario. En esta ocasión tales requisitos eran los previstos en el art. 17 del anterior Reglamento y conforme a los cuales se constituyó el grupo parlamentario del Partido Riojano. Por su parte, el art. 23 del Reglamento establece que los grupos se constituyen dentro de los ocho días siguientes a la sesión constitutiva del Parlamento. La mesa ha incurrido en un error de derecho al pretender dictar una resolución constitutiva del derecho, en vez de meramente declarativa, que no tiene encaje legal alguno. El Reglamento del Congreso de los Diputados prevé en su disposición transitoria segunda un supuesto similar al actual que establece textualmente que “lo dispuesto en el art. 23 será de aplicación a partir de la legislatura siguiente a la entrada en vigor del presente reglamento”. El Reglamento del Parlamento de la Rioja de 2001 no establece ninguna disposición sobre régimen transitorio en materia de constitución de grupos parlamentarios. El Acuerdo de la Mesa del parlamento de 19 de abril de 2001 resuelve aplicar los requisitos de constitución de un grupo parlamentario previstos en el art. 22 del Reglamento a un grupo parlamentario ya constituido, transformando un requisito de constitución en una causa de extinción que se aplica con efectos retroactivos. </w:t>
      </w:r>
    </w:p>
    <w:p w:rsidR="00DE14C9" w:rsidRDefault="00DE14C9" w:rsidP="00DE14C9">
      <w:pPr>
        <w:pStyle w:val="TextoNormal"/>
      </w:pPr>
      <w:r>
        <w:t xml:space="preserve">En consecuencia, el referido acuerdo y las decisiones consecuentes al mismo lesionan los artículos 23, 24 y 9 CE, infringiendo el principio de legalidad y de irretroactividad. El art. 9.3 CE no garantiza un principio de irretroactividad absoluta o total, sino un principio de retroactividad relativa o parcial. La Constitución proscribe la retroactividad de las leyes sancionadoras y las restrictivas de derechos. El acuerdo de la Mesa, sin amparo normativo alguno, produce una restricción en los derechos que como diputados integrantes de un grupo parlamentario tenían reconocidos los recurrentes, afectando así al derecho de participación y el ejercicio del pluralismo político. La eficacia normal de una Ley se despliega únicamente pro futuro, es decir con respecto a situaciones que nazcan con posterioridad a su entrada en vigor. En derecho español la irretroactividad constituye la regla general, de forma que la retroactividad sólo se aplicará cuando el legislador así lo disponga (art. 2.3 CC). </w:t>
      </w:r>
    </w:p>
    <w:p w:rsidR="00DE14C9" w:rsidRDefault="00DE14C9" w:rsidP="00DE14C9">
      <w:pPr>
        <w:pStyle w:val="TextoNormal"/>
      </w:pPr>
      <w:r>
        <w:t xml:space="preserve">La doctrina del Tribunal Supremo es clara: la nueva ley sólo afecta a los actos que se producen con posterioridad a su entrada en vigor de modo que la norma derogante no afectará ni a las situaciones jurídicas creadas al amparo de la norma precedente ni a los efectos derivados de las mismas (STS de 19 de octubre de 1982). El Tribunal Constitucional, por su parte, establece la no incidencia de la ley en las situaciones de hecho producidas o desarrolladas con anterioridad a la propia ley (SSTC 42/1986, 126/1987, 199/1990). La nueva </w:t>
      </w:r>
      <w:r>
        <w:lastRenderedPageBreak/>
        <w:t xml:space="preserve">ley puede incidir en los derechos en curso de adquisición pero no en los derechos consolidados, asumidos e integrados en la esfera jurídica de los diputados intervinientes y del propio grupo parlamentario. </w:t>
      </w:r>
    </w:p>
    <w:p w:rsidR="00DE14C9" w:rsidRDefault="00DE14C9" w:rsidP="00DE14C9">
      <w:pPr>
        <w:pStyle w:val="TextoNormal"/>
      </w:pPr>
      <w:r>
        <w:t xml:space="preserve">En virtud de todo ello, suplican que se otorgue el amparo solicitado; se declare la nulidad de los acuerdos de referencia; se restablezca el derecho fundamental del art. 23 CE, ordenando el restablecimiento de los recurrentes en sus derechos y la reposición con todos los derechos de carácter parlamentario y económico del grupo parlamentario del Partido Riojano y el pago de las retribuciones y percepciones correspondientes dejadas de percibir; se condene en costas a la Mesa del Parlamento de la Rioja si se opusiere a estas pretensiones. </w:t>
      </w:r>
    </w:p>
    <w:p w:rsidR="00DE14C9" w:rsidRDefault="00DE14C9" w:rsidP="00DE14C9">
      <w:pPr>
        <w:pStyle w:val="TextoNormal"/>
      </w:pPr>
      <w:r>
        <w:t>Por otrosí se solicita la suspensión de los citados acuerdos y la reposición provisional de los recurrentes en su condición de integrantes del grupo parlamentario del Partido Riojano.</w:t>
      </w:r>
    </w:p>
    <w:p w:rsidR="00DE14C9" w:rsidRDefault="00DE14C9" w:rsidP="00DE14C9">
      <w:pPr>
        <w:pStyle w:val="TextoNormal"/>
      </w:pPr>
    </w:p>
    <w:p w:rsidR="00DE14C9" w:rsidRDefault="00DE14C9" w:rsidP="00DE14C9">
      <w:pPr>
        <w:pStyle w:val="TextoNormal"/>
      </w:pPr>
      <w:r w:rsidRPr="00DE14C9">
        <w:rPr>
          <w:rStyle w:val="NumeroAFNegritaCaracter"/>
        </w:rPr>
        <w:t>4</w:t>
      </w:r>
      <w:r>
        <w:t>. Mediante providencia de 10 de diciembre de 2001 la Sección Segunda de este Tribunal acordó la admisión a trámite de la demanda de amparo y tener por personada y parte en nombre y representación de los recurrentes a la Procuradora de los Tribunales referida en el encabezamiento de esta Sentencia. Asimismo, a tenor de lo dispuesto en el art. 51 LOTC ordena se dirija comunicación al Excmo. Sr. Presidente del Parlamento de La Rioja a fin de que en el plazo de diez días remita testimonio de los expedientes correspondientes a los acuerdos recurridos en amparo, acompañándose copia de la demanda para conocimiento de la Mesa del Parlamento de la Rioja, a efectos de su personación en el presente proceso constitucional. Además, que conforme solicita la parte actora se forme la correspondiente pieza separada de suspensión.</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El 14 de enero de 2002 tuvo entrada en el Registro General de este Tribunal escrito del Presidente del Parlamento de La Rioja remitiendo copia del acuerdo de la Mesa de la Cámara por el que se solicita que se tenga por personado al Parlamento en el proceso constitucional y designando al Letrado Mayor para su representación y defensa. El 25 de febrero de 2002 tuvo entrada escrito de don Jorge Apellániz Barrio, Letrado Mayor del Parlamento de la Rioja, presentando sus alegaciones en el proceso. </w:t>
      </w:r>
    </w:p>
    <w:p w:rsidR="00DE14C9" w:rsidRDefault="00DE14C9" w:rsidP="00DE14C9">
      <w:pPr>
        <w:pStyle w:val="TextoNormal"/>
      </w:pPr>
      <w:r>
        <w:t xml:space="preserve">En ellas suscita en primer lugar la inadmisibilidad de la demanda de amparo por formularse contra un acto no susceptible de impugnación por esta vía por dirigirse contra una norma con rango de ley como es el Reglamento del Parlamento de La Rioja, siendo los acuerdos de la mesa impugnados meramente declarativos de la aplicación de la norma. También invoca la inadmisibilidad del motivo de amparo sustentado en la violación del art. 9.3 CE por no ser susceptible de este recurso. Resalta también el escrito que los demandantes han intentado reiteradamente alargar de forma artificial la vía intra parlamentaria. </w:t>
      </w:r>
    </w:p>
    <w:p w:rsidR="00DE14C9" w:rsidRDefault="00DE14C9" w:rsidP="00DE14C9">
      <w:pPr>
        <w:pStyle w:val="TextoNormal"/>
      </w:pPr>
      <w:r>
        <w:t xml:space="preserve">En cuanto al fondo de la cuestión, en opinión del Letrado Mayor del Parlamento de La Rioja sólo las personas físicas pueden ser titulares de los derechos contenidos en el art. 23 CE, por lo que debe rechazarse que se haya producido vulneración alguno del derecho del grupo parlamentario del Partido Riojano a acceder en condiciones de igualdad a las funciones y cargos públicos. En cuanto al núcleo esencial de la función representativa parlamentaria de los diputados recurrentes, no ha sufrido restricción alguna como consecuencia de la entrada en vigor del Reglamento del Parlamento aprobado el 10 de abril de 2001 ni de los acuerdos de la Mesa de la Cámara recurridos. Destaca el escrito las numerosas iniciativas presentadas por los recurrentes desde el grupo parlamentario mixto. Señala que tienen asignados escaños en el salón de sesiones igual que el resto de diputados, designaron portavoz, tienen derecho a participar en las comisiones que se constituyan en el Parlamento con al menos un diputado del grupo parlamentario mixto, ambos son miembro de la Diputación </w:t>
      </w:r>
      <w:r>
        <w:lastRenderedPageBreak/>
        <w:t xml:space="preserve">Permanente y tienen derecho sin ninguna limitación a participar mediante la formulación de la correspondiente propuesta en los procesos de elección y designación de personas que deba efectuar el Parlamento. También tienen derecho a intervenir en los debates que se desarrollen en los órganos parlamentarios de los que forman parte, si bien les corresponde sólo el uso de la palabra por las dos terceras partes del tiempo que tengan asignado el resto de los grupos parlamentarios, de acuerdo con el art. 26.1 del Reglamento de la Cámara, en la medida en que el grupo parlamentario mixto no alcanza el número mínimo de miembros exigidos para formar grupo parlamentario propio. En relación a esta cuestión, la STC 44/1995 ha admitido la aplicación de cierta proporcionalidad cuando se trata de grupos parlamentarios muy reducidos. </w:t>
      </w:r>
    </w:p>
    <w:p w:rsidR="00DE14C9" w:rsidRDefault="00DE14C9" w:rsidP="00DE14C9">
      <w:pPr>
        <w:pStyle w:val="TextoNormal"/>
      </w:pPr>
      <w:r>
        <w:t xml:space="preserve">Por lo que hace a los derechos económicos, el nuevo Reglamento de la Cámara establece, igual que el anterior, que cuando el número de integrantes del grupo parlamentario mixto no alcanza el mínimo de miembros exigidos para formar grupo parlamentario propio sus derechos económicos serán proporcionales a su importancia numérica. Se trata de una disposición plenamente acorde con la doctrina sentada en la STC 214/1990. En esta ocasión la Mesa de la Cámara estableció que su subvención fija debía ser de dos terceras partes de la correspondiente al resto de los grupos, mucho más numerosos. La cuantía de la subvención variable, que se otorga de acuerdo con el número de diputados, es idéntica a la de los demás grupos parlamentarios. </w:t>
      </w:r>
    </w:p>
    <w:p w:rsidR="00DE14C9" w:rsidRDefault="00DE14C9" w:rsidP="00DE14C9">
      <w:pPr>
        <w:pStyle w:val="TextoNormal"/>
      </w:pPr>
      <w:r>
        <w:t xml:space="preserve">Todas estas cantidades no han experimentado variación alguna con la entrada en vigor del nuevo Reglamento de la Cámara, teniendo además en cuenta que el derecho fundamental contenido en el art. 23.2 CE no comprende el derecho a percibir cantidades económicas (SSTC 28/1984, 96/1988). Como añadido se hace referencia a que desde noviembre de 1999 no existen diputados en régimen de plena dedicación al Parlamento de la Rioja que perciban cantidades anuales fijas, salvo lo establecido para el Presidente de la Cámara. </w:t>
      </w:r>
    </w:p>
    <w:p w:rsidR="00DE14C9" w:rsidRDefault="00DE14C9" w:rsidP="00DE14C9">
      <w:pPr>
        <w:pStyle w:val="TextoNormal"/>
      </w:pPr>
      <w:r>
        <w:t xml:space="preserve">Se refiere luego el escrito a las argumentaciones de los demandantes de amparo sobre la eficacia retroactiva de la entrada en vigor del Reglamento de la Cámara. Insiste en que el artículo 9.3 CE queda al margen del ámbito del recurso de amparo, aunque entiende que en todo caso no se ha producido ninguna disposición retroactiva lesiva de derechos individuales puesto que el núcleo esencial de la función representativa parlamentaria de los recurrentes está intacto. Ellos pretenden que se mantenga su situación al comienzo de la legislatura, ajena a cualquier modificación de la norma que concreta la configuración legal de sus derechos como parlamentarios, como si se tratara de unos derechos adquiridos se tratara. En la STC 23/1999, que sería aplicable por analogía con el supuesto actual, el Tribunal Constitucional rechazó que el funcionario que ingresa en la Administración puede exigir que su situación estatutaria quede congelada en los términos en que se hallaba regulada al tiempo de su ingreso. Junto a ello, hay que tomar en cuenta el legítimo derecho a la autoorganización que reconoce al parlamento el art. 18.2 del Estatuto de Autonomía de La Rioja, de tal modo que de establecer la inmodificabilidad de la norma reglamentaria se estaría poniendo en duda el principio de autonomía parlamentaria. </w:t>
      </w:r>
    </w:p>
    <w:p w:rsidR="00DE14C9" w:rsidRDefault="00DE14C9" w:rsidP="00DE14C9">
      <w:pPr>
        <w:pStyle w:val="TextoNormal"/>
      </w:pPr>
      <w:r>
        <w:t>En última instancia, en el caso actual, los efectos de la entrada en vigor del Reglamento de la Cámara y los acuerdos que se dice impugnar se proyectan hacia el futuro, sin afectar a situaciones anteriores, por todo lo cual suplica a la Sala dicte en su día Sentencia por la que se deniegue en su totalidad el amparo solicitado.</w:t>
      </w:r>
    </w:p>
    <w:p w:rsidR="00DE14C9" w:rsidRDefault="00DE14C9" w:rsidP="00DE14C9">
      <w:pPr>
        <w:pStyle w:val="TextoNormal"/>
      </w:pPr>
    </w:p>
    <w:p w:rsidR="00DE14C9" w:rsidRDefault="00DE14C9" w:rsidP="00DE14C9">
      <w:pPr>
        <w:pStyle w:val="TextoNormal"/>
      </w:pPr>
      <w:r w:rsidRPr="00DE14C9">
        <w:rPr>
          <w:rStyle w:val="NumeroAFNegritaCaracter"/>
        </w:rPr>
        <w:t>6</w:t>
      </w:r>
      <w:r>
        <w:t xml:space="preserve">. Mediante escrito registrado en este Tribunal el 28 de febrero de 2002 formula sus alegaciones el Fiscal. En ella señala en primer lugar que los recurrentes sólo pueden intervenir en el presente proceso en nombre propio, no como grupo parlamentario del Partido </w:t>
      </w:r>
      <w:r>
        <w:lastRenderedPageBreak/>
        <w:t xml:space="preserve">Riojano, pues dicho grupo no existía en el momento de interponerse el recurso ni aparece como demandante en el encabezamiento de la demanda o el otorgamiento de poder. También delimita el objeto del recurso en el sentido de señalar que aparte de la mención en su encabezamiento, la demanda en ningún momento especifica la supuesta lesión del art. 24 CE, ni ha intervino en el proceso órgano judicial alguno, por lo que este punto ha de ser desestimado. </w:t>
      </w:r>
    </w:p>
    <w:p w:rsidR="00DE14C9" w:rsidRDefault="00DE14C9" w:rsidP="00DE14C9">
      <w:pPr>
        <w:pStyle w:val="TextoNormal"/>
      </w:pPr>
      <w:r>
        <w:t xml:space="preserve">En cuanto a la alegación referente a la vulneración de los derechos contenidos en el art. 23.2 CE, hay que señalar que dicho artículo no constitucionaliza toda la legalidad parlamentaria. Lo estrictamente parlamentario tan sólo adquiere relevancia constitucional cuando por un acto de la Cámara se apliquen de manera desigual las normas que rigen su vida interior o se lesione la función representativa constitucionalmente encomendada a los parlamentarios. </w:t>
      </w:r>
    </w:p>
    <w:p w:rsidR="00DE14C9" w:rsidRDefault="00DE14C9" w:rsidP="00DE14C9">
      <w:pPr>
        <w:pStyle w:val="TextoNormal"/>
      </w:pPr>
      <w:r>
        <w:t xml:space="preserve">Los parlamentarios electos no tienen un derecho absoluto a constituir grupo parlamentario identificado con el partido o agrupación por los que fueron elegidos si no es con los requisitos legalmente establecidos, notablemente el número mínimo de componentes. Tampoco tienen derecho a que se mantenga el grupo una vez constituido pues en los Reglamentos suelen establecerse situaciones que determinan la disolución del grupo. A juicio del Fiscal, desde ese punto de vista, y habida cuenta de que los recurrentes son ahora los únicos integrantes del grupo parlamentario mixto, no tienen contenido constitucional las dos primeras lesiones denunciadas por ellos, relativas a la disolución del grupo parlamentario del partido riojano y su integración forzosa en el grupo parlamentario mixto. </w:t>
      </w:r>
    </w:p>
    <w:p w:rsidR="00DE14C9" w:rsidRDefault="00DE14C9" w:rsidP="00DE14C9">
      <w:pPr>
        <w:pStyle w:val="TextoNormal"/>
      </w:pPr>
      <w:r>
        <w:t xml:space="preserve">En cuanto a la reducción y supresión de los derechos del grupo parlamentario disuelto, considera que a efectos constitucionales la repercusión en la función representativa de los recurrentes ha de verse comparando la situación anterior y la existente al formular la demanda de amparo. Conforme al art. 26 del Reglamento han resultado reducidos la subvención fija y el tiempo de intervención del grupo parlamentario mixto en relación con los de los restantes grupos por razones de proporcionalidad teniendo en cuenta el número de componentes de cada grupo. De acuerdo con la jurisprudencia constitucional, cuando no se trata de una privación total sino proporcional de la subvención fija, atendiendo al número de miembros, no puede reputarse contraria al art. 23.2 CE (STC 44/1995, FJ 4). </w:t>
      </w:r>
    </w:p>
    <w:p w:rsidR="00DE14C9" w:rsidRDefault="00DE14C9" w:rsidP="00DE14C9">
      <w:pPr>
        <w:pStyle w:val="TextoNormal"/>
      </w:pPr>
      <w:r>
        <w:t xml:space="preserve">Respecto a la reducción o supresión de la representación de los parlamentarios demandantes de amparo en los órganos de la Cámara, ésta no resulta del contenido del acuerdo impugnado: los demandantes siguen teniendo sus escaños en el hemiciclo, forman parte de la Junta de Portavoces, forman parte de las mismas comisiones en las que participaban anteriormente. No hay variación en su intervención en la Diputación Permanente ni en la elección y designación de personas y se ha previsto que puedan asumir la tramitación de las iniciativas parlamentarias del grupo parlamentario del Partido Riojano. En definitiva, en nada han sido afectados sus derechos. No ha sido acreditada una reducción en los derechos de los diputados y la desestimación de la petición de abono de las cotizaciones a la Seguridad Social se hace para no variar el criterio respecto a los diputados con dedicación plena de los otros grupos parlamentarios. </w:t>
      </w:r>
    </w:p>
    <w:p w:rsidR="00DE14C9" w:rsidRDefault="00DE14C9" w:rsidP="00DE14C9">
      <w:pPr>
        <w:pStyle w:val="TextoNormal"/>
      </w:pPr>
      <w:r>
        <w:t>En cuanto a la retroactividad en la aplicación del Reglamento, es necesario recordar que el art. 9.3 CE queda al margen del recurso de amparo (STC 10/1983) y su pretendida vinculación con los derechos del art. 23.2 CE carece de cobertura. Desde otro punto de vista, puesto que no se han restringido derechos individuales, no es de aplicación el propio art. 9.3 CE. Por todo ello, el Fiscal interesa a la Sala que dicte Sentencia que deniegue el amparo solicitado.</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7</w:t>
      </w:r>
      <w:r>
        <w:t xml:space="preserve">. En el plazo concedido por la providencia de 10 de diciembre de 2001 para alegaciones en relación con la petición de suspensión, mediante escrito registrado en este Tribunal el 31 de diciembre de 2001, los recurrentes presentan sus alegaciones que, en buena medida, reiteran el contenido del otrosí por el que se solicitaba la suspensión de la demanda de amparo. En esencia, los argumentos en los que basan su petición son: el fumus boni iuris de la petición de amparo, el perjuicio cierto de los derechos económicos (en los que se insiste especialmente tanto en relación con las labores parlamentarias —así, respecto del control parlamentario en supuestos tales como el traspaso de competencias de la sanidad pública—, como en relación con la financiación del partido político al que pertenecen los recurrentes) y representativos, el que no se ocasionan perjuicios graves para el ejercicio de la función parlamentaria de los otros grupos y, sobre todo, el que la denegación de la suspensión ocasionaría la pérdida de la finalidad del amparo solicitado caso de ser concedido, al no resultar posible la restauración de los derechos conculcados una vez finado el mandato parlamentario ni durante el tiempo que no se ejercieren. </w:t>
      </w:r>
    </w:p>
    <w:p w:rsidR="00DE14C9" w:rsidRDefault="00DE14C9" w:rsidP="00DE14C9">
      <w:pPr>
        <w:pStyle w:val="TextoNormal"/>
      </w:pPr>
      <w:r>
        <w:t xml:space="preserve">Por escrito registrado en este Tribunal el 8 de enero de 2002, el Ministerio Fiscal da a conocer sus alegaciones, oponiéndose a la suspensión solicitada en razón, por un lado, de que el actual status de los parlamentarios recurrentes no incide en la esencia de su labor representativa parlamentaria, pues el grupo mixto es tan grupo parlamentario como los demás de la Cámara, con la única especificidad, establecida en el art. 26.1 del Reglamento, de la reducción del tiempo de intervención en las sesiones, reducción proporcional a la importancia numérica del grupo; y, por otro, en cuanto a las consecuencias de contenido económico se refiere, en razón de que la consolidada doctrina de este Tribunal de que los perjuicios económicos son reparables a posteriori si se concede el amparo solicitado, se ha venido aplicando ya en varias ocasiones en el ámbito de los derechos de los parlamentarios (AATC 589/1989 y 254/1994). </w:t>
      </w:r>
    </w:p>
    <w:p w:rsidR="00DE14C9" w:rsidRDefault="00DE14C9" w:rsidP="00DE14C9">
      <w:pPr>
        <w:pStyle w:val="TextoNormal"/>
      </w:pPr>
      <w:r>
        <w:t xml:space="preserve">Por escrito registrado en este Tribunal el 4 de febrero de 2002, el Letrado Mayor del Parlamento de La Rioja, en nombre y representación del mismo, presenta alegaciones sobre la suspensión por si la Sala tuviera a bien su estimación en la sustanciación del incidente. En esencia, se opone a la misma afirmando, primero, que lo que realmente se recurre por los demandantes es un precepto (el art. 22.1) del Reglamento parlamentario, norma que tiene valor de ley, de modo que la concesión de la medida cautelar supondría la suspensión del propio Reglamento de la Cámara y, después, que ni sus derechos parlamentarios ni sus derechos económicos han sufrido perjuicios irreparables, aportando como demostración de ello minucioso detalle de las actividades parlamentarias llevadas a cabo por los recurrentes desde que pasaron a formar parte del grupo mixto, los extremos concretos de su nuevo status (adscripción a las Comisiones, a la Diputación Permanente, tiempos de intervención en los debates, etc.) y las subvenciones y asignaciones económicas que han venido percibiendo tanto en su condición de Grupo como en la de parlamentarios. </w:t>
      </w:r>
    </w:p>
    <w:p w:rsidR="00DE14C9" w:rsidRDefault="00DE14C9" w:rsidP="00DE14C9">
      <w:pPr>
        <w:pStyle w:val="TextoNormal"/>
      </w:pPr>
      <w:r>
        <w:t>El 11 de febrero de 2002, este Tribunal dictó el ATC 18/2002 denegando la suspensión solicitada.</w:t>
      </w:r>
    </w:p>
    <w:p w:rsidR="00DE14C9" w:rsidRDefault="00DE14C9" w:rsidP="00DE14C9">
      <w:pPr>
        <w:pStyle w:val="TextoNormal"/>
      </w:pPr>
    </w:p>
    <w:p w:rsidR="00DE14C9" w:rsidRDefault="00DE14C9" w:rsidP="00DE14C9">
      <w:pPr>
        <w:pStyle w:val="TextoNormal"/>
      </w:pPr>
      <w:r w:rsidRPr="00DE14C9">
        <w:rPr>
          <w:rStyle w:val="NumeroAFNegritaCaracter"/>
        </w:rPr>
        <w:t>8</w:t>
      </w:r>
      <w:r>
        <w:t xml:space="preserve">. Por providencia de 26 de febrero de 2007 la Sala Primera de este Tribunal acordó solicitar del Parlamento de La Rioja la certificación comprensiva de las modificaciones legislativas sufridas por el Reglamento de la Diputación General de La Rioja, hoy Parlamento de La Rioja, en lo concerniente al número de Diputados necesarios para constituir grupo parlamentario, desde el primer Reglamento aprobado hasta la actualidad, explicitando las fechas de aprobación, si ésta se ha producido tras la constitución de una nueva Asamblea </w:t>
      </w:r>
      <w:r>
        <w:lastRenderedPageBreak/>
        <w:t>Legislativa y haciendo constar si la modificación ha tenido lugar al inicio durante el desarrollo de las diferentes legislaturas, especificando su fecha de entrada en vigor y aplicación, en su caso, por la Mesa de la Asamblea Legislativa.</w:t>
      </w:r>
    </w:p>
    <w:p w:rsidR="00DE14C9" w:rsidRDefault="00DE14C9" w:rsidP="00DE14C9">
      <w:pPr>
        <w:pStyle w:val="TextoNormal"/>
      </w:pPr>
    </w:p>
    <w:p w:rsidR="00DE14C9" w:rsidRDefault="00DE14C9" w:rsidP="00DE14C9">
      <w:pPr>
        <w:pStyle w:val="TextoNormal"/>
      </w:pPr>
      <w:r w:rsidRPr="00DE14C9">
        <w:rPr>
          <w:rStyle w:val="NumeroAFNegritaCaracter"/>
        </w:rPr>
        <w:t>9</w:t>
      </w:r>
      <w:r>
        <w:t>. En escrito presentado ante el Registro General de este Tribunal el día 3 de abril de 2007 don Jorge Apellániz Barrio, Letrado mayor del Parlamento de La Rioja y representante de dicha Cámara, libró certificación referida a la totalidad de reformas del Reglamento del Parlamento de La Rioja. Conforme a la misma resulta que el día 23 de diciembre de 1982 entró en vigor el Reglamento provisional de la Cámara que establecía un mínimo de cinco Diputados para constituir grupo parlamentario. Durante el desarrollo de la primera legislatura se aprobó el Reglamento definitivo de la Diputación General que fijaba el número mínimo de Diputados necesarios para constituir grupo parlamentario en cuatro. El 14 de julio de 1988, durante el desarrollo de la segunda legislatura, entra en vigor una reforma del Reglamento aprobada exclusivamente con el fin de reducir el número mínimo de diputados exigido para la constitución de grupo parlamentario, el cual pasa de cuatro a dos. La norma se mantuvo en estos términos hasta 18 de abril de 2001 cuando, ya en la quinta legislatura, se aprobó la reforma del Reglamento cuya aplicación se cuestiona en el presente recurso de amparo, que entre otras cosas amplia el número mínimo de diputados exigidos para la constitución de grupo parlamentario de dos a tres miembros.</w:t>
      </w:r>
    </w:p>
    <w:p w:rsidR="00DE14C9" w:rsidRDefault="00DE14C9" w:rsidP="00DE14C9">
      <w:pPr>
        <w:pStyle w:val="TextoNormal"/>
      </w:pPr>
    </w:p>
    <w:p w:rsidR="00DE14C9" w:rsidRDefault="00DE14C9" w:rsidP="00DE14C9">
      <w:pPr>
        <w:pStyle w:val="TextoNormal"/>
      </w:pPr>
      <w:r w:rsidRPr="00DE14C9">
        <w:rPr>
          <w:rStyle w:val="NumeroAFNegritaCaracter"/>
        </w:rPr>
        <w:t>10</w:t>
      </w:r>
      <w:r>
        <w:t xml:space="preserve">. Recibida la certificación anterior, por diligencia de ordenación de 17 de abril de 2007 se concedió un plazo común de diez días al Ministerio Fiscal y a las partes personadas para que con vista de las actuaciones complementarias recibidas pudieran efectuar las alegaciones que sus derecho convinieran respecto a las mismas. </w:t>
      </w:r>
    </w:p>
    <w:p w:rsidR="00DE14C9" w:rsidRDefault="00DE14C9" w:rsidP="00DE14C9">
      <w:pPr>
        <w:pStyle w:val="TextoNormal"/>
      </w:pPr>
      <w:r>
        <w:t xml:space="preserve">El Parlamento de La Rioja formuló sus alegaciones mediante escrito ingresado en este Tribunal el 16 de mayo de 2007. En las mismas reiteran los argumentos realizados en el anterior trámite de alegaciones, insistiendo en que la reforma de 2001 del Reglamento modificó un total de 139 artículos, de manera que no puede aislarse en la misma la variación del número de diputados necesarios para formar grupo parlamentario como si se tratara de una norma específica dictada ad hoc. </w:t>
      </w:r>
    </w:p>
    <w:p w:rsidR="00DE14C9" w:rsidRDefault="00DE14C9" w:rsidP="00DE14C9">
      <w:pPr>
        <w:pStyle w:val="TextoNormal"/>
      </w:pPr>
      <w:r>
        <w:t xml:space="preserve">Los recurrentes en amparo presentaron escrito de alegaciones el 9 de mayo del 2007. En las mismas realizan una relación cronológica del devenir del presente recurso de amparo, aducen que la petición realizada por la providencia antes reseñada no guarda relación con el objeto del recurso e insisten en los argumentos de la demanda de amparo. </w:t>
      </w:r>
    </w:p>
    <w:p w:rsidR="00DE14C9" w:rsidRDefault="00DE14C9" w:rsidP="00DE14C9">
      <w:pPr>
        <w:pStyle w:val="TextoNormal"/>
      </w:pPr>
      <w:r>
        <w:t>El Fiscal ante el Tribunal Constitucional ratificó, por escrito ingresado el 24 de mayo de 2007, su dictamen de alegaciones de fecha 28 de febrero de 2002, estimando que de la relación de modificaciones del Reglamento de la Cámara no parece derivarse argumentación bastante que signifique la variación de la denegación del amparo solicitada en su día.</w:t>
      </w:r>
    </w:p>
    <w:p w:rsidR="00DE14C9" w:rsidRDefault="00DE14C9" w:rsidP="00DE14C9">
      <w:pPr>
        <w:pStyle w:val="TextoNormal"/>
      </w:pPr>
    </w:p>
    <w:p w:rsidR="00DE14C9" w:rsidRDefault="00DE14C9" w:rsidP="00DE14C9">
      <w:pPr>
        <w:pStyle w:val="TextoNormal"/>
      </w:pPr>
      <w:r w:rsidRPr="00DE14C9">
        <w:rPr>
          <w:rStyle w:val="NumeroAFNegritaCaracter"/>
        </w:rPr>
        <w:t>11</w:t>
      </w:r>
      <w:r>
        <w:t>. Por providencia de 9 de marzo de 2006 se señaló para la deliberación y votación de la presente Sentencia el día 13 de dicho mes y año en que comenzó habiendo terminado en el día de hoy.</w:t>
      </w:r>
    </w:p>
    <w:p w:rsidR="00DE14C9" w:rsidRDefault="00DE14C9" w:rsidP="00DE14C9">
      <w:pPr>
        <w:pStyle w:val="TextoNormal"/>
      </w:pPr>
    </w:p>
    <w:p w:rsidR="00DE14C9" w:rsidRDefault="00DE14C9" w:rsidP="00DE14C9">
      <w:pPr>
        <w:pStyle w:val="TextoNormalNegritaCentrado"/>
        <w:keepNext/>
      </w:pPr>
      <w:r>
        <w:lastRenderedPageBreak/>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El presente recurso de amparo tiene por objeto varias resoluciones de la Mesa del Parlamento de La Rioja en aplicación de las disposiciones del nuevo Reglamento de la Cámara, de 10 de abril de 2001, relativas al número de diputados exigidos para formar grupo parlamentario propio. En concreto se trata del Acuerdo de 19 de abril de 2001, por el que se acuerda la disolución del grupo parlamentario del Partido Riojano y se concede un plazo de ocho días para que, si lo desean, se asocien a alguno de los grupos parlamentarios que integran la Cámara y, en caso de no hacerlo, serían incorporados al grupo mixto; 26 de abril de 2001, de no reconsideración del Acuerdo anterior; 2 de mayo de 2001, de incorporación de los recurrentes al grupo mixto; 2 de mayo de 2001, de designación del Sr. González de Legarra como portavoz del grupo mixto; 9 de mayo de 2001, relativo a la Resolución de la Presidencia sobre funcionamiento del grupo mixto; 22 de mayo de 2001, de libramiento de subvenciones a los grupos parlamentarios; 31 de mayo de 2001, que inadmite solicitud de abono de cotizaciones a la Seguridad Social correspondientes al Diputado Sr. González de Legarra.</w:t>
      </w:r>
    </w:p>
    <w:p w:rsidR="00DE14C9" w:rsidRDefault="00DE14C9" w:rsidP="00DE14C9">
      <w:pPr>
        <w:pStyle w:val="TextoNormal"/>
      </w:pPr>
      <w:r>
        <w:t>A juicio de los dos demandantes, que integraban el grupo parlamentario disuelto, estos acuerdos vulneran su derecho a acceder en condiciones de igualdad a las funciones y cargos públicos representativos (art. 23.2 CE), en la medida en que restringen indebidamente y con carácter retroactivo algunas de las facultades incluidas en la configuración concreta de sus estatuto representativo parlamentario, en especial la de constituirse en grupo parlamentario y la de disfrutar de sus derechos como parlamentarios en situación de igualdad con el resto de diputados del Parlamento de La Rioja.</w:t>
      </w:r>
    </w:p>
    <w:p w:rsidR="00DE14C9" w:rsidRDefault="00DE14C9" w:rsidP="00DE14C9">
      <w:pPr>
        <w:pStyle w:val="TextoNormal"/>
      </w:pPr>
      <w:r>
        <w:t>Frente a ello, el Fiscal y el Letrado Mayor del Parlamento de La Rioja, que ha comparecido en su representación, solicitan la denegación del amparo por no haberse producido merma alguna de los derechos parlamentarios que constituyen el núcleo básico de su función representativa.</w:t>
      </w:r>
    </w:p>
    <w:p w:rsidR="00DE14C9" w:rsidRDefault="00DE14C9" w:rsidP="00DE14C9">
      <w:pPr>
        <w:pStyle w:val="TextoNormal"/>
      </w:pPr>
    </w:p>
    <w:p w:rsidR="00DE14C9" w:rsidRDefault="00DE14C9" w:rsidP="00DE14C9">
      <w:pPr>
        <w:pStyle w:val="TextoNormal"/>
      </w:pPr>
      <w:r w:rsidRPr="00DE14C9">
        <w:rPr>
          <w:rStyle w:val="NumeroAFNegritaCaracter"/>
        </w:rPr>
        <w:t>2</w:t>
      </w:r>
      <w:r>
        <w:t>. Antes de entrar en el fondo de la cuestión es necesario resolver diversas objeciones procedimentales planteadas por el Fiscal y el Letrado Mayor del Parlamento de La Rioja.</w:t>
      </w:r>
    </w:p>
    <w:p w:rsidR="00DE14C9" w:rsidRDefault="00DE14C9" w:rsidP="00DE14C9">
      <w:pPr>
        <w:pStyle w:val="TextoNormal"/>
      </w:pPr>
      <w:r>
        <w:t>En primer lugar ponen en evidencia la falta de legitimidad del grupo parlamentario del partido riojano para ser parte en el presente recurso de amparo e incluso la misma imposibilidad de esta circunstancia tratándose de un grupo parlamentario disuelto que en estos momentos no existe legalmente, por lo que carece de capacidad jurídica para actuar en Derecho, en defensa de cualesquiera derechos o intereses, propios o ajenos (ATC 520/2005, de 20 de diciembre, FJ 3). A este respecto, la demanda de amparo señala que los recurrentes “actúan en nombre propio y en su condición de integrantes del suprimido grupo parlamentario del partido riojano”, de modo que en ningún momento se deduce de ella la pretensión de que se tenga por interpuesta en nombre del grupo parlamentario suprimido, limitándose a indicar los recurrentes que las alegadas lesiones del derecho que les garantiza el art. 23.2 CE las sufrieron de modo vinculado a su indiscutida integración en el indicado grupo parlamentario, que por sí mismo no es parte en el recurso de amparo.</w:t>
      </w:r>
    </w:p>
    <w:p w:rsidR="00DE14C9" w:rsidRDefault="00DE14C9" w:rsidP="00DE14C9">
      <w:pPr>
        <w:pStyle w:val="TextoNormal"/>
      </w:pPr>
      <w:r>
        <w:t xml:space="preserve">Por otro lado, el Letrado Mayor considera que se trata de un recurso de amparo dirigido directamente contra el Reglamento de la Cámara, lo cual implicaría que, en virtud del art. 42 LOTC que se refiere exclusivamente a disposiciones o actos normativos sin fuerza de ley, no deba ser admitido a trámite. La objeción no puede acogerse. La demanda de amparo </w:t>
      </w:r>
      <w:r>
        <w:lastRenderedPageBreak/>
        <w:t>no aparece dirigida contra el Reglamento sino contra diversos actos de la Mesa de la Cámara dictados en su aplicación como seguidamente se razona.</w:t>
      </w:r>
    </w:p>
    <w:p w:rsidR="00DE14C9" w:rsidRDefault="00DE14C9" w:rsidP="00DE14C9">
      <w:pPr>
        <w:pStyle w:val="TextoNormal"/>
      </w:pPr>
    </w:p>
    <w:p w:rsidR="00DE14C9" w:rsidRDefault="00DE14C9" w:rsidP="00DE14C9">
      <w:pPr>
        <w:pStyle w:val="TextoNormal"/>
      </w:pPr>
      <w:r w:rsidRPr="00DE14C9">
        <w:rPr>
          <w:rStyle w:val="NumeroAFNegritaCaracter"/>
        </w:rPr>
        <w:t>3</w:t>
      </w:r>
      <w:r>
        <w:t>. En cuanto al fondo de la cuestión, los demandantes de amparo consideran, en esencia, que su estatuto parlamentario previo a los acuerdos impugnados venía delimitado por su pertenencia al grupo parlamentario del Partido Riojano, de modo que la disolución del citado grupo habría restringido sus derechos garantizados por el art. 23.2 CE. A su entender, la lesión del derecho fundamental trae causa en que dicha disolución resulta ilegítima desde el punto de vista del art. 9.3 CE. Frente a ello, el Ministerio público y el Parlamento de La Rioja niegan la idoneidad de la alegación en esta sede de amparo del principio de irretroactividad del art. 9.3 CE y consideran, en todo caso, que la disolución en cuestión del grupo parlamentario no ha supuesto ninguna restricción relevante del núcleo de los derechos parlamentarios de los recurrentes.</w:t>
      </w:r>
    </w:p>
    <w:p w:rsidR="00DE14C9" w:rsidRDefault="00DE14C9" w:rsidP="00DE14C9">
      <w:pPr>
        <w:pStyle w:val="TextoNormal"/>
      </w:pPr>
      <w:r>
        <w:t>De acuerdo con nuestra reiterada jurisprudencia, el derecho fundamental que garantiza el art. 23.2 CE, junto al que reconoce el apartado 1 del mismo precepto constitucional, encarna el derecho de participación política en el sistema democrático consagrado por el art. 1 CE y es la forma esencial de ejercicio de la soberanía por el conjunto de los ciudadanos (SSTC 51/1984, de 25 de abril, FJ 2; 38/1999, de 22 de marzo, FJ 2; 107/2001, de 23 de abril, FJ 3; 64/2002, de 11 de marzo, FJ 2; 177/2002, de 14 de octubre, FJ 3; 227/2004, de 29 de noviembre, FJ 2; 90/2005, de 18 de abril, FJ 2). En este sentido, el art. 23.2 CE garantiza el derecho de los ciudadanos a acceder en condiciones de igualdad a las funciones y cargos públicos, con los requisitos que señalen las leyes, así como que quienes hayan accedido a los mismos se mantengan en ellos y los desempeñen de conformidad con lo que la Ley disponga. Esta garantía añadida resulta de particular relevancia cuando la petición de amparo se formula por los representantes parlamentarios en defensa del ejercicio de sus funciones, ya que en tal supuesto resulta también afectado el derecho de los ciudadanos a participar en los asuntos públicos a través de sus representantes, reconocido en el art. 23.1 CE (SSTC 161/1988, de 20 de septiembre, FJ 6; 181/1989, de 3 de noviembre, FJ 4; 205/1990, de 13 de diciembre, FJ 4; 177/2002, de 14 de octubre, FJ 3; 40/2003, de 27 de febrero, FJ 2; 208/2003, de 1 de diciembre, FJ 4). Esta faceta del derecho fundamental hace que lo hayamos definido como un derecho de configuración legal, en el sentido de que compete a los Reglamentos parlamentarios fijar y ordenar los derechos y atribuciones que a los parlamentarios corresponden. Una vez creados, quedan integrados en el status propio del cargo, con la consecuencia de que podrán sus titulares, al amparo del art. 23.2 CE, reclamar su protección cuando los consideren ilegítimamente constreñidos o ignorados por actos del poder público, incluidos los provenientes del propio órgano en el que se integren (por todas, STC 208/2003, de 1 de diciembre, FJ 4).</w:t>
      </w:r>
    </w:p>
    <w:p w:rsidR="00DE14C9" w:rsidRDefault="00DE14C9" w:rsidP="00DE14C9">
      <w:pPr>
        <w:pStyle w:val="TextoNormal"/>
      </w:pPr>
      <w:r>
        <w:t xml:space="preserve">En definitiva, para apreciar que existe vulneración de los derechos fundamentales de los parlamentarios contenidos en el art. 23.2 CE, en el sentido al que se refiere la presente demanda de amparo, es necesario que se haya producido una restricción ilegítima de los derechos que les reconocen las normas internas de la Cámara. No obstante, tampoco cualquier acto que infrinja el estatuto del parlamentario en la Cámara lesiona el derecho fundamental, pues a estos efectos sólo poseen relevancia constitucional los derechos o facultades atribuidos al representante que pertenezcan al núcleo de su función representativa parlamentaria, como son, indudablemente, el ejercicio de la función legislativa o de control de la acción del Gobierno, siendo vulnerado el art. 23.2 CE si los propios órganos de las Asambleas impiden o coartan ilegítimamente su práctica o adoptan decisiones jurídicamente reprobables que contraríen la naturaleza de la representación o la igualdad de los representantes </w:t>
      </w:r>
      <w:r>
        <w:lastRenderedPageBreak/>
        <w:t>(SSTC 38/1999, de 22 de marzo, FJ 2; 107/2001, de 23 de abril, FJ 3 ; 203/2001, de 15 de octubre, FJ 2, y ATC 118/1999, de 10 de mayo).</w:t>
      </w:r>
    </w:p>
    <w:p w:rsidR="00DE14C9" w:rsidRDefault="00DE14C9" w:rsidP="00DE14C9">
      <w:pPr>
        <w:pStyle w:val="TextoNormal"/>
      </w:pPr>
      <w:r>
        <w:t>Procede, pues, examinar si efectivamente se ha producido en esta ocasión una restricción de los derechos que configuran el núcleo esencial de la representación política y, en caso afirmativo, si ésta encuentra o no justificación constitucional.</w:t>
      </w:r>
    </w:p>
    <w:p w:rsidR="00DE14C9" w:rsidRDefault="00DE14C9" w:rsidP="00DE14C9">
      <w:pPr>
        <w:pStyle w:val="TextoNormal"/>
      </w:pPr>
    </w:p>
    <w:p w:rsidR="00DE14C9" w:rsidRDefault="00DE14C9" w:rsidP="00DE14C9">
      <w:pPr>
        <w:pStyle w:val="TextoNormal"/>
      </w:pPr>
      <w:r w:rsidRPr="00DE14C9">
        <w:rPr>
          <w:rStyle w:val="NumeroAFNegritaCaracter"/>
        </w:rPr>
        <w:t>4</w:t>
      </w:r>
      <w:r>
        <w:t>. La demanda de amparo descansa sobre la consideración de que los recurrentes han visto vulnerado su derecho a constituir grupo parlamentario y es esta restricción inicial la causante de que se les haya privado también de diversas facultades propias de la función representativa a las que se alude en las decisiones recurridas y que ocupan gran parte de las alegaciones del Ministerio público y del Letrado Mayor del Parlamento de La Rioja.</w:t>
      </w:r>
    </w:p>
    <w:p w:rsidR="00DE14C9" w:rsidRDefault="00DE14C9" w:rsidP="00DE14C9">
      <w:pPr>
        <w:pStyle w:val="TextoNormal"/>
      </w:pPr>
      <w:r>
        <w:t>Conforme a nuestra doctrina, no cabe duda alguna de que la facultad de constituir grupo parlamentario, en la forma y con los requisitos que el Reglamento establece, corresponde a los diputados, y que dicha facultad pertenece al núcleo de su función representativa parlamentaria. Dada la configuración de los grupos parlamentarios en los actuales Parlamentos, como entes imprescindibles y principales en la organización y funcionamiento de la Cámara, así como en el desempeño de las funciones parlamentarias y los beneficios que conlleva la adquisición de tal status, aquella facultad constituye una manifestación constitucionalmente relevante del ius in officium del representante (STC 64/2002, de 11 de marzo, FJ 3).</w:t>
      </w:r>
    </w:p>
    <w:p w:rsidR="00DE14C9" w:rsidRDefault="00DE14C9" w:rsidP="00DE14C9">
      <w:pPr>
        <w:pStyle w:val="TextoNormal"/>
      </w:pPr>
      <w:r>
        <w:t>En esta ocasión la facultad de constituir grupo parlamentario se ha visto gravemente afectada con la aplicación del nuevo Reglamento, en la medida en que la elevación del número mínimo de parlamentarios necesario priva a los recurrentes de ella.  A este respecto, no se discute el contenido de la norma reglamentaria, sino la legitimidad de su aplicación una vez iniciada la legislatura, pues resulta evidente que, en ausencia de un régimen transitorio en el Reglamento del Parlamento de La Rioja aprobado el 10 de abril de 2001, fue el primero de los acuerdos impugnados el que determinó su aplicabilidad inmediata a los recurrentes, estableciendo la analogía —a efectos de la constitución de grupos parlamentarios— entre el momento de la entrada en vigor de la norma reglamentaria y el de comienzo de la legislatura.</w:t>
      </w:r>
    </w:p>
    <w:p w:rsidR="00DE14C9" w:rsidRDefault="00DE14C9" w:rsidP="00DE14C9">
      <w:pPr>
        <w:pStyle w:val="TextoNormal"/>
      </w:pPr>
      <w:r>
        <w:t xml:space="preserve">La demanda de amparo se dirige también directamente contra diversas resoluciones de la Mesa del Parlamento de la Rioja a las que les reprocha la lesión del derecho garantizado por el art. 23.2 CE a los recurrentes, invocando para ello dos grupos de derechos parlamentarios como indebidamente reducidos y limitados: derechos de participación parlamentaria y derechos económicos de los parlamentarios. Respecto a los segundos, de acuerdo con nuestra doctrina, sentada en la STC 214/1990, de 20 de diciembre, FJ 7, “resulta evidente que la finalidad de las diversas clases de subvenciones, establecidas en beneficio de los grupos parlamentarios, no es otra que la de facilitar la participación de sus miembros en el ejercicio de las funciones institucionales de la Cámara a la que pertenecen, para lo cual se dota a los grupos en que los Diputados, por imperativo reglamentario, han de integrarse, de los recursos económicos necesarios. Desde esta perspectiva, la graduación de la cuantía de las subvenciones exclusivamente en atención al carácter más o menos numeroso de los grupos constituye una exigencia de equidad, si bien cabe que la proporcionalidad del reparto de las cantidades destinadas a este objeto sufra las correcciones que se estimen precisas para garantizar el funcionamiento adecuado de los grupos más pequeños. Lo que no cabe es pretender o sostener la tesis de que la reducción de las subvenciones correspondientes al grupo mixto dificulte o impida gravemente el cumplimiento de las funciones representativas propias, garantizadas por el art. 23 CE”. Aplicándola al presente caso, ha de concluirse que la </w:t>
      </w:r>
      <w:r>
        <w:lastRenderedPageBreak/>
        <w:t>posible reducción de las subvenciones y aportaciones económicas al grupo mixto del Parlamento de la Rioja, respecto a las que recibía el grupo parlamentario del Partido Riojano, no afecta al núcleo esencial de las funciones representativas propias de los demandantes de amparo, por lo que en ese punto no se ha producido lesión alguna de los derechos que les garantiza el art.  23.2 CE.  En cuanto a los derechos estrictamente parlamentarios, la demanda de amparo alude a las facultades relacionadas con la participación mediante el nombramiento de representantes en la Mesa de la Cámara, en la Junta de Portavoces, las comisiones parlamentarias y la Diputación Permanente y a la participación en los debates del pleno o las comisiones parlamentarias.</w:t>
      </w:r>
    </w:p>
    <w:p w:rsidR="00DE14C9" w:rsidRDefault="00DE14C9" w:rsidP="00DE14C9">
      <w:pPr>
        <w:pStyle w:val="TextoNormal"/>
      </w:pPr>
      <w:r>
        <w:t>El nuevo estatuto jurídico de los recurrentes tras la decisión de la Mesa de aplicarles inmediatamente las disposiciones del Reglamento de la Cámara de 10 de abril de 2001 relativas a la composición de los grupos parlamentarios viene configurado en especial por el Acuerdo de la Mesa del Parlamento de 9 de mayo de 2001 que aprueba la “resolución de la Presidencia sobre funcionamiento del Grupo Mixto”. El mismo mantiene en sus mismos términos la participación de los diputados recurrentes en la Junta de Portavoces, las comisiones parlamentarias y la Diputación Permanente, así como en la elección y designación de personas que corresponda efectuar al Parlamento de La Rioja y en la tramitación de las iniciativas pendientes de sustanciación, por lo que en estos aspectos no cabe apreciar ninguna restricción de las facultades que integran el ius in officium parlamentario.</w:t>
      </w:r>
    </w:p>
    <w:p w:rsidR="00DE14C9" w:rsidRDefault="00DE14C9" w:rsidP="00DE14C9">
      <w:pPr>
        <w:pStyle w:val="TextoNormal"/>
      </w:pPr>
      <w:r>
        <w:t>Respecto a los tiempos de intervención en los debates, sin embargo, la supresión del grupo parlamentario sí ha producido cambios en las facultades atribuidas a los demandantes de amparo. En aplicación del art. 26.1 del Reglamento de la Cámara, la indicada resolución de la Mesa establece que al grupo parlamentario mixto, en el que forzosamente se integran, le corresponderá el uso de la palabra por las dos terceras partes del tiempo que tengan asignado el resto de grupos parlamentarios. No cabe duda de que la posibilidad de intervenir en los debates parlamentarios está directamente relacionada con el núcleo de la función representativa, como instrumento de deliberación, expresión de las propias posturas y control del Gobierno. Sin embargo hay que tomar en cuenta también que se trata de un ámbito en el que cobra especial relevancia la autonomía parlamentaria (recogida, por lo que hace a las Cortes Generales, en el art. 72.1 CE) y la facultad que la Constitución reserva a las Cámaras de establecer, interpretar y aplicar las normas de organización de sus debates (AATC 614/1988, de 23 de mayo, FJ 2; 9/1998, de 12 de enero, FJ 1). Por ello, en esta materia nuestra jurisdicción sólo puede extenderse de manera excepcional y de conformidad con el principio de mínima intervención, para la estricta garantía de los derechos fundamentales de los parlamentarios. En ocasiones anteriores hemos tenido ocasión de pronunciarnos sobre la legitimidad constitucional de las cláusulas reglamentarias que supeditan la participación de los grupos en las comisiones parlamentarias a lo que resulte del reparto de los puestos disponibles en ellas de manera proporcional a la importancia numérica de cada grupo (SSTC 214/1990, de 20 de diciembre, FJ 6; 93/1998, de 4 de mayo, FJ 3) concluyendo que las Cámaras pueden regular la manera en que dicha participación se produce, especialmente modulando su duración en razón del número de parlamentarios que integran cada grupo, siempre y cuando dicha modulación no introduzca elementos de discriminación especialmente vedados por el art. 23.2 CE. Así, el art. 26.1 del Reglamento del Parlamento de La Rioja, que ha sido aplicado en este caso, establece una modulación de los tiempos de intervención plenamente legítima desde el respeto al principio de autonomía parlamentaria. Sin embargo, su aplicación una vez comenzada la legislatura les ha supuesto a los recurrentes la pérdida de parte de las facultades parlamentarias que como diputados autonómicos dis</w:t>
      </w:r>
      <w:r>
        <w:lastRenderedPageBreak/>
        <w:t>frutaban anteriormente en el seno del grupo parlamentario del Partido Riojano, pues es evidente que, en cuanto parlamentarios individuales, han pasado a disponer de menos tiempo en los debates para la defensa de sus intereses.</w:t>
      </w:r>
    </w:p>
    <w:p w:rsidR="00DE14C9" w:rsidRDefault="00DE14C9" w:rsidP="00DE14C9">
      <w:pPr>
        <w:pStyle w:val="TextoNormal"/>
      </w:pPr>
    </w:p>
    <w:p w:rsidR="00DE14C9" w:rsidRDefault="00DE14C9" w:rsidP="00DE14C9">
      <w:pPr>
        <w:pStyle w:val="TextoNormal"/>
      </w:pPr>
      <w:r w:rsidRPr="00DE14C9">
        <w:rPr>
          <w:rStyle w:val="NumeroAFNegritaCaracter"/>
        </w:rPr>
        <w:t>5</w:t>
      </w:r>
      <w:r>
        <w:t>. Constatado así que las resoluciones impugnadas afectan a las facultades de los recurrentes para crear grupo parlamentario propio y participar en los debates de la Cámara, procede analizar el fundamento y la legitimidad jurídica de tales medidas.  Los recurrentes discuten la legitimidad de la aplicación inmediata del nuevo Reglamento y el régimen específico asignado tras su integración en el grupo mixto, alegando que se trata de decisiones discriminatorias y que contrarían los principios de seguridad jurídica e interdicción de la arbitrariedad previstos en el art. 9.3 CE, al haberse aplicado retroactivamente.</w:t>
      </w:r>
    </w:p>
    <w:p w:rsidR="00DE14C9" w:rsidRDefault="00DE14C9" w:rsidP="00DE14C9">
      <w:pPr>
        <w:pStyle w:val="TextoNormal"/>
      </w:pPr>
      <w:r>
        <w:t>Así pues, se hace preciso resolver si resultaba jurídicamente razonable la aplicación a los recurrentes, inmediatamente tras su entrada en vigor ya avanzada la legislatura, de las normas sobre número mínimo de diputados necesario para constituir un grupo parlamentario contenidas en el Reglamento de 10 de abril de 2001, tal y como hizo la decisión de la Mesa del Parlamento de La Rioja de 19 de abril de 2001, y en consecuencia ordenar su integración en el grupo mixto con el régimen específico previsto en los subsiguientes acuerdos de la Mesa.</w:t>
      </w:r>
    </w:p>
    <w:p w:rsidR="00DE14C9" w:rsidRDefault="00DE14C9" w:rsidP="00DE14C9">
      <w:pPr>
        <w:pStyle w:val="TextoNormal"/>
      </w:pPr>
      <w:r>
        <w:t>A este respecto, hay que señalar en primer lugar que, a pesar de las alegaciones de los recurrentes, no ha quedado demostrado que la aplicación del nuevo Reglamento a partir del 19 de abril de 2001 fuera discriminatoria. Eso es así porque nuestra doctrina viene considerando discriminatorios los actos normativos de las Cámaras que se aplican exclusivamente a algunos parlamentarios (STC 119/1990, de 21 de junio, FJ 6) o aquellos otros dictados ad casum, que introducen un criterio de diferenciación, después de iniciada la legislatura y mediante una utilización con fines normativos de las circunstancias del caso concreto (STC 44/1995, de 13 de febrero, FJ 5). En el caso actual, de los debates parlamentarios no se deduce una intención expresa de adecuar las normas sobre constitución de grupos parlamentarios a la situación de los demandantes sino más bien de adaptar las previsiones del Reglamento del Parlamento de La Rioja a las de la mayoría de normas parlamentarias similares. Por otro lado, tratándose de la aplicación de una norma de carácter general, no puede considerarse que se aplicara exclusivamente a algunos parlamentarios por la única razón de que sólo ellos estuvieran incluidos en ese momento en el supuesto establecido por el Reglamento.  Finalmente, los recurrentes tampoco aportan término alguno de comparación a los efectos de apreciar una desigualdad de trato en los términos prohibidos por el art. 23.2 CE.</w:t>
      </w:r>
    </w:p>
    <w:p w:rsidR="00DE14C9" w:rsidRDefault="00DE14C9" w:rsidP="00DE14C9">
      <w:pPr>
        <w:pStyle w:val="TextoNormal"/>
      </w:pPr>
      <w:r>
        <w:t>En segundo lugar, aducen los recurrentes que la ilegitimidad de la aplicación del nuevo Reglamento a su situación como miembros del grupo parlamentario del Partido Riojano viene dada por el sentido retroactivo en el que se les restringen sus derechos parlamentarios. Consideran así que al pretender que el nuevo Reglamento afecte a situaciones consolidadas antes de su entrada en vigor se les coloca de manera ilegítima y vedada por el propio art. 9.3 CE en situación de inferioridad respecto al resto de representantes políticos que mantienen los grupos parlamentarios que han constituido.</w:t>
      </w:r>
    </w:p>
    <w:p w:rsidR="00DE14C9" w:rsidRDefault="00DE14C9" w:rsidP="00DE14C9">
      <w:pPr>
        <w:pStyle w:val="TextoNormal"/>
      </w:pPr>
      <w:r>
        <w:t xml:space="preserve">Frente a ello, el Fiscal y la representación del Parlamento de la Rioja destacan el paralelismo de la decisión impugnada con el art. 24.7 del Reglamento de la Cámara que establece que “cuando los componentes de un Grupo Parlamentario, distinto del mixto, se reduzcan durante el transcurso de la legislatura a menor número del exigido para su constitución, el Grupo quedará disuelto y sus miembros pasarán automáticamente a formar parte de aquél”, considerando que la nueva normativa sobre grupos no es retroactiva, pues sólo se aplica </w:t>
      </w:r>
      <w:r>
        <w:lastRenderedPageBreak/>
        <w:t>para el futuro, sin que se afecten los actos realizados por los grupos parlamentarios constituidos conforme a la regla anterior. Sin embargo, no cabe duda de que, efectivamente, la aplicación del Reglamento de la Cámara que efectúa la mesa del Parlamento de La Rioja tiene efectos sobre una situación consolidada anteriormente como es la existencia del grupo parlamentario del Partido Riojano, por más que ni invalide sus actos anteriores ni despliegue su eficacia hacia el pasado.</w:t>
      </w:r>
    </w:p>
    <w:p w:rsidR="00DE14C9" w:rsidRDefault="00DE14C9" w:rsidP="00DE14C9">
      <w:pPr>
        <w:pStyle w:val="TextoNormal"/>
      </w:pPr>
      <w:r>
        <w:t>Es cierto, como opone el Letrado Mayor del Parlamento de La Rioja, que el principio de autonomía parlamentaria recogido en el art. 71.2 CE dota a las Cámaras parlamentarias de una esfera de decisión propia (ATC 52/1994, de 16 de febrero, FJ 2) que se plasma especialmente en la autonomía reglamentaria (STC 234/2000, de 3 de octubre, FJ 12). Esta capacidad autoorganizativa exige que la Cámara disponga de la posibilidad de modificar las “reglas del juego que institucionalizan el debate político” (SSTC 226/2004 y 227/2004, de 29 de noviembre, FJ 6), siendo contraria a ella la total petrificación del ordenamiento parlamentario interno a lo largo de la legislatura. Sin embargo estas facultades de autodeterminación organizativa encuentran su límite en el respeto a los derechos de los parlamentarios. Como hemos reiterado en diversas ocasiones, aunque compete también a los Reglamentos parlamentarios fijar y ordenar, en determinadas materias, los derechos y facultades que corresponden a los distintos cargos y funciones públicas y que integran el derecho garantizado por el art. 23.1 CE, una vez creados quedan integrados en el estatus representativo. En efecto, conforme a la doctrina de este Tribunal, la Constitución veta la privación o perturbación al representante político de la práctica de su cargo, introduciendo obstáculos que puedan colocar a unos representantes en condiciones de inferioridad respecto de otros. (SSTC 10/1983, de 21 de febrero; 32/1985, de 6 de marzo, FJ 3; 227/2004, de 29 de noviembre, FJ 2). El respeto a la autonomía parlamentaria lo es, sobre todo, a unas reglas de juego que institucionalizan el debate político y sobre cuyo contenido sólo de manera excepcional puede extenderse nuestra jurisdicción. Pero es también respeto a las reglas mismas, incluso frente a quienes son los protagonistas del juego político que en ellas se desarrolla, a los que no puede estar permitida su alteración fuera del margen reglamentariamente establecido (STC 227/2004, de 29 de noviembre, FJ 6).</w:t>
      </w:r>
    </w:p>
    <w:p w:rsidR="00DE14C9" w:rsidRDefault="00DE14C9" w:rsidP="00DE14C9">
      <w:pPr>
        <w:pStyle w:val="TextoNormal"/>
      </w:pPr>
      <w:r>
        <w:t>En esta ocasión la restricción de los derechos en juego carece de específica cobertura legal o reglamentaria. En ausencia de disposiciones relativas a la aplicación transitoria del nuevo Reglamento de la Cámara, los acuerdos cuestionados optaron por la interpretación más lesiva de los derechos a constituir grupo parlamentario y participar en los debates parlamentarios, alterando las normas que hasta el momento regían su ejercicio. En estas condiciones, la alteración, una vez iniciada la legislatura, y con eficacia inmediata de dichas normas, resulta lesiva del derecho fundamental garantizado en el art. 23.2 CE, pues viene a privar ilegítimamente a los parlamentarios de los derechos básicos que integran la esencia de su función representativa.</w:t>
      </w:r>
    </w:p>
    <w:p w:rsidR="00DE14C9" w:rsidRDefault="00DE14C9" w:rsidP="00DE14C9">
      <w:pPr>
        <w:pStyle w:val="TextoNormal"/>
      </w:pPr>
    </w:p>
    <w:p w:rsidR="00DE14C9" w:rsidRDefault="00DE14C9" w:rsidP="00DE14C9">
      <w:pPr>
        <w:pStyle w:val="TextoNormal"/>
      </w:pPr>
      <w:r w:rsidRPr="00DE14C9">
        <w:rPr>
          <w:rStyle w:val="NumeroAFNegritaCaracter"/>
        </w:rPr>
        <w:t>6</w:t>
      </w:r>
      <w:r>
        <w:t xml:space="preserve">. La anterior conclusión conduce necesariamente al otorgamiento del amparo, si bien es necesario precisar el alcance de nuestro fallo. Al dictarse éste nos encontramos, en efecto, con que la disolución del grupo parlamentario del Partido Riojano y la adopción de los acuerdos subsiguientes a la misma tuvieron lugar en una legislatura ya finalizada. Por ello, al igual que hemos hecho y explicado en las SSTC 107/2001, de 23 de abril, FJ 10; 203/2001, de 15 de octubre, FJ 6; 177/2002, de 14 de octubre, FJ 11; y 90/2005, de 18 de abril, FJ 8, respecto a supuestos similares, no cabe adoptar en el fallo de nuestra Sentencia una medida destinada al pleno restablecimiento del derecho vulnerado por la Mesa del Parlamento de la Rioja, de suerte que la pretensión del grupo parlamentario demandante de </w:t>
      </w:r>
      <w:r>
        <w:lastRenderedPageBreak/>
        <w:t>amparo ha de quedar satisfecha mediante la declaración de la lesión de su derecho recogido en el art. 23.2 CE y la nulidad de los acuerdos que impidieron su ejercicio.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don José Toledo Sobrón y don Miguel González de Legarra y, en su virtud:</w:t>
      </w:r>
    </w:p>
    <w:p w:rsidR="00DE14C9" w:rsidRDefault="00DE14C9" w:rsidP="00DE14C9">
      <w:pPr>
        <w:pStyle w:val="TextoNormal"/>
      </w:pPr>
      <w:r>
        <w:t>1º Reconocer su derecho a ejercer cargos públicos en los términos que dimanan del art. 23.2 CE.</w:t>
      </w:r>
    </w:p>
    <w:p w:rsidR="00DE14C9" w:rsidRDefault="00DE14C9" w:rsidP="00DE14C9">
      <w:pPr>
        <w:pStyle w:val="TextoNormal"/>
      </w:pPr>
      <w:r>
        <w:t>2º Anular el acuerdo de la Mesa del Parlamento de la Rioja de 19 de abril de 2001 por el que se acuerda la disolución del grupo parlamentario del Partido Riojano; Acuerdo de 26 de abril de 2001, de no reconsideración del Acuerdo anterior; 2 de mayo de 2001, de incorporación de los recurrentes al grupo mixto; 2 de mayo de 2001, de designación del Sr. González de Legarra como portavoz del grupo mixto; 9 de mayo de 2001, relativo a la Resolución de la Presidencia sobre funcionamiento del grupo mixto; 22 de mayo de 2001, de libramiento de subvenciones a los grupos parlamentarios; 31 de mayo de 2001, que inadmite solicitud de abono de cotizaciones a la Seguridad Social correspondientes al Diputado Sr. González de Legarra.</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dieciocho de junio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55" w:name="SENTENCIA_2007_142"/>
      <w:r>
        <w:lastRenderedPageBreak/>
        <w:t>SENTENCIA 142/2007, de 18 de junio de 2007</w:t>
      </w:r>
    </w:p>
    <w:bookmarkEnd w:id="55"/>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179, de 27 de julio de 2007)</w:t>
      </w:r>
    </w:p>
    <w:p w:rsidR="00DE14C9" w:rsidRDefault="00DE14C9" w:rsidP="00DE14C9">
      <w:pPr>
        <w:pStyle w:val="TtuloBOE"/>
      </w:pPr>
    </w:p>
    <w:p w:rsidR="00DE14C9" w:rsidRDefault="00DE14C9" w:rsidP="00DE14C9">
      <w:pPr>
        <w:pStyle w:val="SntesisDescriptiva"/>
      </w:pPr>
      <w:r>
        <w:t>ECLI:ES:TC:2007:142</w:t>
      </w:r>
    </w:p>
    <w:p w:rsidR="00DE14C9" w:rsidRDefault="00DE14C9" w:rsidP="00DE14C9">
      <w:pPr>
        <w:pStyle w:val="SntesisDescriptiva"/>
      </w:pPr>
    </w:p>
    <w:p w:rsidR="00DE14C9" w:rsidRDefault="00DE14C9" w:rsidP="00DE14C9">
      <w:pPr>
        <w:pStyle w:val="SntesisDescriptiva"/>
      </w:pPr>
      <w:r>
        <w:t>Recurso de amparo 2325-2003. Promovido por don Jesús Víctor Capilla García frente a la Sentencia de la Audiencia Provincial de Madrid que, en grado de apelación, le condenó por un delito contra la hacienda pública.</w:t>
      </w:r>
    </w:p>
    <w:p w:rsidR="00DE14C9" w:rsidRDefault="00DE14C9" w:rsidP="00DE14C9">
      <w:pPr>
        <w:pStyle w:val="SntesisDescriptiva"/>
      </w:pPr>
    </w:p>
    <w:p w:rsidR="00DE14C9" w:rsidRDefault="00DE14C9" w:rsidP="00DE14C9">
      <w:pPr>
        <w:pStyle w:val="SntesisAnaltica"/>
      </w:pPr>
      <w:r>
        <w:t>Vulneración del derecho a un proceso con garantías: condena pronunciada en apelación, tras haber celebrado vista pública sin practicar las pruebas testificales de cargo (STC 167/2002).</w:t>
      </w:r>
    </w:p>
    <w:p w:rsidR="00DE14C9" w:rsidRDefault="00DE14C9" w:rsidP="00DE14C9">
      <w:pPr>
        <w:pStyle w:val="SntesisAnaltica"/>
      </w:pPr>
    </w:p>
    <w:p w:rsidR="00DE14C9" w:rsidRDefault="00DE14C9" w:rsidP="00DE14C9">
      <w:pPr>
        <w:pStyle w:val="Extracto"/>
      </w:pPr>
      <w:r>
        <w:t>1.</w:t>
      </w:r>
      <w:r>
        <w:tab/>
        <w:t>El órgano judicial de apelación fundamentó la condena en una nueva valoración de las declaraciones de los testigos que no habían sido prestadas en su presencia y con infracción, por tanto, de los principios de inmediación y contradicción, que forman parte del derecho a un proceso con todas las garantías [FJ 4].</w:t>
      </w:r>
    </w:p>
    <w:p w:rsidR="00DE14C9" w:rsidRDefault="00DE14C9" w:rsidP="00DE14C9">
      <w:pPr>
        <w:pStyle w:val="Extracto"/>
      </w:pPr>
    </w:p>
    <w:p w:rsidR="00DE14C9" w:rsidRDefault="00DE14C9" w:rsidP="00DE14C9">
      <w:pPr>
        <w:pStyle w:val="Extracto"/>
      </w:pPr>
      <w:r>
        <w:t>2.</w:t>
      </w:r>
      <w:r>
        <w:tab/>
        <w:t>Junto a las declaraciones de los testigos existió otra actividad probatoria respecto de la que no es posible apreciar vulneración del derecho a un proceso con todas las garantías y con virtualidad probatoria autónoma para sustentar el pronunciamiento condenatorio, por lo que no hay vulneración del derecho a la presunción de inocencia [FJ 4].</w:t>
      </w:r>
    </w:p>
    <w:p w:rsidR="00DE14C9" w:rsidRDefault="00DE14C9" w:rsidP="00DE14C9">
      <w:pPr>
        <w:pStyle w:val="Extracto"/>
      </w:pPr>
    </w:p>
    <w:p w:rsidR="00DE14C9" w:rsidRDefault="00DE14C9" w:rsidP="00DE14C9">
      <w:pPr>
        <w:pStyle w:val="Extracto"/>
      </w:pPr>
      <w:r>
        <w:t>3.</w:t>
      </w:r>
      <w:r>
        <w:tab/>
        <w:t>Aplica la doctrina sobre el derecho a un proceso con todas las garantías y sobre el derecho a la presunción de inocencia (167/2002) [FJ 3].</w:t>
      </w:r>
    </w:p>
    <w:p w:rsidR="00DE14C9" w:rsidRDefault="00DE14C9" w:rsidP="00DE14C9">
      <w:pPr>
        <w:pStyle w:val="Extracto"/>
      </w:pPr>
    </w:p>
    <w:p w:rsidR="00DE14C9" w:rsidRDefault="00DE14C9" w:rsidP="00DE14C9">
      <w:pPr>
        <w:pStyle w:val="Extracto"/>
      </w:pPr>
      <w:r>
        <w:t>5.</w:t>
      </w:r>
      <w:r>
        <w:tab/>
        <w:t>No cabe constatar que exista ningún archivo de la ejecutoria por haber quedado despenalizada la conducta y ello impide apreciar que exista una satisfacción extraprocesal de la pretensión y, por tanto, la pérdida sobrevenida de objeto del presente recurso [FJ 2].</w:t>
      </w:r>
    </w:p>
    <w:p w:rsidR="00DE14C9" w:rsidRDefault="00DE14C9" w:rsidP="00DE14C9">
      <w:pPr>
        <w:pStyle w:val="Extracto"/>
      </w:pPr>
    </w:p>
    <w:p w:rsidR="00DE14C9" w:rsidRDefault="00DE14C9" w:rsidP="00DE14C9">
      <w:pPr>
        <w:pStyle w:val="Extracto"/>
      </w:pPr>
      <w:r>
        <w:t>6.</w:t>
      </w:r>
      <w:r>
        <w:tab/>
        <w:t>No puede fundamentarse la concurrencia del óbice procesal de la falta de invocación previa en que el recurrente absuelto en primera instancia no haya instado la práctica de pruebas personales en segunda instancia frente al recurso de apelación interpuesto por las acusaciones, toda vez que es el apelante al que incumbe la carga de establecer los presupuestos precisos para que el Tribunal al que acude pueda satisfacer la pretensión que ante él formula (STC 167/2002) [FJ 2].</w:t>
      </w:r>
    </w:p>
    <w:p w:rsidR="00DE14C9" w:rsidRDefault="00DE14C9" w:rsidP="00DE14C9">
      <w:pPr>
        <w:pStyle w:val="Extracto"/>
      </w:pPr>
    </w:p>
    <w:p w:rsidR="00DE14C9" w:rsidRDefault="00DE14C9" w:rsidP="00DE14C9">
      <w:pPr>
        <w:pStyle w:val="Extracto"/>
      </w:pPr>
      <w:r>
        <w:t>7.</w:t>
      </w:r>
      <w:r>
        <w:tab/>
        <w:t>La vulneración de la garantía de inmediación no puede considerarse un defecto de forma causante de indefensión a los efectos de que su agotamiento sea denunciado a través del incidente de nulidad de actuaciones (STC 11/2007) [FJ 1].</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 xml:space="preserve">La Sala Primera del Tribunal Constitucional, compuesta por doña María Emilia Casas Baamonde, Presidenta, don Javier Delgado Barrio, don Roberto García-Calvo y Montiel, </w:t>
      </w:r>
      <w:r>
        <w:lastRenderedPageBreak/>
        <w:t>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2325-2003, promovido por don Jesús Víctor Capilla García, representado por la Procuradora de los Tribunales doña Belén Aroca Flórez y bajo la dirección del Letrado don Luis Ortego Castañeda, contra la Sentencia de la Sección Primera de la Audiencia Provincial de Madrid de 12 de marzo de 2003, dictada en el rollo de apelación núm. 287-2002, que estima el recurso de apelación interpuesto contra la Sentencia del Juzgado de lo Penal núm. 3 de Madrid de 3 de junio de 2002, dictada en el juicio oral núm. 53-2001, sobre delito contra la hacienda pública. Ha comparecido el Abogado del Estado. Ha intervenido el Ministerio Fiscal. Ha sido Ponente el Magistrado don Pablo Pérez Tremps,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que tuvo entrada en el Registro General de este Tribunal el día 23 de abril de 2003, la Procuradora de los Tribunales doña Belén Aroca Flórez, en nombre y representación de don Jesús Victor Capilla García, y bajo la dirección del Letrado don Luis Ortego Castañeda, interpuso demanda de amparo contra la resolución que se menciona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El recurso tiene su origen en los siguientes antecedentes: </w:t>
      </w:r>
    </w:p>
    <w:p w:rsidR="00DE14C9" w:rsidRDefault="00DE14C9" w:rsidP="00DE14C9">
      <w:pPr>
        <w:pStyle w:val="TextoNormal"/>
      </w:pPr>
      <w:r>
        <w:t xml:space="preserve">a) El recurrente fue absuelto por Sentencia del Juzgado de lo Penal núm. 3 de Madrid de 3 de junio de 2002 del delito contra la hacienda pública del que era acusado, al considerar que no había quedado acreditado que la base imponible del impuesto de sociedades de 1994 correspondiente a la entidad mercantil de la que era administrador solidario hubiera ascendido a 46.847.857 pesetas y no a 73.429 pesetas, como se había reflejado en la declaración de este impuesto, dando lugar con ello a una cuota defraudada superior a los quince millones de pesetas. La Sentencia expone que esta conclusión se fundamenta en los diversos testimonios prestados en el acto de la vista oral tanto por el acusado como por los testigos respecto de la existencia de pagos generalizados de sobresueldos de la entidad a sus trabajadores, de los que se deriva que los gastos del personal serían mucho mayores que los declarados, lo que implica una minoración de la base imponible y la cuota líquida reflejada en las actas de la inspección, que no llegaría a la cifra que separa el delito de la infracción tributaria. </w:t>
      </w:r>
    </w:p>
    <w:p w:rsidR="00DE14C9" w:rsidRDefault="00DE14C9" w:rsidP="00DE14C9">
      <w:pPr>
        <w:pStyle w:val="TextoNormal"/>
      </w:pPr>
      <w:r>
        <w:t xml:space="preserve">b) El Ministerio Fiscal y la acusación particular, representada por la Abogacía del Estado, interpusieron recurso de apelación alegando error en la apreciación de las pruebas. Tras celebrarse vista oral en la apelación, en la que se dio trámite de audiencia al recurrente, la Sección Primera de la Audiencia Provincial de Madrid, por Sentencia de 12 de marzo de </w:t>
      </w:r>
      <w:r>
        <w:lastRenderedPageBreak/>
        <w:t xml:space="preserve">2003, estimó el recurso de apelación con revocación de la Sentencia de instancia, condenando al recurrente como autor de un delito contra la hacienda pública a la pena de seis meses y un día de prisión menor, multa, accesorias y responsabilidad civil. </w:t>
      </w:r>
    </w:p>
    <w:p w:rsidR="00DE14C9" w:rsidRDefault="00DE14C9" w:rsidP="00DE14C9">
      <w:pPr>
        <w:pStyle w:val="TextoNormal"/>
      </w:pPr>
      <w:r>
        <w:t>La Sentencia de apelación, modificando la declaración de hechos probados de la Sentencia apelada, consideró acreditado que el recurrente “presentó la declaración del impuesto de sociedades del año 1994 en la que expresó la cantidad de 73.429 pesetas como base imponible e ingresó 16.705 pesetas, en lugar de declarar la suma real que ascendía a 46.694.857 pesetas como base imponible y que significa una cuota a ingresar en la Hacienda pública de 16.343.199 pesetas. Para llevar a cabo esta actuación, utilizó la técnica de la doble facturación: al cliente entregaba la facturación del importe real, mientras que en ejemplar que se contabilizaba en la empresa figuraba una cantidad inferior”. La Sentencia fundamentó esta modificación exponiendo que “[d]el examen de las pruebas practicadas aparece que el acusado nunca ha negado la realidad y veracidad de los hechos que aquí se declaran probados, ahora bien, alega que, además de los gastos que figuran en la contabilidad, existen otros por importe superior a los cien millones de pesetas, que no constan documentalmente y que son consecuencia de los sobresueldos que pagaban a los trabajadores y que no aparecen reflejados en la contabilidad. Para justificar esta alegación, que de ser cierta significaría que la base imponible se reduciría considerablemente y desaparecería la cuota a ingresar que se considera como defraudada, aporta prueba testifical, pues ningún documento, según él, refleja esos gastos no declarados. El resultado de la prueba testifical no tiene el carácter exonerativo pretendido por el denunciado, puesto que los testigos no han avalado las cantidades que el Sr. Capilla dice haberles abonado fuera de nómina ... En definitiva, a través de la testifical, no se ha acreditado la inexistencia de la deuda tributaria, que sí está acreditada como defraudada”.</w:t>
      </w:r>
    </w:p>
    <w:p w:rsidR="00DE14C9" w:rsidRDefault="00DE14C9" w:rsidP="00DE14C9">
      <w:pPr>
        <w:pStyle w:val="TextoNormal"/>
      </w:pPr>
    </w:p>
    <w:p w:rsidR="00DE14C9" w:rsidRDefault="00DE14C9" w:rsidP="00DE14C9">
      <w:pPr>
        <w:pStyle w:val="TextoNormal"/>
      </w:pPr>
      <w:r w:rsidRPr="00DE14C9">
        <w:rPr>
          <w:rStyle w:val="NumeroAFNegritaCaracter"/>
        </w:rPr>
        <w:t>3</w:t>
      </w:r>
      <w:r>
        <w:t>. El recurrente aduce en su demanda que se han vulnerado sus derechos a la tutela judicial efectiva (art. 24.1 CE), a un proceso con todas las garantías y a la presunción de inocencia (art. 24.2 CE) al haber sido condenado en segunda instancia, tras una previa absolución, con fundamento en una nueva valoración de los testimonios de los testigos de descargo que no se habían practicado con la debida inmediación ante el órgano judicial de apelación y porque, en todo caso, la Sentencia impugnada incurre en clara contradicción con los hechos declarados probados por el Juez de instancia, cambiando intencionadamente el sentido de las declaraciones de los testigos.</w:t>
      </w:r>
    </w:p>
    <w:p w:rsidR="00DE14C9" w:rsidRDefault="00DE14C9" w:rsidP="00DE14C9">
      <w:pPr>
        <w:pStyle w:val="TextoNormal"/>
      </w:pPr>
    </w:p>
    <w:p w:rsidR="00DE14C9" w:rsidRDefault="00DE14C9" w:rsidP="00DE14C9">
      <w:pPr>
        <w:pStyle w:val="TextoNormal"/>
      </w:pPr>
      <w:r w:rsidRPr="00DE14C9">
        <w:rPr>
          <w:rStyle w:val="NumeroAFNegritaCaracter"/>
        </w:rPr>
        <w:t>4</w:t>
      </w:r>
      <w:r>
        <w:t>. La Sección Segunda de este Tribunal, por providencia de 31 de mayo de 2004, acordó admitir a trámite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trámites oportunos, se dictó por la Sala Primera de este Tribunal el ATC 263/2004, de 12 de julio, acordando suspender la ejecución de la resolución recurrida exclusivamente en lo relativo a la pena privativa de libertad.</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La Secretaría de Justicia de la Sala Primera de este Tribunal, por diligencia de ordenación de 23 de junio de 2004, tuvo por personado al Abogado del Estado y, por diligencia de ordenación de 16 de septiembre de 2004, acordó dar vista de las actuaciones a las partes </w:t>
      </w:r>
      <w:r>
        <w:lastRenderedPageBreak/>
        <w:t>personadas y al Ministerio Fiscal por plazo común de veinte días para presentar las alegaciones que estimasen pertinentes, de conformidad con el art. 52.1 LOTC.</w:t>
      </w:r>
    </w:p>
    <w:p w:rsidR="00DE14C9" w:rsidRDefault="00DE14C9" w:rsidP="00DE14C9">
      <w:pPr>
        <w:pStyle w:val="TextoNormal"/>
      </w:pPr>
    </w:p>
    <w:p w:rsidR="00DE14C9" w:rsidRDefault="00DE14C9" w:rsidP="00DE14C9">
      <w:pPr>
        <w:pStyle w:val="TextoNormal"/>
      </w:pPr>
      <w:r w:rsidRPr="00DE14C9">
        <w:rPr>
          <w:rStyle w:val="NumeroAFNegritaCaracter"/>
        </w:rPr>
        <w:t>6</w:t>
      </w:r>
      <w:r>
        <w:t>. El Ministerio Fiscal, en escrito registrado el 17 de noviembre de 2004, interesó que se declarara la pérdida sobrevenida de objeto del presente recurso, conforme a la doctrina establecida en la STC 167/2000, de 26 de junio, habida cuenta de que con la entrada en vigor de la Ley Orgánica 15/2003, de 25 de noviembre, se modificó el art. 305 CP, fijando en 120.000 € el límite mínimo para el delito contra la hacienda pública, cantidad superior a la que se había fijado como defraudada por la Sentencia impugnada, lo que habría llevado a la despenalización de la conducta. Subsidiariamente, el Ministerio Fiscal interesó la desestimación del amparo. A esos efectos, argumenta que no cabe considerar vulnerado el derecho a la tutela judicial efectiva (art. 24.1 CE) porque hubiera una contradicción entre los hechos declarados probados de las Sentencias apelada y de apelación, toda vez que la conclusión fáctica a la que se llega en ésta última es producto de un recurso en el que se impugnó la valoración probatoria. Igualmente, destaca que la conclusión probatoria a que llegó la Sentencia impugnada en relación con la determinación de la cuota defraudada “es razonable y tiene su origen en una valoración de la prueba que, si bien es distinta de la que hace el demandante de amparo o el Juez de lo Penal, es conforme con las pautas y criterios generales de valoración de las pruebas y de exigencia de los elementos de los delitos o de los elementos exculpatorios”. En cuanto a la queja sobre la valoración de pruebas personales en la apelación sin inmediación, el Ministerio Fiscal destaca que la doctrina establecida en la STC 167/2002, de 18 de diciembre, es sólo aplicable al convencimiento sobre la veracidad de lo declarado en la prueba testifical, pero no cuando aparece referida al contenido de la declaración, toda vez que, en tal caso, “ha de estarse a lo recogido en el acta por el Secretario Judicial —que es quien tiene la fe pública—, y que resulta sancionado por la firma de los intervinientes, comenzando por los Jueces y siguiendo por todas las partes. De forma que, en la discrepancia entre lo que se dice en la sentencia que han dicho los acusados o los testigos y lo que en el acta consta que han dicho, ha de estarse a lo que consta en el acta, por su propia naturaleza”. Por último, señala que en la medida en que fue interrogado el recurrente en la vista oral de la apelación, ratificándose en lo que declaró ante el Juzgado de lo Penal, contó con la oportunidad de hacer las declaraciones que estimara convenientes en su defensa, por lo que no es admisible su queja de indefensión.</w:t>
      </w:r>
    </w:p>
    <w:p w:rsidR="00DE14C9" w:rsidRDefault="00DE14C9" w:rsidP="00DE14C9">
      <w:pPr>
        <w:pStyle w:val="TextoNormal"/>
      </w:pPr>
    </w:p>
    <w:p w:rsidR="00DE14C9" w:rsidRDefault="00DE14C9" w:rsidP="00DE14C9">
      <w:pPr>
        <w:pStyle w:val="TextoNormal"/>
      </w:pPr>
      <w:r w:rsidRPr="00DE14C9">
        <w:rPr>
          <w:rStyle w:val="NumeroAFNegritaCaracter"/>
        </w:rPr>
        <w:t>7</w:t>
      </w:r>
      <w:r>
        <w:t>. El Abogado del Estado, en escrito registrado el 15 de octubre de 2004, presentó alegaciones solicitando la denegación del amparo, afirmando, en relación con la invocación del derecho a la tutela judicial efectiva (art. 24.1 CE), que la Sala de apelación al ponderar el crédito que le merecían los testigos ejerce un poder inherente a cualquier Tribunal de segunda instancia como es el de volver a apreciar la prueba. Respecto de las invocaciones del derecho a un proceso con todas las garantías y a la presunción de inocencia (art. 24.2 CE), señala, en primer lugar, que no cabe aceptar la pretensión de que, si se dio credibilidad a la declaración de siete de los trabajadores sobre el pago de sobresueldos, debe extrapolarse a los otros ciento nueve trabajadores cuya testifical fue propuesta y denegada y, en segundo lugar, que la queja sobre violación de las garantías de inmediación y contradicción debe inadmitirse con arreglo al art. 50.1 a), en relación con el art. 44.1 a) y c) LOTC, ya que el recurrente ni instó que se citara a los testigos para que fueran oídos en apelación ni, en su caso, pudiendo considerarse un defecto de forma causante de indefensión, se acudió al incidente de nulidad de actuaciones.</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8</w:t>
      </w:r>
      <w:r>
        <w:t>. El recurrente, en escrito registrado el 27 de octubre de 2004, presentó alegaciones dando por reproducido lo manifestado en el escrito de demanda.</w:t>
      </w:r>
    </w:p>
    <w:p w:rsidR="00DE14C9" w:rsidRDefault="00DE14C9" w:rsidP="00DE14C9">
      <w:pPr>
        <w:pStyle w:val="TextoNormal"/>
      </w:pPr>
    </w:p>
    <w:p w:rsidR="00DE14C9" w:rsidRDefault="00DE14C9" w:rsidP="00DE14C9">
      <w:pPr>
        <w:pStyle w:val="TextoNormal"/>
      </w:pPr>
      <w:r w:rsidRPr="00DE14C9">
        <w:rPr>
          <w:rStyle w:val="NumeroAFNegritaCaracter"/>
        </w:rPr>
        <w:t>9</w:t>
      </w:r>
      <w:r>
        <w:t>. La Secretaría de Justicia de la Sala Primera de este Tribunal, por sendas diligencias de 20 de enero de 2006 y 22 de mayo de 2007, requirió del órgano judicial de ejecuciones penales testimonio de las actuaciones judiciales, que fueron remitidas con el resultado que consta en el procedimiento.</w:t>
      </w:r>
    </w:p>
    <w:p w:rsidR="00DE14C9" w:rsidRDefault="00DE14C9" w:rsidP="00DE14C9">
      <w:pPr>
        <w:pStyle w:val="TextoNormal"/>
      </w:pPr>
    </w:p>
    <w:p w:rsidR="00DE14C9" w:rsidRDefault="00DE14C9" w:rsidP="00DE14C9">
      <w:pPr>
        <w:pStyle w:val="TextoNormal"/>
      </w:pPr>
      <w:r w:rsidRPr="00DE14C9">
        <w:rPr>
          <w:rStyle w:val="NumeroAFNegritaCaracter"/>
        </w:rPr>
        <w:t>10</w:t>
      </w:r>
      <w:r>
        <w:t>. Por providencia de fecha 15 de junio de 2007, se señaló para deliberación y fallo de la Sentencia el día 18 siguiente.</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El objeto de presente recurso de amparo es determinar si la Sentencia impugnada, revocando en segunda instancia una previa Sentencia absolutoria a partir de la valoración de pruebas personales no practicadas ante el órgano judicial de apelación, ha vulnerado los derechos del recurrente a un proceso con todas las garantías y a la presunción de inocencia (art. 24.2 CE).</w:t>
      </w:r>
    </w:p>
    <w:p w:rsidR="00DE14C9" w:rsidRDefault="00DE14C9" w:rsidP="00DE14C9">
      <w:pPr>
        <w:pStyle w:val="TextoNormal"/>
      </w:pPr>
    </w:p>
    <w:p w:rsidR="00DE14C9" w:rsidRDefault="00DE14C9" w:rsidP="00DE14C9">
      <w:pPr>
        <w:pStyle w:val="TextoNormal"/>
      </w:pPr>
      <w:r w:rsidRPr="00DE14C9">
        <w:rPr>
          <w:rStyle w:val="NumeroAFNegritaCaracter"/>
        </w:rPr>
        <w:t>2</w:t>
      </w:r>
      <w:r>
        <w:t>. Previamente al análisis sobre el fondo de las vulneraciones aducidas deben descartarse los diferentes óbices procesales alegados tanto por el Ministerio Fiscal como por el Abogado del Estado, referidos, por un lado, a la pérdida sobrevenida de objeto y, por otro, a la falta de invocación de los derechos fundamentales presuntamente lesionados y de agotamiento de la vía judicial previa.</w:t>
      </w:r>
    </w:p>
    <w:p w:rsidR="00DE14C9" w:rsidRDefault="00DE14C9" w:rsidP="00DE14C9">
      <w:pPr>
        <w:pStyle w:val="TextoNormal"/>
      </w:pPr>
      <w:r>
        <w:t>La eventual pérdida sobrevenida de objeto del presente recurso, que el Ministerio Fiscal fundamenta en la doctrina establecida por este Tribunal en la STC 167/2000, de 26 de junio, no puede ser apreciada. Más allá de las valoraciones que efectuó el Ministerio Fiscal sobre la despenalización de la conducta sancionada por la Sentencia impugnada en virtud de la modificación operada en el art. 305 del Código penal (CP) por la Ley Orgánica 15/2003, de 25 de noviembre, que es una cuestión que de manera más inmediata corresponde apreciar a los órganos judiciales, lo cierto es que, en el presente caso, y frente a lo que sucedió en la citada STC 167/2000, una vez recibidas las actuaciones no cabe constatar que exista ningún archivo de la ejecutoria por haber quedado despenalizada la conducta. Ello impide apreciar que exista una satisfacción extraprocesal de la pretensión y, por tanto, la pérdida sobrevenida de objeto del presente recurso. En cualquier caso, además, habida cuenta de que lo concretamente invocado en este recurso de amparo es el derecho a la presunción de inocencia y, por tanto, la conformación de los hechos probados a partir de la actividad probatoria desarrollada, la eventual despenalización de la conducta, que sólo afecta a su calificación jurídica como ilícito penal, tendría sólo un alcance limitado sobre el objeto de este recurso de amparo, pues no prejuzgaría su posible calificación como infracción administrativa.</w:t>
      </w:r>
    </w:p>
    <w:p w:rsidR="00DE14C9" w:rsidRDefault="00DE14C9" w:rsidP="00DE14C9">
      <w:pPr>
        <w:pStyle w:val="TextoNormal"/>
      </w:pPr>
      <w:r>
        <w:t xml:space="preserve">Igualmente, tampoco cabe apreciar la concurrencia de las causas de inadmisión alegadas por el Abogado del Estado de falta de invocación, por no haber solicitado el recurrente la práctica de las pruebas testificales en la segunda instancia, y falta de agotamiento, por no haber denunciado la infracción de la garantía de inmediación promoviendo un incidente de nulidad de actuaciones. En efecto, no puede fundamentarse la concurrencia del óbice procesal de la falta invocación previa en que el recurrente absuelto en primer instancia, en su </w:t>
      </w:r>
      <w:r>
        <w:lastRenderedPageBreak/>
        <w:t>condición de apelado, no haya instado la práctica de pruebas personales en segunda instancia frente al recurso de apelación interpuesto por las acusaciones, toda vez que, como ha reiterado este Tribunal, es al apelante al que incumbe la carga de establecer los presupuestos precisos para que el Tribunal al que acude pueda satisfacer la pretensión que ante él formula (por todas, STC 167/2002, de 18 de septiembre, FJ 2, y 10/2004, de 9 de febrero, FJ 3). Al margen de que, además, la vulneración aducida, de existir, sería exclusivamente imputable a la Sentencia de apelación. Del mismo modo, también se ha reiterado que la vulneración de la garantía de inmediación no puede considerarse un defecto de forma causante de indefensión a los efectos de que su agotamiento sea denunciado a través del incidente de nulidad de actuaciones (por todas, STC 11/2007, de 15 de enero, FJ 2).</w:t>
      </w:r>
    </w:p>
    <w:p w:rsidR="00DE14C9" w:rsidRDefault="00DE14C9" w:rsidP="00DE14C9">
      <w:pPr>
        <w:pStyle w:val="TextoNormal"/>
      </w:pPr>
    </w:p>
    <w:p w:rsidR="00DE14C9" w:rsidRDefault="00DE14C9" w:rsidP="00DE14C9">
      <w:pPr>
        <w:pStyle w:val="TextoNormal"/>
      </w:pPr>
      <w:r w:rsidRPr="00DE14C9">
        <w:rPr>
          <w:rStyle w:val="NumeroAFNegritaCaracter"/>
        </w:rPr>
        <w:t>3</w:t>
      </w:r>
      <w:r>
        <w:t>. Por lo que se refiere a la vulneración aducida de los derechos a un proceso con todas las garantías y a la presunción de inocencia (art. 24.2 CE), es jurisprudencia ya reiterada de este Tribunal, iniciada en la STC 167/2002, de 18 de septiembre (FFJJ 9 a 11) y seguida en numerosas Sentencias posteriores (entre las últimas, SSTC 15/2007 y 29/2007, de 12 de febrero),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es doctrina consolidada que la constatación de la anterior vulneración determina también la del derecho a la presunción de inocencia si los aludidos medios de prueba indebidamente valorados en la segunda instancia son las únicas o esenciales pruebas de cargo en las que se fundamente la condena.</w:t>
      </w:r>
    </w:p>
    <w:p w:rsidR="00DE14C9" w:rsidRDefault="00DE14C9" w:rsidP="00DE14C9">
      <w:pPr>
        <w:pStyle w:val="TextoNormal"/>
      </w:pPr>
    </w:p>
    <w:p w:rsidR="00DE14C9" w:rsidRDefault="00DE14C9" w:rsidP="00DE14C9">
      <w:pPr>
        <w:pStyle w:val="TextoNormal"/>
      </w:pPr>
      <w:r w:rsidRPr="00DE14C9">
        <w:rPr>
          <w:rStyle w:val="NumeroAFNegritaCaracter"/>
        </w:rPr>
        <w:t>4</w:t>
      </w:r>
      <w:r>
        <w:t>. En el presente caso, las actuaciones ponen de manifiesto que la actividad probatoria desarrollada en la vista oral ante el Juzgado de lo Penal en relación con la determinación de la cuota defraudada a la hacienda pública fue el interrogatorio de los acusados, entre ellos el recurrente en amparo, de nueve testigos, pruebas documentales —documentos contenidos en los anexos I a X del expediente remitido por la Agencia tributaria—, y una pericial —informe emitido por la subinspectora y el inspector jefe de la Unidad de Inspección núm. 30 de la Delegación Especial de Madrid de la Agencia tributaria. Igualmente, queda verificado que la Sentencia del Juzgado de lo Penal absolvió al recurrente al considerar que no había quedado acreditado que la base imponible del impuesto de sociedades de 1994 correspondiente a la entidad mercantil de la que era administrador solidario el recurrente hubiera ascendido a 46.847.857 pesetas y no a 73.429 pesetas, como se había reflejado en la declaración de este impuesto, dando lugar con ello a una cuota defraudada superior a los quince millones de pesetas. A esos efectos, la Sentencia de instancia expone que esta conclusión se fundamenta en los diversos testimonios prestados en el acto de la vista oral tanto por el acusado como por los testigos respecto de la existencia de pagos generalizados de sobresueldos de la entidad a sus trabajadores, de los que se deriva que los gastos del personal serían mucho mayores que los declarados, lo que implica una minoración de la base imponible y la cuota líquida reflejada en las actas de la inspección, que no llegaría a la cifra que separa el delito de la infracción tributaria.</w:t>
      </w:r>
    </w:p>
    <w:p w:rsidR="00DE14C9" w:rsidRDefault="00DE14C9" w:rsidP="00DE14C9">
      <w:pPr>
        <w:pStyle w:val="TextoNormal"/>
      </w:pPr>
      <w:r>
        <w:lastRenderedPageBreak/>
        <w:t>También se constata en las actuaciones que el Ministerio Fiscal y el Abogado del Estado recurrieron dicha absolución con fundamento exclusivo en errónea valoración de las pruebas practicadas sobre la cuantía de la cuota defraudada y que la Sentencia de apelación, tras la celebración de vista oral en que sólo se interrogó al recurrente, condenó a éste como autor de un delito contra la hacienda pública, modificando el relato de hechos probados, en el sentido de considerar acreditado que presentó la declaración del impuesto de sociedades del año 1994, en la que expresó la cantidad de 73.429 pesetas como base imponible e ingresó 16.705 pesetas, en lugar de declarar la suma real que ascendía a 46.694.857 pesetas como base imponible y que significa una cuota a ingresar en la hacienda pública de 16.343.199 pesetas. La Sentencia fundamentó esta modificación exponiendo que “[d]el examen de las pruebas practicadas aparece que el acusado nunca ha negado la realidad y veracidad de los hechos que aquí se declaran probados, ahora bien, alega que además de los gastos que figuran en la contabilidad, existen otros por importe superior a los cien millones de pesetas, que no constan documentalmente y que son consecuencia de los sobresueldos que pagaban a los trabajadores y que no aparecen reflejados en la contabilidad. Para justificar esta alegación, que de ser cierta significaría que la base imponible se reduciría considerablemente y desaparecería la cuota a ingresar que se considera como defraudada, aporta prueba testifical, pues ningún documento, según él, refleja esos gastos no declarados. El resultado de la prueba testifical no tiene el carácter exonerativo pretendido por el denunciado, puesto que los testigos no han avalado las cantidades que el Sr.  Capilla dice haberles abonado fuera de nómina ... En definitiva, a través de la testifical, no se ha acreditado la inexistencia de la deuda tributaria, que sí está acreditada como defraudada”.</w:t>
      </w:r>
    </w:p>
    <w:p w:rsidR="00DE14C9" w:rsidRDefault="00DE14C9" w:rsidP="00DE14C9">
      <w:pPr>
        <w:pStyle w:val="TextoNormal"/>
      </w:pPr>
      <w:r>
        <w:t>En atención a lo expuesto, constatado que el órgano judicial de apelación fundamentó la condena en una nueva valoración de las declaraciones de los testigos que no habían sido prestadas a su presencia y con infracción, por tanto, de los principios de inmediación y contradicción, debe otorgarse el amparo por vulneración del derecho a un proceso con todas las garantías. Sin embargo, verificado, igualmente, que junto a las declaraciones de los testigos existió otra actividad probatoria respecto de la que no es posible apreciar vulneración del derecho a un proceso con todas las garantías, incluyendo el interrogatorio del propio recurrente, que también tuvo lugar en la vista oral celebrada en la segunda instancia, y sobre cuya virtualidad probatoria autónoma para sustentar el pronunciamiento condenatorio nada tiene que decir este Tribunal, no puede concluirse que haya existido la vulneración aducida del derecho a la presunción de inocencia. Por ello, procede retrotraer las actuaciones al momento inmediatamente anterior al de dictarse la Sentencia recurrida en amparo a fin de la que la Audiencia Provincial dicte una nueva Sentencia respetuosa con el derecho fundamental reconocido.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a don Jesús Víctor Capilla García el amparo solicitado y, en consecuencia:</w:t>
      </w:r>
    </w:p>
    <w:p w:rsidR="00DE14C9" w:rsidRDefault="00DE14C9" w:rsidP="00DE14C9">
      <w:pPr>
        <w:pStyle w:val="TextoNormal"/>
      </w:pPr>
      <w:r>
        <w:t>1º Reconocer su derecho a un proceso con todas las garantías (art. 24.2 CE).</w:t>
      </w:r>
    </w:p>
    <w:p w:rsidR="00DE14C9" w:rsidRDefault="00DE14C9" w:rsidP="00DE14C9">
      <w:pPr>
        <w:pStyle w:val="TextoNormal"/>
      </w:pPr>
      <w:r>
        <w:lastRenderedPageBreak/>
        <w:t>2º Anular la Sentencia de la Sección Primera de la Audiencia Provincial de Madrid de 12 de marzo de 2003, dictada en el rollo de apelación núm. 287-2002.</w:t>
      </w:r>
    </w:p>
    <w:p w:rsidR="00DE14C9" w:rsidRDefault="00DE14C9" w:rsidP="00DE14C9">
      <w:pPr>
        <w:pStyle w:val="TextoNormal"/>
      </w:pPr>
      <w:r>
        <w:t>3º Retrotraer las actuaciones al momento anterior a su pronunciamiento, a fin de que se dicte nueva Sentencia respetuosa con el derecho fundamental reconocido.</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dieciocho de junio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56" w:name="SENTENCIA_2007_143"/>
      <w:r>
        <w:lastRenderedPageBreak/>
        <w:t>SENTENCIA 143/2007, de 18 de junio de 2007</w:t>
      </w:r>
    </w:p>
    <w:bookmarkEnd w:id="56"/>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179, de 27 de julio de 2007)</w:t>
      </w:r>
    </w:p>
    <w:p w:rsidR="00DE14C9" w:rsidRDefault="00DE14C9" w:rsidP="00DE14C9">
      <w:pPr>
        <w:pStyle w:val="TtuloBOE"/>
      </w:pPr>
    </w:p>
    <w:p w:rsidR="00DE14C9" w:rsidRDefault="00DE14C9" w:rsidP="00DE14C9">
      <w:pPr>
        <w:pStyle w:val="SntesisDescriptiva"/>
      </w:pPr>
      <w:r>
        <w:t>ECLI:ES:TC:2007:143</w:t>
      </w:r>
    </w:p>
    <w:p w:rsidR="00DE14C9" w:rsidRDefault="00DE14C9" w:rsidP="00DE14C9">
      <w:pPr>
        <w:pStyle w:val="SntesisDescriptiva"/>
      </w:pPr>
    </w:p>
    <w:p w:rsidR="00DE14C9" w:rsidRDefault="00DE14C9" w:rsidP="00DE14C9">
      <w:pPr>
        <w:pStyle w:val="SntesisDescriptiva"/>
      </w:pPr>
      <w:r>
        <w:t>Recurso de amparo 7530-2003. Promovido por don Bernardino Borrajo Delgado y otra frente a la Sentencia y Auto de nulidad de la Sala de lo Contencioso-Administrativo de la Audiencia Nacional que desestimó su demanda sobre liquidación tributaria del impuesto sobre la renta de las personas físicas de 1988.</w:t>
      </w:r>
    </w:p>
    <w:p w:rsidR="00DE14C9" w:rsidRDefault="00DE14C9" w:rsidP="00DE14C9">
      <w:pPr>
        <w:pStyle w:val="SntesisDescriptiva"/>
      </w:pPr>
    </w:p>
    <w:p w:rsidR="00DE14C9" w:rsidRDefault="00DE14C9" w:rsidP="00DE14C9">
      <w:pPr>
        <w:pStyle w:val="SntesisAnaltica"/>
      </w:pPr>
      <w:r>
        <w:t>Supuesta vulneración del derecho a la tutela judicial efectiva: STC 166/2006.</w:t>
      </w:r>
    </w:p>
    <w:p w:rsidR="00DE14C9" w:rsidRDefault="00DE14C9" w:rsidP="00DE14C9">
      <w:pPr>
        <w:pStyle w:val="SntesisAnaltica"/>
      </w:pPr>
    </w:p>
    <w:p w:rsidR="00DE14C9" w:rsidRDefault="00DE14C9" w:rsidP="00DE14C9">
      <w:pPr>
        <w:pStyle w:val="Extracto"/>
      </w:pPr>
      <w:r>
        <w:t>1.</w:t>
      </w:r>
      <w:r>
        <w:tab/>
        <w:t>Asunto sustancialmente idéntico al que dio lugar a las SSTC 166/2006 y 6/2007, cuyos razonamientos procede reiterar en este caso [FJ 3].</w:t>
      </w:r>
    </w:p>
    <w:p w:rsidR="00DE14C9" w:rsidRDefault="00DE14C9" w:rsidP="00DE14C9">
      <w:pPr>
        <w:pStyle w:val="Extracto"/>
      </w:pPr>
    </w:p>
    <w:p w:rsidR="00DE14C9" w:rsidRDefault="00DE14C9" w:rsidP="00DE14C9">
      <w:pPr>
        <w:pStyle w:val="Extracto"/>
      </w:pPr>
      <w:r>
        <w:t>2.</w:t>
      </w:r>
      <w:r>
        <w:tab/>
        <w:t>La Sentencia impugnada no ha vulnerado el derecho a la tutela judicial efectiva de los recurrentes en amparo (art. 24.1 CE), puesto que se trata de una resolución de fondo razonada, motivada, fundada en Derecho y congruente con las pretensiones deducidas oportunamente por las partes, aunque no favorable a los intereses de los solicitantes de amparo [FJ 3].</w:t>
      </w:r>
    </w:p>
    <w:p w:rsidR="00DE14C9" w:rsidRDefault="00DE14C9" w:rsidP="00DE14C9">
      <w:pPr>
        <w:pStyle w:val="Extracto"/>
      </w:pPr>
    </w:p>
    <w:p w:rsidR="00DE14C9" w:rsidRDefault="00DE14C9" w:rsidP="00DE14C9">
      <w:pPr>
        <w:pStyle w:val="Extracto"/>
      </w:pPr>
      <w:r>
        <w:t>3.</w:t>
      </w:r>
      <w:r>
        <w:tab/>
        <w:t>La Sentencia recurrida ha desestimado la pretensión sobre la nulidad de la resolución económico-administrativa recurrida y, en definitiva, sobre la nulidad del acta de liquidación tributaria del impuesto sobre la renta de las personas físicas correspondiente al ejercicio de 1988, porque, a pesar de las pruebas practicadas en el proceso contencioso-administrativo, los recurrentes no han llegado a probar el origen del incremento patrimonial no justificado que había sido detectado por la Inspección tributaria [FJ 3].</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 xml:space="preserve">En el recurso de amparo núm. 7530-2003, promovido por don Bernardino Borrajo Delgado y doña Orfilia Cossio Tato, representados por el Procurador de los Tribunales don José Antonio Pérez Martínez, luego sustituido por la Procuradora doña María Jesús Gutiérrez </w:t>
      </w:r>
      <w:r>
        <w:lastRenderedPageBreak/>
        <w:t>Aceves, y asistidos por el Abogado don José Luis Felgueroso León, contra la Sentencia de 28 de febrero de 2003 y el Auto de 18 de octubre de 2003, dictados por la Sección Segunda de la Sala de lo Contencioso-Administrativo de la Audiencia Nacional en el recurso contencioso-administrativo núm. 734-2000 en materia de liquidación del impuesto sobre la renta de las personas físicas. Ha intervenido el Ministerio Fiscal. Ha sido parte el Abogado del Estado en la representación que ostenta. Ha sido Ponente el Magistrado don Jorge Rodríguez-Zapata Pérez,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el Registro General del Tribunal Constitucional el día 15 de diciembre de 2003, el Procurador de los Tribunales don José Antonio Pérez Martínez, en nombre y representación de don Bernardino Borrajo Delgado y doña Orfilia Cossio Tato, formuló demanda de amparo contra las resoluciones judiciales que se citan en el encabezamiento, que confirmaron las Resoluciones de 7 de julio de 2000 del Tribunal Económico-Administrativo Central y de 21 de agosto de 1996 del Tribunal Económico-Administrativo Regional de Galicia. Esta última estimó parcialmente la reclamación económico-administrativa formulada contra el acta de disconformidad de la Inspección de la Agencia Estatal de la Administración Tributaria, relativa al impuesto sobre la renta de las personas físicas correspondiente al ejercicio fiscal de 1988 y de cuantía de 20.144.345 pesetas.</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fundamentos de hecho de la demanda de amparo, relevantes para la resolución de este recurso, son los siguientes: </w:t>
      </w:r>
    </w:p>
    <w:p w:rsidR="00DE14C9" w:rsidRDefault="00DE14C9" w:rsidP="00DE14C9">
      <w:pPr>
        <w:pStyle w:val="TextoNormal"/>
      </w:pPr>
      <w:r>
        <w:t xml:space="preserve">a) Después de realizar determinadas actuaciones de comprobación de la situación tributaria de los demandantes de amparo correspondientes a la autoliquidación del impuesto sobre la renta de las personas físicas de los ejercicios 1988 a 1991, mediante Resolución del Inspector Jefe de la Delegación de Ourense de la Agencia Estatal de la Administración Tributaria, de 16 de noviembre de 1994, fue aprobada la liquidación tributaria por el impuesto sobre la renta de las personas físicas correspondiente al ejercicio de 1988, por importe de 20.144.345 pesetas. Dicho Acuerdo fue confirmado en reposición por otro de 20 de diciembre de 1994. </w:t>
      </w:r>
    </w:p>
    <w:p w:rsidR="00DE14C9" w:rsidRDefault="00DE14C9" w:rsidP="00DE14C9">
      <w:pPr>
        <w:pStyle w:val="TextoNormal"/>
      </w:pPr>
      <w:r>
        <w:t xml:space="preserve">b) Frente a tales resoluciones interpusieron los demandantes de amparo reclamación económico-administrativa ante el Tribunal Económico-Administrativo de Galicia que, por Resolución de 21 de agosto de 1996, la estimó parcialmente, reduciendo la sanción en aplicación de la disposición transitoria primera de la Ley 25/1995, de 20 de julio, de modificación parcial de la Ley general tributaria. Esta Resolución fue recurrida en alzada ante el Tribunal Económico-Administrativo Central, que procedió a su desestimación, por Resolución de 7 de julio de 2000. </w:t>
      </w:r>
    </w:p>
    <w:p w:rsidR="00DE14C9" w:rsidRDefault="00DE14C9" w:rsidP="00DE14C9">
      <w:pPr>
        <w:pStyle w:val="TextoNormal"/>
      </w:pPr>
      <w:r>
        <w:t xml:space="preserve">c) Agotada así la vía administrativa, los demandantes de amparo interpusieron recurso contencioso-administrativo, cuyo conocimiento correspondió a la Sección Segunda de la Sala de lo Contencioso-Administrativo de la Audiencia Nacional. El órgano judicial dictó Sentencia el 28 de febrero de 2003 desestimando íntegramente el recurso. </w:t>
      </w:r>
    </w:p>
    <w:p w:rsidR="00DE14C9" w:rsidRDefault="00DE14C9" w:rsidP="00DE14C9">
      <w:pPr>
        <w:pStyle w:val="TextoNormal"/>
      </w:pPr>
      <w:r>
        <w:t>d) Por último, promovieron incidente de nulidad de actuaciones, alegando la existencia de incongruencia por error de la Sentencia recaída, que concluyó por Auto de 18 de octubre de 2003, que desestimó la pretensión anulatoria.</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3</w:t>
      </w:r>
      <w:r>
        <w:t>. Los demandantes de amparo sostienen que la Sentencia de 28 de febrero de 2003 conculca su derecho a la tutela judicial efectiva sin indefensión reconocido en el art. 24.1 CE, al basarse en pruebas practicadas en período de inspección tributaria, con ausencia total de valoración de la prueba practicada en el propio proceso contencioso-administrativo seguido ante la Audiencia Nacional. A su juicio, la Sentencia impugnada es incongruente por error, error patente atribuible al órgano judicial y determinante de la decisión adoptada, que ha fundamentando el fallo, única y exclusivamente, en hechos totalmente distintos de los alegados por la parte y en pruebas que no corresponden a ese pleito.</w:t>
      </w:r>
    </w:p>
    <w:p w:rsidR="00DE14C9" w:rsidRDefault="00DE14C9" w:rsidP="00DE14C9">
      <w:pPr>
        <w:pStyle w:val="TextoNormal"/>
      </w:pPr>
    </w:p>
    <w:p w:rsidR="00DE14C9" w:rsidRDefault="00DE14C9" w:rsidP="00DE14C9">
      <w:pPr>
        <w:pStyle w:val="TextoNormal"/>
      </w:pPr>
      <w:r w:rsidRPr="00DE14C9">
        <w:rPr>
          <w:rStyle w:val="NumeroAFNegritaCaracter"/>
        </w:rPr>
        <w:t>4</w:t>
      </w:r>
      <w:r>
        <w:t>. Por providencia de 13 de marzo de 2006 la Sección Segunda de este Tribunal admitió a trámite la demanda de amparo y, en aplicación del art. 51 LOTC, obrando ya en la Sala las actuaciones correspondientes al recurso contencioso-administrativo núm. 734-2000, acordó dirigirse a la Sección Segunda de la Sala de lo Contencioso-Administrativo de la Audiencia Nacional para que en el plazo de diez días se emplazase a quienes hubieran sido parte en el procedimiento, con excepción de los recurrentes en amparo, para que en el plazo de diez días pudieran comparecer en este proceso constitucional, con traslado a dichos efectos de copia de la demanda presentada.</w:t>
      </w:r>
    </w:p>
    <w:p w:rsidR="00DE14C9" w:rsidRDefault="00DE14C9" w:rsidP="00DE14C9">
      <w:pPr>
        <w:pStyle w:val="TextoNormal"/>
      </w:pPr>
    </w:p>
    <w:p w:rsidR="00DE14C9" w:rsidRDefault="00DE14C9" w:rsidP="00DE14C9">
      <w:pPr>
        <w:pStyle w:val="TextoNormal"/>
      </w:pPr>
      <w:r w:rsidRPr="00DE14C9">
        <w:rPr>
          <w:rStyle w:val="NumeroAFNegritaCaracter"/>
        </w:rPr>
        <w:t>5</w:t>
      </w:r>
      <w:r>
        <w:t>. La Sección Segunda de este Tribunal, por providencia de 13 de marzo de 2006, acordó formar la oportuna pieza para la tramitación del incidente de suspensión y, de conformidad con lo dispuesto en el art. 56 LOTC, conceder un plazo común de tres días a las partes para que formulasen las alegaciones que tuvieran por conveniente sobre la suspensión solicitada. Los demandantes, mediante escrito presentado el 3 de abril de 2006, desistieron de su petición. A la vista de la anterior manifestación, mediante diligencia de ordenación de 7 de julio de 2006 se acordó dar traslado del escrito de renuncia a las demás partes para que en el plazo de diez días alegasen lo que a su derecho conviniera. Por escrito presentado el 11 de julio de 2006 el Abogado del Estado pidió de este Tribunal la aceptación de la renuncia. El Ministerio Fiscal solicitó el 13 de julio de 2006 el archivo de la pieza separada, en atención a que el escrito de los demandantes de amparo ponía de manifiesto la carencia sobrevenida de objeto de la medida cautelar de suspensión inicialmente solicitada. Finalmente esta Sala, mediante el ATC 58/2007, de 26 de febrero, acordó tener por desistidos a los recurrentes de la petición de suspensión del acto administrativo por razón del cual habían solicitado el amparo, ordenando, consecuentemente, el archivo de la pieza separada de suspensión.</w:t>
      </w:r>
    </w:p>
    <w:p w:rsidR="00DE14C9" w:rsidRDefault="00DE14C9" w:rsidP="00DE14C9">
      <w:pPr>
        <w:pStyle w:val="TextoNormal"/>
      </w:pPr>
    </w:p>
    <w:p w:rsidR="00DE14C9" w:rsidRDefault="00DE14C9" w:rsidP="00DE14C9">
      <w:pPr>
        <w:pStyle w:val="TextoNormal"/>
      </w:pPr>
      <w:r w:rsidRPr="00DE14C9">
        <w:rPr>
          <w:rStyle w:val="NumeroAFNegritaCaracter"/>
        </w:rPr>
        <w:t>6</w:t>
      </w:r>
      <w:r>
        <w:t>. Mediante escrito presentado en el Registro General del Tribunal el 23 de marzo de 2006 el Abogado del Estado solicitó su personación en el presente proceso de amparo, lo que fue acordado por diligencia de ordenación de 25 de mayo de 2006.</w:t>
      </w:r>
    </w:p>
    <w:p w:rsidR="00DE14C9" w:rsidRDefault="00DE14C9" w:rsidP="00DE14C9">
      <w:pPr>
        <w:pStyle w:val="TextoNormal"/>
      </w:pPr>
    </w:p>
    <w:p w:rsidR="00DE14C9" w:rsidRDefault="00DE14C9" w:rsidP="00DE14C9">
      <w:pPr>
        <w:pStyle w:val="TextoNormal"/>
      </w:pPr>
      <w:r w:rsidRPr="00DE14C9">
        <w:rPr>
          <w:rStyle w:val="NumeroAFNegritaCaracter"/>
        </w:rPr>
        <w:t>7</w:t>
      </w:r>
      <w:r>
        <w:t>. Mediante la misma diligencia de ordenación de 25 de mayo de 2006 se acordó dar vista de las actuaciones recibidas al Ministerio Fiscal y a las partes personadas por plazo común de veinte días, para que pudieran presentar las alegaciones que estimasen pertinentes, de conformidad con lo dispuesto en el art. 52.1 LOTC.</w:t>
      </w:r>
    </w:p>
    <w:p w:rsidR="00DE14C9" w:rsidRDefault="00DE14C9" w:rsidP="00DE14C9">
      <w:pPr>
        <w:pStyle w:val="TextoNormal"/>
      </w:pPr>
    </w:p>
    <w:p w:rsidR="00DE14C9" w:rsidRDefault="00DE14C9" w:rsidP="00DE14C9">
      <w:pPr>
        <w:pStyle w:val="TextoNormal"/>
      </w:pPr>
      <w:r w:rsidRPr="00DE14C9">
        <w:rPr>
          <w:rStyle w:val="NumeroAFNegritaCaracter"/>
        </w:rPr>
        <w:t>8</w:t>
      </w:r>
      <w:r>
        <w:t xml:space="preserve">. El Abogado del Estado cumplimentó el trámite de alegaciones conferido mediante escrito registrado el 21 de junio de 2006, en el que se opone a la estimación del recurso de amparo. Alega, en primer lugar, como causa de inadmisión de la demanda de amparo, su </w:t>
      </w:r>
      <w:r>
        <w:lastRenderedPageBreak/>
        <w:t xml:space="preserve">extemporaneidad, pues considera que el cómputo del plazo que para interponer el recurso de amparo establece el art. 44.2 LOTC ha de iniciarse desde la fecha de notificación de la Sentencia de 28 de febrero de 2003 y no desde la fecha de notificación del Auto de 18 de octubre de 2003, desestimatorio de la petición de nulidad de actuaciones. A su juicio, el incidente de nulidad de actuaciones no es la vía apropiada para pretender la invalidación de una sentencia por error patente o por defecto de motivación, y lo que la parte actora denomina incongruencia por error no coincide con su recto concepto. </w:t>
      </w:r>
    </w:p>
    <w:p w:rsidR="00DE14C9" w:rsidRDefault="00DE14C9" w:rsidP="00DE14C9">
      <w:pPr>
        <w:pStyle w:val="TextoNormal"/>
      </w:pPr>
      <w:r>
        <w:t xml:space="preserve">En cuanto a la cuestión de fondo planteada, el Abogado del Estado sostiene que es cierto que la Sentencia recurrida no valora expresa y particularmente la prueba documental. Ahora bien, la Sentencia examina y rechaza las dos causas de pedir en las que descansa la demanda, por lo que desestima el recurso de manera perfectamente congruente y sin alterar la causa de pedir. Tampoco incurre en un error fáctico patente, no pudiendo confundirse este vicio con la simple discrepancia sobre la motivación fáctica de una sentencia o con el modo en que el Tribunal ha apreciado un amplio conjunto de documentos obrante en las actuaciones. </w:t>
      </w:r>
    </w:p>
    <w:p w:rsidR="00DE14C9" w:rsidRDefault="00DE14C9" w:rsidP="00DE14C9">
      <w:pPr>
        <w:pStyle w:val="TextoNormal"/>
      </w:pPr>
      <w:r>
        <w:t xml:space="preserve">A juicio del Abogado del Estado la queja de los demandantes de amparo habría de encuadrarse dentro del derecho a utilizar los medios de prueba pertinentes (art. 24.2 CE), ya que lo que se reprocha al órgano judicial es la falta de valoración de la prueba documental practicada en el recurso y el haber dado mayor relieve a la practicada en el procedimiento de inspección tributaria. Una Sentencia que se construye sin tomar en consideración la prueba admitida y practicada en el proceso podría entenderse que priva de toda efectividad al derecho fundamental a probar los hechos en que se sustenta la pretensión. En el recurso contencioso-administrativo la parte actora propuso prueba documental y testifical. Esta última fue denegada por inútil, ya que con ella se trataba de adverar la certificación bancaria aportada con la demanda, que no era cuestionada. La demanda centra su queja en dos tipos de pruebas documentales: un acta notarial en que se recogían manifestaciones de dos empleados de una entidad crediticia en relación con documentos bancarios relativos al reintegro de unos pagarés del Tesoro y una escritura pública de compraventa de un piso. </w:t>
      </w:r>
    </w:p>
    <w:p w:rsidR="00DE14C9" w:rsidRDefault="00DE14C9" w:rsidP="00DE14C9">
      <w:pPr>
        <w:pStyle w:val="TextoNormal"/>
      </w:pPr>
      <w:r>
        <w:t xml:space="preserve">La Sentencia recurrida fija como premisa que corresponde al sujeto pasivo la prueba de la justificación del incremento patrimonial, “no siendo suficiente para ello realizar simples manifestaciones cuya sola alegación suponga, a su vez, un desplazamiento hacia la Administración de que las mismas no son ciertas”. En este sentido procede justamente a valorar si los recurrentes han logrado justificar los incrementos patrimoniales. Entiende que acaso hubiera sido deseable que la Sentencia ofreciera una más amplia motivación al razonar la insuficiencia de lo alegado y probado por los recurrentes para justificar los incrementos de patrimonio. Aparte de que en la demanda no se plantea ninguna cuestión relativa al derecho a obtener una sentencia adecuada y suficientemente motivada, el derecho a utilizar los medios de prueba no exige que la resolución judicial contenga un examen particular de cada una de las pruebas admitidas a cada parte para asignarles un grado de credibilidad mayor, menor o nulo. En este caso la Sala, ejercitando su facultad de apreciar la prueba, ha concedido nulo valor probatorio al acta notarial y a la escritura pública antes señaladas, si bien lo haya hecho sin haberse detenido en su análisis pormenorizado. Pero si la desestimación tácita vale para excluir la incongruencia, también cabe negar la violación del derecho a la prueba cuando resulte evidente que, aun tácitamente, el órgano judicial no ha querido conceder a un determinado conjunto documental la fuerza precisa para enervar una presunción iuris tantum. </w:t>
      </w:r>
    </w:p>
    <w:p w:rsidR="00DE14C9" w:rsidRDefault="00DE14C9" w:rsidP="00DE14C9">
      <w:pPr>
        <w:pStyle w:val="TextoNormal"/>
      </w:pPr>
      <w:r>
        <w:t xml:space="preserve">Además, para que pueda apreciarse una vulneración del derecho a la prueba, es necesario que el solicitante de amparo razone convincentemente en su demanda el carácter decisivo que reviste la prueba en términos de defensa, lo que exige demostrar la relación entre los </w:t>
      </w:r>
      <w:r>
        <w:lastRenderedPageBreak/>
        <w:t xml:space="preserve">hechos que se quisieron y no se pudieron probar y las pruebas inadmitidas o no practicadas, y argumentar el modo en que la admisión y práctica de la prueba objeto de controversia habrían podido obtener una incidencia favorable en la estimación de las pretensiones de quien ahora recurre en amparo. En este caso, no sólo no se satisfacen estas exigencias en la demanda, sino que es posible demostrar la absoluta irrelevancia de los documentos en ella citados para excluir el carácter justificado de los incrementos. </w:t>
      </w:r>
    </w:p>
    <w:p w:rsidR="00DE14C9" w:rsidRDefault="00DE14C9" w:rsidP="00DE14C9">
      <w:pPr>
        <w:pStyle w:val="TextoNormal"/>
      </w:pPr>
      <w:r>
        <w:t>En consecuencia, el Abogado del Estado concluye su escrito de alegaciones solicitando de este Tribunal que dicte sentencia en la que se declare la inadmisión de la demanda de amparo o, subsidiariamente, se desestime.</w:t>
      </w:r>
    </w:p>
    <w:p w:rsidR="00DE14C9" w:rsidRDefault="00DE14C9" w:rsidP="00DE14C9">
      <w:pPr>
        <w:pStyle w:val="TextoNormal"/>
      </w:pPr>
    </w:p>
    <w:p w:rsidR="00DE14C9" w:rsidRDefault="00DE14C9" w:rsidP="00DE14C9">
      <w:pPr>
        <w:pStyle w:val="TextoNormal"/>
      </w:pPr>
      <w:r w:rsidRPr="00DE14C9">
        <w:rPr>
          <w:rStyle w:val="NumeroAFNegritaCaracter"/>
        </w:rPr>
        <w:t>9</w:t>
      </w:r>
      <w:r>
        <w:t>. El Ministerio Fiscal presentó su escrito de alegaciones el 27 de junio de 2006. En él sostiene que la interposición del incidente de nulidad de actuaciones ha supuesto un alargamiento artificial del plazo para recurrir en amparo, en atención a que la Sentencia impugnada no es realmente incongruente, puesto que dio respuesta a la pretensión articulada por la parte. Para el caso de que este Tribunal no lo estime así, el Ministerio Fiscal solicita que se dicte sentencia en la que se estime la demanda de amparo y se declare la nulidad de las resoluciones judiciales impugnadas, retrotrayendo las actuaciones al momento inmediatamente anterior al de haberse dictado la Sentencia de 28 de febrero de 2003 para que el órgano judicial se pronuncie en debida forma y con debido respeto al derecho a la tutela judicial efectiva sobre la pretensión actora, previa valoración de la prueba incorporada a las actuaciones, ya que en la Sentencia impugnada no se contiene referencia alguna a la prueba practicada.</w:t>
      </w:r>
    </w:p>
    <w:p w:rsidR="00DE14C9" w:rsidRDefault="00DE14C9" w:rsidP="00DE14C9">
      <w:pPr>
        <w:pStyle w:val="TextoNormal"/>
      </w:pPr>
    </w:p>
    <w:p w:rsidR="00DE14C9" w:rsidRDefault="00DE14C9" w:rsidP="00DE14C9">
      <w:pPr>
        <w:pStyle w:val="TextoNormal"/>
      </w:pPr>
      <w:r w:rsidRPr="00DE14C9">
        <w:rPr>
          <w:rStyle w:val="NumeroAFNegritaCaracter"/>
        </w:rPr>
        <w:t>10</w:t>
      </w:r>
      <w:r>
        <w:t>. La representación procesal de los recurrentes no formuló alegaciones.</w:t>
      </w:r>
    </w:p>
    <w:p w:rsidR="00DE14C9" w:rsidRDefault="00DE14C9" w:rsidP="00DE14C9">
      <w:pPr>
        <w:pStyle w:val="TextoNormal"/>
      </w:pPr>
    </w:p>
    <w:p w:rsidR="00DE14C9" w:rsidRDefault="00DE14C9" w:rsidP="00DE14C9">
      <w:pPr>
        <w:pStyle w:val="TextoNormal"/>
      </w:pPr>
      <w:r w:rsidRPr="00DE14C9">
        <w:rPr>
          <w:rStyle w:val="NumeroAFNegritaCaracter"/>
        </w:rPr>
        <w:t>11</w:t>
      </w:r>
      <w:r>
        <w:t>. Por providencia de 15 de junio de 2007 se señaló para la deliberación y votación de la presente Sentencia el día 18 del mismo mes y año, trámite que ha finalizado en el día de hoy.</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 cuestión que se plantea en la demanda de amparo consiste en determinar si la Sentencia de la Sección Segunda de la Sala de lo Contencioso-Administrativo de la Audiencia Nacional, recaída el 28 de febrero de 2003 en el recurso contencioso-administrativo núm. 734-2000, ha lesionado el derecho de los recurrentes a la tutela judicial efectiva (art. 24.1 CE) al incurrir en incongruencia por error, defecto éste no reparado por el Auto de 18 de octubre de 2003, que desestimó el incidente de nulidad de actuaciones promovido contra la referida Sentencia.</w:t>
      </w:r>
    </w:p>
    <w:p w:rsidR="00DE14C9" w:rsidRDefault="00DE14C9" w:rsidP="00DE14C9">
      <w:pPr>
        <w:pStyle w:val="TextoNormal"/>
      </w:pPr>
      <w:r>
        <w:t>Los demandantes de amparo así lo estiman por considerar que la Sentencia impugnada se sustenta en pruebas practicadas en el período de inspección tributaria, con ausencia total de valoración de la prueba practicada en el propio proceso contencioso-administrativo, al tiempo que incurre en error patente puesto que se ha modificado la causa petendi, fundamentando el fallo en hechos distintos de los alegados por la parte y en pruebas que no corresponden a este pleito.</w:t>
      </w:r>
    </w:p>
    <w:p w:rsidR="00DE14C9" w:rsidRDefault="00DE14C9" w:rsidP="00DE14C9">
      <w:pPr>
        <w:pStyle w:val="TextoNormal"/>
      </w:pPr>
      <w:r>
        <w:t xml:space="preserve">El Ministerio Fiscal sostiene que la demanda de amparo es extemporánea, ya que la interposición del incidente de nulidad de actuaciones ha supuesto un alargamiento artificial </w:t>
      </w:r>
      <w:r>
        <w:lastRenderedPageBreak/>
        <w:t>del plazo para recurrir en amparo, en atención a que la Sentencia impugnada no es realmente incongruente; subsidiariamente, solicita la estimación de la demanda de amparo ya que en la Sentencia impugnada no se contiene referencia alguna a la prueba practicada en el proceso. El Abogado del Estado, con carácter preliminar, solicita también la inadmisión de la demanda de amparo por extemporaneidad, ya que califica como recurso manifiestamente improcedente el incidente de nulidad de actuaciones promovido contra la Sentencia impugnada; subsidiariamente, tras encuadrar la queja de los recurrentes en el derecho a la prueba (art. 24.2 CE), se opone a la estimación de la demanda, al entender que el órgano judicial, razonadamente, se ha limitado a no conceder a un determinado conjunto documental que constaba en las actuaciones la fuerza precisa para enervar una presunción iuris tantum en favor de la existencia de incremento de patrimonio no justificado.</w:t>
      </w:r>
    </w:p>
    <w:p w:rsidR="00DE14C9" w:rsidRDefault="00DE14C9" w:rsidP="00DE14C9">
      <w:pPr>
        <w:pStyle w:val="TextoNormal"/>
      </w:pPr>
    </w:p>
    <w:p w:rsidR="00DE14C9" w:rsidRDefault="00DE14C9" w:rsidP="00DE14C9">
      <w:pPr>
        <w:pStyle w:val="TextoNormal"/>
      </w:pPr>
      <w:r w:rsidRPr="00DE14C9">
        <w:rPr>
          <w:rStyle w:val="NumeroAFNegritaCaracter"/>
        </w:rPr>
        <w:t>2</w:t>
      </w:r>
      <w:r>
        <w:t>. Así delimitado el objeto del presente proceso de amparo, con carácter previo al enjuiciamiento de la queja de los recurrentes debemos examinar el óbice de procedibilidad opuesto por el Ministerio Fiscal y el Abogado del Estado a la admisión a trámite de la demanda por su extemporaneidad, como consecuencia de haberse promovido un incidente de nulidad de actuaciones contra la Sentencia de 28 de febrero de 2003 que consideran manifiestamente improcedente, ya que no era la vía apropiada para pretender la invalidación de una sentencia incursa en error patente o en defecto de motivación.</w:t>
      </w:r>
    </w:p>
    <w:p w:rsidR="00DE14C9" w:rsidRDefault="00DE14C9" w:rsidP="00DE14C9">
      <w:pPr>
        <w:pStyle w:val="TextoNormal"/>
      </w:pPr>
      <w:r>
        <w:t>Es reiterada doctrina constitucional que el plazo legal de veinte días que establece el art. 44.2 LOTC para la interposición del recurso de amparo es un plazo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artificial de la vía judicial previa a través de recursos manifiestamente improcedentes. En relación con la noción de recursos manifiestamente improcedentes, este Tribunal tiene declarado también que la armonización del principio de seguridad jurídica con el derecho a la tutela judicial efectiva sin indefensión (art. 24.1 CE) exige una aplicación restrictiva del concepto en cuestión, considerando como tales sólo aquéllos cuya improcedencia derive de forma evidente del propio texto legal, sin dudas que sea necesario despejar por medio de criterios interpretativos de alguna complejidad (por todas, STC 325/2006, de 20 de noviembre, FJ 2).</w:t>
      </w:r>
    </w:p>
    <w:p w:rsidR="00DE14C9" w:rsidRDefault="00DE14C9" w:rsidP="00DE14C9">
      <w:pPr>
        <w:pStyle w:val="TextoNormal"/>
      </w:pPr>
      <w:r>
        <w:t>De acuerdo con la expuesta interpretación restrictiva de la noción de recurso manifiestamente improcedente hemos de desestimar el óbice procesal aducido por el Ministerio Fiscal y el Abogado del Estado, pues lo cierto es que los recurrentes, tanto en el incidente de nulidad de actuaciones como en su demanda de amparo, imputan a la Sentencia recurrida una incongruencia por error, frente a la que, como modalidad que es del vicio de incongruencia, debían ex art. 241 de la Ley Orgánica del Poder Judicial (LOPJ) promover el incidente de nulidad de actuaciones antes de interponer el recurso de amparo constitucional.</w:t>
      </w:r>
    </w:p>
    <w:p w:rsidR="00DE14C9" w:rsidRDefault="00DE14C9" w:rsidP="00DE14C9">
      <w:pPr>
        <w:pStyle w:val="TextoNormal"/>
      </w:pPr>
    </w:p>
    <w:p w:rsidR="00DE14C9" w:rsidRDefault="00DE14C9" w:rsidP="00DE14C9">
      <w:pPr>
        <w:pStyle w:val="TextoNormal"/>
      </w:pPr>
      <w:r w:rsidRPr="00DE14C9">
        <w:rPr>
          <w:rStyle w:val="NumeroAFNegritaCaracter"/>
        </w:rPr>
        <w:t>3</w:t>
      </w:r>
      <w:r>
        <w:t>. La queja de fondo suscitada en la demanda de amparo estriba en si la Sentencia impugnada ha incurrido en un vicio de incongruencia por error al basarse en pruebas practicadas en período de inspección tributaria, con ausencia total de valoración de la prueba practicada en el propio proceso contencioso-administrativo seguido ante la Audiencia Nacional, y si la referida Sentencia es incongruente, por error patente atribuible al órgano judicial y determinante de la decisión adoptada, que ha fundamentando el fallo en hechos totalmente distintos de los alegados por la parte y en pruebas que no corresponden a ese pleito.</w:t>
      </w:r>
    </w:p>
    <w:p w:rsidR="00DE14C9" w:rsidRDefault="00DE14C9" w:rsidP="00DE14C9">
      <w:pPr>
        <w:pStyle w:val="TextoNormal"/>
      </w:pPr>
      <w:r>
        <w:lastRenderedPageBreak/>
        <w:t>La cuestión planteada es sustancialmente idéntica a la suscitada por los mismos demandantes de amparo y por iguales motivos, aunque en relación con la liquidación por el impuesto sobre la renta de las personas físicas de los ejercicios fiscales de 1989 y 1991, en los recursos de amparo núms. 3102-2003 y 7531-2003, en los que han recaído, respectivamente, las SSTC 166/2006, de 5 de junio, y 6/2007, de 15 de enero, cuyos razonamientos (FFJJ 5 a 7 de la primera y FJ 3 de la segunda) procede reiterar en este caso.</w:t>
      </w:r>
    </w:p>
    <w:p w:rsidR="00DE14C9" w:rsidRDefault="00DE14C9" w:rsidP="00DE14C9">
      <w:pPr>
        <w:pStyle w:val="TextoNormal"/>
      </w:pPr>
      <w:r>
        <w:t>Como dijimos entonces, tras reproducir la doctrina de este Tribunal sobre la incongruencia por error, cuya reiteración resulta ahora innecesaria, la lectura de la Sentencia impugnada en amparo pone de manifiesto que el órgano judicial ha motivado la desestimación del recurso contencioso-administrativo respondiendo a todas las alegaciones de los recurrentes. En particular, la Sentencia señala que “[d]e conformidad con los principios de unidad de doctrina y seguridad jurídica la Sala ha de resolver el litigio suscitado de conformidad con los criterios y principios establecidos en la SAN de 28 de noviembre de 2000 (RCA 735/00) promovido por el propio recurrente en relación con su propia liquidación por el IRPF correspondiente al ejercicio de 1989” (FJ 1). En el fundamento jurídico tercero se da respuesta al primero de los dos motivos de impugnación, descartando la nulidad de las actuaciones inspectoras. En los fundamentos jurídicos cuarto y quinto se resuelve sobre el segundo de los motivos, relativo a la nulidad de la liquidación practicada. Así, en el fundamento jurídico cuarto se recoge la regulación jurídica y la doctrina sobre los “incrementos no justificados de patrimonio”. Y en el fundamento jurídico quinto la Sala concluye “que es procedente la liquidación practicada, por no haberse enervado la presunción iuris tantum en favor de la existencia de incremento de patrimonio no justificado”.</w:t>
      </w:r>
    </w:p>
    <w:p w:rsidR="00DE14C9" w:rsidRDefault="00DE14C9" w:rsidP="00DE14C9">
      <w:pPr>
        <w:pStyle w:val="TextoNormal"/>
      </w:pPr>
      <w:r>
        <w:t>El examen de la fundamentación de la Sentencia recurrida pone de manifiesto que el órgano judicial no ha razonado sobre una pretensión ajena al debate procesal o que hubiera dejado sin responder la pretensión formulada. La Sentencia ha desestimado la pretensión actora sobre la nulidad de la resolución económico-administrativa recurrida y, en definitiva, sobre la nulidad del acta de liquidación tributaria del impuesto sobre la renta de las personas físicas correspondiente al ejercicio de 1988, porque, a pesar de las pruebas practicadas en el proceso contencioso-administrativo, los recurrentes no han llegado a probar el origen del incremento patrimonial no justificado que había sido detectado por la Inspección tributaria.</w:t>
      </w:r>
    </w:p>
    <w:p w:rsidR="00DE14C9" w:rsidRDefault="00DE14C9" w:rsidP="00DE14C9">
      <w:pPr>
        <w:pStyle w:val="TextoNormal"/>
      </w:pPr>
      <w:r>
        <w:t>Finalmente, al igual que declaramos en las ya mencionadas SSTC 166/2006, de 5 de junio, y 6/2007, de 15 de enero, tampoco la Sentencia aquí recurrida incurre en un error patente, pues la coincidencia de algunos de sus fundamentos jurídicos con los de otras Sentencias de la misma Sala recaídas en recursos contencioso-administrativos seguidos también por los recurrentes ante el mismo órgano judicial sobre actas de liquidación del impuesto sobre la renta de las personas físicas de otros ejercicios fiscales se explica porque el objeto de tales procedimientos viene referido a incrementos patrimoniales de los demandantes de amparo no justificados, detectados en los ejercicios económicos de 1987 a 1991. En tales procedimientos se utilizaron los mismos datos económicos y patrimoniales sobre los ingresos de los recurrentes que obraban en el expediente administrativo correspondiente al recurso contencioso-administrativo del que trae causa este proceso de amparo.</w:t>
      </w:r>
    </w:p>
    <w:p w:rsidR="00DE14C9" w:rsidRDefault="00DE14C9" w:rsidP="00DE14C9">
      <w:pPr>
        <w:pStyle w:val="TextoNormal"/>
      </w:pPr>
      <w:r>
        <w:t>Así pues, al igual que entonces, hemos de concluir que la Sentencia impugnada no ha vulnerado el derecho a la tutela judicial efectiva de los recurrentes en amparo (art. 24.1 CE), puesto que se trata de una resolución de fondo razonada, motivada, fundada en Derecho y congruente con las pretensiones deducidas oportunamente por las partes, aunque no favorable a los intereses de los solicitantes de amparo.</w:t>
      </w:r>
    </w:p>
    <w:p w:rsidR="00DE14C9" w:rsidRDefault="00DE14C9" w:rsidP="00DE14C9">
      <w:pPr>
        <w:pStyle w:val="TextoNormal"/>
      </w:pPr>
    </w:p>
    <w:p w:rsidR="00DE14C9" w:rsidRDefault="00DE14C9" w:rsidP="00DE14C9">
      <w:pPr>
        <w:pStyle w:val="TextoNormalCentrado"/>
        <w:keepNext/>
      </w:pPr>
      <w:r>
        <w:lastRenderedPageBreak/>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Denegar el amparo solicitado por don Bernardino Borrajo Delgado y doña Orfilia Cossio Tato.</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dieciocho de junio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57" w:name="SENTENCIA_2007_144"/>
      <w:r>
        <w:lastRenderedPageBreak/>
        <w:t>SENTENCIA 144/2007, de 18 de junio de 2007</w:t>
      </w:r>
    </w:p>
    <w:bookmarkEnd w:id="57"/>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179, de 27 de julio de 2007)</w:t>
      </w:r>
    </w:p>
    <w:p w:rsidR="00DE14C9" w:rsidRDefault="00DE14C9" w:rsidP="00DE14C9">
      <w:pPr>
        <w:pStyle w:val="TtuloBOE"/>
      </w:pPr>
    </w:p>
    <w:p w:rsidR="00DE14C9" w:rsidRDefault="00DE14C9" w:rsidP="00DE14C9">
      <w:pPr>
        <w:pStyle w:val="SntesisDescriptiva"/>
      </w:pPr>
      <w:r>
        <w:t>ECLI:ES:TC:2007:144</w:t>
      </w:r>
    </w:p>
    <w:p w:rsidR="00DE14C9" w:rsidRDefault="00DE14C9" w:rsidP="00DE14C9">
      <w:pPr>
        <w:pStyle w:val="SntesisDescriptiva"/>
      </w:pPr>
    </w:p>
    <w:p w:rsidR="00DE14C9" w:rsidRDefault="00DE14C9" w:rsidP="00DE14C9">
      <w:pPr>
        <w:pStyle w:val="SntesisDescriptiva"/>
      </w:pPr>
      <w:r>
        <w:t>Recurso de amparo 3877-2004. Promovido por la entidad mercantil Edificios Mariner, S.A., frente a la Sentencia y el Auto de complemento de la Sala de lo Contencioso-Administrativo del Tribunal Superior de Justicia de Valencia que desestimaron su demanda sobre liquidación del impuesto sobre el valor añadido.</w:t>
      </w:r>
    </w:p>
    <w:p w:rsidR="00DE14C9" w:rsidRDefault="00DE14C9" w:rsidP="00DE14C9">
      <w:pPr>
        <w:pStyle w:val="SntesisDescriptiva"/>
      </w:pPr>
    </w:p>
    <w:p w:rsidR="00DE14C9" w:rsidRDefault="00DE14C9" w:rsidP="00DE14C9">
      <w:pPr>
        <w:pStyle w:val="SntesisAnaltica"/>
      </w:pPr>
      <w:r>
        <w:t>Vulneración del derecho a la tutela judicial efectiva (incongruencia): incidente de nulidad de actuaciones y complemento de sentencia; sentencia contencioso-administrativa motivada, pero que deja sin resolver una alegación sustancial sobre sectores de actividad diferenciados.</w:t>
      </w:r>
    </w:p>
    <w:p w:rsidR="00DE14C9" w:rsidRDefault="00DE14C9" w:rsidP="00DE14C9">
      <w:pPr>
        <w:pStyle w:val="SntesisAnaltica"/>
      </w:pPr>
    </w:p>
    <w:p w:rsidR="00DE14C9" w:rsidRDefault="00DE14C9" w:rsidP="00DE14C9">
      <w:pPr>
        <w:pStyle w:val="Extracto"/>
      </w:pPr>
      <w:r>
        <w:t>1.</w:t>
      </w:r>
      <w:r>
        <w:tab/>
        <w:t>La recurrente planteó la cuestión de la existencia de dos sectores diferenciados de actividad a los que debía aplicarse independientemente el régimen de deducción del IVA, siendo dicha cuestión sustancial y decisiva para el fallo, dado que, de haberse apreciado, debería haber determinado la anulación de las liquidaciones provisionales en concepto de IVA de los ejercicios 1996 y 1997 practicadas por la Administración tributaria [FJ 5].</w:t>
      </w:r>
    </w:p>
    <w:p w:rsidR="00DE14C9" w:rsidRDefault="00DE14C9" w:rsidP="00DE14C9">
      <w:pPr>
        <w:pStyle w:val="Extracto"/>
      </w:pPr>
    </w:p>
    <w:p w:rsidR="00DE14C9" w:rsidRDefault="00DE14C9" w:rsidP="00DE14C9">
      <w:pPr>
        <w:pStyle w:val="Extracto"/>
      </w:pPr>
      <w:r>
        <w:t>2.</w:t>
      </w:r>
      <w:r>
        <w:tab/>
        <w:t>En el escrito de solicitud de complemento de la Sentencia se señalaba expresamente que la cuestión de la existencia de dos sectores diferenciados de actividad había sido planteada en la demanda y en el escrito de conclusiones, invocando la incongruencia de la Sentencia que al haberse desestimado por Auto ha impedido definitivamente a los recurrentes conocer el motivo o motivos por los que no se ha apreciado la aplicabilidad del art. 101.1 LIVA [FJ 5].</w:t>
      </w:r>
    </w:p>
    <w:p w:rsidR="00DE14C9" w:rsidRDefault="00DE14C9" w:rsidP="00DE14C9">
      <w:pPr>
        <w:pStyle w:val="Extracto"/>
      </w:pPr>
    </w:p>
    <w:p w:rsidR="00DE14C9" w:rsidRDefault="00DE14C9" w:rsidP="00DE14C9">
      <w:pPr>
        <w:pStyle w:val="Extracto"/>
      </w:pPr>
      <w:r>
        <w:t>3.</w:t>
      </w:r>
      <w:r>
        <w:tab/>
        <w:t>Ante una respuesta judicial que reproducía nuevamente el defecto de incongruencia denunciado, resulta justificado que la entidad solicitante de amparo cuestionara la viabilidad legal de hacer uso por segunda vez del incidente de complemento de las resoluciones judiciales o de la nulidad de actuaciones del art. 241 LOPJ [FJ 2].</w:t>
      </w:r>
    </w:p>
    <w:p w:rsidR="00DE14C9" w:rsidRDefault="00DE14C9" w:rsidP="00DE14C9">
      <w:pPr>
        <w:pStyle w:val="Extracto"/>
      </w:pPr>
    </w:p>
    <w:p w:rsidR="00DE14C9" w:rsidRDefault="00DE14C9" w:rsidP="00DE14C9">
      <w:pPr>
        <w:pStyle w:val="Extracto"/>
      </w:pPr>
      <w:r>
        <w:t>4.</w:t>
      </w:r>
      <w:r>
        <w:tab/>
        <w:t>La motivación escueta y concisa aunque ciertamente lacónica, satisface perfectamente las exigencias de motivación del derecho fundamental a la tutela judicial efectiva de la recurrente en la medida en que permite conocer con suficiente grado de precisión la ratio decidendi de la resolución en punto a la desestimación de la pretensión anulatoria de las liquidaciones de IVA de los ejercicios 1996 y 1997 [FJ3].</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 xml:space="preserve">La Sala Primera del Tribunal Constitucional, compuesta por doña María Emilia Casas Baamonde, Presidenta, don Javier Delgado Barrio, don Roberto García-Calvo y Montiel, </w:t>
      </w:r>
      <w:r>
        <w:lastRenderedPageBreak/>
        <w:t>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3877-2004, promovido por la entidad mercantil Edificios Mariner, S.A., representada por la Procuradora de los Tribunales doña Mercedes Albi Murcia y asistida por el Abogado don Francisco Carrera Cavaller, contra la Sentencia de la Sección Primera de Sala de lo Contencioso-Administrativo del Tribunal Superior de Justicia de Valencia, núm. 168, de 27 de febrero de 2004, y el Auto de la misma Sala de 7 de mayo de 2004. Ha sido parte el Abogado del Estado. Ha intervenido el Ministerio Fiscal. Ha sido Ponente la Presidenta doña María Emilia Casas Baamonde,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Por escrito registrado en este Tribunal el 16 de junio de 2004, la Procuradora de los Tribunales doña Mercedes Albi Murcia, en nombre y representación de la entidad mercantil Edificios Mariner, S.A., interpuso recurso de amparo contra la resolución a la que se hace referencia en el encabezamiento de esta Sentencia.</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en que se fundamenta la demanda son, sucintamente expuestos, los siguientes: </w:t>
      </w:r>
    </w:p>
    <w:p w:rsidR="00DE14C9" w:rsidRDefault="00DE14C9" w:rsidP="00DE14C9">
      <w:pPr>
        <w:pStyle w:val="TextoNormal"/>
      </w:pPr>
      <w:r>
        <w:t xml:space="preserve">a) La entidad mercantil Edificios Mariner, S.A., que se dedica a la actividad de arrendamiento de inmuebles, decidió vender 23 viviendas de su titularidad a los arrendatarios con el fin de invertir el producto obtenido en la construcción de naves destinadas igualmente al arrendamiento, operaciones de venta que tuvieron lugar entre el 28 de mayo y el 24 de septiembre de 1996. En la medida en que los empresarios o profesionales sólo pueden deducir las cuotas del impuesto sobre el valor añadido (IVA) soportadas cuando los bienes o servicios adquiridos se utilicen en la realización de operaciones sujetas y no exentas del citado impuesto, y la actividad de alquiler de inmuebles se encuentra en parte exenta y en parte no exenta del IVA, situación que se condiciona a si el alquiler tiene por objeto o no una vivienda [art. 20.1.23 b) de la Ley 37/1992, de 28 de diciembre, del impuesto sobre el valor añadido: LIVA], el régimen aplicable a la sociedad demandante de amparo para la deducción del IVA soportado es el correspondiente a la llamada regla de la prorrata, regla mediante la cual se determina el porcentaje deducible que resulta aplicable cuando el sujeto pasivo efectúe "conjuntamente entregas de bienes o prestaciones de servicios que originen el derecho a la deducción y otras operaciones de análoga naturaleza que no habiliten para el ejercicio del citado derecho" [art. 102.1 LIVA]. En particular, la entidad mercantil Edificios Mariner, S.A., aplicó la regla de la prorrata general, en virtud de la cual, conforme al art. 104 LIVA, sólo será deducible el impuesto soportado en cada período de liquidación en el </w:t>
      </w:r>
      <w:r>
        <w:lastRenderedPageBreak/>
        <w:t xml:space="preserve">porcentaje que resulta de multiplicar por 100 una fracción en la que figuran, en el numerador, el importe total de las operaciones realizadas por el sujeto pasivo en el desarrollo de su actividad empresarial o profesional que originen el derecho a la deducción, y en el denominador, el importe total de las operaciones realizadas por el sujeto pasivo en el desarrollo de su actividad empresarial o profesional, incluidas aquellas que no originen el derecho a deducir (art. 104.2 LIVA), sin que para la determinación del porcentaje de deducción deba computarse en ninguno de los términos de la relación el "importe de las operaciones inmobiliarias o financieras que no constituyan actividad empresarial o profesional habitual del sujeto pasivo" (art. 104.3.4. LIVA). </w:t>
      </w:r>
    </w:p>
    <w:p w:rsidR="00DE14C9" w:rsidRDefault="00DE14C9" w:rsidP="00DE14C9">
      <w:pPr>
        <w:pStyle w:val="TextoNormal"/>
      </w:pPr>
      <w:r>
        <w:t xml:space="preserve">b) Precisamente porque la sociedad demandante de amparo consideró que la venta de las citadas viviendas no constituía una actividad empresarial habitual, al amparo del citado art. 104.3.4. LIVA, en el cálculo del porcentaje de deducción del IVA soportado no computó en ninguno de los términos de la relación el importe de dichas operaciones de venta. La Administración de la Agencia Tributaria de Valencia, sin embargo, estimó que la venta de las 23 viviendas constituía una actividad habitual del sujeto pasivo, razón por la cual las incluyó en el denominador de la fracción establecida en el art. 104.2 LIVA, lo que supuso que el IVA deducible resultara sensiblemente inferior al estimado por la entidad mercantil Edificios Mariner, S.A., y, según se afirma en la demanda, determinó un grave perjuicio para la entidad, dado que, al dedicarse a la construcción de naves para destinar al arrendamiento, durante 1996 el IVA soportado fue muy alto. Como consecuencia de lo anterior, la Administración tributaria notificó a la citada entidad una liquidación provisional (A4660398300000278) en concepto de IVA, ejercicio 1996, por importe de 4.253.355 pesetas (3.810.690 de cuota y 442.665 de intereses de demora). Frente a dicha liquidación la sociedad interpuso reclamación económico-administrativa (46/8183/98) ante el Tribunal Económico- Administrativo Regional de Valencia, que cimentó, fundamentalmente, en dos alegaciones: en primer lugar, que la venta de las 23 viviendas no constituía una actividad habitual, dado que era la única venta "(verificada a lo largo de tres meses) que ha realizado la empresa desde su constitución, siendo los arrendamientos su única fuente habitual de ingresos"; y, en segundo lugar, que de considerarse que la venta de las viviendas tiene carácter habitual, dicha operación debía ser considerada como un sector de actividad diferenciado del arrendamiento de inmuebles, en la medida en que tienen asignados grupos diferentes en la clasificación nacional de actividades económicas (CNAE) y el porcentaje de deducción que resulta aplicable a cada una de dichas actividades difiere en más de 50 puntos porcentuales (art. 9 LIVA), y, por tanto, en virtud del art. 101 LIVA, debería aplicarse con independencia el régimen de deducciones respecto de cada uno de dichos sectores de actividad. Dicha reclamación fue resuelta por Resolución de 29 de junio de 2001 del Tribunal Económico-Administrativo Regional de Valencia, que, con apoyo en la Sentencia de 3 de junio de 2000 del Tribunal Superior de Justicia del Principado de Asturias, confirma el acto impugnado. </w:t>
      </w:r>
    </w:p>
    <w:p w:rsidR="00DE14C9" w:rsidRDefault="00DE14C9" w:rsidP="00DE14C9">
      <w:pPr>
        <w:pStyle w:val="TextoNormal"/>
      </w:pPr>
      <w:r>
        <w:t xml:space="preserve">c) Como la declaración de IVA del ejercicio 1996 presentada por la entidad mercantil Edificios Mariner, S.A., dio como resultado un exceso en las cuotas devengadas que fueron compensadas en la declaración de 1997, la regularización de aquel ejercicio provocó que la Administración tributaria practicara asimismo a dicha sociedad una liquidación provisional (A4660379300001270) por el concepto IVA, período 1997, y por importe de 4.725,96 euros (4.294,43 euros de cuota y 431,50 euros de intereses de demora), liquidación contra la que también se interpuso reclamación económico administrativa (46/7560/99), por idénticas razones a las esgrimidas en la primera, que fue igualmente desestimada por Resolución del Tribunal Económico-Administrativo Regional de Valencia de 30 de abril de 2002. </w:t>
      </w:r>
    </w:p>
    <w:p w:rsidR="00DE14C9" w:rsidRDefault="00DE14C9" w:rsidP="00DE14C9">
      <w:pPr>
        <w:pStyle w:val="TextoNormal"/>
      </w:pPr>
      <w:r>
        <w:lastRenderedPageBreak/>
        <w:t xml:space="preserve">d) Frente a la citada Resolución de 29 de junio de 2001, el 8 de noviembre de 2001 la entidad mercantil Edificios Mariner, S.A., interpuso recurso contencioso-administrativo ante la Sala del citado orden jurisdiccional del Tribunal Superior de Justicia de Valencia, formulando posteriormente demanda, presentada el 24 de mayo de 2002, en la que, por lo que aquí interesa, solicitaba la anulación de las liquidaciones provisionales impugnadas con un doble fundamento: en primer lugar, porque, como acreditarían las declaraciones tributarias presentadas por la sociedad, y se desprendería de una interpretación del vocablo "habitual" empleado por el art. 104.3.4. LIVA conforme a los criterios del art. 3 del Código civil y la doctrina sentada por diversas resoluciones del Tribunal Económico-Administrativo Central, la venta de las 23 viviendas en el citado cuatrimestre de 1996 tiene carácter excepcional y no habitual (punto VII); y, en segundo lugar, porque de estimarse que dicha venta constituye una actividad habitual, habría que concluir que se han desarrollado dos actividades diferenciadas (la de venta y la de alquiler de viviendas), por lo que resultaría aplicable el art. 101.1 LIVA y, por tanto, deducible el 95 por 100 del IVA soportado en la construcción de las naves destinadas a alquiler (punto VIII). Mediante providencia de 3 de julio de 2002 dictada por la Sección Primera de la Sala de lo Contencioso-Administrativo del Tribunal Superior de Justicia de Valencia el recurso contencioso-administrativo presentado se amplió a la Resolución del Tribunal Económico- Administrativo Regional de Valencia de 30 de abril de 2002, presentando la actora el 20 de diciembre de 2002 ampliación a la demanda en cuyos fundamentos de Derecho VII y VIII se reproducen literalmente los razonamientos del escrito de demanda presentado el 24 de mayo de 2002. Y los mismos razonamientos se esgrimieron en el escrito de conclusiones presentado por la actora el 6 de octubre de 2003. </w:t>
      </w:r>
    </w:p>
    <w:p w:rsidR="00DE14C9" w:rsidRDefault="00DE14C9" w:rsidP="00DE14C9">
      <w:pPr>
        <w:pStyle w:val="TextoNormal"/>
      </w:pPr>
      <w:r>
        <w:t xml:space="preserve">e) Finalmente, el recurso contencioso-administrativo planteado por la entidad mercantil Edificios Mariner, S.A., sería desestimado por Sentencia de la Sala del citado orden jurisdiccional del Tribunal Superior de Justicia de Valencia de 27 de febrero de 2004, resolución que, tras señalar en el fundamento de derecho primero que la entidad recurrente impugna la Resolución del TEAR de Valencia de 29 de junio de 2001 y la liquidación de IVA de 1996, alegando que la venta "de veintitrés viviendas de su propiedad no puede calificarse como una conducta habitual de la empresa actora, cuyo objeto viene siendo el de arrendar viviendas", se limita a concluir que "la Sala comparte la postura de la Administración en cuanto, cabe apreciar habitualidad, en la venta, a lo largo de tres meses de veintitrés viviendas, por la que, atendido el contenido de los arts. 92, 94 y concordantes de la L. 37/92, y tenidas en cuenta las alegaciones de la Administración, procede desestimar el recurso". </w:t>
      </w:r>
    </w:p>
    <w:p w:rsidR="00DE14C9" w:rsidRDefault="00DE14C9" w:rsidP="00DE14C9">
      <w:pPr>
        <w:pStyle w:val="TextoNormal"/>
      </w:pPr>
      <w:r>
        <w:t xml:space="preserve">f) A la vista del contenido de dicha decisión judicial, al amparo de lo previsto en el art. 267.5 LOPJ y del art. 215.2 LEC, mediante escrito presentado el 28 de abril de 2004 la sociedad actora solicitó de la Sección Primera de la Sala de lo Contencioso-Administrativo del Tribunal Superior de Justicia de Valencia que subsanase y complementase la Sentencia dictada, en la medida en que no se había pronunciado sobre una de las pretensiones planteadas en la demanda contencioso-administrativa presentada, en particular, la de que, en el supuesto de que se considerara habitual la actividad de venta de inmuebles de la mercantil actora, se estimase que ésta había desarrollado dos actividades distintas que, conforme al art. 101.1 LIVA, estaban sometidas a un régimen independiente de deducción del IVA, pudiéndose deducir el 95 por 100 del IVA soportado en la construcción de las naves. </w:t>
      </w:r>
    </w:p>
    <w:p w:rsidR="00DE14C9" w:rsidRDefault="00DE14C9" w:rsidP="00DE14C9">
      <w:pPr>
        <w:pStyle w:val="TextoNormal"/>
      </w:pPr>
      <w:r>
        <w:t xml:space="preserve">g) La solicitud de complemento de la Sentencia fue resuelta mediante Auto de 7 de mayo de 2004 de la Sección Primera de la Sala de lo Contencioso-Administrativo del Tribunal Superior de Justicia de Valencia en el que, después de señalar que "por parte de la actora se instó la aclaración de la precedente sentencia 168/04, en el sentido de que entiende deben añadirse nuevas motivaciones que justifiquen el fallo", se concluye que "apareciendo clara </w:t>
      </w:r>
      <w:r>
        <w:lastRenderedPageBreak/>
        <w:t xml:space="preserve">y suficientemente motivada la citada sentencia, a tenor del art. 267 LOPJ", "no ha lugar a la aclaración solicitada de la sentencia 168/04". </w:t>
      </w:r>
    </w:p>
    <w:p w:rsidR="00DE14C9" w:rsidRDefault="00DE14C9" w:rsidP="00DE14C9">
      <w:pPr>
        <w:pStyle w:val="TextoNormal"/>
      </w:pPr>
      <w:r>
        <w:t>h) Frente a la Sentencia de 27 de febrero de 2004 y el citado Auto de 7 de mayo de 2004 insta la entidad mercantil Edificios Mariner, S.A., recurso de amparo.</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La entidad recurrente alega en su demanda que la Sentencia de la Sección Primera de Sala de lo Contencioso-administrativo del Tribunal Superior de Justicia de Valencia, núm. 168, de 27 de febrero de 2004, vulnera el derecho a la tutela judicial efectiva garantizado en el art. 24.1 CE porque carece de la suficiente motivación, omite la valoración de la prueba e incurre en incongruencia omisiva al no pronunciarse sobre una de las pretensiones planteadas en la demanda; la misma vulneración imputa al Auto de la referida Sala de 7 de mayo de 2004, al que atribuye incongruencia extra petitum y la omisión absoluta de la tramitación del procedimiento establecido en el art. 215.2 LEC, precepto que permite completar al mismo órgano judicial las decisiones judiciales cuando se hubiere omitido el pronunciamiento sobre la pretensión principal. A este respecto, la demandante, subraya que, aunque no existe jurisprudencia de este Tribunal sobre la utilización del remedio procesal previsto en el citado art. 215.2 LEC para agotar la vía judicial, debe entenderse cumplido el requisito del art. 44.1 a) LOTC a tenor de la doctrina sentada en pronunciamientos relativos a remedios análogos como serían la aclaración de sentencia (cita la STC 132/1999, de 15 de julio) o el incidente de nulidad de actuaciones del art. 240 LOPJ (cita las SSTC 178/2002, de 14 de octubre; 108/1999, de 14 de junio; y 165/2002, de 17 de septiembre). </w:t>
      </w:r>
    </w:p>
    <w:p w:rsidR="00DE14C9" w:rsidRDefault="00DE14C9" w:rsidP="00DE14C9">
      <w:pPr>
        <w:pStyle w:val="TextoNormal"/>
      </w:pPr>
      <w:r>
        <w:t xml:space="preserve">Sentado lo anterior, la recurrente comienza señalando que, aunque en la demanda contencioso-administrativa se solicitó como primera pretensión que se estimase que la venta de 23 viviendas de la titularidad de la entidad mercantil Edificios Mariner, S.A., a los arrendatarios de las mismas con la finalidad de construir naves para su posterior arrendamiento tenía carácter excepcional y, por tanto, resultaba aplicable la cláusula de exclusión del art. 104.3.4 LIVA, alternativamente, para el supuesto de que el órgano judicial coincidiera con la Administración tributaria en que dicha operación tenía carácter "habitual", solicitó que se estimase que la citada sociedad realiza dos actividades diferenciadas -la de alquiler y la de venta de inmuebles- en cada una de las cuales, de conformidad con el art. 101 LIVA, cabía la posibilidad de deducir el IVA soportado de forma independiente; diferenciación solicitada que, de admitirse -se afirma-, determinaba la deducción de casi todo el IVA soportado por la construcción de las naves, dado que está afecto exclusivamente a la actividad de alquiler, y esta actividad tenía una prorrata del 95 por 100. </w:t>
      </w:r>
    </w:p>
    <w:p w:rsidR="00DE14C9" w:rsidRDefault="00DE14C9" w:rsidP="00DE14C9">
      <w:pPr>
        <w:pStyle w:val="TextoNormal"/>
      </w:pPr>
      <w:r>
        <w:t xml:space="preserve">Según expresa en la demanda, conforme a los arts. 9 y 101 LIVA, la aplicación independiente del régimen de deducciones requiere que ambas actividades constituyan sectores diferenciados, para lo cual es preciso que las actividades económicas tengan asignados grupos diferentes en la Clasificación Nacional de Actividades Económicas (CNAE) y tengan una diferencia de más de 50 puntos porcentuales en sus porcentajes de deducción; y ambos requisitos se cumplen, dado que mientras que la CNAE de la actividad de alquiler es el 7020 y tiene un porcentaje de deducción próximo al 100 por 100, la CNAE de la actividad compraventa es el 7012 y, como actividad sujeta pero exenta, tiene un porcentaje de deducción del 0 por 100. A la vista de estos razonamientos y suponiendo la aplicación independiente del régimen de deducciones, cuando se dan las circunstancias antes descritas, no un beneficio de carácter rogado, sino una consecuencia inexorable, en la demanda contencioso-administrativa se solicitó literalmente que en el supuesto de desestimarse la pretensión de la actora en relación a la ausencia de habitualidad, habría que concluir la existencia de dos actividades diferenciadas, resultando en consecuencia deducible el IVA soportado en la </w:t>
      </w:r>
      <w:r>
        <w:lastRenderedPageBreak/>
        <w:t xml:space="preserve">construcción de las naves en el porcentaje indicado del 95 por 100. Y pese a que dicho pronunciamiento subsidiario se solicitó con fundamento en la construcción de unos hechos, la concreción de cifras, la aclaración de operaciones, una fundamentación jurídica y, en fin, acreditación mediante la prueba pertinente, el Tribunal Superior de Justicia de la Comunidad Valenciana ha obviado absolutamente esta cuestión incurriendo en una manifiesta incongruencia omisiva. </w:t>
      </w:r>
    </w:p>
    <w:p w:rsidR="00DE14C9" w:rsidRDefault="00DE14C9" w:rsidP="00DE14C9">
      <w:pPr>
        <w:pStyle w:val="TextoNormal"/>
      </w:pPr>
      <w:r>
        <w:t xml:space="preserve">En efecto, al impugnar ante el citado órgano jurisdiccional las resoluciones del Tribunal Económico-Administrativo Regional de Valencia se planteó, bien que se reconociera que las ventas de las viviendas tenían carácter excepcional, bien, subsidiariamente, que se considerara que la demandante realizaba actividades diferenciadas y, por ende, se reconociese que tenía el derecho al porcentaje de deducción del IVA soportado del 95 por 100. Ambas pretensiones se razonaban en la demanda contencioso-administrativa en fundamentos jurídicos independientes (el VII y el VIII, respectivamente). Sin embargo, mientras que en relación con la pretensión principal - planteada en las páginas 4 a 9 de la demanda-, el órgano judicial, en la Sentencia recurrida en amparo, sin ninguna valoración de la prueba, se limitó a concluir la habitualidad de las operaciones realizadas mediante una simple remisión a "la postura de la Administración", en relación con la pretensión subsidiaria -razonada en los folios 9 a 11- guardó absoluto silencio; utilizando, en cualquier caso, el órgano judicial "un relato fáctico estandarizado y carente de cualquier especificación relativa a los hechos objeto de controversia", como pone de manifiesto la circunstancia de que, pese a que son dos las resoluciones del Tribunal Económico-Administrativo Regional de Valencia recurridas, únicamente identifica como acto impugnado la de 29 de junio de 2001. A juicio de la demandante de amparo, los razonamientos esgrimidos en la demanda, la prueba practicada, las pretensiones que se deducen en el proceso y, en suma, la complejidad de las cuestiones controvertidas precisaban una Sentencia de cierto rigor, motivación e incluso "longitud", dado que no es posible que dichas pretensiones puedan ventilarse -como así ha sucedido- en apenas doce líneas del fundamento jurídico primero de la Sentencia que sólo contienen alusiones genéricas y vaguedades. </w:t>
      </w:r>
    </w:p>
    <w:p w:rsidR="00DE14C9" w:rsidRDefault="00DE14C9" w:rsidP="00DE14C9">
      <w:pPr>
        <w:pStyle w:val="TextoNormal"/>
      </w:pPr>
      <w:r>
        <w:t xml:space="preserve">Tampoco se obtuvo respuesta en el incidente planteado al amparo del art. 215.2 LEC, en relación con el art. 218 LEC -que, conforme a cierta jurisprudencia, resulta aplicable en los supuestos de incongruencias de las Sentencias (cita, a este respecto, la Sentencia del Tribunal Superior de Justicia de Murcia de 18 de noviembre de 2002 y el Auto de la Audiencia Provincial de Barcelona de 22 de octubre de 2001)-, dado que, pese a la exhaustiva fundamentación del escrito por el que se solicitaba que la Sala subsanase y complementase la Sentencia, dicha solicitud fue desestimada mediante Auto desestimatorio, de igual parquedad que la Sentencia, que resolvió como si se hubiera instado la aclaración de la Sentencia. Auto que, omitiendo por completo el procedimiento establecido en el citado art. 215.2 LEC (que exige que antes de dictarse se traslade la solicitud de complemento de la Sentencia a las demás partes para que aleguen lo que estimen oportuno en el plazo de cinco días), a juicio de la demandante de amparo, habría incurrido en incongruencia no sólo por ausencia de fundamentación sino también por referirse a cosa distinta de lo pedido ("incongruencia extra petita"). </w:t>
      </w:r>
    </w:p>
    <w:p w:rsidR="00DE14C9" w:rsidRDefault="00DE14C9" w:rsidP="00DE14C9">
      <w:pPr>
        <w:pStyle w:val="TextoNormal"/>
      </w:pPr>
      <w:r>
        <w:t xml:space="preserve">Por otra parte, a juicio de la demandante de amparo, se habrían cumplido los dos requisitos que este Tribunal ha venido exigiendo para que pueda apreciarse la existencia de incongruencia omisiva (cita, en este sentido, las SSTC 132/1999; 263/1993; 280/1993; 219/1999, 5/2001, 114/2003, 8/2004 y 83/2004): en primer lugar, en el planteamiento del remedio procesal del art. 215 LEC se hizo expresa mención de que la falta de respuesta a </w:t>
      </w:r>
      <w:r>
        <w:lastRenderedPageBreak/>
        <w:t xml:space="preserve">una de las pretensiones planteadas en la demanda -la existencia de dos actividades diferenciadas con un régimen de deducción de IVA independiente- vulneraba el derecho fundamental a la tutela judicial efectiva, y se advertía de la interposición del recurso de amparo; y, en segundo lugar, es claro que la omisión del tratamiento de la citada pretensión ha causado indefensión material a la parte actora por cuanto, como habría quedado acreditado en la demanda de amparo, se trataba de una cuestión esencial de la que dependía el sentido de la resolución. En definitiva, entiende la actora que ha quedado acreditado que la Sentencia impugnada omitió cualquier pronunciamiento sobre una de las dos controversias esenciales del proceso, sin que de su escueta fundamentación quepa deducir una desestimación tácita, más -se afirma- cuando la propia motivación respecto a la única alegación resuelta es apenas inexistente; ha existido, pues -se concluye-, un desajuste extremo entre el fallo y las pretensiones, sin que quepa verificar la lógica de los argumentos utilizados por el Tribunal para fundamentar su fallo (cita las SSTC 118/1989, 82/2001 y 114/2003). </w:t>
      </w:r>
    </w:p>
    <w:p w:rsidR="00DE14C9" w:rsidRDefault="00DE14C9" w:rsidP="00DE14C9">
      <w:pPr>
        <w:pStyle w:val="TextoNormal"/>
      </w:pPr>
      <w:r>
        <w:t xml:space="preserve">En segundo lugar, estima la entidad demandante de amparo que la resolución judicial impugnada habría vulnerado también su derecho a la tutela judicial efectiva reconocido en el art. 24.1 CE por falta de motivación suficiente y por la omisión de la valoración de la prueba. En efecto, la Sentencia recurrida se limita a reconocer que la entidad mercantil Edificios Mariner, S.A., efectuó una venta de 23 viviendas, pero sin atender ni valorar la excepcionalidad de dicha operación en la trayectoria empresarial (30 años) de la sociedad recurrente ni a la circunstancia de que la venta respondía a una decisión puntual por cambio de estrategia empresarial de dicha entidad, circunstancias estas que, pese a que fueron acreditadas durante el período probatorio (se recabó documentación acreditativa de que a lo largo de varios años no se había realizado otras ventas), no fueron valoradas por el Tribunal Superior de Justicia de Valencia. Tampoco habría rebatido dicho Tribunal -se sostiene- la afirmación de que la operación tuvo lugar mediante una mera disociación formal con el fin de respetar los derechos y facilitar el acceso a la propiedad de los inquilinos, lo que podría haberse esquivado agrupando todos los inmuebles y enajenándolos en un documento notarial a un solo adquirente. Sobre nada de esto se pronuncia el órgano judicial, que concluye la existencia de habitualidad en una resolución que por inmotivada debe tacharse de "irrazonable" y arbitraria (se cita, a este respecto, la doctrina sentada por la STC 76/2004); y es que -subraya la actora- siendo el término "habitual" un "concepto jurídico indeterminado" su apreciación por el Tribunal requiere de una justificación sólida, especialmente cuando se pretende amparar en ella la desestimación de la pretensión. </w:t>
      </w:r>
    </w:p>
    <w:p w:rsidR="00DE14C9" w:rsidRDefault="00DE14C9" w:rsidP="00DE14C9">
      <w:pPr>
        <w:pStyle w:val="TextoNormal"/>
      </w:pPr>
      <w:r>
        <w:t>Por todo lo expuesto, la actora solicita que se dicte sentencia que conceda el amparo solicitado anulando la Sentencia y el Auto objeto de impugnación, y retrotraiga las actuaciones "a fin de que se adopte una decisión motivada, se resuelva la pretensión omitida y se incorpore la correspondiente valoración de la prueba". Asimismo, por otrosí, al amparo de lo dispuesto en el art. 56 LOTC, solicitó la suspensión de la Sentencia de 27 de febrero de 2004 y el Auto de 7 de mayo de 2004 del Tribunal Superior de Justicia de la Comunidad Valenciana, al considerar que su ejecución "supondría un grave quebranto para la situación económica de la entidad que se encuentra en período de expansión" y existe "garantía suficiente a favor de la Administración".</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Mediante providencia de 8 de noviembre de 2006, la Sección Primera del Tribunal Constitucional acordó admitir a trámite la demanda de amparo formulada por la entidad mercantil Edificios Mariner, S.A., y tener por personada y parte en nombre y representación de la misma a la Procuradora de los Tribunales doña Mercedes Albi Murcia; en aplicación de lo dispuesto en el art. 51 LOTC, requerir al Tribunal Superior de Justicia y al Tribunal </w:t>
      </w:r>
      <w:r>
        <w:lastRenderedPageBreak/>
        <w:t>Económico-Administrativo Regional de la Comunidad Valenciana para que en el plazo de diez días remitieran respectivamente testimonio del recurso núm. 1426-2001 y expedientes que han dado lugar a las reclamaciones núms. 46/8183/98 y 46/7560/99, interesando asimismo el emplazamiento de quienes hubieran sido parte en el procedimiento, con excepción de la entidad recurrente en amparo, para que en el plazo de diez días pudieran comparecer en este proceso constitucional; y, finalmente, emplazar al Abogado del Estado, en representación de la Administración, para que en el plazo de diez días pudiera comparecer si lo estimara pertinente. Igualmente, conforme a lo solicitado por la entidad recurrente, se acordó la formación de la correspondiente pieza separada de suspensión, en la cual, tras atender las alegaciones pertinentes, se acordó, por ATC 459/2006, de 18 de diciembre, de la Sala Primera de este Tribunal, denegar la suspensión.</w:t>
      </w:r>
    </w:p>
    <w:p w:rsidR="00DE14C9" w:rsidRDefault="00DE14C9" w:rsidP="00DE14C9">
      <w:pPr>
        <w:pStyle w:val="TextoNormal"/>
      </w:pPr>
    </w:p>
    <w:p w:rsidR="00DE14C9" w:rsidRDefault="00DE14C9" w:rsidP="00DE14C9">
      <w:pPr>
        <w:pStyle w:val="TextoNormal"/>
      </w:pPr>
      <w:r w:rsidRPr="00DE14C9">
        <w:rPr>
          <w:rStyle w:val="NumeroAFNegritaCaracter"/>
        </w:rPr>
        <w:t>5</w:t>
      </w:r>
      <w:r>
        <w:t>. Por escrito registrado en este Tribunal el 16 de noviembre de 2006 el Abogado del Estado se personó en este proceso constitucional.</w:t>
      </w:r>
    </w:p>
    <w:p w:rsidR="00DE14C9" w:rsidRDefault="00DE14C9" w:rsidP="00DE14C9">
      <w:pPr>
        <w:pStyle w:val="TextoNormal"/>
      </w:pPr>
    </w:p>
    <w:p w:rsidR="00DE14C9" w:rsidRDefault="00DE14C9" w:rsidP="00DE14C9">
      <w:pPr>
        <w:pStyle w:val="TextoNormal"/>
      </w:pPr>
      <w:r w:rsidRPr="00DE14C9">
        <w:rPr>
          <w:rStyle w:val="NumeroAFNegritaCaracter"/>
        </w:rPr>
        <w:t>6</w:t>
      </w:r>
      <w:r>
        <w:t>. Por diligencia de ordenación de la Secretaría de Justicia de la Sala Primera de 23 de enero de 2007, de conformidad con lo dispuesto en el art. 52 LOTC, se dio vista de las actuaciones del presente recurso de amparo en la Secretaría de la Sala Primera, por plazo común de veinte días, al Ministerio Fiscal y a las partes personadas, para que dentro del referido término pudieran presentar alegaciones.</w:t>
      </w:r>
    </w:p>
    <w:p w:rsidR="00DE14C9" w:rsidRDefault="00DE14C9" w:rsidP="00DE14C9">
      <w:pPr>
        <w:pStyle w:val="TextoNormal"/>
      </w:pPr>
    </w:p>
    <w:p w:rsidR="00DE14C9" w:rsidRDefault="00DE14C9" w:rsidP="00DE14C9">
      <w:pPr>
        <w:pStyle w:val="TextoNormal"/>
      </w:pPr>
      <w:r w:rsidRPr="00DE14C9">
        <w:rPr>
          <w:rStyle w:val="NumeroAFNegritaCaracter"/>
        </w:rPr>
        <w:t>7</w:t>
      </w:r>
      <w:r>
        <w:t xml:space="preserve">. El Fiscal formuló sus alegaciones por escrito registrado en este Tribunal el 19 de febrero de 2007. El Ministerio Fiscal, tras una breve exposición de los hechos, comienza poniendo de manifiesto que la entidad recurrente en amparo considera que la Sentencia impugnada vulnera su derecho a la tutela judicial efectiva porque, habiendo planteado dos pretensiones en la demanda contencioso-administrativa -en primer lugar, que no podía considerarse como habitual la venta de 23 viviendas durante un corto período de tiempo y por razones de coyuntura comercial, por lo que resultaba aplicable el art. 104.3.4 LIVA; y, en segundo lugar, subsidiariamente, que, al haberse realizado dos operaciones diferenciadas, cabía deducir el IVA soportado de forma independiente-, el Tribunal Superior de Justicia de Valencia no se ha pronunciado sobre una de ellas (incongruencia omisiva que no habría sido subsanada por el Auto dictado en el trámite del art. 215 LEC) y ha desestimado la segunda sin motivación suficiente. </w:t>
      </w:r>
    </w:p>
    <w:p w:rsidR="00DE14C9" w:rsidRDefault="00DE14C9" w:rsidP="00DE14C9">
      <w:pPr>
        <w:pStyle w:val="TextoNormal"/>
      </w:pPr>
      <w:r>
        <w:t xml:space="preserve">Seguidamente, en la medida en que la recurrente ha alegado la posible incongruencia omisiva de la Sentencia de 27 de febrero de 2004 como uno de los motivos de amparo y no ha promovido el incidente extraordinario de nulidad de actuaciones previsto en el art. 241 LOPJ, el Fiscal comienza examinando si, tal y como exige el art. 44.1 a) LOTC, se han agotado todos los recursos utilizables dentro de la vía judicial. Pues bien, a su juicio, no era preciso promover el incidente de nulidad de actuaciones porque la Disposición final primera de la Ley 29/1998, de la jurisdicción contencioso-administrativa, se remite a la Ley de enjuiciamiento civil, y la actora ha brindado al órgano judicial la posibilidad de reparar la lesión del derecho fundamental a la tutela judicial efectiva mediante el instituto del complemento de sentencia o auto definitivo que contempla el art. 215 LEC, precepto arbitrado por el legislador precisamente para solucionar los vicios de incongruencia omisiva que puedan causar las resoluciones judiciales que no resuelvan las pretensiones deducidas por las partes, de manera que "esta posibilidad permite también la obtención de la efectividad del derecho </w:t>
      </w:r>
      <w:r>
        <w:lastRenderedPageBreak/>
        <w:t xml:space="preserve">a la tutela judicial y, al propio tiempo, agotar igualmente la vía judicial previa como presupuesto indispensable del acceso al recurso de amparo". </w:t>
      </w:r>
    </w:p>
    <w:p w:rsidR="00DE14C9" w:rsidRDefault="00DE14C9" w:rsidP="00DE14C9">
      <w:pPr>
        <w:pStyle w:val="TextoNormal"/>
      </w:pPr>
      <w:r>
        <w:t xml:space="preserve">Sentado lo anterior, el Fiscal examina los motivos de amparo recogidos en la demanda, comenzando por la alegada insuficiencia de la motivación de la Sentencia de 27 de febrero de 2004 en relación con la pretensión principal: que se declare el carácter excepcional de la operación de venta de las veintitrés viviendas y, por tanto, la aplicación del art. 104.3.4 LIVA. A este respecto, comienza el Ministerio público recordando que, conforme a reiterada doctrina de este Tribunal (cita las SSTC 139/2000 y 118/2006), la exigencia de motivación de las sentencias que deriva del derecho a la tutela judicial efectiva no autoriza a exigir de los órganos judiciales un razonamiento exhaustivo y pormenorizado, sino basta con que las resoluciones judiciales vengan apoyadas en razones que permitan conocer la ratio decidendi que ha determinado aquéllas. Y en el supuesto de autos se habría cumplido dicho requisito, dado que aunque la fundamentación de la Sentencia impugnada en amparo es extremadamente parca en razonamiento y escasa en contenido, aporta como argumento para sustentar el carácter habitual de la actividad de venta de inmuebles efectuada por la recurrente en el año 1996, el hecho de que se vendieron un total de veintitrés viviendas en el corto plazo de tres meses, razonamiento que, si bien pudiera ser cuestionado desde una perspectiva de legalidad ordinaria, aunque escueto y reducido, debe considerarse suficiente para satisfacer las exigencias del derecho fundamental a la tutela judicial efectiva, tal y como ha sido configurado por este Tribunal, razón por la cual entiende que este primer motivo debe ser desestimado. </w:t>
      </w:r>
    </w:p>
    <w:p w:rsidR="00DE14C9" w:rsidRDefault="00DE14C9" w:rsidP="00DE14C9">
      <w:pPr>
        <w:pStyle w:val="TextoNormal"/>
      </w:pPr>
      <w:r>
        <w:t xml:space="preserve">A continuación, se pronuncia el Ministerio Fiscal en relación con el vicio de incongruencia omisiva que, según la recurrente, se habría producido al no haber dado respuesta el órgano judicial a la pretensión que subsidiariamente planteó en la demanda contencioso-administrativa. A este respecto, comienza recordando el Fiscal que, conforme a constante doctrina de este Tribunal, la incongruencia omisiva tiene lugar cuando la resolución que pone fin al procedimiento guarda silencio o no se pronuncia sobre alguna de las pretensiones de las partes, dejando imprejuzgada o sin respuesta la cuestión o petición sometida a la consideración del órgano judicial (cita las SSTC 45/2003, FJ 2; y 158/2005, FJ 2), de modo que la parte no puede conocer cuál ha sido la respuesta del órgano judicial, "precisamente porque éste ha guardado absoluto silencio sobre la misma y no se ha podido tampoco deducir una respuesta tácita de la resolución dictada". Y, a la luz de esta doctrina, llega a la conclusión de que se ha producido la incongruencia omisiva denunciada por la actora. </w:t>
      </w:r>
    </w:p>
    <w:p w:rsidR="00DE14C9" w:rsidRDefault="00DE14C9" w:rsidP="00DE14C9">
      <w:pPr>
        <w:pStyle w:val="TextoNormal"/>
      </w:pPr>
      <w:r>
        <w:t xml:space="preserve">En efecto, señala el Fiscal que del análisis de las actuaciones se desprende claramente que habiendo introducido la sociedad mercantil actora en el debate de la litis dos pretensiones, una principal -que, a los efectos de la deducción del IVA, las ventas realizadas no fueran reputadas como una actividad habitual de las operaciones empresariales de la recurrente-, y otra para que pudiera ser enjuiciada en defecto de la anterior -que se considerara que existen dos actividades diferentes, la de arrendamiento y la de venta de inmuebles, por lo que cabía deducir el IVA soportado de forma independiente-, la Sala de lo Contencioso-Administrativo del Tribunal Superior de Justicia de la Comunidad Valenciana no dio respuesta alguna a esta última. Y, pese a que, advertido este silencio, la recurrente solicitó el complemento de la Sentencia con fundamento en lo dispuesto en el art. 215 LEC, la Sala, interpretando que se había pedido la aclaración de la Sentencia al amparo del art. 214 LEC, desestimó dicha petición, dejando sin respuesta la cuestión suscitada. </w:t>
      </w:r>
    </w:p>
    <w:p w:rsidR="00DE14C9" w:rsidRDefault="00DE14C9" w:rsidP="00DE14C9">
      <w:pPr>
        <w:pStyle w:val="TextoNormal"/>
      </w:pPr>
      <w:r>
        <w:t xml:space="preserve">En definitiva, a juicio del Ministerio Fiscal, la Sala ha guardado silencio absoluto en relación con la segunda de las pretensiones planteadas por la actora, habiéndose producido una incongruencia omisiva que aquélla no ha eliminado con el trámite de complemento de </w:t>
      </w:r>
      <w:r>
        <w:lastRenderedPageBreak/>
        <w:t xml:space="preserve">la Sentencia que le fue ofrecido por la parte actora, razón por la cual el motivo debe ser acogido y el amparo otorgado. </w:t>
      </w:r>
    </w:p>
    <w:p w:rsidR="00DE14C9" w:rsidRDefault="00DE14C9" w:rsidP="00DE14C9">
      <w:pPr>
        <w:pStyle w:val="TextoNormal"/>
      </w:pPr>
      <w:r>
        <w:t xml:space="preserve">Finalmente, en relación con el alcance del amparo que se propugna, considera el Fiscal que, "en la medida en que la sentencia no ha operado ninguna vulneración del derecho a la tutela judicial efectiva de la actora, pues dio respuesta razonada a la pretensión principal que ésta sostenía", basta con que este Tribunal anule el Auto posterior de 7 de mayo de 2004 para que el órgano judicial, atendiendo a la solicitud de complemento de sentencia instada por la entidad recurrente, haga efectivo su derecho a la tutela judicial dando una respuesta razonada en Derecho a la pretensión subsidiaria recogida en la demanda del recurso contencioso-administrativo formalizado en su día. </w:t>
      </w:r>
    </w:p>
    <w:p w:rsidR="00DE14C9" w:rsidRDefault="00DE14C9" w:rsidP="00DE14C9">
      <w:pPr>
        <w:pStyle w:val="TextoNormal"/>
      </w:pPr>
      <w:r>
        <w:t>En atención a lo expuesto, el Ministerio Fiscal interesa que se dicte Sentencia que, otorgando el amparo, reconozca a la recurrente su derecho a la tutela judicial efectiva, y restablezca su derecho acordando a tal fin la anulación del Auto de 7 de mayo de 2004, dictado por la Sección Primera de la Sala de lo Contencioso-Administrativo del Tribunal Superior de Justicia de la Comunidad Valenciana, debiendo retrotraerse las actuaciones al momento inmediatamente anterior al pronunciamiento de dicho Auto para que la Sala dicte otra resolución que se pronuncie sobre la pretensión subsidiariamente ejercitada por la demandante en su recurso contencioso-administrativo.</w:t>
      </w:r>
    </w:p>
    <w:p w:rsidR="00DE14C9" w:rsidRDefault="00DE14C9" w:rsidP="00DE14C9">
      <w:pPr>
        <w:pStyle w:val="TextoNormal"/>
      </w:pPr>
    </w:p>
    <w:p w:rsidR="00DE14C9" w:rsidRDefault="00DE14C9" w:rsidP="00DE14C9">
      <w:pPr>
        <w:pStyle w:val="TextoNormal"/>
      </w:pPr>
      <w:r w:rsidRPr="00DE14C9">
        <w:rPr>
          <w:rStyle w:val="NumeroAFNegritaCaracter"/>
        </w:rPr>
        <w:t>8</w:t>
      </w:r>
      <w:r>
        <w:t xml:space="preserve">. El 20 de febrero de 2007 el Abogado del Estado presentó su escrito de alegaciones, en el que suplica que se dicte sentencia, bien inadmitiendo el amparo en su integridad; bien, subsidiariamente, declarando inadmisible el amparo en relación con la incongruencia alegada y desestimándolo en lo demás; bien, en defecto de todo lo anterior, denegando totalmente el amparo. Comienza en su escrito de alegaciones recordando que la demanda de amparo reprocha a la Sentencia de 27 de febrero de 2004 la vulneración del derecho a la tutela judicial efectiva por incongruencia omisiva (al no haberse pronunciado sobre la aplicación del régimen de deducciones del IVA en sectores diferenciados prevista en el art. 101 LIVA, que subsidiariamente se reclamaba en el fundamento VIII de la demanda), por insuficiente motivación y por la omisión en la valoración de la prueba; y que atribuye al Auto de 7 de mayo de 2004 la infracción del mismo derecho fundamental al incurrir en el vicio de incongruencia extra petita y haber omitido absolutamente el procedimiento previsto en el art. 215.2 LEC. </w:t>
      </w:r>
    </w:p>
    <w:p w:rsidR="00DE14C9" w:rsidRDefault="00DE14C9" w:rsidP="00DE14C9">
      <w:pPr>
        <w:pStyle w:val="TextoNormal"/>
      </w:pPr>
      <w:r>
        <w:t>Enumerados los motivos en los que se fundamenta el recurso de amparo, el Abogado del Estado explica las razones por las que considera que no se han cumplido los requisitos establecidos en los arts. 44.1 a) y 44.2 LOTC. A su juicio, en primer lugar, concurre la causa de inadmisibilidad del art. 50.1 a) LOTC al no haberse agotado debidamente la vía judicial, dado que si, como sostiene la demanda, el Auto de 7 de mayo de 2004 estaba aquejado de incongruencia, debió pedirse su nulidad al amparo del art. 241.1 LOPJ; no habiéndose procedido de este modo, no cabe examinar ni la incongruencia omisiva que se reprocha al citado Auto, ni la que se atribuye a la Sentencia de 27 de febrero de 2004, que se pretendía remediar por la vía del art. 215.2 LEC, puesto que tampoco respecto a ésta se han agotado todos los recursos utilizables dentro de la vía judicial. En segundo lugar, considera que el recurso de amparo es extemporáneo en relación con la alegada falta de motivación de la Sentencia y la ausencia de valoración de la prueba (omisión de la valoración de la prueba que -sostiene- puede considerarse, bien como una modalidad especial de falta de motivación, como se deduciría del art. 218.2 LEC, bien como una violación del derecho a la prueba reconocido en el art. 24.2 CE, si la omisión es signo de que arbitrariamente no se ha tomado en consi</w:t>
      </w:r>
      <w:r>
        <w:lastRenderedPageBreak/>
        <w:t xml:space="preserve">deración una prueba admitida y no practicada), dado que, aunque para remediar tales defectos no es remedio procedente la nulidad del art. 240.1 LOPJ (se cita, a este respecto, la STC 237/2006, FJ 4), si por no haber agotado la vía judicial procedente no cabe pronunciarse sobre el vicio de incongruencia, debió formularse el recurso de amparo por falta de motivación y omisión de la valoración de la prueba en el plazo de veinte días hábiles desde la notificación de la Sentencia de 27 de febrero de 2004. Como dicha notificación tuvo lugar el 20 de abril de 2004 y el recurso de amparo se presentó el 16 de junio de 2004, entiende el Abogado del Estado que ha transcurrido el plazo del art. 44.2 LOTC y, por lo tanto, el amparo resulta inadmisible con arreglo al art. 50.1 a) LOTC. </w:t>
      </w:r>
    </w:p>
    <w:p w:rsidR="00DE14C9" w:rsidRDefault="00DE14C9" w:rsidP="00DE14C9">
      <w:pPr>
        <w:pStyle w:val="TextoNormal"/>
      </w:pPr>
      <w:r>
        <w:t xml:space="preserve">En suma, a juicio del Abogado del Estado, por las razones expuestas, procede declarar inadmisible el recurso de amparo en su totalidad o, en su defecto, declararlo inadmisible respecto del vicio de incongruencia alegado. No obstante, subsidiariamente, el Abogado del Estado procede a examinar el fondo del asunto. Y, a este respecto, tras señalar que aunque puede calificarse como escueta la motivación de la Sentencia de 27 de febrero de 2004 y la del Auto de 7 de mayo de 2004, ninguna de las citadas resoluciones viola el derecho a obtener una respuesta judicial completa y fundada en derecho, comienza explicando las razones por las que estima que no existe la incongruencia omisiva denunciada, para lo cual parte de la doctrina sentada en el fundamento jurídico 2 de la STC 40/2006, de 13 de febrero, algunos de cuyos párrafos transcribe. </w:t>
      </w:r>
    </w:p>
    <w:p w:rsidR="00DE14C9" w:rsidRDefault="00DE14C9" w:rsidP="00DE14C9">
      <w:pPr>
        <w:pStyle w:val="TextoNormal"/>
      </w:pPr>
      <w:r>
        <w:t xml:space="preserve">Considera el Abogado del Estado que para responder a la alegada falta de pronunciamiento sobre la cuestión -que se habría planteado en el fundamento VIII de la demanda contencioso- administrativa- de si el arrendamiento y la venta de viviendas deben considerarse sectores diferenciados de la actividad empresarial a los efectos de aplicar el art. 101.1 LIVA, en relación con el art. 9.1 c) LIVA, conviene reparar en los antecedentes del asunto. A este respecto, señala que del relato de los hechos contenido en la demanda contencioso-administrativa se desprende lo siguiente: en primer lugar, que la venta de los inmuebles propiedad de la entidad mercantil Edificios Mariner, S.A., dedicados al arrendamiento de vivienda se llevaron a cabo entre el 28 de mayo y el 24 de septiembre de 1996 (hechos primero y segundo de la demanda); en segundo lugar, que en la declaración de IVA de 1996 la actora, a los efectos de aplicar la prorrata general, consideró que la citada venta de inmuebles no constituía una actividad empresarial habitual de la entidad, razón por la cual, en virtud del art. 104.3.4 LIVA, el importe de las compraventas no tenía que computarse en el denominador de la fracción descrita en el art. 104.2 LIVA (hecho segundo de la demanda); en tercer lugar, que, frente a la tesis de la actora, la Administración tributaria giró una "liquidación paralela" correspondiente al IVA del ejercicio 1996 incluyendo en el denominador de la citada fracción el importe de las operaciones inmobiliarias, lo que, a su vez, determinó la rectificación de la declaración de IVA del ejercicio 1997 (hechos segundo, tercero y cuarto de la demanda); y, finalmente, que las liquidaciones administrativas de IVA de los ejercicios 1996 y 1997 fueron objeto de sendas reclamaciones económico-administrativas, desestimadas por Resoluciones de 29 de junio de 2001 y 30 de abril de 2002 (hechos tercero y cuarto de la demanda), impugnadas ambas en el recurso contencioso-administrativo núm. 1426-2001. </w:t>
      </w:r>
    </w:p>
    <w:p w:rsidR="00DE14C9" w:rsidRDefault="00DE14C9" w:rsidP="00DE14C9">
      <w:pPr>
        <w:pStyle w:val="TextoNormal"/>
      </w:pPr>
      <w:r>
        <w:t xml:space="preserve">Pues bien, a tenor de los hechos descritos, considera el Abogado del Estado que la circunstancia de que el órgano judicial no haya dado respuesta a la cuestión de los sectores diferenciados no ha vulnerado el derecho reconocido en el art. 24.1 CE, dado que dicha cuestión no estaba procesalmente bien planteada. En efecto, de conformidad con el párrafo primero del art. 101.1 LIVA (en la redacción aplicable en 1996) -señala-, cuando se realicen actividades económicas en sectores diferenciados el sujeto pasivo del IVA está obligado a </w:t>
      </w:r>
      <w:r>
        <w:lastRenderedPageBreak/>
        <w:t xml:space="preserve">aplicar con independencia el régimen de deducciones respecto a cada uno de tales sectores. No habiendo obrado de este modo la entidad recurrente, como reconoce en el hecho segundo de la demanda de amparo, entiende el Abogado del Estado que sólo cabía plantear ante la Sala si se ajustaban o no a derecho los actos administrativos que rectificaban las declaraciones-liquidaciones de IVA de 1996 por indebida aplicación del art. 104.3.4 LIVA. A su juicio, para entrar justificadamente en la cuestión de la posible aplicación de lo dispuesto en el art. 101.1 LIVA, hubiera sido preciso que las declaraciones-liquidaciones de IVA del 1996 presentadas por la entidad mercantil Edificios Mariner, S.A., hubieran dado lugar a la aplicación de lo previsto en dicho precepto, en lugar de acogerse a lo dispuesto en el art. 104.3.4 LIVA. De este modo, con el fundamento VIII de la demanda se pretendía arrancar a la Sala un pronunciamiento abstracto y preventivo, pero vinculante para la Administración, sobre la subsidiaria aplicabilidad de un precepto -el art. 101.1 LIVA- que la propia actora no había considerado aplicable al formular sus declaraciones-liquidaciones en 1996. </w:t>
      </w:r>
    </w:p>
    <w:p w:rsidR="00DE14C9" w:rsidRDefault="00DE14C9" w:rsidP="00DE14C9">
      <w:pPr>
        <w:pStyle w:val="TextoNormal"/>
      </w:pPr>
      <w:r>
        <w:t xml:space="preserve">Por otro lado, a juicio del Abogado del Estado, el fundamento VIII de la demanda no planteaba un motivo sustancial de ilegalidad, sino que se trataba de un planteamiento "en hipótesis" sobre el que no se pedía expreso pronunciamiento en la súplica de la demanda, carácter hipotético o preventivo de tal pronunciamiento que resulta robustecido por el hecho de que la existencia de actividades diferenciadas no fue el criterio con el que la mercantil demandante había formulado sus declaraciones-liquidaciones de IVA en 1996. </w:t>
      </w:r>
    </w:p>
    <w:p w:rsidR="00DE14C9" w:rsidRDefault="00DE14C9" w:rsidP="00DE14C9">
      <w:pPr>
        <w:pStyle w:val="TextoNormal"/>
      </w:pPr>
      <w:r>
        <w:t xml:space="preserve">Finalmente, el Abogado del Estado, tras hacer notar que la demandante de amparo ya hizo mención de la posible aplicabilidad del art. 101.1 LIVA en sus alegaciones ante el Tribunal Económico-Administrativo Regional de Valencia y esta pretensión fue expresamente desestimada "a mayor abundamiento" en el fundamento de derecho quinto de la Resolución de 29 de junio de 2001 (en relación con el IVA de 1996), reiterado en la contestación a la demanda del Abogado del Estado, sostiene que al aceptar la Sentencia de 27 de febrero de 2004 "la postura de la Administración" y "las alegaciones de la Administración" es claro que asume también las razones para desestimar la posible aplicación del régimen del art. 101.1 LIVA y, de esta manera, está respondiendo por remisión a la cuestión suscitada. </w:t>
      </w:r>
    </w:p>
    <w:p w:rsidR="00DE14C9" w:rsidRDefault="00DE14C9" w:rsidP="00DE14C9">
      <w:pPr>
        <w:pStyle w:val="TextoNormal"/>
      </w:pPr>
      <w:r>
        <w:t xml:space="preserve">Concluye el Abogado del Estado el examen de la alegada incongruencia de la Sentencia de 27 de febrero de 2004 señalando que, aunque dicha resolución no se pronuncia sobre la Resolución del Tribunal Económico-Administrativo Regional de Valencia de 30 de abril de 2002, relativa al IVA de 1997, dado que la demanda de amparo no contiene queja alguna sobre este particular (bien porque considera que la impugnación del IVA de 1997 sólo podía prosperar si era estimada la del IVA de 1996, de manera que, desestimado el recurso respecto de esta última, tácitamente quedaba rechazado también en relación con la primera; bien porque entendía que la remisión a las razones de la Administración alcanzaba también al IVA de 1997), no se ha agotado la vía judicial respecto a esta cuestión concreta, razón por la cual resulta aplicable la causa de inadmisibilidad del art. 50.1 a) LOTC, en relación con el art. 44.1 a) LOTC. </w:t>
      </w:r>
    </w:p>
    <w:p w:rsidR="00DE14C9" w:rsidRDefault="00DE14C9" w:rsidP="00DE14C9">
      <w:pPr>
        <w:pStyle w:val="TextoNormal"/>
      </w:pPr>
      <w:r>
        <w:t xml:space="preserve">En cuanto a la denunciada incongruencia del Auto de 7 de mayo de 2004, para el Abogado del Estado es evidente que dicha resolución emplea el término "aclaración" en un sentido lato o impropio, dado que describe aceptablemente lo pretendido por la parte actora -"añadir nuevas motivaciones que justifiquen el fallo" (antecedente único)- y deniega lo solicitado al considerar que la Sentencia de 27 de febrero de 2004 "está clara y suficientemente motivada". A su juicio, aunque dicho Auto no dibuje la línea de separación entre incongruencia omisiva y motivación insuficiente con la precisión técnica deseable, en su lacónico </w:t>
      </w:r>
      <w:r>
        <w:lastRenderedPageBreak/>
        <w:t xml:space="preserve">razonamiento está claramente implícita la idea de que una sentencia totalmente desestimatoria es congruente por hipótesis y que refutar los diversos motivos de impugnación pertenece al plano de la motivación. En todo caso - concluye- "la Sala viene a decir que, aceptando en su integridad los razonamientos dados por la Administración para respaldar la legalidad de la actividad impugnada, no se necesita decir más, puesto que ello supone declarar, en bloque, mejor fundadas las tesis de la Administración que las aducidas en la demanda". </w:t>
      </w:r>
    </w:p>
    <w:p w:rsidR="00DE14C9" w:rsidRDefault="00DE14C9" w:rsidP="00DE14C9">
      <w:pPr>
        <w:pStyle w:val="TextoNormal"/>
      </w:pPr>
      <w:r>
        <w:t xml:space="preserve">A continuación, partiendo de lo anteriormente razonado, considera el Abogado del Estado que la Sentencia de 27 de febrero de 2004 supera el mínimo de motivación constitucionalmente exigible. La motivación por remisión -señala- es una técnica lícita de fundamentar las sentencias, conforme a la doctrina que ha sentado este Tribunal, entre otras resoluciones, en la STC 308/2006, de 23 de octubre, FJ 6, y en el ATC 256/2005, de 20 de junio. En virtud de dicha doctrina, desde el punto de vista constitucional, no puede entenderse deficientemente motivada una sentencia que, como la impugnada en esta sede, acepta que, en lo que se refiere a la cuestión de si la venta de viviendas puede o no considerarse actividad empresarial habitual, la argumentación jurídica de la Administración, a la que se remite, está mejor fundada que la de la recurrente. </w:t>
      </w:r>
    </w:p>
    <w:p w:rsidR="00DE14C9" w:rsidRDefault="00DE14C9" w:rsidP="00DE14C9">
      <w:pPr>
        <w:pStyle w:val="TextoNormal"/>
      </w:pPr>
      <w:r>
        <w:t xml:space="preserve">Finalmente, en relación con omisión de la valoración de la prueba denunciada en la demanda de amparo, considera el Abogado del Estado que, frente a lo que viene exigiendo este Tribunal (cita las SSTC 13/2006, FFJJ 2 y 3, 238/2006, FJ 2; y 252/2006, FJ 7), la demanda no levanta la carga de precisar cuál es la prueba no valorada en la sentencia y su carácter decisivo en términos de defensa. Entiende la representación pública que, habiéndose limitado la prueba practicada a propuesta de la actora a la adveración de sus declaraciones por el Impuesto sobre Sociedades en los ejercicios 1995, 1996 y 1997 y al envío por la Consejería de Economía y Hacienda de la Comunidad Valencia de los impresos de autoliquidación del Impuesto sobre Transmisiones Patrimoniales y Actos Jurídicos Documentados correspondientes a la venta de los pisos, en unos casos -los más- por el concepto de actos jurídicos documentados y en otros -los menos- por el de transmisiones patrimoniales onerosas, difícilmente puede contribuir esta prueba a esclarecer si las operaciones de venta de inmuebles eran o no habituales a los efectos del art. 104.3.4. LIVA, aunque, a su juicio, el hecho de que en la mayoría de las ventas de pisos se haya autoliquidado el impuesto de actos jurídicos documentados invita más a pensar en la existencia de habitualidad, al menos en la idea de los adquirentes de las viviendas (cita, a este respecto, los arts. 7.5 y 31.2 del texto refundido del citado impuesto, aprobado por Real Decreto Legislativo 1/1993, de 24 de septiembre). </w:t>
      </w:r>
    </w:p>
    <w:p w:rsidR="00DE14C9" w:rsidRDefault="00DE14C9" w:rsidP="00DE14C9">
      <w:pPr>
        <w:pStyle w:val="TextoNormal"/>
      </w:pPr>
      <w:r>
        <w:t xml:space="preserve">En cualquier caso, para el Abogado del Estado, la cuestión controvertida no gira en torno a si una afirmación fáctica de la demandante quedó o no demostrada, sino que el debate se plantea en relación con una calificación jurídica, en particular, sobre cómo ha de entenderse el concepto jurídico "actividad empresarial o profesional habitual del sujeto pasivo". Habiendo planteado la entidad demandante y la Administración tributaria dos interpretaciones diferentes de dicho concepto, la Sala se ha decantado por una de ellas al compartir "la postura de la Administración en cuanto cabe apreciar habitualidad en la venta, a lo largo de tres meses, de veintitrés viviendas". En suma, la Sala - concluye el Abogado del Estado- no omite o rechaza arbitrariamente valorar una prueba decisiva, sino que se pronuncia sobre el contenido y límites de un concepto jurídico, y lo hace a favor de la tesis mantenida por la Administración. Y lo mismo cabría razonar, en su caso, respecto al concepto jurídico "actividades económicas en sectores diferenciados". </w:t>
      </w:r>
    </w:p>
    <w:p w:rsidR="00DE14C9" w:rsidRDefault="00DE14C9" w:rsidP="00DE14C9">
      <w:pPr>
        <w:pStyle w:val="TextoNormal"/>
      </w:pPr>
      <w:r>
        <w:lastRenderedPageBreak/>
        <w:t>Por todo lo expuesto el Abogado del Estado concluye interesando que se dicte sentencia que inadmita el amparo en su integridad; o, subsidiariamente, que declare inadmisible el amparo en relación con la incongruencia alegada y lo desestime en lo demás; y, en defecto de lo anterior, que se dicte Sentencia que deniegue totalmente el amparo.</w:t>
      </w:r>
    </w:p>
    <w:p w:rsidR="00DE14C9" w:rsidRDefault="00DE14C9" w:rsidP="00DE14C9">
      <w:pPr>
        <w:pStyle w:val="TextoNormal"/>
      </w:pPr>
    </w:p>
    <w:p w:rsidR="00DE14C9" w:rsidRDefault="00DE14C9" w:rsidP="00DE14C9">
      <w:pPr>
        <w:pStyle w:val="TextoNormal"/>
      </w:pPr>
      <w:r w:rsidRPr="00DE14C9">
        <w:rPr>
          <w:rStyle w:val="NumeroAFNegritaCaracter"/>
        </w:rPr>
        <w:t>9</w:t>
      </w:r>
      <w:r>
        <w:t>. El 22 de febrero de 2007, la entidad recurrente en amparo presentó un escrito en el que, limitándose a reproducir las alegaciones formuladas en el escrito de interposición del recurso de amparo presentado el 16 de junio de 2004, solicitaba nuevamente que este Tribunal dicte Sentencia por la que se anulen el Auto y la Sentencia de la Sala de lo Contencioso-Administrativo del Tribunal Superior de Justicia de Valencia objeto de impugnación y se retrotraigan las actuaciones a fin de que se adopte una decisión motivada, se resuelva la pretensión omitida y se incorpore la correspondiente valoración de la prueba.</w:t>
      </w:r>
    </w:p>
    <w:p w:rsidR="00DE14C9" w:rsidRDefault="00DE14C9" w:rsidP="00DE14C9">
      <w:pPr>
        <w:pStyle w:val="TextoNormal"/>
      </w:pPr>
    </w:p>
    <w:p w:rsidR="00DE14C9" w:rsidRDefault="00DE14C9" w:rsidP="00DE14C9">
      <w:pPr>
        <w:pStyle w:val="TextoNormal"/>
      </w:pPr>
      <w:r w:rsidRPr="00DE14C9">
        <w:rPr>
          <w:rStyle w:val="NumeroAFNegritaCaracter"/>
        </w:rPr>
        <w:t>10</w:t>
      </w:r>
      <w:r>
        <w:t>. Por providencia de 15 de junio de 2007, se señaló para deliberación y votación de la presente Sentencia el día 18 del mismo mes y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El presente recurso de amparo se dirige contra la Sentencia de la Sección Primera de la Sala de lo Contencioso-Administrativo del Tribunal Superior de Justicia de la Comunidad Valenciana, núm. 168, de 27 de febrero de 2004, así como contra el Auto de la misma Sección de 7 de mayo de 2004, que desestima la solicitud de complemento de la Sentencia instada por la demandante de amparo con fundamento en los arts. 267.5 de la Ley Orgánica del Poder Judicial (LOPJ) y 215.2 de la Ley de enjuiciamiento civil (LEC). La citada Sentencia desestima el recurso contencioso- administrativo interpuesto por la entidad mercantil Edificios Mariner, S.A., contra las Resoluciones de 29 de junio de 2001 y de 30 de abril de 2002 del Tribunal Económico-Administrativo Regional de Valencia, que confirman las liquidaciones provisionales dictadas por la Administración de la Agencia Tributaria de Valencia en concepto de impuesto sobre el valor añadido (IVA) de los ejercicios 1996 y 1997, respectivamente.</w:t>
      </w:r>
    </w:p>
    <w:p w:rsidR="00DE14C9" w:rsidRDefault="00DE14C9" w:rsidP="00DE14C9">
      <w:pPr>
        <w:pStyle w:val="TextoNormal"/>
      </w:pPr>
      <w:r>
        <w:t xml:space="preserve">Se alega en la demanda de amparo que la Sentencia y el Auto citados han vulnerado el derecho a la tutela judicial efectiva garantizado en el art. 24.1 CE. A juicio de la entidad demandante, la Sentencia de 27 de febrero de 2004 habría infringido dicho derecho fundamental por dos motivos: en primer lugar, porque en relación con la alegación principal planteada en el escrito de 9 de diciembre de 2002 por el que se formulaba la demanda contencioso-administrativa -que se declarara que la venta de viviendas realizada por la actora en 1996 no constituía una actividad empresarial habitual de la recurrente y, por tanto, resultaba aplicable el art. 104.3.4 de la Ley 37/1992, de 28 de diciembre (LIVA)- dicha Sentencia ofrece una respuesta que carece de motivación y omite cualquier valoración de la prueba practicada; y, en segundo lugar, porque habiendo solicitado la entidad recurrente como pretensión subsidiaria, tanto en la demanda contencioso-administrativa como en el escrito de 27 de septiembre de 2003 evacuado en el trámite de conclusiones, que se estimase que en 1996 había desarrollado dos actividades diferenciadas -las de arrendamiento y venta de viviendas- a los efectos de aplicar el art. 101.1 LIVA, en relación con el art. 9.1 c) LIVA, la Sentencia ha omitido cualquier pronunciamiento sobre dicha cuestión, incurriendo en incongruencia omisiva. Por lo que se refiere al Auto de 7 de mayo de 2004, habría incurrido tanto en incongruencia omisiva, por no corregir la falta de respuesta de la Sentencia de 27 </w:t>
      </w:r>
      <w:r>
        <w:lastRenderedPageBreak/>
        <w:t>de febrero de 2004 a la citada pretensión subsidiaria, como en incongruencia extra petita, porque pese a que la sociedad mercantil recurrente solicitó el complemento de dicha Sentencia en el trámite previsto en los arts. 267.5 LOPJ y 215.2 LEC, el órgano judicial, obviando el procedimiento establecido en dichos preceptos, desestimó dicha petición como si se hubiera instado la aclaración de la resolución.</w:t>
      </w:r>
    </w:p>
    <w:p w:rsidR="00DE14C9" w:rsidRDefault="00DE14C9" w:rsidP="00DE14C9">
      <w:pPr>
        <w:pStyle w:val="TextoNormal"/>
      </w:pPr>
      <w:r>
        <w:t>Por su parte, el Abogado del Estado considera que concurre la causa de inadmisión del art.  50.1 a) LOTC por motivos diversos: en relación con la denunciada incongruencia, al no haberse agotado la vía judicial [art. 44.1 a) LOTC], ya que pese a que la recurrente estimaba que también el Auto de 7 de mayo de 2004 incurría en dicho vicio, no ha promovido contra el mismo el incidente de nulidad de actuaciones del art. 241.1 LOPJ; y respecto de la alegada falta de motivación y la ausencia de valoración de la prueba, por no haberse formulado el recurso de amparo en el plazo establecido en el art.  44.2 LOTC. No obstante, subsidiariamente, niega que se haya producido la infracción del art.  24.1 CE que denuncia la demanda de amparo. En primer lugar, por lo que concierne a la pretensión principal, en criterio del Abogado del Estado, ni puede afirmarse que la Sentencia de 27 de febrero de 2004 incurra en falta de motivación, dado que el órgano judicial se remite a los argumentos ofrecidos por la Administración para sostener que la venta de viviendas efectuada en 1996 constituye una actividad empresarial habitual de la recurrente, ni puede apreciarse la omisión de la valoración de la prueba que denuncia la demanda, no sólo porque la prueba propuesta y practicada no era idónea para esclarecer si la citada operación tenía o no carácter habitual a los efectos del art. 104.3.4 LIVA, sino también porque la Sala no ha rechazado arbitrariamente valorar ninguna prueba, sino que se ha limitado a compartir la interpretación de la Administración sobre el concepto jurídico de "actividad empresarial habitual". En segundo lugar, entiende el Abogado del Estado que la Sentencia impugnada no ha incurrido en incongruencia omisiva por no haberse pronunciado sobre la pretensión subsidiaria de que se aplicara para las actividades de venta y alquiler de inmuebles un régimen de deducciones independiente al amparo del art. 101.1 LIVA, de un lado, porque al remitirse a "la postura de la Administración" puede entenderse que la Sentencia responde "por remisión" a dicha cuestión y, de otro, porque ni esta fue planteada en la demanda como una alegación "sustancial", ni habiéndose acogido la entidad recurrente a lo dispuesto en el art.  104.3.4 LIVA al formular las declaraciones-liquidaciones de IVA de 1996 le cabía solicitar la aplicación del citado art. 101.1 LIVA. Finalmente, rechaza también el Abogado del Estado la incongruencia extra petita que la demanda de amparo atribuye al Auto de 7 de mayo de 2004, porque dicha resolución, utilizando el término "aclaración" en sentido impropio, se limita a declarar que la Sentencia está suficientemente motivada al remitirse íntegramente a los razonamientos ofrecidos por la Administración.</w:t>
      </w:r>
    </w:p>
    <w:p w:rsidR="00DE14C9" w:rsidRDefault="00DE14C9" w:rsidP="00DE14C9">
      <w:pPr>
        <w:pStyle w:val="TextoNormal"/>
      </w:pPr>
      <w:r>
        <w:t xml:space="preserve">El Ministerio Fiscal, en cambio, apreciando que la recurrente ha agotado debidamente la vía judicial al solicitar el complemento de la Sentencia al amparo del art. 215 LEC, solicita que se dicte Sentencia que otorgue el amparo y reconozca el derecho de la recurrente a obtener la tutela judicial efectiva garantizado en el art. 24.1 CE.  A su juicio, en efecto, aunque la Sentencia de 27 de febrero de 2004 ha motivado suficientemente el carácter habitual de la actividad de venta de inmuebles efectuada por la entidad demandante durante 1996 (al hacer hincapié en que se vendieron veintitrés viviendas en el plazo de tres meses), resulta claro que la resolución judicial ha incurrido en incongruencia omisiva al guardar absoluto silencio sobre la pretensión subsidiaria de que se consideraran las actividades de venta y arrendamiento de inmuebles como actividades diferenciadas sujetas a un régimen independiente de deducción de IVA, incongruencia que al no haberse corregido en el trámite de complemento de sentencia solicitado por la recurrente al amparo del art. 215 LEC habría </w:t>
      </w:r>
      <w:r>
        <w:lastRenderedPageBreak/>
        <w:t>infringido el derecho garantizado en el art. 24.1 CE. No obstante, considera el Fiscal que, habiendo respondido la Sentencia de 27 de febrero de 2004 a la cuestión principal de forma razonada, para reparar el derecho vulnerado basta que se anule el Auto de 7 de mayo de 2004 para que el órgano judicial, complementando la Sentencia impugnada, ofrezca una respuesta razonada en derecho a la pretensión que con carácter subsidiario formulara la recurrente en la demanda contencioso-administrativa.</w:t>
      </w:r>
    </w:p>
    <w:p w:rsidR="00DE14C9" w:rsidRDefault="00DE14C9" w:rsidP="00DE14C9">
      <w:pPr>
        <w:pStyle w:val="TextoNormal"/>
      </w:pPr>
    </w:p>
    <w:p w:rsidR="00DE14C9" w:rsidRDefault="00DE14C9" w:rsidP="00DE14C9">
      <w:pPr>
        <w:pStyle w:val="TextoNormal"/>
      </w:pPr>
      <w:r w:rsidRPr="00DE14C9">
        <w:rPr>
          <w:rStyle w:val="NumeroAFNegritaCaracter"/>
        </w:rPr>
        <w:t>2</w:t>
      </w:r>
      <w:r>
        <w:t>. Una vez delimitado el objeto del presente proceso constitucional, antes de examinar los distintos motivos en los que la recurrente sustenta su pretensión de amparo es necesario abordar la causa de inadmisión del art. 50.1 a), en relación con los arts.  44.1 a) y 44.2 LOTC, en que, a juicio del Abogado del Estado, incurriría la demanda de amparo al no haber instado la entidad recurrente el incidente de nulidad de actuaciones previsto en el art. 241.1 LOPJ contra el Auto de 7 de mayo de 2004, pese a considerar que dicho Auto incurrió no sólo en incongruencia omisiva, por no corregir la falta de respuesta de la Sentencia de 27 de febrero de 2004 a la pretensión subsidiria formulada en la demanda contencioso-administrativa, sino también en incongruencia extra petita, porque habiéndose solicitado el complemento de dicha Sentencia al amparo del art. 215 LEC el órgano judicial resolvió como si la recurrente hubiera instado la aclaración de la resolución.</w:t>
      </w:r>
    </w:p>
    <w:p w:rsidR="00DE14C9" w:rsidRDefault="00DE14C9" w:rsidP="00DE14C9">
      <w:pPr>
        <w:pStyle w:val="TextoNormal"/>
      </w:pPr>
      <w:r>
        <w:t>La causa de inadmisión que se aduce no puede prosperar. Conforme a reiterada doctrina de este Tribunal, el requisito de agotar todos los recursos utilizables en la vía judicial ordinaria que establece el art. 44.1 a) LOTC deriva de la necesidad de respetar la subsidiariedad del recurso de amparo, dado que, en virtud de lo dispuesto en el art. 53.2 CE, la tutela general de los derechos y libertades corresponde, en primer lugar, a los órganos del Poder Judicial. Consecuencia de lo anterior es que, cuando existe un recurso susceptible de ser utilizado y adecuado por su carácter y naturaleza para tutelar la libertad o derecho que se entiende vulnerado, tal recurso ha de interponerse antes de acudir a este Tribunal; es preciso, por tanto, que se apuren las posibilidades que los cauces procesales ofrecen en la vía judicial para la reparación del derecho fundamental que se estima lesionado, de suerte que cuando aquellas vías no han sido recorridas, el recurso de amparo resultará inadmisible (entre muchas otras, SSTC 133/2001, de 13 de junio, FJ 3; 190/2001, de 1 de octubre, FJ 2; 39/2003, de 27 de febrero, FJ 3; 192/2003, de 27 de octubre, FJ 2; 36/2004, de 8 de marzo, FJ 2; 103/2004, de 2 de junio, FJ 2; 151/2004, de 20 de septiembre, FJ 5; 60/2005, de 14 de marzo, FJ 2; 288/2005, de 7 de noviembre, FJ 1; y 313/2005, de 12 de diciembre, FJ 2; y 85/2006, de 27 de marzo, FJ 2).</w:t>
      </w:r>
    </w:p>
    <w:p w:rsidR="00DE14C9" w:rsidRDefault="00DE14C9" w:rsidP="00DE14C9">
      <w:pPr>
        <w:pStyle w:val="TextoNormal"/>
      </w:pPr>
      <w:r>
        <w:t>Entre los recursos y remedios procesales exigibles para cumplir el requisito previsto en el citado art. 44.1 a) LOTC este Tribunal ha incluido el incidente de nulidad de actuaciones al que alude el Abogado del Estado (por todas, SSTC 28/2004, de 4 de marzo, FJ 4; y 235/2005, de 26 de septiembre, FJ 2), incidente que, tras la modificación operada por la Ley Orgánica 19/2003, de 23 de diciembre, se recoge en el art. 241 LOPJ y constituye un remedio destinado a reparar los defectos que originen cualquier vulneración de un derecho fundamental de los referidos en el art. 53.2 CE, entre ellos, la incongruencia omisiva en que puedan incurran las resoluciones judiciales. Pero, como sostiene el Ministerio Fiscal, y hemos señalado en varias ocasiones (SSTC 288/2005, de 7 de noviembre, FJ 1; 268/2005, de 24 de octubre, FJ 4; y 174/2004, de 18 de octubre, FJ 2), constituye un medio igualmente idóneo para denunciar la incongruencia el establecido en el art. 215.2 LEC, precepto que recoge la posibilidad de solicitar el complemento de las "sentencias o autos que hubieren omitido manifiestamente pronunciamientos relativos a pretensiones oportunamente deducidas y sustanciadas en el proceso".</w:t>
      </w:r>
    </w:p>
    <w:p w:rsidR="00DE14C9" w:rsidRDefault="00DE14C9" w:rsidP="00DE14C9">
      <w:pPr>
        <w:pStyle w:val="TextoNormal"/>
      </w:pPr>
      <w:r>
        <w:lastRenderedPageBreak/>
        <w:t>Pues bien, la entidad mercantil Edificios Mariner, S.A., considerando que la Sentencia de la Sala de lo Contencioso-Administrativo del Tribunal Superior de Justicia de la Comunidad Valenciana de 27 de febrero de 2004 incurría en incongruencia omisiva, al no pronunciarse sobre la pretensión subsidiaria de que se estimara que había desarrollado en 1996 dos actividades diferenciadas sometidas a un régimen independiente de deducción del IVA soportado, utilizando el cauce del art. 215 LEC denunció la citada incongruencia y solicitó del órgano judicial que procediera a la subsanación y complemento de la Sentencia incluyendo el pronunciamiento omitido. Y no cabe la menor duda de que mediante esta solicitud la entidad recurrente en amparo dio debido cumplimiento al requisito del agotamiento de los recursos utilizables establecido en el art.  44.1 a) LOTC al brindar a la citada Sala la posibilidad de reparar el vicio de incongruencia denunciado, salvarguardando, de este modo, el carácter subsidiario del recurso de amparo al que, como hemos señalado, responde dicho requisito.</w:t>
      </w:r>
    </w:p>
    <w:p w:rsidR="00DE14C9" w:rsidRDefault="00DE14C9" w:rsidP="00DE14C9">
      <w:pPr>
        <w:pStyle w:val="TextoNormal"/>
      </w:pPr>
      <w:r>
        <w:t>Ciertamente, la Sala respondió al incidente tramitado al amparo del art. 215 LEC mediante una resolución -el Auto de 7 de mayo de 2004- que la demandante considera a su vez incongruente porque, declarando que no ha lugar a la aclaración de la Sentencia de 27 de febrero de 2004 que nunca se instó, no atiende a la solicitud de subsanación y complemento de la misma Sentencia efectivamente solicitada. Sin embargo, la circunstancia de que frente a dicho Auto no se planteara nuevamente un remedio procesal para que el órgano judicial subsanara el defecto cometido no debe conducirnos a la inadmisión del recurso de amparo por falta de agotamiento de la vía judicial. Como hemos subrayado en muchas ocasiones, el requisito de agotar la vía judicial exigido por el art. 44.1 a) LOTC "ha de ser interpretado de manera flexible y finalista" (entre otras muchas, SSTC 133/2001, de 13 de junio, FJ 3; 190/2001, de 1 de octubre, FJ 2; y 164/2003, de 29 de septiembre, FJ 2) y "no obliga a utilizar en cada caso todos los medios de impugnación posibles, sino tan sólo aquellos normales que, de manera clara, se manifiestan como ejercitables, de forma que no quepa duda respecto de la procedencia y la posibilidad real y efectiva de interponer el recurso" (entre las últimas, SSTC 137/2006, de 8 de mayo, FJ 2; 152/2006, de 22 de mayo, FJ 5; y 62/2007, de 27 de marzo, FJ 2), "sin necesidad de superar unas dificultades interpretativas mayores de lo exigible razonablemente" (entre otras, SSTC 57/2003, de 24 de marzo, FJ 2; 249/2006, de 24 de julio, FJ 1; 75/2007, de 16 de abril, FJ 2; y 76/2007, de 16 de abril, FJ 2).</w:t>
      </w:r>
    </w:p>
    <w:p w:rsidR="00DE14C9" w:rsidRDefault="00DE14C9" w:rsidP="00DE14C9">
      <w:pPr>
        <w:pStyle w:val="TextoNormal"/>
      </w:pPr>
      <w:r>
        <w:t xml:space="preserve">En consecuencia, para considerar incumplida la exigencia establecida en el art. 44.1 a) LOTC es preciso que el remedio procesal que se haya obviado resultara adecuado para reparar la lesión del derecho fundamental invocado en la demanda de amparo y que su empleo fuera "razonablemente exigible", requiriéndose además que "su falta de utilización tenga su origen en la conducta voluntaria o negligente de la parte o de los profesionales que le prestan su asistencia técnica" (SSTC 167/2004, de 4 de octubre, FJ 3; 146/2005, de 6 de junio, FJ 3; 137/2006, de 8 de mayo, FJ 2; 152/2006, de 22 de mayo, FJ 5; 158/2006, de 22 de mayo, FJ 3). Pues bien, habiendo dado la oportunidad a la Sala para subsanar la incongruencia apreciada y restablecer en sede jurisdiccional ordinaria el derecho constitucional vulnerado mediante el remedio del art. 215 LEC, ante una respuesta judicial que reproducía nuevamente el defecto de incongruencia denunciado, resulta justificado que la entidad solicitante de amparo cuestionara la viabilidad legal de hacer uso por segunda vez del incidente de complemento de las resoluciones judiciales o, como reclama el Abogado del Estado, de la nulidad de actuaciones del art. 241 LOPJ. En las citadas circunstancias, en efecto, es razonable considerar que la sociedad recurrente albergara fundadas dudas respecto a la procedencia o improcedencia de acudir a dichos remedios procesales y decidiera no utilizarlos </w:t>
      </w:r>
      <w:r>
        <w:lastRenderedPageBreak/>
        <w:t>por el riesgo de incurrir en extemporaneidad que impidiera la admisión del recurso de amparo, actitud cautelosa que, como ya hemos dicho en otras ocasiones (STC 192/2005, de 18 de julio, FJ 2), no permite apreciar el incumplimiento del deber de agotar la vía judicial impuesto por el art. 44.1 a) LOTC.</w:t>
      </w:r>
    </w:p>
    <w:p w:rsidR="00DE14C9" w:rsidRDefault="00DE14C9" w:rsidP="00DE14C9">
      <w:pPr>
        <w:pStyle w:val="TextoNormal"/>
      </w:pPr>
    </w:p>
    <w:p w:rsidR="00DE14C9" w:rsidRDefault="00DE14C9" w:rsidP="00DE14C9">
      <w:pPr>
        <w:pStyle w:val="TextoNormal"/>
      </w:pPr>
      <w:r w:rsidRPr="00DE14C9">
        <w:rPr>
          <w:rStyle w:val="NumeroAFNegritaCaracter"/>
        </w:rPr>
        <w:t>3</w:t>
      </w:r>
      <w:r>
        <w:t>. Descartada la existencia de la única causa de inadmisión alegada, procede examinar las vulneraciones aducidas en la demanda de amparo, comenzando por la falta de motivación que la sociedad mercantil recurrente atribuye a la Sentencia de la Sala de lo Contencioso-Administrativo del Tribunal Superior de Justicia de la Comunidad Valenciana de 27 de febrero de 2004 en relación con la que califica como pretensión principal, esto es, la de que se estimara que la venta de veintitrés viviendas a sus arrendatarios entre el 28 de mayo y el 24 de septiembre de 1996 no constituía una actividad empresarial habitual de la entidad mercantil Edificios Mariner, S.A., y, por tanto, resultaba aplicable el art. 104.3.4 LIVA, precepto en virtud del cual, en los casos de aplicación de la regla de la prorrata general, el importe de las operaciones inmobiliarias que no constituyan actividad empresarial o profesional del sujeto pasivo no se computarán en ninguno de los términos de la fracción que para la determinación del porcentaje de deducción del IVA establece el art. 104.2 LIVA.</w:t>
      </w:r>
    </w:p>
    <w:p w:rsidR="00DE14C9" w:rsidRDefault="00DE14C9" w:rsidP="00DE14C9">
      <w:pPr>
        <w:pStyle w:val="TextoNormal"/>
      </w:pPr>
      <w:r>
        <w:t>A juicio de la recurrente, aunque la Sentencia impugnada ofrece una respuesta escueta a esta pretensión, rechazando el carácter excepcional de la actividad de compraventa, en la medida en que dicha respuesta no atiende a los argumentos esgrimidos en la demanda contencioso-administrativa (en particular, que la operación tuvo lugar mediante una mera disociación formal con el fin de respetar los derechos y facilitar el acceso a la propiedad de los inquilinos) ni valora las pruebas admitidas y practicadas durante el proceso (pruebas de las que se deduciría que la operación de venta constituyó una excepción en treinta años de trayectoria empresarial y obedeció a un cambio de estrategia empresarial de la entidad), la resolución judicial debe tacharse de inmotivada y, por tanto, "arbitraria" , "irrazonable" y contraria al derecho a la tutela judicial efectiva garantizado en el art. 24.1 CE.</w:t>
      </w:r>
    </w:p>
    <w:p w:rsidR="00DE14C9" w:rsidRDefault="00DE14C9" w:rsidP="00DE14C9">
      <w:pPr>
        <w:pStyle w:val="TextoNormal"/>
      </w:pPr>
      <w:r>
        <w:t>La alegada vulneración constitucional no puede ser acogida. Antes de nada debemos precisar que, aunque la demanda imputa a la Sentencia impugnada no sólo la "ausencia de motivación", sino también "la omisión de la valoración de la prueba", como acertadamente aprecia el Ministerio Fiscal, este último reproche debe situarse también en el ámbito del derecho a la tutela judicial efectiva en su manifestación del derecho a obtener una resolución motivada y de fondo sobre la pretensión ejercitada, dado que la recurrente no denuncia que no se hayan admitido o practicado en el proceso pruebas pertinentes para su defensa, sino que, habiéndose practicado las pruebas solicitadas, el órgano judicial no ha explicitado en la resolución cuestionada la razón por la que no alcanza la conclusión de que de las mismas resulte, como sostiene la recurrente, el carácter excepcional de la operación de la venta de veintitrés inmuebles efectuada en 1996.</w:t>
      </w:r>
    </w:p>
    <w:p w:rsidR="00DE14C9" w:rsidRDefault="00DE14C9" w:rsidP="00DE14C9">
      <w:pPr>
        <w:pStyle w:val="TextoNormal"/>
      </w:pPr>
      <w:r>
        <w:t xml:space="preserve">Sentado lo anterior debemos recordar que, conforme a reiterada doctrina de este Tribunal, el deber de los órganos judiciales de motivar sus resoluciones constituye una exigencia que dimana del derecho a la tutela judicial efectiva garantizado en el art.  24.1 CE, puesto en conexión con el art. 120.3 CE (entre muchas otras, SSTC 14/1991, de 28 de enero, FJ 2; 175/1992, de 2 de noviembre, FJ 2; 13/2001, de 29 de enero, FJ 2; y 129/2003, de 30 de junio, FJ 9); deber de motivación que responde a la doble finalidad de exteriorizar el fundamento de la decisión, haciendo explícito que ésta corresponde a una determinada aplicación de la Ley, y permitir su eventual control jurisdiccional mediante el ejercicio de los recursos (SSTC 215/1998, de 11 de noviembre, FJ 3; 187/2000, de 10 de julio, FJ 2; y 13/2001, de </w:t>
      </w:r>
      <w:r>
        <w:lastRenderedPageBreak/>
        <w:t>29 de enero, FJ 2; en el mismo sentido, STC 105/1997, de 2 de junio, FJ 7, y ATC 207/1999, de 28 de julio, FJ 2).</w:t>
      </w:r>
    </w:p>
    <w:p w:rsidR="00DE14C9" w:rsidRDefault="00DE14C9" w:rsidP="00DE14C9">
      <w:pPr>
        <w:pStyle w:val="TextoNormal"/>
      </w:pPr>
      <w:r>
        <w:t>Ahora bien, de acuerdo con una consolidada doctrina constitucional, desde la perspectiva del derecho a la tutela judicial efectiva, como derecho a obtener una decisión fundada en Derecho, no es exigible un razonamiento judicial exhaustivo y pormenorizado de todos los aspectos y perspectivas que las partes puedan tener de la cuestión que se debate, sino que deben considerarse suficientemente motivadas aquellas resoluciones judiciales que vengan apoyadas en razones que permitan conocer cuáles han sido los criterios jurídicos esenciales fundamentadores de la decisión o, lo que es lo mismo, la ratio decidendi; de manera que no existe un derecho fundamental del justiciable a una determinada extensión de la motivación judicial [entre otras muchas, SSTC 115/1996, de 25 de junio, FJ 2 b); 105/1997, de 2 de junio, FJ 7; 184/1998, de 28 de septiembre, FJ 2; 215/1998, de 11 de noviembre, FJ 3; 187/2000, de 10 de julio, FJ 2; 13/2001, de 29 de enero, FJ 2; 108/2001, de 23 de abril, FJ 2; 129/2003, de 30 de junio, FJ 9; 91/2004, de 19 de mayo, FJ 8; y 75/2005, de 4 de abril, FJ 5; y AATC 164/1995, de 5 de junio, FJ 3; 207/1999, de 28 de julio, FJ 3]. Suficiencia de la motivación que, por otra parte, no puede ser apreciada apriorísticamente, con criterios generales, sino que por el contrario requiere examinar el caso concreto para comprobar si, a la vista de las circunstancias concurrentes, se ha cumplido o no este requisito en las resoluciones judiciales impugnadas [en este sentido, SSTC 314/2005, de 12 de diciembre, FJ 4 c); 42/2006, de 13 de febrero, FJ 7; 118/2006, de 24 de abril, FJ 6; 302/2006, de 23 de octubre, FJ 3; 308/2006, de 23 de octubre, FJ 6; 331/2006, de 20 de noviembre, FJ 2].</w:t>
      </w:r>
    </w:p>
    <w:p w:rsidR="00DE14C9" w:rsidRDefault="00DE14C9" w:rsidP="00DE14C9">
      <w:pPr>
        <w:pStyle w:val="TextoNormal"/>
      </w:pPr>
      <w:r>
        <w:t>En este sentido, es evidente que, como venimos señalando, "una motivación escueta y concisa no deja, por ello, de ser tal motivación" (STC 147/1987, de 3 de noviembre, FJ 2; en el mismo sentido, STC 8/2001, de 15 de enero, FJ 3, in fine) o, lo que es igual, que "la concisión en la argumentación no puede en absoluto equipararse con la violación del derecho reconocido en el art. 24.1 de la Constitución" (ATC 688/1986, de 10 de septiembre, FJ 3). En esta línea, dentro de las modalidades que puede revestir la motivación hemos afirmado que la fundamentación, por remisión o aliunde - técnica en virtud de la cual se incorporan a la resolución que prevé la remisión los razonamientos jurídicos de la decisión o documento a la que se remite (ATC 207/1999, de 28 de julio, FJ 2)- "no deja de serlo ni de satisfacer la exigencia constitucional contenida en el derecho fundamental" a la tutela judicial efectiva [entre otras muchas, SSTC 187/2000, de 10 de julio, FJ 2; 8/2001, de 15 de enero, FJ 3, in fine; 13/2001, de 29 de enero, FJ 2; 108/2001, de 23 de abril, FJ 2; 5/2002, de 14 de enero, FJ 2; 171/2002, de 30 de septiembre, FJ 2; y ATC 194/2004, de 26 de mayo, FJ 4 b); en términos similares, SSTC 115/2003, de 16 de junio, FJ 8; 91/2004, de 19 de mayo, FJ 8; 113/2004, de 12 de julio, FJ 10; 75/2005, de 4 de abril, FJ 5; y 196/2005, de 18 de julio, FJ 3], siempre y cuando dicha remisión se produzca de forma expresa e inequívoca [STC 115/1996, de 25 de junio, FJ 2 b)] y que la cuestión sustancial de que se trate se hubiera resuelto en la resolución o documento al que la resolución judicial se remite (SSTC 27/1992, de 9 de marzo, FJ 4; y 202/2004, de 15 de noviembre, FJ 5; y ATC 312/1996, de 29 de octubre, FJ 6).</w:t>
      </w:r>
    </w:p>
    <w:p w:rsidR="00DE14C9" w:rsidRDefault="00DE14C9" w:rsidP="00DE14C9">
      <w:pPr>
        <w:pStyle w:val="TextoNormal"/>
      </w:pPr>
      <w:r>
        <w:t xml:space="preserve">Pues bien, no cabe duda de que estos requisitos se cumplen en el supuesto que examinamos.  Es claro, en efecto, como sostienen tanto el Abogado del Estado como el Ministerio Fiscal, que cuando el Tribunal Superior de Justicia de la Comunidad Valenciana afirma en la Sentencia impugnada en amparo que "la Sala comparte la postura de la Administración" en cuanto que "cabe apreciar habitualidad, en la venta, a lo largo de tres meses de veintitrés viviendas", y que, en virtud de los arts. 92, 94 y concordantes de la Ley 37/1992, y "tenidas </w:t>
      </w:r>
      <w:r>
        <w:lastRenderedPageBreak/>
        <w:t>en cuenta las alegaciones de la Administración", procede desestimar el recurso, está aceptando la tesis mantenida por la Administración en el escrito de contestación a la demanda de 3 de julio de 2002, haciendo suyos en su integridad los razonamientos esgrimidos por el Abogado del Estado en dicho escrito, que quedan así incorporados, por remisión, al contenido de la resolución judicial. Y basta examinar dichas alegaciones para comprobar que el Abogado del Estado reproduce el motivo empleado por el Tribunal Económico-Administrativo Regional de Valencia para sustentar el carácter habitual de la operación de venta de inmuebles de la entidad mercantil Edificios Mariner, S.A., durante 1996 y, por tanto, excluir la aplicación del art. 104.3.4. En particular, sostiene que, debiendo entenderse como "habitual", como subraya la Sentencia del Tribunal Superior de Justicia del Principado de Asturias de 3 de junio de 2000, aquella actividad que se desarrolla de manera "frecuente o continuada" en el tiempo, merece tal calificativo "la enajenación de las 23 viviendas" que la recurrente "realiza durante un período de tres meses". Y este es un razonamiento, que prácticamente viene a reproducir la Sentencia impugnada, que, aunque ciertamente lacónico, satisface perfectamente las exigencias de motivación del derecho fundamental a la tutela judicial efectiva de la recurrente en la medida en que permite conocer con suficiente grado de precisión la ratio decidendi de la resolución en punto a la desestimación de la pretensión anulatoria de las liquidaciones de IVA de los ejercicios 1996 y 1997.</w:t>
      </w:r>
    </w:p>
    <w:p w:rsidR="00DE14C9" w:rsidRDefault="00DE14C9" w:rsidP="00DE14C9">
      <w:pPr>
        <w:pStyle w:val="TextoNormal"/>
      </w:pPr>
    </w:p>
    <w:p w:rsidR="00DE14C9" w:rsidRDefault="00DE14C9" w:rsidP="00DE14C9">
      <w:pPr>
        <w:pStyle w:val="TextoNormal"/>
      </w:pPr>
      <w:r w:rsidRPr="00DE14C9">
        <w:rPr>
          <w:rStyle w:val="NumeroAFNegritaCaracter"/>
        </w:rPr>
        <w:t>4</w:t>
      </w:r>
      <w:r>
        <w:t>. Solución distinta merece, sin embargo, la vulneración del derecho a la tutela judicial efectiva garantizado en el art. 24.1 CE que los recurrentes achacan, primero, a la Sentencia la Sección Primera de la Sala de lo Contencioso-Administrativo del Tribunal Superior de Justicia de la Comunidad Valenciana de 27 de febrero de 2004, al no haber respondido a la cuestión de la existencia de sectores diferenciados de actividad a los que debe aplicarse con independencia el régimen de deducciones del IVA (art. 101 LIVA) y, luego, al Auto de la misma Sala de 7 de mayo de 2004, en la medida en que no repara el vicio de incongruencia enunciado.</w:t>
      </w:r>
    </w:p>
    <w:p w:rsidR="00DE14C9" w:rsidRDefault="00DE14C9" w:rsidP="00DE14C9">
      <w:pPr>
        <w:pStyle w:val="TextoNormal"/>
      </w:pPr>
      <w:r>
        <w:t>A este respecto, interesa recordar, con la reciente STC 85/2006, de 27 de marzo, FJ 5, que, conforme viene señalando reiteradamente este Tribunal, "el vicio de incongruencia, entendido como desajuste entre el fallo y los términos en los que las partes formularon sus pretensiones, concediendo más o menos o cosa distinta de lo pedido, puede entrañar una efectiva denegación del derecho a la tutela judicial efectiva, siempre y cuando la desviación sea de tal naturaleza que suponga una sustancial modificación de los términos por los que discurría la controversia procesal [de entre las más recientes, SSTC 85/2000, de 27 de marzo, FJ 3 a); 8/2004, de 9 de febrero, FJ 4; 83/2004, de 10 de mayo, FJ 3; 130/2004, de 19 de julio, FJ 3 a); 146/2004, de 13 de septiembre, FJ 3; 95/2005, de 18 de abril, FJ 2 a); 103/2005, de 9 de mayo, FJ 3; 264/2005, de 24 de octubre, FJ 2 a); y 4/2006, de 16 de enero, FJ 3]".</w:t>
      </w:r>
    </w:p>
    <w:p w:rsidR="00DE14C9" w:rsidRDefault="00DE14C9" w:rsidP="00DE14C9">
      <w:pPr>
        <w:pStyle w:val="TextoNormal"/>
      </w:pPr>
      <w:r>
        <w:t xml:space="preserve">Por lo que se refiere específicamente a la incongruencia omisiva o ex silentio, hemos venido señalando que ésta tiene lugar cuando el órgano judicial deja sin contestar alguna de las cuestiones sometidas a su consideración por las partes, siempre que no quepa interpretar razonablemente el silencio judicial como una desestimación tácita cuya motivación pueda inducirse del conjunto de los razonamientos contenidos en la resolución. A estos efectos, este Tribunal ha venido distinguiendo entre las alegaciones aducidas por las partes para fundamentar sus pretensiones y las pretensiones en sí mismas consideradas, y hemos subrayado que, si bien respecto de las pretensiones la exigencia de congruencia es más rigurosa, no es necesaria una contestación explícita y pormenorizada de todas y cada una de las alegaciones formuladas, pudiendo ser suficiente a los fines del art. 24.1 CE, en atención a las </w:t>
      </w:r>
      <w:r>
        <w:lastRenderedPageBreak/>
        <w:t>circunstancias particulares del caso, una respuesta global o genérica, aun cuando se omita una contestación singular a cada una de las alegaciones concretas no sustanciales [entre otras, SSTC 85/2000, de 27 de marzo, FJ 3 b); 8/2004, de 9 de febrero, FJ 4; 83/2004, de 10 de mayo, FJ 3; 130/2004, de 19 de julio, FJ 3 b); 146/2004, de 13 de septiembre, FJ 3; 218/2004, de 29 de noviembre, FJ 2; 264/2004, de 20 de diciembre, FJ 7; 52/2005, de 14 de marzo, FJ 2 b); 95/2005, de 18 de abril, FJ 2 b); 103/2005, de 9 de mayo, FJ 3; 193/2005, de 18 de julio, FJ 2; 250/2005, de 10 de octubre, FJ 4; 264/2005, de 24 de octubre, FJ 2 b); y 4/2006, de 16 de enero, FJ 3].</w:t>
      </w:r>
    </w:p>
    <w:p w:rsidR="00DE14C9" w:rsidRDefault="00DE14C9" w:rsidP="00DE14C9">
      <w:pPr>
        <w:pStyle w:val="TextoNormal"/>
      </w:pPr>
      <w:r>
        <w:t>Ahora bien, como hemos señalado en la reciente STC 4/2006, de 16 de enero, aunque es cierto que no puede entenderse vulnerado el derecho a la tutela judicial efectiva por el hecho de que el órgano judicial no dé respuesta explícita y pormenorizada a todas y cada una de las alegaciones vertidas en el proceso, "el art. 24.1 CE sí exige la consideración de las que sean sustanciales, de las que vertebran el razonamiento de las partes, al margen de que pueda darse una respuesta sólo genérica, y con independencia de que pueda omitirse esa respuesta, en cambio, respecto de las alegaciones de carácter secundario". En efecto, el derecho fundamental a obtener la tutela judicial efectiva "no sólo se vulnera cuando la pretensión no recibe respuesta, sino también cuando el órgano judicial omite toda consideración sobre una alegación fundamental planteada oportunamente por las partes. Así lo ha declarado el Tribunal Europeo de Derechos Humanos en los casos Hiro Balani c. España y Ruiz Torija c. España, de 9 de diciembre de 1994, y lo han reconocido nuestras SSTC 85/2000, de 27 de marzo; 1/2001, de 15 de enero; 5/2001, de 15 de enero; 148/2003, de 14 de julio, y 8/2004, de 9 de febrero, entre otras" (FJ 3). En suma, "es igualmente obligado no omitir la consideración de las alegaciones concretas que resulten sustanciales para el caso y decisivas para el fallo. Esto es, cuando la cuestión puesta de manifiesto no es una simple alegación secundaria, instrumental en el razonamiento jurídico, sino un alegato sustancial que contiene los hechos o argumentos jurídicos básicos y fundamentales que nutren la pretensión, dicha cuestión integra la razón por la que se pide, debiendo ser tratada en forma expresa o, en su caso, considerada en forma siquiera implícita por la Sentencia, pues de otro modo se desatiende la defensa esgrimida por la parte en un aspecto con posible incidencia sobre el fallo, dando lugar a una denegación de justicia" (STC 4/2006, de 16 de enero, FJ 3).</w:t>
      </w:r>
    </w:p>
    <w:p w:rsidR="00DE14C9" w:rsidRDefault="00DE14C9" w:rsidP="00DE14C9">
      <w:pPr>
        <w:pStyle w:val="TextoNormal"/>
      </w:pPr>
      <w:r>
        <w:t>Finalmente, conviene recordar que para que la incongruencia omisiva adquiera relevancia constitucional deben cumplirse dos requisitos: en primer lugar, que la cuestión cuyo conocimiento y decisión se dice que quedó imprejuzgada haya sido efectivamente planteada ante el órgano judicial en momento procesal oportuno [SSTC 85/2000, de 27 de marzo, FJ 3; 8/2004, de 9 de febrero, FJ 4; 246/2004, de 20 de diciembre, FJ 7; 52/2005, de 14 de marzo, FJ 2 a); y 4/2006, de 16 de enero]; y, en segundo lugar, que la omisión se refiera a cuestiones que, de haber sido consideradas en la decisión, hubieran podido determinar un fallo distinto al pronunciado (por todas, SSTC 35/2002, de 11 de febrero, FJ 2; y 4/2006, de 16 de enero, FJ 3).</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Aplicando la doctrina expuesta al presente caso ha de concluirse que, tal y como mantiene el Ministerio Fiscal, la Sala de lo Contencioso-Administrativo del Tribunal Superior de Justicia de la Comunidad Valenciana ha incurrido en incongruencia omisiva vulneradora del derecho a la tutela judicial efectiva de la entidad recurrente al no haberse pronunciado sobre una alegación sustancial expresamente formulada por ésta: la de que, de apreciarse que la venta de viviendas efectuada entre el 28 de mayo y el 24 de septiembre de 1996 tenía carácter habitual, se considerara que existían dos sectores de actividad diferenciados -la de </w:t>
      </w:r>
      <w:r>
        <w:lastRenderedPageBreak/>
        <w:t>venta y la de arrendamiento de inmuebles- a los que, de conformidad con el art. 101 LIVA, se les debía aplicar independientemente el régimen de deducción del IVA soportado.</w:t>
      </w:r>
    </w:p>
    <w:p w:rsidR="00DE14C9" w:rsidRDefault="00DE14C9" w:rsidP="00DE14C9">
      <w:pPr>
        <w:pStyle w:val="TextoNormal"/>
      </w:pPr>
      <w:r>
        <w:t>En efecto, es evidente, en primer lugar, que esta cuestión fue planteada a la Sala por los demandantes en el momento procesal oportuno, en particular, en el escrito de demanda presentado el 24 de mayo de 2002. Concretamente, en el punto VIII de los fundamentos de derecho de dicha demanda se señala que si se considerara la venta de las veintitrés viviendas como una actividad habitual "ello implicaría indefectiblemente que se estaría estimando la realización de una nueva actividad por la empresa con [una clasificación nacional de actividades económicas] distinto (7020 -alquiler inmobiliario- y 7012 -compraventa de bienes inmobiliarios) y con más de 50 puntos de diferencia en la deducción (prorrata próxima al 100 % del alquiler dado que se trata principalmente de alquileres de locales y naves … y prorrata 0 % en compraventa de inmuebles en segunda transmisión), concluyéndose de ello que se trataría de actividades diferenciadas", por lo que "resultaría de aplicación el art. 101.Uno de la Ley del IVA", que distingue "entre sectores diferenciados en la actividad desarrollada por un mismo sujeto pasivo, obligando a aplicar con independencia el régimen de deducciones en cada uno de estos sectores diferenciados, como si se tratara, realmente, de empresas independientes". "En consecuencia -se afirma-, y habida cuenta que la construcción de naves dado su destino a alquileres se encuadraría dentro de la actividad de alquileres con un porcentaje de deducción del 95 % … resultaría deducible la mayor parte del IVA soportado en su construcción". Y, seguidamente, tras explicar las razones por las que se considera que la documentación obrante en el expediente acredita que las citadas actividades diferenciadas tienen regímenes de deducción que distan en más de 50 puntos porcentuales, se concluye: "Por ello y suponiendo la aplicación independiente del régimen de deducciones una consecuencia inexorable y no un beneficio de carácter rogado, que debe tener lugar una vez se cumplen las premisas referidas (diferente [clasificación nacional de actividades económicas] y más de 50 puntos de diferencia de deducción), en el supuesto de desestimarse la pretensión de la actora en relación a la ausencia de habitualidad, habría que concluir la existencia de dos actividades diferenciadas, resultando en consecuencia deducible el IVA soportado en la construcción de las naves en el porcentaje indicado del 95 %".</w:t>
      </w:r>
    </w:p>
    <w:p w:rsidR="00DE14C9" w:rsidRDefault="00DE14C9" w:rsidP="00DE14C9">
      <w:pPr>
        <w:pStyle w:val="TextoNormal"/>
      </w:pPr>
      <w:r>
        <w:t>La misma alegación fue planteada posteriormente en el escrito de conclusiones presentado por la entidad recurrente el 6 de octubre de 2003, en el que se ponía de manifiesto, una vez más, que aún "en la hipótesis de que se considerara la habitualidad, ello supondría que se estaría estimando la realización de una nueva actividad, junto a la de arrendamientos, esto es la de compraventa de bienes inmobiliarios, con distinto [clasificación nacional de actividades económicas] y más de 50 puntos de diferencia en la deducción por los motivos que se justificaron en la demanda, de manera que habría que considerar la existencia de actividades diferenciadas, debiendo aplicar con independencia el régimen de deducciones", por lo que, "y dado que como igualmente se acreditó en la demanda, la construcción de las naves -dado su destino a alquileres- se encuadraría dentro de la actividad de alquileres con un porcentaje de deducción del 95 %, resultaría deducible la mayor parte del IVA soportado en su construcción" (conclusión segunda).</w:t>
      </w:r>
    </w:p>
    <w:p w:rsidR="00DE14C9" w:rsidRDefault="00DE14C9" w:rsidP="00DE14C9">
      <w:pPr>
        <w:pStyle w:val="TextoNormal"/>
      </w:pPr>
      <w:r>
        <w:t xml:space="preserve">Es evidente, pues, que la demandante planteó la cuestión de la aplicación el art. 101.1 de la Ley del IVA por la existencia de dos actividades diferenciadas en tiempo y forma. Y también resulta claro, en segundo lugar, que se trata de una alegación sustancial que, de estimarse, podía haber dado lugar a un fallo distinto, dado que, como señala la recurrente en el escrito de demanda y no pone en duda el Abogado del Estado, hubiera supuesto una reducción muy importante del IVA soportado en la construcción de las naves destinadas a </w:t>
      </w:r>
      <w:r>
        <w:lastRenderedPageBreak/>
        <w:t>alquiler y, por consiguiente, la necesidad de anular las liquidaciones provisionales que practicó la Administración tributaria en concepto de IVA de los ejercicios 1996 y 1997.</w:t>
      </w:r>
    </w:p>
    <w:p w:rsidR="00DE14C9" w:rsidRDefault="00DE14C9" w:rsidP="00DE14C9">
      <w:pPr>
        <w:pStyle w:val="TextoNormal"/>
      </w:pPr>
      <w:r>
        <w:t>Pues bien, pese a que, como resulta patente, la recurrente planteó en tiempo y forma la cuestión sobre la existencia de dos actividades sujetas a diferente régimen de deducción en el IVA y que constituye una alegación sustancial y relevante para el fallo, ni la Sentencia de 27 de febrero impugnada en amparo resuelve expresamente la cuestión ni del conjunto de la escueta argumentación de dicha resolución pueden deducirse razonablemente los fundamentos sobre cuya base el órgano judicial no acepta la pretensión planteada con carácter subsidiario (para el supuesto de que se estimara como habitual la actividad de venta de inmuebles) por la recurrente.</w:t>
      </w:r>
    </w:p>
    <w:p w:rsidR="00DE14C9" w:rsidRDefault="00DE14C9" w:rsidP="00DE14C9">
      <w:pPr>
        <w:pStyle w:val="TextoNormal"/>
      </w:pPr>
      <w:r>
        <w:t>Ante este silencio de la Sentencia de la Sala de lo Contencioso-Administrativo del Tribunal Superior de Justicia de la Comunidad Valenciana de 27 de febrero de 2004 acerca de la aplicabilidad del art. 101.1 LIVA, la sociedad recurrente, al amparo de lo previsto en los arts. 267.5. LOPJ y 215.2 LEC, solicitó el complemento de dicha resolución mediante escrito, presentado el 28 de abril de 2004, en el que se denunciaba la falta de pronunciamiento del órgano judicial sobre la mencionada cuestión.  Concretamente, en el punto primero de dicho escrito señalaba lo siguiente: "para el supuesto de estimarse la existencia de habitualidad en la actuación de la demandante en relación con la venta de 23 viviendas, cosa que entiende la Sentencia se ha producido, de forma alternativa solicitábamos se considerara la existencia de una actividad diferenciada. Este es el otro punto objeto del recurso para el caso de entenderse la existencia de habitualidad y por ello procedía analizar si la sociedad recurrente desarrollaba a efectos de IVA dos actividades distintas y ello conllevaba la posibilidad de deducirse el IVA soportado de manera independiente por cada una de ellas".  Y, más adelante, se insistía en que "[t]al y como se especificaba en el fundamento de Derecho VIII de la demanda en aplicación del artículo 101 de la Ley del IVA, correspondía aplicar con independencia el régimen de deducciones respecto de cada sector diferenciado y por ello resultaba deducible el IVA soportado en la construcción de naves en un 95 %", extremo este que "igualmente viene recogido en el escrito de conclusiones". Y, finalmente, se concluía en el punto segundo: "A la vista de los pronunciamientos de la Sentencia ya comentados, resulta que esta pretensión aducida por mi parte no ha sido analizada y por ello se ha omitido la consideración del punto relativo a la existencia de actividades diferenciadas y el tratamiento que ello conlleva en cuanto a la deducibilidad del IVA soportado por la construcción de naves, todo ello de acuerdo con lo regulado en el art. 101 de la Ley del IVA. Esta cuestión es la que entendemos debe ser motivo de pronunciamiento, y en su caso teniendo en cuenta que la concreción de los porcentajes de prorrata de cada actividad figuran en nuestro escrito de demanda a folio 11, previa la resolución en la que se admita la existencia de actividades diferenciadas la Administración deberá emitir nueva liquidación en ejecución de sentencia".</w:t>
      </w:r>
    </w:p>
    <w:p w:rsidR="00DE14C9" w:rsidRDefault="00DE14C9" w:rsidP="00DE14C9">
      <w:pPr>
        <w:pStyle w:val="TextoNormal"/>
      </w:pPr>
      <w:r>
        <w:t>Sin embargo, pese a que se planteó claramente al órgano judicial cuáles eran las alegaciones sobre las que la Sentencia no se había pronunciado, mediante Auto de 7 de mayo de 2004, la Sala de lo Contencioso-Administrativo del Tribunal Superior de Justicia de la Comunidad Valenciana, tras señalar que "por parte de la actora se instó la aclaración de la precedente sentencia 168/04, en el sentido de que entiende deben añadirse nuevas motivaciones que justifiquen el fallo", resolvió que "apareciendo clara y suficientemente motivada la citada sentencia, a tenor del art. 267 LOPJ", no había "lugar a la aclaración de la sentencia 168/04".</w:t>
      </w:r>
    </w:p>
    <w:p w:rsidR="00DE14C9" w:rsidRDefault="00DE14C9" w:rsidP="00DE14C9">
      <w:pPr>
        <w:pStyle w:val="TextoNormal"/>
      </w:pPr>
      <w:r>
        <w:t xml:space="preserve">En suma, es claro que la recurrente planteó la cuestión de la existencia de dos sectores diferenciados de actividad a los que debía aplicarse independientemente el régimen de deducción del IVA; que dicha cuestión debe calificarse como sustancial y decisiva para el </w:t>
      </w:r>
      <w:r>
        <w:lastRenderedPageBreak/>
        <w:t>fallo, dado que, de haberse apreciado, debería haber determinado la anulación de las liquidaciones provisionales en concepto de IVA de los ejercicios 1996 y 1997 practicadas por la Administración tributaria; que en el escrito de solicitud de complemento de la Sentencia se señalaba expresamente que dicha cuestión había sido planteada en la demanda y en el escrito de conclusiones, invocando la incongruencia de la Sentencia; y, en fin, que el Auto de 7 de mayo de 2004, al desestimar el complemento de la Sentencia solicitado, ha impedido definitivamente a los recurrentes conocer el motivo o motivos por los que no se ha apreciado la aplicabilidad del art. 101.1 LIVA. Todo lo cual debe llevar a la conclusión de que se ha vulnerado el derecho de la recurrente a la tutela judicial efectiva garantizado en el art. 24.1 CE.</w:t>
      </w:r>
    </w:p>
    <w:p w:rsidR="00DE14C9" w:rsidRDefault="00DE14C9" w:rsidP="00DE14C9">
      <w:pPr>
        <w:pStyle w:val="TextoNormal"/>
      </w:pPr>
      <w:r>
        <w:t>La estimación del recurso amparo en este punto conduce a la anulación tanto, frente a lo que solicita el Ministerio Fiscal, de la Sentencia dictada por la Sección Primera de la Sala de lo Contencioso-Administrativo del Tribunal Superior de Justicia de la Comunidad Valenciana de 27 de febrero de 2004, en la medida en que no responde a una alegación sustancial que, aunque con carácter subsidiario, planteara en tiempo y forma la recurrente, como del Auto de la misma Sala de 7 de mayo de 2004, y a la consiguiente retroacción de actuaciones al momento inmediatamente anterior al de dictarse Sentencia, a fin de que por el mencionado órgano judicial se pronuncie otra congruente con las alegaciones sustanciales formuladas por la demandante.</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CONSTITUCIÓN DE LA NACIÓN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la entidad mercantil Edificios Mariner, S.A. y, en su virtud:</w:t>
      </w:r>
    </w:p>
    <w:p w:rsidR="00DE14C9" w:rsidRDefault="00DE14C9" w:rsidP="00DE14C9">
      <w:pPr>
        <w:pStyle w:val="TextoNormal"/>
      </w:pPr>
      <w:r>
        <w:t>1º Reconocer su derecho a la tutela judicial efectiva (art. 24.1 CE).</w:t>
      </w:r>
    </w:p>
    <w:p w:rsidR="00DE14C9" w:rsidRDefault="00DE14C9" w:rsidP="00DE14C9">
      <w:pPr>
        <w:pStyle w:val="TextoNormal"/>
      </w:pPr>
      <w:r>
        <w:t>2º Anular la Sentencia de la Sección Primera de la Sala de lo Contencioso-Administrativo del Tribunal Superior de Justicia de la Comunidad Valenciana de 27 de febrero de 2004, así como el Auto del mismo órgano judicial de 7 de mayo del mismo año que desestima la solicitud de complemento de la Sentencia instada por la demandante al amparo del art. 215.2 LEC.</w:t>
      </w:r>
    </w:p>
    <w:p w:rsidR="00DE14C9" w:rsidRDefault="00DE14C9" w:rsidP="00DE14C9">
      <w:pPr>
        <w:pStyle w:val="TextoNormal"/>
      </w:pPr>
      <w:r>
        <w:t>3º Retrotraer las actuaciones al momento procesal anterior al de dictarse la referida Sentencia de la Sala de lo Contencioso-Administrativo del Tribunal Superior de Justicia de la Comunidad Valenciana, a fin de que se proceda a dictar una nueva resolución respetuosa con el derecho fundamental.</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dieciocho de junio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58" w:name="SENTENCIA_2007_145"/>
      <w:r>
        <w:lastRenderedPageBreak/>
        <w:t>SENTENCIA 145/2007, de 18 de junio de 2007</w:t>
      </w:r>
    </w:p>
    <w:bookmarkEnd w:id="58"/>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179, de 27 de julio de 2007)</w:t>
      </w:r>
    </w:p>
    <w:p w:rsidR="00DE14C9" w:rsidRDefault="00DE14C9" w:rsidP="00DE14C9">
      <w:pPr>
        <w:pStyle w:val="TtuloBOE"/>
      </w:pPr>
    </w:p>
    <w:p w:rsidR="00DE14C9" w:rsidRDefault="00DE14C9" w:rsidP="00DE14C9">
      <w:pPr>
        <w:pStyle w:val="SntesisDescriptiva"/>
      </w:pPr>
      <w:r>
        <w:t>ECLI:ES:TC:2007:145</w:t>
      </w:r>
    </w:p>
    <w:p w:rsidR="00DE14C9" w:rsidRDefault="00DE14C9" w:rsidP="00DE14C9">
      <w:pPr>
        <w:pStyle w:val="SntesisDescriptiva"/>
      </w:pPr>
    </w:p>
    <w:p w:rsidR="00DE14C9" w:rsidRDefault="00DE14C9" w:rsidP="00DE14C9">
      <w:pPr>
        <w:pStyle w:val="SntesisDescriptiva"/>
      </w:pPr>
      <w:r>
        <w:t>Recurso de amparo 4420-2004. Promovido por don Manuel de Cristóbal López frente a los Acuerdos de la Sala de Gobierno del Tribunal Superior de Justicia de Madrid y de un Juzgado de Primera Instancia de Madrid que le impusieron una corrección disciplinaria de multa por falta de respeto en litigio civil.</w:t>
      </w:r>
    </w:p>
    <w:p w:rsidR="00DE14C9" w:rsidRDefault="00DE14C9" w:rsidP="00DE14C9">
      <w:pPr>
        <w:pStyle w:val="SntesisDescriptiva"/>
      </w:pPr>
    </w:p>
    <w:p w:rsidR="00DE14C9" w:rsidRDefault="00DE14C9" w:rsidP="00DE14C9">
      <w:pPr>
        <w:pStyle w:val="SntesisAnaltica"/>
      </w:pPr>
      <w:r>
        <w:t>Vulneración del derecho a la libertad de expresión en el ejercicio de la defensa letrada: corrección procesal a un abogado por las críticas vertidas en un escrito forense sobre el reparto de asuntos y su despacho ordinario que no incurren en insultos ni descalificaciones personales (STC 157/1996).</w:t>
      </w:r>
    </w:p>
    <w:p w:rsidR="00DE14C9" w:rsidRDefault="00DE14C9" w:rsidP="00DE14C9">
      <w:pPr>
        <w:pStyle w:val="SntesisAnaltica"/>
      </w:pPr>
    </w:p>
    <w:p w:rsidR="00DE14C9" w:rsidRDefault="00DE14C9" w:rsidP="00DE14C9">
      <w:pPr>
        <w:pStyle w:val="Extracto"/>
      </w:pPr>
      <w:r>
        <w:t>1.</w:t>
      </w:r>
      <w:r>
        <w:tab/>
        <w:t>El ejercicio de la libertad de expresión en el seno del proceso judicial por los Letrados de las partes, consiste en una libertad de expresión reforzada cuya específica relevancia constitucional deviene de su inmediata conexión con la efectividad de otro derecho fundamental, el derecho a la defensa de la parte (art. 24.2 CE) [FJ 2].</w:t>
      </w:r>
    </w:p>
    <w:p w:rsidR="00DE14C9" w:rsidRDefault="00DE14C9" w:rsidP="00DE14C9">
      <w:pPr>
        <w:pStyle w:val="Extracto"/>
      </w:pPr>
    </w:p>
    <w:p w:rsidR="00DE14C9" w:rsidRDefault="00DE14C9" w:rsidP="00DE14C9">
      <w:pPr>
        <w:pStyle w:val="Extracto"/>
      </w:pPr>
      <w:r>
        <w:t>2.</w:t>
      </w:r>
      <w:r>
        <w:tab/>
        <w:t>Las expresiones utilizadas en el escrito del abogado de una de las partes no exceden del límite tolerado por el ejercicio del derecho de defensa, no pudiendo calificarse como formalmente injuriosas o insultantes para el titular de la potestad jurisdiccional [FJ 4].</w:t>
      </w:r>
    </w:p>
    <w:p w:rsidR="00DE14C9" w:rsidRDefault="00DE14C9" w:rsidP="00DE14C9">
      <w:pPr>
        <w:pStyle w:val="Extracto"/>
      </w:pPr>
    </w:p>
    <w:p w:rsidR="00DE14C9" w:rsidRDefault="00DE14C9" w:rsidP="00DE14C9">
      <w:pPr>
        <w:pStyle w:val="Extracto"/>
      </w:pPr>
      <w:r>
        <w:t>3.</w:t>
      </w:r>
      <w:r>
        <w:tab/>
        <w:t>La sanción disciplinaria impuesta al abogado ha lesionado o restringido ilegítimamente el derecho constitucional a la libertad de expresión (art. 20.1.a CE), en el ejercicio de la defensa (SSTC 157/1996, 226/2001; ATC 76/1999) [FJ 4].</w:t>
      </w:r>
    </w:p>
    <w:p w:rsidR="00DE14C9" w:rsidRDefault="00DE14C9" w:rsidP="00DE14C9">
      <w:pPr>
        <w:pStyle w:val="Extracto"/>
      </w:pPr>
    </w:p>
    <w:p w:rsidR="00DE14C9" w:rsidRDefault="00DE14C9" w:rsidP="00DE14C9">
      <w:pPr>
        <w:pStyle w:val="Extracto"/>
      </w:pPr>
      <w:r>
        <w:t>4.</w:t>
      </w:r>
      <w:r>
        <w:tab/>
        <w:t>Procede anular las resoluciones que impusieron la referida sanción, sin juzgar el fondo de la controversia entre las partes y, por tanto, sin conocer de la solicitada nulidad de lo actuado en el procedimiento en que tal sanción se genera, objeto procesal que ahora no se juzga y, por tanto, queda extramuros de esta jurisdicción [FJ 5].</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4420-2004, promovido por don Manuel de Cristóbal López, representado por la Procuradora de los Tribunales doña Silvia de la Fuente Bravo y asistido por el propio demandante, contra el Acuerdo de la Sala de Gobierno del Tribunal Superior de Justicia de Madrid de fecha 31 de mayo de 2004, que rectifica el error material manifiesto contenido en el Acuerdo de la misma Sala de fecha 19 de abril de 2004, que asimismo desestimó el recurso de alzada núm. 3-2004, confirmando la sanción de multa impuesta por el Juzgado de Primera Instancia num. 56 de los de Madrid, por medio de Auto de fecha 7 de enero de 2004. Han comparecido doña Dolores López Uría, representada por la Procuradora de los Tribunales doña Silvia de la Fuente Bravo y asistida por el Abogado don Juan Carlos de la Fuente Carrión, así como don Antonio José, doña Concepción y doña Enma de Juanes Carvajal, representados por la Procuradora de los Tribunales doña Begoña Fernández Zabalgoitia y asistidos por el Abogado don Francisco Javier Iglesias Pinuaga. Ha intervenido el Ministerio Fiscal. Ha sido Ponente el Magistrado don Roberto García-Calvo y Montiel,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el Registro General de este Tribunal el día 7 de julio de 2004, doña Silvia de la Fuente Bravo, Procuradora de los Tribunales, en nombre y representación de don Manuel de Cristóbal López, interpuso recurso de amparo contra la resolución judicial a la que se ha hecho mención en el encabezamiento de esta Sentencia.</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El recurso tiene su origen en los siguientes antecedentes, que a continuación se exponen sucintamente: </w:t>
      </w:r>
    </w:p>
    <w:p w:rsidR="00DE14C9" w:rsidRDefault="00DE14C9" w:rsidP="00DE14C9">
      <w:pPr>
        <w:pStyle w:val="TextoNormal"/>
      </w:pPr>
      <w:r>
        <w:t xml:space="preserve">a) El demandante, Letrado en ejercicio, se personó mediante escrito de fecha 15 de septiembre de 2003 ante el Juzgado de Primera Instancia núm. 56 de Madrid, en el procedimiento de división de herencia núm. 667-2003, instado por doña Concepción, doña Emma y don Antonio de Juanes Carvajal contra su cliente doña María Dolores López Uría. </w:t>
      </w:r>
    </w:p>
    <w:p w:rsidR="00DE14C9" w:rsidRDefault="00DE14C9" w:rsidP="00DE14C9">
      <w:pPr>
        <w:pStyle w:val="TextoNormal"/>
      </w:pPr>
      <w:r>
        <w:t xml:space="preserve">b) En ese escrito se incluyó un segundo otrosí digo con el siguiente contenido: </w:t>
      </w:r>
    </w:p>
    <w:p w:rsidR="00DE14C9" w:rsidRDefault="00DE14C9" w:rsidP="00DE14C9">
      <w:pPr>
        <w:pStyle w:val="TextoNormal"/>
      </w:pPr>
      <w:r>
        <w:t xml:space="preserve">“Que, dado que la diligencia de presentación de la demanda tiene fecha de 1 de septiembre de 2003, se admitió a trámite el mismo día 1 de septiembre de 2003, se notificó por telegrama el día 3, si éste es el ritmo normal de tramitación de los asuntos por el negociado J de ese Juzgado es encomiable la celeridad de la administración de Justicia pero, si existen asuntos anteriores que no se ha tramitado según el orden normal de tramitación de los asuntos, o cualquier otra circunstancia parecida y dado que los sres. Emma Blanca y Antonio de Juanes Carvajal, funcionarios al servicio de la Administración de Justicia prestan o prestaban servicios en esa misma sede judicial (JPI nº 61), es decir, son o eran vecinos de arriba, y dada la especial atracción del edificio de María de Molina para la tramitación de todos sus asuntos judiciales (JPI nº 54, JPI nº 55 y ahora JPI nº 56), esta parte solicita el cambio de Oficial Encargado, y/o en caso de que se conozca a Antonio o a Emma Blanca de Juanes, la inhibición a favor de otro Juzgado, extremos que esta parte no puede comprobar y motivo por el cual se solicita al Secretario Judicial respecto del personal a sus órdenes y al Juez, caso de conocer a don Antonio o a doña Emma de Juanes Carvajal o a doña Emma Justa </w:t>
      </w:r>
      <w:r>
        <w:lastRenderedPageBreak/>
        <w:t xml:space="preserve">Carvajal López (madre de los demandantes que también trabajó para la Admón. de Justicia) o que cualquiera de ellos haya trabajado a sus órdenes. </w:t>
      </w:r>
    </w:p>
    <w:p w:rsidR="00DE14C9" w:rsidRDefault="00DE14C9" w:rsidP="00DE14C9">
      <w:pPr>
        <w:pStyle w:val="TextoNormal"/>
      </w:pPr>
      <w:r>
        <w:t xml:space="preserve">Si se ha respetado el orden de tramitación de los asuntos, y en tres días se notifica la admisión a trámite y tres días más tarde se recibe el telegrama, entonces hemos de felicitar al JPI nº 56 por su celeridad, pero, dado que sr. Antonio (sic) de Juanes, consigue que se inscriba la defunción de su padre un domingo por la mañana, entre otros extremos, se ha de entender la posición de esta parte y el derecho que mi representada tiene, no ya a un juez imparcial sino a una interpretación extensiva de esa palabra que incluya hasta la última persona que está trabajando en una secretaría judicial. </w:t>
      </w:r>
    </w:p>
    <w:p w:rsidR="00DE14C9" w:rsidRDefault="00DE14C9" w:rsidP="00DE14C9">
      <w:pPr>
        <w:pStyle w:val="TextoNormal"/>
      </w:pPr>
      <w:r>
        <w:t xml:space="preserve">De nuevo Suplico se acuerde, de conformidad con lo solicitad, la suspensión del procedimiento hasta que se aclare este extremo o, en su defecto y para mayor seguridad, que el Juzgado se inhiba remitiendo el presente asunto al Decanato, para que de nuevo lo turne al Juzgado que corresponda, ordenando que, para evitar nuevas suspicacias, dudas o problemas se turne, como la nueva demanda con ordinal nº 5 de cualquier día que Su Señoría decida, posterior, por ejemplo al 20 de octubre, con tiempo suficiente para que el Juzgado Decano lo haga de modo tal que, al fijarse por el Juzgado el día y predeterminándose el número de orden, el 5, esta parte tenga la garantía de que es un Juzgado que ha tocado efectivamente por turno de reparto y no por elección de los actores conocedores, por su condición de funcionarios de la Admón. de Justicia, de las normas de reparto”. </w:t>
      </w:r>
    </w:p>
    <w:p w:rsidR="00DE14C9" w:rsidRDefault="00DE14C9" w:rsidP="00DE14C9">
      <w:pPr>
        <w:pStyle w:val="TextoNormal"/>
      </w:pPr>
      <w:r>
        <w:t xml:space="preserve">c) El Juzgado de Primera Instancia, previo expediente incoado al efecto, dictó Auto de fecha 7 de enero de 2004, imponiendo al Letrado una corrección disciplinaria consistente en una multa de trescientos euros. En dicho Auto se indicaba que “este expediente se inicia a raíz de las manifestaciones efectuadas por el Letrado en el segundo otrosí digo del escrito de interposición de recurso de reposición contra el Auto de fecha 1 de septiembre de 2003, de admisión a trámite de la división judicial de herencia, cuyo contenido viene a poner en duda la imparcialidad de este órgano judicial, tal y como se expuso en el Auto de fecha 6 de octubre de 2003 y que no han sido desvirtuadas por las manifestaciones contenidas en el escrito de fecha 17 de octubre de 2003, toda vez que no pueden efectuarse tales alegaciones sino es con una evidente intención de faltar al respeto y consideración debidos a este Juzgado, so pretexto de buscar ‘no se qué intereses ocultos’ y que escapan al conocimiento no sólo de esta Juzgadora sino del personal que en él presta servicio, encontrándose ante una falta de respeto prevista en el art. 449.1 LOPJ”. </w:t>
      </w:r>
    </w:p>
    <w:p w:rsidR="00DE14C9" w:rsidRDefault="00DE14C9" w:rsidP="00DE14C9">
      <w:pPr>
        <w:pStyle w:val="TextoNormal"/>
      </w:pPr>
      <w:r>
        <w:t xml:space="preserve">d) Formulado recurso de alzada, fue desestimado mediante Acuerdo de la Sala de Gobierno del Tribunal Superior de Justicia de Madrid, de fecha 19 de abril de 2004. </w:t>
      </w:r>
    </w:p>
    <w:p w:rsidR="00DE14C9" w:rsidRDefault="00DE14C9" w:rsidP="00DE14C9">
      <w:pPr>
        <w:pStyle w:val="TextoNormal"/>
      </w:pPr>
      <w:r>
        <w:t xml:space="preserve">En dicho Acuerdo se establece que “se ha de coincidir con la magistrado que sanciona y entender que poner en duda la imparcialidad en la tramitación del asunto, en la forma que lo hace el recurrente, y a la vista están los razonamientos y expresiones utilizadas en el escrito, estaría dentro de la consideración de una falta de respeto y consideración debidos y por tanto encuadrable en el art. 449.1 LOPJ, cuando además el ordenamiento jurídico en todo caso tiene establecido los mecanismos legales y procesales adecuados para el tratamiento de las cuestiones que podría suscitar el Letrado sancionado. En definitiva utilizar tales expresiones cuanto menos inoportunas y escasas de rigor jurídico, y realizar imputaciones inadecuadas, infrecuentes y en cauce legalmente inadecuado ajenas e innecesarias para defender los intereses de su cliente debe suponer la correspondiente corrección disciplinaria y sanción por haber incurrido el Letrado en la conducta referida en el art. 449 LOPJ de falta de respeto debido y resultando que el Juzgado ha resuelto lo peticionado por el recurrente aunque como se desprende este no haya asumido lo resuelto existiendo las vías </w:t>
      </w:r>
      <w:r>
        <w:lastRenderedPageBreak/>
        <w:t xml:space="preserve">adecuadas para ello. Con ello debe ser desestimado el motivo alegado sin que por ello proceda amparar al Letrado recurrente en tales derechos”. </w:t>
      </w:r>
    </w:p>
    <w:p w:rsidR="00DE14C9" w:rsidRDefault="00DE14C9" w:rsidP="00DE14C9">
      <w:pPr>
        <w:pStyle w:val="TextoNormal"/>
      </w:pPr>
      <w:r>
        <w:t xml:space="preserve">e) El Letrado interpuso recurso de nulidad contra dicho Acuerdo, al considerar que en la resolución dictada aparecían datos relativos a otro Abogado y otro asunto. </w:t>
      </w:r>
    </w:p>
    <w:p w:rsidR="00DE14C9" w:rsidRDefault="00DE14C9" w:rsidP="00DE14C9">
      <w:pPr>
        <w:pStyle w:val="TextoNormal"/>
      </w:pPr>
      <w:r>
        <w:t>f) La Sala de Gobierno dictó Acuerdo, de 31 de mayo de 2004, señalando que se trataba de un error material y tratándolo como un recurso de aclaración. En concreto, afirma la Sala que “no cabe duda que existe un error material manifiesto en el primer párrafo del razonamiento jurídico segundo del acuerdo de esta Sala, que es preciso rectificar. Así, se menciona en el precepto el acuerdo sancionador dictado por el Juzgado de Primera Instancia e Instrucción núm. de Majadahonda de fecha 11 de octubre de 2001, cuando resulta obvio dado el objeto del recurso y la resolución que se impugnaba que la referencia debía ser al Acuerdo sancionador dictado por el Juzgado de Primera Instancia núm. 56 de los de Madrid en fecha 7 de enero de 2004. Ello implica que sin realizar mayores consideraciones y de conformidad con lo que establece el art. 276 LOPJ proceda rectificar el expresado error material realizando la mención correcta en la resolución”.</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La demanda de amparo invoca la vulneración de la libertad de expresión en el ejercicio del derecho de defensa (art. 20.1.a CE), atribuibles a todas las resoluciones habidas, y del derecho a la tutela judicial efectiva (art. 24.1 CE), que se deriva de los sucesivos Autos o Acuerdos dictados por la Sala de Gobierno del Tribunal Superior de Justicia de Madrid. </w:t>
      </w:r>
    </w:p>
    <w:p w:rsidR="00DE14C9" w:rsidRDefault="00DE14C9" w:rsidP="00DE14C9">
      <w:pPr>
        <w:pStyle w:val="TextoNormal"/>
      </w:pPr>
      <w:r>
        <w:t xml:space="preserve">En el primer caso, el demandante sostiene que el escrito dirigido al órgano judicial interponiendo el recurso de reposición no contiene frases insultantes para aquel sino que el mismo está ordenado a llamar la atención sobre una irregularidad consistente en la atribución de competencia para los asuntos entre las mismas partes a favor de los Juzgados civiles de la calle María de Molina en donde trabajan alguno de los actores, habiendo realizado tales manifestaciones en un contexto y en un momento concreto en que tal manifestación era requerida como procedente en la defensa de su cliente. </w:t>
      </w:r>
    </w:p>
    <w:p w:rsidR="00DE14C9" w:rsidRDefault="00DE14C9" w:rsidP="00DE14C9">
      <w:pPr>
        <w:pStyle w:val="TextoNormal"/>
      </w:pPr>
      <w:r>
        <w:t xml:space="preserve">La segunda queja, por su parte, la refiere el demandante a la existente de error patente en el Auto dictado por la Sala de Gobierno del Tribunal Superior de Justicia, que se habría estado refiriendo a otra causa distinta, de modo que lo que la Sala resolvió no fue realmente el expediente disciplinario en que se hallaba incurso el demandante sino otro referido a distinto Letrado. Por su parte, también se queja el demandante de que las resoluciones dictadas por la Sala de Gobierno del Tribunal Superior de Justicia son ambas incongruentes: la primera, por no contestar a los argumentos contenidos en el recurso de alzada; la segunda, por no contestar tampoco al incidente de nulidad interpuesto. </w:t>
      </w:r>
    </w:p>
    <w:p w:rsidR="00DE14C9" w:rsidRDefault="00DE14C9" w:rsidP="00DE14C9">
      <w:pPr>
        <w:pStyle w:val="TextoNormal"/>
      </w:pPr>
      <w:r>
        <w:t>Por otrosí, solicitó la suspensión de la ejecución de la Sentencia impugnada, por entender que la ejecución causaría un perjuicio que haría perder al amparo su finalidad.</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La Sección Segunda de este Tribunal acordó por providencia de 20 de julio de 2006 la admisión a trámite de la demanda de amparo y, a tenor de lo previsto en el art. 51 LOTC, dirigir atenta comunicación a la Sala de Gobierno del Tribunal Superior de Justicia de Madrid y al Juzgado de Primera Instancia núm. 56 de los de Madrid para la remisión de actuaciones y emplazamiento a quienes hubieran sido parte en ese procedimiento para comparecer en el mismo. </w:t>
      </w:r>
    </w:p>
    <w:p w:rsidR="00DE14C9" w:rsidRDefault="00DE14C9" w:rsidP="00DE14C9">
      <w:pPr>
        <w:pStyle w:val="TextoNormal"/>
      </w:pPr>
      <w:r>
        <w:t>Con la misma fecha se dictó providencia incoando la pieza separada de suspensión en la que, tras las diligencias procedentes, se dictó Auto 315/2006, de fecha 25 de septiembre, denegado la suspensión solicitada de la resolución impugnada.</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5</w:t>
      </w:r>
      <w:r>
        <w:t xml:space="preserve">. Mediante escrito registrado ante este Tribunal el día 18 de septiembre de 2006 se personó doña Dolores López Uría, representado por la Procuradora de los Tribunales doña Silvia de la Fuente Bravo y asistida por el Abogado don Juan Carlos de la Fuente Carrión. Por su parte, mediante escrito que tuvo su entrada en este Tribunal el 22 de septiembre de 2006, la Procuradora de los Tribunales doña Begoña Fernández Zabalgoitia, en nombre y representación de don Antonio José, doña Concepción y doña Enma de Juanes Carvajal, se personó en el presente recurso de amparo bajo la dirección letrada de don Francisco Javier Iglesias Pinuaga. </w:t>
      </w:r>
    </w:p>
    <w:p w:rsidR="00DE14C9" w:rsidRDefault="00DE14C9" w:rsidP="00DE14C9">
      <w:pPr>
        <w:pStyle w:val="TextoNormal"/>
      </w:pPr>
      <w:r>
        <w:t>Seguidamente, por diligencia de ordenación de 19 de diciembre de 2006, se acordó tener por personadas a las indicadas Procuradoras en las representaciones invocadas y, a tenor de lo dispuesto en el art. 52 LOTC, se dispuso dar vista de las actuaciones y conceder un plazo común de veinte días para alegaciones al Ministerio Fiscal y a las partes personadas.</w:t>
      </w:r>
    </w:p>
    <w:p w:rsidR="00DE14C9" w:rsidRDefault="00DE14C9" w:rsidP="00DE14C9">
      <w:pPr>
        <w:pStyle w:val="TextoNormal"/>
      </w:pPr>
    </w:p>
    <w:p w:rsidR="00DE14C9" w:rsidRDefault="00DE14C9" w:rsidP="00DE14C9">
      <w:pPr>
        <w:pStyle w:val="TextoNormal"/>
      </w:pPr>
      <w:r w:rsidRPr="00DE14C9">
        <w:rPr>
          <w:rStyle w:val="NumeroAFNegritaCaracter"/>
        </w:rPr>
        <w:t>6</w:t>
      </w:r>
      <w:r>
        <w:t>. La representación procesal de don Antonio José, doña Concepción y doña Enma de Juanes Carvajal, presentó sus alegaciones el día 19 de enero de 2007, en las que solicitó la desestimación del recurso, ratificando íntegramente el Acuerdo impugnado de la Sala de Gobierno del Tribunal Superior de Justicia de Madrid.</w:t>
      </w:r>
    </w:p>
    <w:p w:rsidR="00DE14C9" w:rsidRDefault="00DE14C9" w:rsidP="00DE14C9">
      <w:pPr>
        <w:pStyle w:val="TextoNormal"/>
      </w:pPr>
    </w:p>
    <w:p w:rsidR="00DE14C9" w:rsidRDefault="00DE14C9" w:rsidP="00DE14C9">
      <w:pPr>
        <w:pStyle w:val="TextoNormal"/>
      </w:pPr>
      <w:r w:rsidRPr="00DE14C9">
        <w:rPr>
          <w:rStyle w:val="NumeroAFNegritaCaracter"/>
        </w:rPr>
        <w:t>7</w:t>
      </w:r>
      <w:r>
        <w:t>. La representación procesal del demandante de amparo presentó sus alegaciones ante el Registro de este Tribunal el día 24 de enero de 2007, en las que reitera y ratifica las alegaciones ya contenidas en la demanda.</w:t>
      </w:r>
    </w:p>
    <w:p w:rsidR="00DE14C9" w:rsidRDefault="00DE14C9" w:rsidP="00DE14C9">
      <w:pPr>
        <w:pStyle w:val="TextoNormal"/>
      </w:pPr>
    </w:p>
    <w:p w:rsidR="00DE14C9" w:rsidRDefault="00DE14C9" w:rsidP="00DE14C9">
      <w:pPr>
        <w:pStyle w:val="TextoNormal"/>
      </w:pPr>
      <w:r w:rsidRPr="00DE14C9">
        <w:rPr>
          <w:rStyle w:val="NumeroAFNegritaCaracter"/>
        </w:rPr>
        <w:t>8</w:t>
      </w:r>
      <w:r>
        <w:t xml:space="preserve">. El Ministerio Fiscal, en escrito registrado el 8 de julio de 2005, presentó ante el Registro General de este Tribunal sus alegaciones solicitando el otorgamiento del amparo. </w:t>
      </w:r>
    </w:p>
    <w:p w:rsidR="00DE14C9" w:rsidRDefault="00DE14C9" w:rsidP="00DE14C9">
      <w:pPr>
        <w:pStyle w:val="TextoNormal"/>
      </w:pPr>
      <w:r>
        <w:t xml:space="preserve">Aborda el Fiscal en primer lugar las quejas relativas a la alegada vulneración del derecho a la tutela judicial efectiva (art. 24.1 CE), que se proyectan exclusivamente contra los dos Acuerdos del Tribunal Superior de Justicia y que se concretan en un supuesto error patente y en la existencia de incongruencia. En relación con el primero, alega el Fiscal que la mera lectura de las resoluciones impugnadas permite comprobar la inexistencia del error patente que se denuncia, ya que los Acuerdos impugnados, en sus antecedentes de hecho, en su fundamentación jurídica y en su fallo están haciendo constantes referencias a la persona del recurrente con nombre y apellidos, a la resolución recurrida del Juzgado de Primera Instancia núm. 56 de los de Madrid, al procedimiento en que se produce y sobre todo a las alegaciones que hizo el recurrente y los razonamientos que hace el Tribunal en torno a la concreta sanción disciplinaria impuesta y las circunstancias específicas en que tal acto se produce. Todo ello hace improsperable el argumento de que la Sala está resolviendo un asunto distinto por un lapsus en su fundamentación, oportunamente corregido por la vía aclaratoria en el posterior Auto dictado. </w:t>
      </w:r>
    </w:p>
    <w:p w:rsidR="00DE14C9" w:rsidRDefault="00DE14C9" w:rsidP="00DE14C9">
      <w:pPr>
        <w:pStyle w:val="TextoNormal"/>
      </w:pPr>
      <w:r>
        <w:t xml:space="preserve">En segundo lugar, el Fiscal aborda la queja de incongruencia que plantea el recurrente. Recuerda el Fiscal que el demandante aduce que las resoluciones dictadas por el Tribunal Superior de Justicia son ambas incongruentes: la primera, por no contestar a los argumentos contenidos en el recurso de alzada; la segunda, por no contestar tampoco al recurso de nulidad interpuesto. En relación con la primera resolución, considera el Fiscal que en el Acuerdo de la Sala de Gobierno no resulta en modo alguno subvertido el objeto del proceso, ya que el órgano judicial exterioriza las razones en que apoya su decisión decidiendo lo que ante él se le plantea y no otra materia. A estos efectos no se puede decir que el no acogimiento del recurso de alzada revierta en incongruencia ya que se ha tenido en cuenta la </w:t>
      </w:r>
      <w:r>
        <w:lastRenderedPageBreak/>
        <w:t xml:space="preserve">pretensión del recurrente aunque haya sido desestimada: el Tribunal no ha dejado de ocuparse de la pretensión del demandante aun cuando no haya contestado de modo pormenorizado a cada una de sus alegaciones. Por otro lado, y en relación con la incongruencia del Auto de aclaración, tal no existe, ya que, aunque no se haga una referencia expresa al recurso de nulidad interpuesto por la parte, es obvio que existe un rechazo implícito de tal vicio procesal en el nuevo Acuerdo. En este caso cabría interpretar razonablemente el silencio judicial como desestimación tácita cuya motivación puede inducirse del conjunto de los razonamientos de la decisión judicial. </w:t>
      </w:r>
    </w:p>
    <w:p w:rsidR="00DE14C9" w:rsidRDefault="00DE14C9" w:rsidP="00DE14C9">
      <w:pPr>
        <w:pStyle w:val="TextoNormal"/>
      </w:pPr>
      <w:r>
        <w:t xml:space="preserve">A continuación se refiere el Fiscal a la alegada vulneración del derecho a la libertad de expresión en el ejercicio del derecho de defensa. Tras citar la doctrina constitucional que considera aplicable al caso, el Fiscal alega que, a la hora de enjuiciar el hecho desde la perspectiva constitucional, no se puede desconocer que las resoluciones judiciales deberían haber entrado en el núcleo de la controversia, no centrando únicamente su atención en las frases proferidas por el recurrente sino en la virtualidad anulatoria o al menos atenuatoria por la fuerza expansiva de los derechos fundamentales y las libertades públicas en los supuestos en los que puede producirse un conflicto de tal naturaleza. Así, aun no desconociendo el carácter agraviante del escrito cuestionado que pone en duda la credibilidad del sistema judicial, ello debió, a juicio del Fiscal, ser contrastado con la libertad de expresión del Abogado en el ejercicio del derecho de defensa, sin que a este respecto en ninguna de las resoluciones sancionatorias se lleve a cabo una ponderación específica de los insultos que se dicen proferidos y las manifestaciones del Abogado en todos los escritos dirigidos al órgano sancionador. Además, se minusvalora por omisión el aspecto temporal y contextual del documento del Letrado: piénsese que el momento era idóneo por la falta de audiencia en momento anterior a la admisión a trámite de la demanda que, aunque legal, dadas la circunstancias del caso podrían haber motivado el traslado previo a la demandada, siendo también el momento adecuado para poner de manifiesto la irregularidad del reparto, que de consolidarse, determinaría la perpetua iurisdictionis para el conocimiento del asunto. En tercer lugar, alude el Fiscal a la nula consideración en los Autos sancionadores de las alegaciones del sancionado. Ello, independientemente de que no implique una falta de congruencia en las resoluciones, sí que constituye, cuando está en juego un derecho fundamental, una minusvaloración de las “razones” aducidas, que se acompañan de los correspondientes indicios documentales. Finalmente, si bien es cierto que la denuncia de las aludidas irregularidades puede tener su campo propio en el Derecho disciplinario o en el penal, no es menos cierto que es momento propicio para denunciarlas el de la admisión a trámite de la demanda, habida cuenta de la naturaleza de la queja, por lo que la libertad de expresión está conectada con el derecho de defensa en secuencia temporal y procesal. </w:t>
      </w:r>
    </w:p>
    <w:p w:rsidR="00DE14C9" w:rsidRDefault="00DE14C9" w:rsidP="00DE14C9">
      <w:pPr>
        <w:pStyle w:val="TextoNormal"/>
      </w:pPr>
      <w:r>
        <w:t>Por último, se refiere el Fiscal al alcance del amparo cuyo otorgamiento solicita. Lo alegado, indica, no pretende juzgar el fondo de la controversia sino sólo la constitucionalidad de la sanción disciplinaria. Por ello, el alcance del amparo debe abarcar la anulación de los Acuerdos de sanción sin que, por tanto, se pueda extender a una solicitada nulidad del procedimiento en que tal sanción se genera lo que, en su caso, correspondería a los Tribunales ordinarios, ya que ello supondría dar por ciertos los alegatos del recurrente en amparo en el escrito dirigido a la autoridad judicial, objeto procesal que no se juzga y que, por tanto, queda extramuros de esta jurisdicción.</w:t>
      </w:r>
    </w:p>
    <w:p w:rsidR="00DE14C9" w:rsidRDefault="00DE14C9" w:rsidP="00DE14C9">
      <w:pPr>
        <w:pStyle w:val="TextoNormal"/>
      </w:pPr>
    </w:p>
    <w:p w:rsidR="00DE14C9" w:rsidRDefault="00DE14C9" w:rsidP="00DE14C9">
      <w:pPr>
        <w:pStyle w:val="TextoNormal"/>
      </w:pPr>
      <w:r w:rsidRPr="00DE14C9">
        <w:rPr>
          <w:rStyle w:val="NumeroAFNegritaCaracter"/>
        </w:rPr>
        <w:t>9</w:t>
      </w:r>
      <w:r>
        <w:t>. La representación procesal de doña María Dolores López Uría no presentó alegaciones.</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10</w:t>
      </w:r>
      <w:r>
        <w:t>. Por providencia de 15 de junio de 2007 se señaló para deliberación y votación de la presente Sentencia el día 18 de dicho mes y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 presente demanda tiene por objeto determinar si la corrección disciplinaria impuesta al recurrente por Acuerdo del Juzgado de Primera Instancia núm. 56 de los de Madrid de fecha 7 de enero de 2004, confirmado en alzada por Acuerdo de la Sala de Gobierno del Tribunal Superior de Justicia de Madrid de 19 de abril de 2004, ha lesionado los derechos del recurrente a la tutela judicial efectiva y a la libertad de expresión.</w:t>
      </w:r>
    </w:p>
    <w:p w:rsidR="00DE14C9" w:rsidRDefault="00DE14C9" w:rsidP="00DE14C9">
      <w:pPr>
        <w:pStyle w:val="TextoNormal"/>
      </w:pPr>
      <w:r>
        <w:t>Siendo varios los derechos fundamentales que se alegan como conculcados por la sanción disciplinaria, conviene comenzar por el examen de las alegaciones vertidas en la demanda de amparo en relación con el derecho fundamental a la tutela judicial efectiva, pasando a abordar los de carácter sustantivo únicamente en el supuesto de desestimación de las alegaciones referida al primero, siguiendo el criterio mantenido para casos semejantes (por todas, SSTC 157/1996, de 15 de octubre, FJ 1, 79/2002, de 8 de abril, FJ 1, y 197/2004, de 15 de noviembre, FJ 1).</w:t>
      </w:r>
    </w:p>
    <w:p w:rsidR="00DE14C9" w:rsidRDefault="00DE14C9" w:rsidP="00DE14C9">
      <w:pPr>
        <w:pStyle w:val="TextoNormal"/>
      </w:pPr>
    </w:p>
    <w:p w:rsidR="00DE14C9" w:rsidRDefault="00DE14C9" w:rsidP="00DE14C9">
      <w:pPr>
        <w:pStyle w:val="TextoNormal"/>
      </w:pPr>
      <w:r w:rsidRPr="00DE14C9">
        <w:rPr>
          <w:rStyle w:val="NumeroAFNegritaCaracter"/>
        </w:rPr>
        <w:t>2</w:t>
      </w:r>
      <w:r>
        <w:t>. Partiendo de este criterio, hemos de comenzar por examinar la supuesta lesión del derecho a la tutela judicial efectiva sin indefensión (art. 24.1 CE), que el demandante basa en dos argumentos: en primer lugar, que la Sala de Gobierno del Tribunal Superior de Justicia de Madrid incurrió en incongruencia omisiva, al no dar respuesta a las cuestiones de fondo que planteó el demandante en su recurso de alzada y, en segundo lugar, que la Sala incurrió en error patente al haber referido su resolución a caso, Juzgado y letrado distinto de los concernidos en este supuesto.</w:t>
      </w:r>
    </w:p>
    <w:p w:rsidR="00DE14C9" w:rsidRDefault="00DE14C9" w:rsidP="00DE14C9">
      <w:pPr>
        <w:pStyle w:val="TextoNormal"/>
      </w:pPr>
      <w:r>
        <w:t>En relación con el primer extremo, la queja ha de ser rechazada porque la Sala de Gobierno dio respuesta a la cuestión de fondo planteada en el recurso de alzada por el demandante.</w:t>
      </w:r>
    </w:p>
    <w:p w:rsidR="00DE14C9" w:rsidRDefault="00DE14C9" w:rsidP="00DE14C9">
      <w:pPr>
        <w:pStyle w:val="TextoNormal"/>
      </w:pPr>
      <w:r>
        <w:t>En lo que al segundo punto se refiere, el referido error efectivamente se produjo, pero con el carácter de error material, y fue corregido mediante el Auto de aclaración dictado por la Sala de Gobierno. Basta, por otra parte, la lectura de aquél para constatar que, a salvo el error material cometido y luego corregido, la resolución analizaba y resolvía el caso sometido a conocimiento de la Sala, por lo que en absoluto concurrió el error patente que se denuncia.</w:t>
      </w:r>
    </w:p>
    <w:p w:rsidR="00DE14C9" w:rsidRDefault="00DE14C9" w:rsidP="00DE14C9">
      <w:pPr>
        <w:pStyle w:val="TextoNormal"/>
      </w:pPr>
    </w:p>
    <w:p w:rsidR="00DE14C9" w:rsidRDefault="00DE14C9" w:rsidP="00DE14C9">
      <w:pPr>
        <w:pStyle w:val="TextoNormal"/>
      </w:pPr>
      <w:r w:rsidRPr="00DE14C9">
        <w:rPr>
          <w:rStyle w:val="NumeroAFNegritaCaracter"/>
        </w:rPr>
        <w:t>3</w:t>
      </w:r>
      <w:r>
        <w:t>. Descartadas las supuestas vulneraciones de carácter procesal que se invocan en la demanda, procede examinar si los Acuerdos impugnados, que impusieron al recurrente una corrección disciplinaria por faltar en su actuación forense al respeto debido a los jueces y tribunales (art. 449.1 de la Ley Orgánica del Poder Judicial: LOPJ), han vulnerado su derecho a la libertad de expresión en el ejercicio de la defensa letrada [arts. 20.1 a) y 24.2 CE].</w:t>
      </w:r>
    </w:p>
    <w:p w:rsidR="00DE14C9" w:rsidRDefault="00DE14C9" w:rsidP="00DE14C9">
      <w:pPr>
        <w:pStyle w:val="TextoNormal"/>
      </w:pPr>
      <w:r>
        <w:t xml:space="preserve">La consolidada doctrina que hemos ido sentando sobre esta especial manifestación de la libertad de expresión aparece sintetizada, entre otras, en las SSTC 235/2002, de 9 de diciembre, FJ 2; 117/2003, de 16 de junio, FJ 2; 65/2004, de 19 de abril, FJ 2; 197/2004, de 15 de noviembre, FJ 5; 22/2005, de 1 de febrero, FJ 3; 232/2005, de 26 de septiembre, FJ 3. Parte de que el ejercicio de la libertad de expresión en el seno del proceso judicial por los </w:t>
      </w:r>
      <w:r>
        <w:lastRenderedPageBreak/>
        <w:t>Letrados de las partes consiste en una libertad de expresión reforzada cuya específica relevancia constitucional deviene de su inmediata conexión con la efectividad de otro derecho fundamental, el derecho a la defensa de la parte (art. 24.2 CE). Por tales razones se trata de una manifestación especialmente inmune a las restricciones que en otro contexto habrían de operar (STC 205/1994, de 11 de julio, FJ 5).</w:t>
      </w:r>
    </w:p>
    <w:p w:rsidR="00DE14C9" w:rsidRDefault="00DE14C9" w:rsidP="00DE14C9">
      <w:pPr>
        <w:pStyle w:val="TextoNormal"/>
      </w:pPr>
      <w:r>
        <w:t>Asimismo hemos puntualizado (SSTC 22/2005, de 1 de febrero, FJ 3; 232/2005, de 26 de septiembre, FJ 3), que “la especial cualidad de la libertad de expresión del Abogado en el ejercicio de defensa de su patrocinado debe valorarse en el marco en el que se ejerce y atendiendo a su funcionalidad para el logro de las finalidades que justifican su privilegiado régimen, sin que ampare el desconocimiento del respeto debido a las demás partes presentes en el procedimiento y a la autoridad e imparcialidad del Poder Judicial (SSTC 205/1994, de 11 de julio, FJ 5; 79/2002, FJ 6; STEDH de 22 de febrero de 1989, caso Barfod)”.</w:t>
      </w:r>
    </w:p>
    <w:p w:rsidR="00DE14C9" w:rsidRDefault="00DE14C9" w:rsidP="00DE14C9">
      <w:pPr>
        <w:pStyle w:val="TextoNormal"/>
      </w:pPr>
      <w:r>
        <w:t>Desde esta comprensión constitucional deben ser interpretados los arts. 448 y ss. LOPJ sobre la corrección disciplinaria de los Abogados que intervienen en los procesos judiciales. Lo dispuesto en tales preceptos no constituye sólo una regulación de la potestad disciplinaria atribuida a los Jueces o a las Salas sobre dichos profesionales, “que cooperan con la Administración de Justicia” —según el epígrafe del libro V de la Ley Orgánica del Poder Judicial—, sino que incide, también, sobre la función de defensa que les está encomendada. De ahí que resulte preciso cohonestar dos exigencias potencialmente opuestas, pero complementarias: el respeto a la libertad del Abogado en la defensa del ciudadano y el respeto por parte del Abogado de los demás sujetos procesales, que también participan en la función de administrar justicia (SSTC 38/1998, de 9 de marzo, FJ 2; 205/1994, de 11 de julio, FJ 5).</w:t>
      </w:r>
    </w:p>
    <w:p w:rsidR="00DE14C9" w:rsidRDefault="00DE14C9" w:rsidP="00DE14C9">
      <w:pPr>
        <w:pStyle w:val="TextoNormal"/>
      </w:pPr>
      <w:r>
        <w:t>La existencia de tales derechos fundamentales y bienes constitucionales en conflicto ha de obligar al órgano jurisdiccional, cuando la sanción impuesta sea impugnada, a determinar si la conducta del Abogado está justificada por encontrarse comprendida dentro de la libertad de expresión necesaria para el eficaz ejercicio del derecho de defensa o si, por el contrario, con clara infracción de las obligaciones procesales de corrección antedichas, se pretende atentar a la imparcialidad del Tribunal o alterar el orden público en la celebración del juicio oral, o menoscabar el respeto que merecen los demás intervinientes en el proceso (SSTC 205/1994, de 11 de julio, FJ 5; 235/2002, de 9 de enero, FJ 2). Para determinarlo, deben tenerse en cuenta las circunstancias concurrentes, pues éstas pueden justificar la mayor beligerancia en los argumentos sin más límite que el insulto y la descalificación innecesaria.</w:t>
      </w:r>
    </w:p>
    <w:p w:rsidR="00DE14C9" w:rsidRDefault="00DE14C9" w:rsidP="00DE14C9">
      <w:pPr>
        <w:pStyle w:val="TextoNormal"/>
      </w:pPr>
    </w:p>
    <w:p w:rsidR="00DE14C9" w:rsidRDefault="00DE14C9" w:rsidP="00DE14C9">
      <w:pPr>
        <w:pStyle w:val="TextoNormal"/>
      </w:pPr>
      <w:r w:rsidRPr="00DE14C9">
        <w:rPr>
          <w:rStyle w:val="NumeroAFNegritaCaracter"/>
        </w:rPr>
        <w:t>4</w:t>
      </w:r>
      <w:r>
        <w:t>. La aplicación de esta doctrina al presente caso exige, en primer lugar, comprobar si el demandante fue corregido disciplinariamente por una actuación que se incluya efectivamente en el ámbito de la función de defensa, dado el contenido y finalidad de la actividad desplegada, así como la condición procesal en la que aquélla fue llevada a cabo por el solicitante de amparo (STC 113/2000, de 5 de mayo, FJ 4). Pues bien, la conducta por la que el demandante de amparo fue sancionado se concreta en las calificaciones vertidas en un escrito que cursa al Juzgado para personarse en un procedimiento civil, lo que indiscutiblemente consiste en una actuación forense, es decir, ligada a la función de representación y defensa de los intereses de su patrocinado asumida por el aquí recurrente.</w:t>
      </w:r>
    </w:p>
    <w:p w:rsidR="00DE14C9" w:rsidRDefault="00DE14C9" w:rsidP="00DE14C9">
      <w:pPr>
        <w:pStyle w:val="TextoNormal"/>
      </w:pPr>
      <w:r>
        <w:t xml:space="preserve">En segundo lugar, los Acuerdos recurridos contienen una apreciación de los derechos fundamentales y de los bienes constitucionales en conflicto. En efecto, la Sala de Gobierno del Tribunal Superior de Justicia de Madrid se refiere en sus acuerdos a la libertad de expresión en el ejercicio de la defensa letrada, alegada por parte del recurrente, y argumenta que las expresiones contenidas en el controvertido escrito no se justifican ni amparan en tal </w:t>
      </w:r>
      <w:r>
        <w:lastRenderedPageBreak/>
        <w:t>derecho fundamental ni en la independencia de la que gozan los profesionales en sus actuaciones ante los Tribunales, ni resultan compatibles ni necesarias para el ejercicio del derecho de defensa.</w:t>
      </w:r>
    </w:p>
    <w:p w:rsidR="00DE14C9" w:rsidRDefault="00DE14C9" w:rsidP="00DE14C9">
      <w:pPr>
        <w:pStyle w:val="TextoNormal"/>
      </w:pPr>
      <w:r>
        <w:t>Queda ya sólo valorar si esta apreciación llevada a cabo por los órganos judiciales ha desconocido el derecho a la libertad de expresión en la actividad de defensa, como alega el demandante de amparo, o si, por el contrario, aquella libertad no da cobertura a las calificaciones vertidas, habida cuenta que, según reiteradamente hemos afirmado, “excluidos el insulto y la descalificación, la libre expresión de un Abogado en el ejercicio de la defensa de su patrocinado ha de ser amparada por este Tribunal cuando en el marco de la misma se efectúan afirmaciones y juicios instrumentalmente ordenados a la argumentación necesaria para impetrar de los órganos judiciales la debida tutela de los ciudadanos en el ejercicio de sus derechos e intereses legítimos, tanto más cuanto se trata de la reparación de un derecho fundamental que se entiende conculcado” (SSTC 157/1996, de 15 de octubre, FJ 5; 226/2001, de 26 de noviembre, FJ 3; ATC 76/1999, de 16 de marzo).</w:t>
      </w:r>
    </w:p>
    <w:p w:rsidR="00DE14C9" w:rsidRDefault="00DE14C9" w:rsidP="00DE14C9">
      <w:pPr>
        <w:pStyle w:val="TextoNormal"/>
      </w:pPr>
      <w:r>
        <w:t>Y en este caso sí cabe apreciar que se ha lesionado o restringido ilegítimamente el derecho constitucional a la libertad de expresión (art. 20.1.a CE), en el ejercicio de la defensa. Las expresiones utilizadas en el escrito, que han quedado consignadas en los antecedentes de esta resolución, no exceden del límite tolerado por el ejercicio del derecho de defensa, siendo expresiones utilizadas en los escritos forenses que en este caso no pueden calificarse como formalmente injuriosas o insultantes para el titular de la potestad jurisdiccional. Ninguna de las expresiones empleadas excede de los límites antes indicados de la libertad de expresión en el ejercicio del derecho de defensa, ya que el recurrente ponía de manifiesto sus dudas sobre el reparto de asuntos realizado en el Decanato de los Juzgados y a solicitar a la titular del órgano jurisdiccional que realizase algunas averiguaciones sobre el orden de despacho ordinario de los asuntos, lo que en absoluto puede considerarse descalificador o insultante.</w:t>
      </w:r>
    </w:p>
    <w:p w:rsidR="00DE14C9" w:rsidRDefault="00DE14C9" w:rsidP="00DE14C9">
      <w:pPr>
        <w:pStyle w:val="TextoNormal"/>
      </w:pPr>
      <w:r>
        <w:t>En consecuencia, puede considerarse que las expresiones que se emplearon y la petición que se formuló se insertan dentro del ámbito propio del derecho de defensa y, por ello, se encuentran amparadas por esa concreta manifestación de la libertad de expresión, razón por la que procede otorgar el amparo solicitado y, en consecuencia, anular las resoluciones dictadas por el Juzgado de Primera Instancia de Madrid y los Acuerdos de la Sala de Gobierno del Tribunal Superior de Justicia de Madrid impugnados por ser contrarios al ejercicio de aquella libertad.</w:t>
      </w:r>
    </w:p>
    <w:p w:rsidR="00DE14C9" w:rsidRDefault="00DE14C9" w:rsidP="00DE14C9">
      <w:pPr>
        <w:pStyle w:val="TextoNormal"/>
      </w:pPr>
    </w:p>
    <w:p w:rsidR="00DE14C9" w:rsidRDefault="00DE14C9" w:rsidP="00DE14C9">
      <w:pPr>
        <w:pStyle w:val="TextoNormal"/>
      </w:pPr>
      <w:r w:rsidRPr="00DE14C9">
        <w:rPr>
          <w:rStyle w:val="NumeroAFNegritaCaracter"/>
        </w:rPr>
        <w:t>5</w:t>
      </w:r>
      <w:r>
        <w:t>. A la hora de determinar el alcance del amparo otorgado debe precisarse que el objeto de este proceso constitucional lo constituye la constitucionalidad de la sanción disciplinaria que fue impuesta al demandante. A anular las resoluciones que impusieron la referida sanción se circunscribe, por tanto, nuestro pronunciamiento, que no juzga el fondo de la controversia entre las partes y que, por tanto, no puede conocer de la solicitada nulidad de lo actuado en el procedimiento en que tal sanción se genera, objeto procesal que, como bien pone de manifiesto el Fiscal en sus alegaciones, ahora no se juzga y, por tanto, queda extramuros de esta jurisdicción.</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don Manuel de Cristóbal López, y en consecuencia:</w:t>
      </w:r>
    </w:p>
    <w:p w:rsidR="00DE14C9" w:rsidRDefault="00DE14C9" w:rsidP="00DE14C9">
      <w:pPr>
        <w:pStyle w:val="TextoNormal"/>
      </w:pPr>
      <w:r>
        <w:t>1º Reconocer su derecho fundamental a la libertad de expresión en el ejercicio de la defensa letrada [arts. 20.1 a) y 24.2 CE].</w:t>
      </w:r>
    </w:p>
    <w:p w:rsidR="00DE14C9" w:rsidRDefault="00DE14C9" w:rsidP="00DE14C9">
      <w:pPr>
        <w:pStyle w:val="TextoNormal"/>
      </w:pPr>
      <w:r>
        <w:t>2º Anular el Auto del Juzgado de Primera Instancia núm. 56 de los de Madrid dictado en el procedimiento núm. 667-2003, de fecha 7 de enero de 2004, así como los Acuerdos de la Sala de Gobierno del Tribunal Superior de Justicia de Madrid de fecha 19 de abril y 31 de mayo de 2004.</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dieciocho de junio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59" w:name="SENTENCIA_2007_146"/>
      <w:r>
        <w:lastRenderedPageBreak/>
        <w:t>SENTENCIA 146/2007, de 18 de junio de 2007</w:t>
      </w:r>
    </w:p>
    <w:bookmarkEnd w:id="59"/>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179, de 27 de julio de 2007)</w:t>
      </w:r>
    </w:p>
    <w:p w:rsidR="00DE14C9" w:rsidRDefault="00DE14C9" w:rsidP="00DE14C9">
      <w:pPr>
        <w:pStyle w:val="TtuloBOE"/>
      </w:pPr>
    </w:p>
    <w:p w:rsidR="00DE14C9" w:rsidRDefault="00DE14C9" w:rsidP="00DE14C9">
      <w:pPr>
        <w:pStyle w:val="SntesisDescriptiva"/>
      </w:pPr>
      <w:r>
        <w:t>ECLI:ES:TC:2007:146</w:t>
      </w:r>
    </w:p>
    <w:p w:rsidR="00DE14C9" w:rsidRDefault="00DE14C9" w:rsidP="00DE14C9">
      <w:pPr>
        <w:pStyle w:val="SntesisDescriptiva"/>
      </w:pPr>
    </w:p>
    <w:p w:rsidR="00DE14C9" w:rsidRDefault="00DE14C9" w:rsidP="00DE14C9">
      <w:pPr>
        <w:pStyle w:val="SntesisDescriptiva"/>
      </w:pPr>
      <w:r>
        <w:t>Recurso de amparo 4947-2004. Promovido por don Celestino Ramos Álvarez frente a la providencia de la Sala Segunda del Tribunal Supremo que denegó autorización para formalizar recurso de revisión de su condena por un delito de robo con intimidación.</w:t>
      </w:r>
    </w:p>
    <w:p w:rsidR="00DE14C9" w:rsidRDefault="00DE14C9" w:rsidP="00DE14C9">
      <w:pPr>
        <w:pStyle w:val="SntesisDescriptiva"/>
      </w:pPr>
    </w:p>
    <w:p w:rsidR="00DE14C9" w:rsidRDefault="00DE14C9" w:rsidP="00DE14C9">
      <w:pPr>
        <w:pStyle w:val="SntesisAnaltica"/>
      </w:pPr>
      <w:r>
        <w:t>Vulneración del derecho a la asistencia letrada: irregularidad en la forma de la resolución judicial; archivo de plano de una solicitud de revisión de condena penal sin resolver la solicitud de nombramiento de Procurador y Abogado de oficio.</w:t>
      </w:r>
    </w:p>
    <w:p w:rsidR="00DE14C9" w:rsidRDefault="00DE14C9" w:rsidP="00DE14C9">
      <w:pPr>
        <w:pStyle w:val="SntesisAnaltica"/>
      </w:pPr>
    </w:p>
    <w:p w:rsidR="00DE14C9" w:rsidRDefault="00DE14C9" w:rsidP="00DE14C9">
      <w:pPr>
        <w:pStyle w:val="Extracto"/>
      </w:pPr>
      <w:r>
        <w:t>1.</w:t>
      </w:r>
      <w:r>
        <w:tab/>
        <w:t>La aprobación o denegación por parte del Tribunal Supremo de la autorización para la interposición del recurso de revisión prevista en el art. 957 LECrim, mediante la valoración de las pruebas aportadas ha de respetarse mediante la oportuna designación de Abogado y Procurador de oficio [FJ 4].</w:t>
      </w:r>
    </w:p>
    <w:p w:rsidR="00DE14C9" w:rsidRDefault="00DE14C9" w:rsidP="00DE14C9">
      <w:pPr>
        <w:pStyle w:val="Extracto"/>
      </w:pPr>
    </w:p>
    <w:p w:rsidR="00DE14C9" w:rsidRDefault="00DE14C9" w:rsidP="00DE14C9">
      <w:pPr>
        <w:pStyle w:val="Extracto"/>
      </w:pPr>
      <w:r>
        <w:t>2.</w:t>
      </w:r>
      <w:r>
        <w:tab/>
        <w:t>Aunque la legitimación del recluso para promover e interponer el recurso de revisión, tras la reforma operada por Ley 10/1992, de 30 de abril, no implique la preceptiva intervención de un Letrado, la garantía del condenado prevista en el art. 24.2 CE conlleva la obligación jurídico-constitucional de la oportuna designación de abogado y procurador de oficio por los órganos judiciales y los colegios de Abogados y Procuradores (STC 101/2002) [FJ 4].</w:t>
      </w:r>
    </w:p>
    <w:p w:rsidR="00DE14C9" w:rsidRDefault="00DE14C9" w:rsidP="00DE14C9">
      <w:pPr>
        <w:pStyle w:val="Extracto"/>
      </w:pPr>
    </w:p>
    <w:p w:rsidR="00DE14C9" w:rsidRDefault="00DE14C9" w:rsidP="00DE14C9">
      <w:pPr>
        <w:pStyle w:val="Extracto"/>
      </w:pPr>
      <w:r>
        <w:t>3.</w:t>
      </w:r>
      <w:r>
        <w:tab/>
        <w:t>El restablecimiento del derecho fundamental a la asistencia letrada del recurrente comporta retrotraer las actuaciones al momento anterior al dictado de la providencia impugnada a fin de que la Sala de lo Penal del Tribunal Supremo resuelva sobre la petición de Abogado y Procurador de oficio sin incurrir en la tacha constitucional apreciada [FJ 6].</w:t>
      </w:r>
    </w:p>
    <w:p w:rsidR="00DE14C9" w:rsidRDefault="00DE14C9" w:rsidP="00DE14C9">
      <w:pPr>
        <w:pStyle w:val="Extracto"/>
      </w:pPr>
    </w:p>
    <w:p w:rsidR="00DE14C9" w:rsidRDefault="00DE14C9" w:rsidP="00DE14C9">
      <w:pPr>
        <w:pStyle w:val="Extracto"/>
      </w:pPr>
      <w:r>
        <w:t>4.</w:t>
      </w:r>
      <w:r>
        <w:tab/>
        <w:t>No toda irregularidad procesal o infracción de normas procesales tiene relevancia constitucional, sino sólo aquella que genere una verdadera indefensión material, con el consiguiente perjuicio real y efectivo para los intereses del afectado (STC 76/2007) [FJ 5].</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4947-2004, promovido por don Celestino Ramos Álvarez, representado por la Procuradora de los Tribunales doña María del Pilar Vived de la Vega y asistido por el Letrado don Guillermo Bendicho Revilla, contra la providencia de la Sala Segunda del Tribunal Supremo de 30 de abril de 2004, que desestimó la pretensión del recurrente de que se le concediera autorización para formalizar recurso contra la Sentencia firme del Juzgado de lo Penal núm. 4 de Santa Cruz de Tenerife de 10 de junio de 2003, dictada en el procedimiento abreviado núm. 253-2003, confirmada a su vez por Sentencia de 12 de diciembre de 2003 de la Sección Segunda de su Audiencia Provincial. Ha intervenido el Ministerio Fiscal. Ha sido Ponente el Magistrado don Eugeni Gay Montalvo,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registrado en este Tribunal Constitucional el 27 de julio de 2004 don Celestino Ramos Álvarez, interno del centro penitenciario Tenerife II, manifestó su intención de recurrir en amparo la resolución judicial reseñada en el encabezamiento de esta Sentencia. Una vez efectuados los oportunos nombramientos de Abogado y Procurador de oficio y remitido el testimonio de las actuaciones se formalizó la correspondiente demanda a través de escrito registrado el 18 de febrero de 2005.</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de los que trae causa la demanda de amparo, relevantes para la resolución de este recurso, son los que se expresan a continuación: </w:t>
      </w:r>
    </w:p>
    <w:p w:rsidR="00DE14C9" w:rsidRDefault="00DE14C9" w:rsidP="00DE14C9">
      <w:pPr>
        <w:pStyle w:val="TextoNormal"/>
      </w:pPr>
      <w:r>
        <w:t xml:space="preserve">a) Por el Juzgado de lo Penal núm. 4 de Santa Cruz de Tenerife se dictó Sentencia de 10 de junio de 2003, en el procedimiento abreviado núm. 253-2003, por la que se condenaba al recurrente, como autor de un delito de robo con intimidación previsto en los artículos 237 y 242.1 y 2 del Código penal, a la pena de tres años y seis meses de prisión, inhabilitación especial para el derecho de sufragio pasivo durante el tiempo de la condena, costas procesales e indemnización a la víctima en la suma que se acreditara en ejecución de Sentencia. </w:t>
      </w:r>
    </w:p>
    <w:p w:rsidR="00DE14C9" w:rsidRDefault="00DE14C9" w:rsidP="00DE14C9">
      <w:pPr>
        <w:pStyle w:val="TextoNormal"/>
      </w:pPr>
      <w:r>
        <w:t xml:space="preserve">Según los hechos probados de la Sentencia el demandante de amparo, “mayor de edad y con antecedentes penales cancelados, el día 4 de febrero de 2003, sobre las 15,15 horas, en la Avenida Príncipes de España de esta capital (Santa Cruz de Tenerife), cuando María Teresa B. P. se encontraba detenida dentro de su vehículo ante un semáforo, se introdujo en el mismo y exhibiendo una navaja le conminó para que le entregara el bolso, del que se apoderó, el cual contenía diversos efectos personales, documentación y un teléfono móvil que hizo suyos”. </w:t>
      </w:r>
    </w:p>
    <w:p w:rsidR="00DE14C9" w:rsidRDefault="00DE14C9" w:rsidP="00DE14C9">
      <w:pPr>
        <w:pStyle w:val="TextoNormal"/>
      </w:pPr>
      <w:r>
        <w:t xml:space="preserve">b) La representación del demandante interpuso recurso de apelación contra la anterior Sentencia, invocando, entre otros motivos, la existencia de un error en la apreciación de la prueba, al haberse basado el fallo dictado única y exclusivamente en la declaración de la víctima, no reuniendo los elementos precisos para ser considerada en este caso como prueba de cargo. </w:t>
      </w:r>
    </w:p>
    <w:p w:rsidR="00DE14C9" w:rsidRDefault="00DE14C9" w:rsidP="00DE14C9">
      <w:pPr>
        <w:pStyle w:val="TextoNormal"/>
      </w:pPr>
      <w:r>
        <w:t xml:space="preserve">La Sección Segunda de la Audiencia Provincial de Santa Cruz de Tenerife dictó Sentencia de 12 de diciembre de 2003, rollo de apelación núm. 346-2003, por la que se confirmaba el pronunciamiento condenatorio recaído, razonando que la declaración de la víctima tenía </w:t>
      </w:r>
      <w:r>
        <w:lastRenderedPageBreak/>
        <w:t xml:space="preserve">virtualidad suficiente para desvirtuar la presunción de inocencia “una vez examinado el resultado de dicha declaración, tal y como se recoge en el acta del juicio oral, y visto que la víctima reconoció al agresor no sólo en las actuaciones de investigación policial, sino en reconocimiento en rueda practicado con todas las garantías y ratificado en el juicio oral en el que de nuevo reconoce al agresor”. No obstante, la Sala, de acuerdo con la previsión recogida en el art. 242.3 CP, vista la menor entidad de la intimidación ejercida por el condenado y demás circunstancias concurrentes, rebajó la pena impuesta a éste a dos años de prisión, confirmando la Sentencia apelada en el resto de sus extremos. </w:t>
      </w:r>
    </w:p>
    <w:p w:rsidR="00DE14C9" w:rsidRDefault="00DE14C9" w:rsidP="00DE14C9">
      <w:pPr>
        <w:pStyle w:val="TextoNormal"/>
      </w:pPr>
      <w:r>
        <w:t xml:space="preserve">c) El recurrente dirigió un escrito el 30 de marzo de 2004 a la Sala Segunda del Tribunal Supremo, cursado a través del centro penitenciario en el que se encontraba cumpliendo condena, en cuyo encabezamiento expresaba su voluntad de promover recurso extraordinario de revisión contra las anteriores Sentencias. En dicho escrito manifestaba literalmente que “ES INOCENTE DE LOS HECHOS QUE SE LE IMPUTAN y en tal sentido adjunta fotocopia que aporta este certificado del Centro de Rehabilitación de Ripollés en Gerona (Barcelona) de la GENERALITAT de Catalunya donde se acredita que ingresó en este enero del 2002 hasta febrero del 2003. ¿Cómo pues pudo cometer los hechos que se le imputan?” (sic). En relación a los datos en que podría sustentarse su pretensión revisoria, expresaba: “Aportar datos que sustenten estos y pedirlos a la persona presa, dado el estado de SOLEDAD, INDEFENSION, FALTA DE TUTELA JUDICIAL EFECTIVA, PROCESO CON TODAS LAS GARANTIAS resultaría un milagro este, para la persona presa generalmente es todo un imposible, por lo que lleva implícito la situación, pero el Tribunal sin duda podría recabar estos” (sic). Por otra parte argumentaba que deberían haberse interpuesto contra las Sentencias que le condenaron recursos de casación por quebrantamiento de forma y por infracción de Ley, concluyendo en el suplico del escrito que se le autorizara la formalización del expresado recurso de revisión y que se oficiara a los Colegios de Abogados y Procuradores para que designaran, respectivamente, Letrado y Procurador de los del turno de oficio. Asimismo adjuntaba al citado escrito el certificado antedicho del centro de rehabilitación donde decía encontrarse cuando ocurrieron los hechos por los que había sido condenado. </w:t>
      </w:r>
    </w:p>
    <w:p w:rsidR="00DE14C9" w:rsidRDefault="00DE14C9" w:rsidP="00DE14C9">
      <w:pPr>
        <w:pStyle w:val="TextoNormal"/>
      </w:pPr>
      <w:r>
        <w:t>d) La Sala de lo Penal del Tribunal Supremo, luego de incoar el procedimiento de revisión núm. 53-2003, dictó providencia del siguiente tenor literal: “Dada cuenta; por recibido el anterior oficio y escrito, del Registro General de este Tribunal Supremo, procedente del Centro Penitenciario de Santa Cruz de Tenerife, presentado por el interno Celestino Ramos Álvarez, fórmese rollo de Sala, regístrese ... y visto su contenido; se tiene por solicitada de la Sala autorización para formalizar recurso de revisión contra Sentencia dictada por el Juzgado de lo Penal 4 de Santa Cruz de Tenerife, en causa 488/03, confirmada por otra de la Sección 2ª de la Audiencia Provincial de Santa Cruz de Tenerife (Islas Canarias) en rollo 346/2003, procediendo su archivo de plano, haciendo saber al recurrente que el extraordinario recurso de revisión sólo procede cuando se da alguno de los cuatro supuestos que tasadamente establece el art. 954 de la Ley de Enjuiciamiento Criminal, entre los que no se encuentran los alegados por el recurrente en su escrito (inocencia del delito por el que fue condenado, soledad, indefensión, falta de tutela judicial efectiva, un proceso con todas las garantías, falta de interposición del recurso de casación por quebrantamiento de forma y por infracción de Ley, y celebración del juicio oral sin las debidas garantías)”. Dicha providencia, no obstante no constar con el previo informe del Ministerio Fiscal, fue notificada a éste el 10 de mayo de 2004 y al recurrente en la prisión en la que se hallaba el 23 de junio de 2004, archivándose el rollo en posterior diligencia.</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3</w:t>
      </w:r>
      <w:r>
        <w:t xml:space="preserve">. El recurrente aduce, como primer motivo de su demanda de amparo, que la resolución impugnada le ha supuesto una vulneración del derecho de defensa y del derecho a un proceso con todas las garantías (art. 24.2 CE), ante la ausencia de un pronunciamiento por parte del Tribunal sobre la petición que efectuó a fin de que se le designara Abogado y Procurador del turno de oficio, lo que le habría impedido estructurar adecuadamente su solicitud de autorización para interponer el recurso de revisión. El hecho de que no sea preceptiva la intervención de Letrado para la solicitud inicial prevista en el art. 955 LECrim no determina, al igual que ocurre en el juicio de faltas, que, si el ciudadano requiere esa defensa ab initio, ésta no le sea facilitada. La actitud del órgano judicial le ha originado una indefensión real y efectiva, requisito que, según la doctrina de este Tribunal, es necesario apreciar para otorgar relevancia constitucional a la lesión aducida, pues el verdadero planteamiento de fondo de la solicitud remitida por el interno, que no es otro que el motivo de revisión recogido en el art. 954.4 de la citada Ley, “ha sido confundido con cierta ligereza con las manifestaciones personales contenidas en el escrito de solicitud”, archivándose de plano las actuaciones e impidiéndosele el acceso a un procedimiento de revisión de sentencia firme, donde podría haber acreditado su inocencia. En una segunda vertiente del expresado motivo, ahora estrictamente procesal, estaría, según se dice en la propia demanda, la manifiesta infracción que surge al dictar el Tribunal Supremo una providencia cuando, en realidad, la LECrim (art. 141) y la LOPJ (art. 245) le obligaban a pronunciarse mediante una resolución judicial en forma de Auto. </w:t>
      </w:r>
    </w:p>
    <w:p w:rsidR="00DE14C9" w:rsidRDefault="00DE14C9" w:rsidP="00DE14C9">
      <w:pPr>
        <w:pStyle w:val="TextoNormal"/>
      </w:pPr>
      <w:r>
        <w:t>Como segundo motivo de la demanda de amparo se invoca que la resolución impugnada ha lesionado también su derecho a la tutela judicial efectiva (art. 24.1 CE), pues se le ha vulnerado el derecho de acceso a la justicia, para alegar y demostrar en este proceso su inocencia. En particular aduce que el Tribunal debería haber razonado si el certificado que se presentaba se integraba en el supuesto previsto en el art. 954.4 LECrim, comprobándose si efectivamente “el recurrente pudo estar en dos lugares a la vez en la fecha de la comisión de los hechos”. Frente a ello la resolución ahora impugnada incurre en incongruencia omisiva al no dar respuesta concreta a las cuestiones que se planteaban en su solicitud y adolece de una evidente falta de motivación. Deber de motivación que se encontraría reforzado en el presente caso, al estar implicados otros principios y derechos fundamentales, entre ellos el derecho a la libertad, vista la situación personal en que se encontraba el demandante de amparo.</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Por providencia de 23 de enero de 2007 la Sala Segunda de este Tribunal Constitucional acordó, de conformidad con lo dispuesto en el art. 11.2 de la Ley Orgánica del mismo, conocer del presente recurso de amparo y admitir a trámite la demanda presentada por la Procuradora doña María del Pilar Vived de la Vega, en nombre y representación de don Celestino Ramos Álvarez, contra la providencia de 30 de abril de 2004, dictada por la Sala Segunda del Tribunal Supremo en el recurso de revisión núm. </w:t>
      </w:r>
    </w:p>
    <w:p w:rsidR="00DE14C9" w:rsidRDefault="00DE14C9" w:rsidP="00DE14C9">
      <w:pPr>
        <w:pStyle w:val="TextoNormal"/>
      </w:pPr>
      <w:r>
        <w:t>53-2003.</w:t>
      </w:r>
    </w:p>
    <w:p w:rsidR="00DE14C9" w:rsidRDefault="00DE14C9" w:rsidP="00DE14C9">
      <w:pPr>
        <w:pStyle w:val="TextoNormal"/>
      </w:pPr>
    </w:p>
    <w:p w:rsidR="00DE14C9" w:rsidRDefault="00DE14C9" w:rsidP="00DE14C9">
      <w:pPr>
        <w:pStyle w:val="TextoNormal"/>
      </w:pPr>
      <w:r w:rsidRPr="00DE14C9">
        <w:rPr>
          <w:rStyle w:val="NumeroAFNegritaCaracter"/>
        </w:rPr>
        <w:t>5</w:t>
      </w:r>
      <w:r>
        <w:t>. Por diligencia de ordenación de la Secretaría de Justicia de la Sala Segunda de este Tribunal, de 13 de marzo de 2007, se acordó dar vista de las actuaciones a la parte recurrente y al Ministerio Fiscal, por plazo común de veinte días, para que formularan las alegaciones que estimasen pertinentes, conforme determina el art. 52.1 LOTC.</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6</w:t>
      </w:r>
      <w:r>
        <w:t>. La representación del recurrente cumplimentó el trámite concedido mediante escrito que tuvo entrada en el Registro General de este Tribunal el 4 de abril de 2007, limitándose a ratificar los argumentos y peticiones ya realizadas en su escrito de demanda.</w:t>
      </w:r>
    </w:p>
    <w:p w:rsidR="00DE14C9" w:rsidRDefault="00DE14C9" w:rsidP="00DE14C9">
      <w:pPr>
        <w:pStyle w:val="TextoNormal"/>
      </w:pPr>
    </w:p>
    <w:p w:rsidR="00DE14C9" w:rsidRDefault="00DE14C9" w:rsidP="00DE14C9">
      <w:pPr>
        <w:pStyle w:val="TextoNormal"/>
      </w:pPr>
      <w:r w:rsidRPr="00DE14C9">
        <w:rPr>
          <w:rStyle w:val="NumeroAFNegritaCaracter"/>
        </w:rPr>
        <w:t>7</w:t>
      </w:r>
      <w:r>
        <w:t xml:space="preserve">. El Ministerio Fiscal formuló alegaciones por escrito registrado con fecha 20 de abril de 2007. En el mismo centra la cuestión planteada en la posible lesión de dos derechos fundamentales: el de la tutela judicial efectiva y el de asistencia letrada, dimanantes ambas vulneraciones del dictado de una providencia de rechazo de plano de la autorización a un condenado para formular recurso de revisión. Entiende que resulta procedente comenzar por el análisis de la tutela judicial, que se apoya en una falta de motivación de dicha resolución judicial, pues si este motivo fuera estimado, “procedería su anulación y el dictado de otra resolución en la que pudiera ser congruentemente atendida o al menos respondida la petición de asistencia letrada”. </w:t>
      </w:r>
    </w:p>
    <w:p w:rsidR="00DE14C9" w:rsidRDefault="00DE14C9" w:rsidP="00DE14C9">
      <w:pPr>
        <w:pStyle w:val="TextoNormal"/>
      </w:pPr>
      <w:r>
        <w:t xml:space="preserve">Desde esta perspectiva el Fiscal recuerda la doctrina consolidada de este Tribunal (recogida, entre otras, en la SSTC 240/2005 y 59/2006, de 10 de octubre y 27 de febrero, respectivamente) de que los supuestos de inadmisión de recursos de revisión se refieren a casos en los que está implicado el derecho de acceso al proceso, ya que la naturaleza jurídica de la revisión, pese a su denominación, participa más del carácter de proceso autónomo que de proceso de impugnación. Por ello debe primar el principio pro actione, rechazándose las interpretaciones de la ley excesivamente formalistas o rigoristas que impidan a la parte combatir ante los Tribunales por sus derechos. En el presente caso el Tribunal ha rechazado la pretensión del recurrente sobre la base de que los motivos que pormenorizaba en su escrito, deducidos de una serie de frases contenidas en el mismo, no se encontraban entre los cuatro supuestos previstos en el art. 954 LECrim, cuando lo cierto es que la manifestación que también hace en este escrito sobre la imposibilidad de hallarse en el lugar de los hechos el día en que fueron cometidos, junto con el certificado que adjuntaba de un centro de rehabilitación en fechas coincidentes, hacen posiblemente incardinable este supuesto en la previsión del núm. 4 del art. 954 LECrim, referido a la sobreveniencia del conocimiento de nuevos hechos o nuevos elementos de prueba que evidencien la inocencia del condenado. En consecuencia, con independencia del resultado del proceso de revisión, cuestiona el Fiscal “la forma de contestación a las pretensiones del actor y el contenido de la respuesta”. El Tribunal debería haber canalizado esta respuesta “a través del motivo antedicho y no, como lo fue, sobre la base de determinadas frases del escrito”. Ello le hubiera llevado, al menos, “a efectuar unas mínimas comprobaciones de lo manifestado al amparo de las diligencias permitidas en el art. 957 LECrim. Y tales diligencias hubieran llevado a la Sala a descartar o confirmar la concurrencia del citado motivo de revisión”. </w:t>
      </w:r>
    </w:p>
    <w:p w:rsidR="00DE14C9" w:rsidRDefault="00DE14C9" w:rsidP="00DE14C9">
      <w:pPr>
        <w:pStyle w:val="TextoNormal"/>
      </w:pPr>
      <w:r>
        <w:t>Por lo anterior el Fiscal concluye que se debe proceder a otorgar el amparo, anulándose la providencia recurrida, a los fines de que la Sala Segunda del Tribunal Supremo dicte otra resolución, de acuerdo a los anteriores razonamientos, conforme al derecho a la tutela judicial efectiva .</w:t>
      </w:r>
    </w:p>
    <w:p w:rsidR="00DE14C9" w:rsidRDefault="00DE14C9" w:rsidP="00DE14C9">
      <w:pPr>
        <w:pStyle w:val="TextoNormal"/>
      </w:pPr>
    </w:p>
    <w:p w:rsidR="00DE14C9" w:rsidRDefault="00DE14C9" w:rsidP="00DE14C9">
      <w:pPr>
        <w:pStyle w:val="TextoNormal"/>
      </w:pPr>
      <w:r w:rsidRPr="00DE14C9">
        <w:rPr>
          <w:rStyle w:val="NumeroAFNegritaCaracter"/>
        </w:rPr>
        <w:t>8</w:t>
      </w:r>
      <w:r>
        <w:t>. Por providencia de 14 de junio de 2007, se señala para votación y fallo de la presente Sentencia el día 18 del mismo mes y año.</w:t>
      </w:r>
    </w:p>
    <w:p w:rsidR="00DE14C9" w:rsidRDefault="00DE14C9" w:rsidP="00DE14C9">
      <w:pPr>
        <w:pStyle w:val="TextoNormal"/>
      </w:pPr>
    </w:p>
    <w:p w:rsidR="00DE14C9" w:rsidRDefault="00DE14C9" w:rsidP="00DE14C9">
      <w:pPr>
        <w:pStyle w:val="TextoNormalNegritaCentrado"/>
        <w:keepNext/>
      </w:pPr>
      <w:r>
        <w:lastRenderedPageBreak/>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 presente demanda de amparo se dirige contra la providencia de la Sala de lo Penal del Tribunal Supremo de 30 de abril de 2004, que desestimó la petición del recurrente de que se le concediera autorización para formular recurso de revisión contra la Sentencia del Juzgado de lo Penal núm. 4 de Santa Cruz de Tenerife de 10 de junio de 2003, confirmada por Sentencia de 12 de diciembre de 2003 de la Sección Segunda de su Audiencia Provincial, en virtud de cuyas resoluciones se le condenaba como autor responsable de un delito de robo con intimidación a la pena de dos años de prisión. Según el demandante dicha resolución judicial habría vulnerado, en primer lugar, su derecho a la defensa y a un proceso con todas las garantías (art. 24.2 CE), al no haberse atendido su solicitud de que se le designara Abogado y Procurador del turno de oficio, viéndose así impedido de articular convenientemente su pretensión revisoria; además la resolución judicial recaída debería haber revestido la forma de Auto y no de providencia, en cumplimiento de la legislación procesal vigente. En segundo lugar, la providencia dictada habría lesionado directamente el derecho a la tutela judicial efectiva (art. 24.1 CE) del demandante al haberle impedido acceder a la Justicia y así alegar y defender en el proceso de revisión sus derechos e intereses, incurriendo además en incongruencia omisiva y en falta de motivación, reforzada en este caso por afectar al derecho fundamental a la libertad.</w:t>
      </w:r>
    </w:p>
    <w:p w:rsidR="00DE14C9" w:rsidRDefault="00DE14C9" w:rsidP="00DE14C9">
      <w:pPr>
        <w:pStyle w:val="TextoNormal"/>
      </w:pPr>
      <w:r>
        <w:t>El Ministerio Fiscal interesa la estimación de la presente demanda por vulneración del derecho a la tutela judicial efectiva (art. 24.1 CE), razonando que la respuesta que da el Tribunal Supremo en la referida providencia, al expresar tan sólo que la solicitud formulada por el recurrente no tenía acogida en los cuatro supuestos previstos en el art. 954 de la Ley de enjuiciamiento criminal (LECrim), y archivar de plano las actuaciones sin efectuar ninguna referencia a su alegación de que no se encontraba en el lugar de los hechos cuando éstos ocurrieron, está revestida de un carácter extremadamente rigorista, contrario por ello al principio pro actione que ha de regir en esta materia del recurso de revisión, cuya naturaleza jurídica es, más bien, de un proceso autónomo. Respecto del motivo también articulado en la demanda sobre la lesión del derecho de defensa, en relación a la asistencia letrada, según el Fiscal, es innecesario hacer pronunciamiento alguno, pues, al haberse ya apreciado la lesión del derecho a la tutela judicial efectiva por deficiente motivación de la resolución judicial, procedería su anulación y el dictado de otra en la que pudiera ser atendida por la Sala Segunda del Tribunal Supremo dicha petición de asistencia letrada.</w:t>
      </w:r>
    </w:p>
    <w:p w:rsidR="00DE14C9" w:rsidRDefault="00DE14C9" w:rsidP="00DE14C9">
      <w:pPr>
        <w:pStyle w:val="TextoNormal"/>
      </w:pPr>
    </w:p>
    <w:p w:rsidR="00DE14C9" w:rsidRDefault="00DE14C9" w:rsidP="00DE14C9">
      <w:pPr>
        <w:pStyle w:val="TextoNormal"/>
      </w:pPr>
      <w:r w:rsidRPr="00DE14C9">
        <w:rPr>
          <w:rStyle w:val="NumeroAFNegritaCaracter"/>
        </w:rPr>
        <w:t>2</w:t>
      </w:r>
      <w:r>
        <w:t>. El recurrente invoca como primer motivo de su demanda la lesión del art. 24.2 CE, por entender infringido el derecho a la defensa y a un proceso con todas las garantías, al no haber atendido la providencia dictada por la Sala de lo Penal del Tribunal Supremo su solicitud de que se le nombraran un Abogado y Procurador del turno de oficio. Conviene empezar el análisis de la demanda por este orden, en contra del criterio del Ministerio Fiscal (que sugiere abordar en primer lugar, la queja sobre la vulneración de la tutela judicial efectiva por deficiente motivación de la resolución judicial), pues su hipotética estimación comportaría la retroacción de las actuaciones al momento en que tuvo lugar dicha lesión constitucional, careciendo de objeto el estudio de las vulneraciones de derechos fundamentales surgidas con posterioridad (en este sentido, SSTC 104/2002, de 6 de mayo, FJ 2, y 60/2003, de 24 de marzo, FJ 2).</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3</w:t>
      </w:r>
      <w:r>
        <w:t>. Respecto de la segunda queja planteada, como recuerda la STC 101/2002, de 6 de mayo, FJ 2, es doctrina de este Tribunal que entre las garantías que integran el derecho a un proceso justo se incluye el derecho a la defensa y a la asistencia letrada que el art. 24.2 CE consagra de manera singularizada. Este derecho tiene por finalidad, al igual que todas las demás garantías que conforman el derecho en el que se integran, la de asegurar la efectiva realización de los principios de igualdad de las partes y de contradicción, que imponen a los órganos judiciales el deber positivo de evitar desequilibrios entre la respectiva posición procesal de las partes o limitaciones en la defensa que puedan generar a alguna de ellas la indefensión prohibida por el art.  24.1 CE. Parámetros que no varían siquiera cuando la intervención letrada en la instancia es, incluso, facultativa, puesto que, aun no siendo preceptiva, constituye un derecho que la parte gobierna en su ejercicio, decidiendo con libertad si servirse o no de un experto en Derecho para defender sus intereses (doctrina reiterada en las posteriores SSTC 187/2004, de 2 de noviembre, FJ 3; 260/2005, de 24 de octubre, FJ 3; y 189/2006, de 19 de junio, FJ 2). Lo anterior conlleva, en principio, el derecho del litigante que carece de recursos económicos para sufragar un Letrado de su elección a que se le provea de Abogado de oficio, si así lo considera conveniente a la mejor defensa de sus derechos, siendo procedente el correspondiente nombramiento cuando se solicite y resulte necesario (SSTC 152/2000, de 12 de junio, FJ 3; 262/2005, de 24 de octubre, FJ 2). En tal caso “los órganos judiciales deben, en principio, acordar la suspensión del curso del procedimiento hasta tanto no le sea nombrado al litigante que carece de recursos económicos, o que se ve en la imposibilidad de contar con un Letrado de su elección, un Letrado del turno de oficio que asuma su defensa técnica en el proceso” (SSTC 92/1996, de 27 de mayo, FJ 3, y 101/2002, de 6 de mayo, FJ 2, antes citado).</w:t>
      </w:r>
    </w:p>
    <w:p w:rsidR="00DE14C9" w:rsidRDefault="00DE14C9" w:rsidP="00DE14C9">
      <w:pPr>
        <w:pStyle w:val="TextoNormal"/>
      </w:pPr>
      <w:r>
        <w:t>Ahora bien, también debe señalarse que este Tribunal, en consonancia con la doctrina del Tribunal Europeo de Derechos Humanos, sustentada, entre otras, en las Sentencias de 9 de octubre de 1979 (caso Airey), de 25 de abril de 1983 (caso Pakelli) y de 13 de mayo de 1990 (caso Ártico), ha señalado que, desde la perspectiva constitucional, la denegación de la asistencia letrada no conlleva sin más una vulneración del art. 24.2 CE. Para que esto suceda es necesario que la falta de Letrado de oficio solicitado, en atención a las circunstancias concurrentes en el caso, haya producido al solicitante una real y efectiva situación de indefensión material, en el sentido de que su autodefensa se haya revelado insuficiente y perjudicial, impidiéndole articular una defensa adecuada de sus derechos e intereses legítimos en el proceso (SSTC 101/2002, de 6 de mayo, FJ 2; 262/2005, de 24 de octubre, FJ 2; 20/2006, de 30 de enero, FJ 3). Entre estas circunstancias se ha de prestar especial atención a la mayor o menor complejidad del debate procesal y a la cultura y conocimientos jurídicos del solicitante (SSTC 47/1987, de 22 de abril, FJ 2; 233/1998, de 1 de diciembre, FJ 3), deducidos de la forma y nivel técnico con que haya realizado su defensa (STC 216/1988, de 14 de noviembre, FJ 3), y a si la contraparte cuenta con una asistencia técnica de la que pueda deducirse una situación de desigualdad procesal (SSTC 22/2001, de 29 de enero, FJ 4; 67/2007, de 27 de marzo, FJ 4). Sin olvidar a la hora de hacer este análisis la especial responsabilidad que incumbe a los órganos judiciales de velar por evitar la indefensión del justiciable en el proceso penal, porque en este ámbito la protección de los bienes en conflicto adquiere la mayor intensidad que puede dispensar el Ordenamiento jurídico, habiendo resaltado este Tribunal en numerosas resoluciones el deber positivo de velar por la efectividad de la defensa del acusado o del condenado en el proceso penal por parte de profesionales designados de oficio. (entre las últimas, STC 1/2007, de 15 de enero, FJ 3).</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4</w:t>
      </w:r>
      <w:r>
        <w:t>. La doctrina constitucional que se ha reseñado pone de manifiesto que la queja articulada por el demandante de amparo, sobre la lesión de su derecho a la defensa y a un proceso con todas las garantías al no haberse atendido su petición de asistencia letrada, conforme al contenido de esa tradicional doctrina de nuestro Tribunal, ha de prosperar.</w:t>
      </w:r>
    </w:p>
    <w:p w:rsidR="00DE14C9" w:rsidRDefault="00DE14C9" w:rsidP="00DE14C9">
      <w:pPr>
        <w:pStyle w:val="TextoNormal"/>
      </w:pPr>
      <w:r>
        <w:t>En efecto, el demandante de amparo, desde el centro penitenciario donde se encontraba cumpliendo condena, dirigió un escrito a la Sala Segunda del Tribunal Supremo donde expresaba su voluntad de promover recurso extraordinario de revisión e interesaba a tal fin que le fueran designados Abogado y Procurador del turno de oficio. En dicho escrito, redactado con una deficiente caligrafía, manifestaba que era inocente del delito por el que se le había condenado, adjuntando al mismo fotocopia de un centro de rehabilitación, con cuyo documento pretendía demostrar que no se encontraba en el lugar de los hechos cuando éstos ocurrieron. Advertía también la dificultad que tenía para demostrar esta conclusión, “dado el estado de soledad, indefensión, falta de tutela judicial efectiva, proceso con todas las garantías” en que se encontraba, por su condición de “persona presa”, aunque “el Tribunal podría recabar estos datos” que fueran necesarios para confirmar su pretensión revisoria. No obstante lo anterior el Alto Tribunal archivó de plano dicha solicitud, no concediendo por ello la autorización prevista legalmente para formalizar dicho recurso, al no apreciar en el escrito remitido por el interno ninguno de los cuatro supuestos que tasadamente establece el art. 954 de la Ley de enjuiciamiento criminal, por cuyo motivo rechazaba tácitamente su petición de asistencia técnica en el proceso.</w:t>
      </w:r>
    </w:p>
    <w:p w:rsidR="00DE14C9" w:rsidRDefault="00DE14C9" w:rsidP="00DE14C9">
      <w:pPr>
        <w:pStyle w:val="TextoNormal"/>
      </w:pPr>
      <w:r>
        <w:t>Así las cosas, aunque el art. 955 LECrim, al regular la legitimación para promover e interponer el recurso de revisión, tras la reforma operada por Ley 10/1992, de 30 de abril, de medidas urgentes de reforma procesal, no prevé la preceptiva intervención de un Letrado durante estos trámites, a diferencia de lo previsto en otros casos (como en los arts. 856 y 874 LECrim para la preparación e interposición del recurso de casación), ello no priva al justiciable, conforme a la anterior doctrina, del derecho a la defensa y a la asistencia letrada desde el momento en que ha renunciado a la autodefensa en el proceso. Con independencia de la cuestión de fondo, respecto de la concesión o denegación por parte del Tribunal Supremo de la autorización para la interposición del recurso de revisión prevista en el art. 957 LECrim, “que corresponde en exclusiva a los órganos de la jurisdicción ordinaria, que habrán de valorar las pruebas aportadas y decidir si, a la vista de las mismas, concurría o no el motivo de revisión invocado” (SSTC 119/2001, de 8 mayo, FJ 1; 123/2004, de 13 de julio, FJ 3), ha de respetarse esta garantía del condenado prevista en el art. 24.2 CE, mediante la oportuna designación de Abogado y Procurador de oficio, obligación jurídico-constitucional a la que se debe dar cumplimiento por los diversos poderes públicos, singularmente los órganos judiciales y los colegios de Abogados y Procuradores (STC 101/2002, de 6 de mayo, FJ 4). No hay que olvidar que nos encontramos en el ámbito del recurso de revisión penal, que “se presenta esencialmente como un imperativo de la Justicia” (SSTC 59/2006, de 27 de febrero, FJ 2; 70/2007, de 16 de abril, FJ 3), “tratándose del acceso a la jurisdicción por parte de una persona condenada que pretende dejar de estarlo, por lo que pueden estar también en juego, según los casos, sus derechos a la presunción de inocencia, a la legalidad penal y a la libertad” (STC 240/2005, de 10 de octubre, FJ 5), cumpliendo además el trámite de autorización, recogido en el citado art. 957 LECrim, una función fundamental, por cuanto con el mismo se trata de “valorar si hay una base prima facie bastante para dar curso a la revisión” (STC 123/2004, de 13 de julio, FJ 4), motivo por el cual se atribuye, incluso, a la Sala “la práctica de las diligencias que estime pertinentes” para el caso de que existan dudas razonables.</w:t>
      </w:r>
    </w:p>
    <w:p w:rsidR="00DE14C9" w:rsidRDefault="00DE14C9" w:rsidP="00DE14C9">
      <w:pPr>
        <w:pStyle w:val="TextoNormal"/>
      </w:pPr>
      <w:r>
        <w:lastRenderedPageBreak/>
        <w:t>Además, en el caso que nos ocupa, con independencia de la índole del proceso, se trata de un recurrente que se encuentra interno en un centro penitenciario y que carece de conocimientos jurídicos; que desde un principio ha dejado constancia de su intención de poder defenderse con asistencia letrada, precisamente porque, vistas sus circunstancias, se encontraba con dificultades de proveerse de los datos necesarios para sustentar su pretensión revisoria. Y, por otra parte, la autodefensa ejercida se ha revelado insuficiente, viéndose así impedido de articularla adecuadamente a su derecho e interés, como lo demuestra la circunstancia de que el Tribunal haya archivado su solicitud mediante el razonamiento de que las causas por él invocadas (“inocencia del delito por el que fue condenado, soledad, indefensión, falta de tutela judicial efectiva”, etc.)  expuestas con una evidente falta de sistematización y precisión, no se encontraban entre los supuestos tasados del art. 954 LECrim, cuando lo cierto es, como subraya el Fiscal, que el interno pretendía realmente plantear a la Sala el motivo previsto en el núm. 4 del citado artículo (“nuevos hechos o nuevos elementos de prueba”), al adjuntar a su solicitud una fotocopia sobre su supuesta permanencia en un centro de rehabilitación en el momento en que se cometieron los hechos que se le imputaban.</w:t>
      </w:r>
    </w:p>
    <w:p w:rsidR="00DE14C9" w:rsidRDefault="00DE14C9" w:rsidP="00DE14C9">
      <w:pPr>
        <w:pStyle w:val="TextoNormal"/>
      </w:pPr>
    </w:p>
    <w:p w:rsidR="00DE14C9" w:rsidRDefault="00DE14C9" w:rsidP="00DE14C9">
      <w:pPr>
        <w:pStyle w:val="TextoNormal"/>
      </w:pPr>
      <w:r w:rsidRPr="00DE14C9">
        <w:rPr>
          <w:rStyle w:val="NumeroAFNegritaCaracter"/>
        </w:rPr>
        <w:t>5</w:t>
      </w:r>
      <w:r>
        <w:t>. Por el contrario carece del necesario contenido constitucional, desde esta perspectiva de la indefensión, la alegación del recurrente de que la resolución dictada por la Sala de lo Penal del Tribunal Supremo debería haber revestido la forma de Auto y no de providencia, como se prevé en los arts. 141 LECrim y 245 LOPJ, en este caso además de manera específica para la revisión en el art. 957 LECrim, pues, conforme a la doctrina de este Tribunal, no toda irregularidad procesal o infracción de normas procesales tiene relevancia constitucional, sino sólo aquella que genere una verdadera indefensión material, con el consiguiente perjuicio real y efectivo para los intereses del afectado (por todas, STC 76/2007, de 16 de abril, FJ 6), circunstancia que no se aprecia en el presente caso por la sola constatación de la citada irregularidad procesal. A la misma conclusión debe llegarse respecto a la ausencia del trámite de audiencia del Ministerio Fiscal (art. 957 LECrim) con carácter previo al dictado de la resolución judicial ahora impugnada, tal como ha quedado reflejado en los antecedentes de la presente Sentencia.</w:t>
      </w:r>
    </w:p>
    <w:p w:rsidR="00DE14C9" w:rsidRDefault="00DE14C9" w:rsidP="00DE14C9">
      <w:pPr>
        <w:pStyle w:val="TextoNormal"/>
      </w:pPr>
    </w:p>
    <w:p w:rsidR="00DE14C9" w:rsidRDefault="00DE14C9" w:rsidP="00DE14C9">
      <w:pPr>
        <w:pStyle w:val="TextoNormal"/>
      </w:pPr>
      <w:r w:rsidRPr="00DE14C9">
        <w:rPr>
          <w:rStyle w:val="NumeroAFNegritaCaracter"/>
        </w:rPr>
        <w:t>6</w:t>
      </w:r>
      <w:r>
        <w:t>. Constatada, pues, la vulneración del derecho fundamental a la asistencia letrada del recurrente, su restablecimiento comporta retrotraer las actuaciones al momento anterior al dictado de la providencia impugnada a fin de que la Sala de lo Penal del Tribunal Supremo resuelva sobre la petición de Abogado y Procurador de oficio sin incurrir en la tacha constitucional apreciada. Ello hace que, como se adelantaba al inicio, no proceda que nos pronunciemos acerca del otro motivo articulado en la demanda de amparo sobre la lesión del derecho a la tutela judicial efectiva por deficiente motivación de la resolución judicial, pues carecería de objeto desde el instante en que han de tener lugar nuevamente las actuaciones en las que hipotéticamente se pudiera haber producido las aducidas vulneraciones de otros derechos.</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lastRenderedPageBreak/>
        <w:t>Ha decidido</w:t>
      </w:r>
    </w:p>
    <w:p w:rsidR="00DE14C9" w:rsidRDefault="00DE14C9" w:rsidP="00DE14C9">
      <w:pPr>
        <w:pStyle w:val="TextoNormalCentrado"/>
        <w:keepNext/>
      </w:pPr>
    </w:p>
    <w:p w:rsidR="00DE14C9" w:rsidRDefault="00DE14C9" w:rsidP="00DE14C9">
      <w:pPr>
        <w:pStyle w:val="TextoNormal"/>
      </w:pPr>
      <w:r>
        <w:t>Otorgar el amparo solicitado por don Celestino Ramos Álvarez y, en su consecuencia:</w:t>
      </w:r>
    </w:p>
    <w:p w:rsidR="00DE14C9" w:rsidRDefault="00DE14C9" w:rsidP="00DE14C9">
      <w:pPr>
        <w:pStyle w:val="TextoNormal"/>
      </w:pPr>
      <w:r>
        <w:t>1º Declarar que ha sido vulnerado el derecho a la defensa y a la asistencia letrada (art. 24.2 CE) del recurrente.</w:t>
      </w:r>
    </w:p>
    <w:p w:rsidR="00DE14C9" w:rsidRDefault="00DE14C9" w:rsidP="00DE14C9">
      <w:pPr>
        <w:pStyle w:val="TextoNormal"/>
      </w:pPr>
      <w:r>
        <w:t>2º Restablecerlo en la integridad de su derecho y, a tal fin, anular la providencia de la Sala Segunda del Tribunal Supremo de 30 de abril de 2004, dictada en el recurso de revisión núm. 53-2003, retrotrayendo las actuaciones judiciales al momento inmediatamente anterior al de pronunciarse dicha Providencia para que se dicte en su lugar nueva resolución respetuosa con el derecho fundamental conculcado.</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dieciocho de junio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60" w:name="SENTENCIA_2007_147"/>
      <w:r>
        <w:lastRenderedPageBreak/>
        <w:t>SENTENCIA 147/2007, de 18 de junio de 2007</w:t>
      </w:r>
    </w:p>
    <w:bookmarkEnd w:id="60"/>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179, de 27 de julio de 2007)</w:t>
      </w:r>
    </w:p>
    <w:p w:rsidR="00DE14C9" w:rsidRDefault="00DE14C9" w:rsidP="00DE14C9">
      <w:pPr>
        <w:pStyle w:val="TtuloBOE"/>
      </w:pPr>
    </w:p>
    <w:p w:rsidR="00DE14C9" w:rsidRDefault="00DE14C9" w:rsidP="00DE14C9">
      <w:pPr>
        <w:pStyle w:val="SntesisDescriptiva"/>
      </w:pPr>
      <w:r>
        <w:t>ECLI:ES:TC:2007:147</w:t>
      </w:r>
    </w:p>
    <w:p w:rsidR="00DE14C9" w:rsidRDefault="00DE14C9" w:rsidP="00DE14C9">
      <w:pPr>
        <w:pStyle w:val="SntesisDescriptiva"/>
      </w:pPr>
    </w:p>
    <w:p w:rsidR="00DE14C9" w:rsidRDefault="00DE14C9" w:rsidP="00DE14C9">
      <w:pPr>
        <w:pStyle w:val="SntesisDescriptiva"/>
      </w:pPr>
      <w:r>
        <w:t>Recurso de amparo 5540-2004. Promovido por doña Francisca Puga Fernández respecto a la Sentencia de la Sala de lo Contencioso-Administrativo del Tribunal Superior de Justicia de Andalucía, con sede en Granada, que desestimó su demanda sobre situación administrativa de una auxiliar de clínica.</w:t>
      </w:r>
    </w:p>
    <w:p w:rsidR="00DE14C9" w:rsidRDefault="00DE14C9" w:rsidP="00DE14C9">
      <w:pPr>
        <w:pStyle w:val="SntesisDescriptiva"/>
      </w:pPr>
    </w:p>
    <w:p w:rsidR="00DE14C9" w:rsidRDefault="00DE14C9" w:rsidP="00DE14C9">
      <w:pPr>
        <w:pStyle w:val="SntesisAnaltica"/>
      </w:pPr>
      <w:r>
        <w:t>Supuesta vulneración del derecho a la igualdad en la aplicación de la ley: sentencia contencioso-administrativa que no resuelve un caso idéntico y cuyo criterio es general y ha sido seguido en fallos posteriores.</w:t>
      </w:r>
    </w:p>
    <w:p w:rsidR="00DE14C9" w:rsidRDefault="00DE14C9" w:rsidP="00DE14C9">
      <w:pPr>
        <w:pStyle w:val="SntesisAnaltica"/>
      </w:pPr>
    </w:p>
    <w:p w:rsidR="00DE14C9" w:rsidRDefault="00DE14C9" w:rsidP="00DE14C9">
      <w:pPr>
        <w:pStyle w:val="Extracto"/>
      </w:pPr>
      <w:r>
        <w:t>1.</w:t>
      </w:r>
      <w:r>
        <w:tab/>
        <w:t>Es la valoración del hecho de que la recurrente careciera de la titulación necesaria que impedía su clasificación dentro del grupo D, que no consta en la Sentencia de contraste, y no el que el órgano judicial haya cambiado de criterio aplicativo, lo que justifica el pronunciamiento diferente e impide, en consecuencia, comprobar la lesión del art. 14 CE que se denuncia [FJ 4].</w:t>
      </w:r>
    </w:p>
    <w:p w:rsidR="00DE14C9" w:rsidRDefault="00DE14C9" w:rsidP="00DE14C9">
      <w:pPr>
        <w:pStyle w:val="Extracto"/>
      </w:pPr>
    </w:p>
    <w:p w:rsidR="00DE14C9" w:rsidRDefault="00DE14C9" w:rsidP="00DE14C9">
      <w:pPr>
        <w:pStyle w:val="Extracto"/>
      </w:pPr>
      <w:r>
        <w:t>2.</w:t>
      </w:r>
      <w:r>
        <w:tab/>
        <w:t>Otras sentencias que utilizan como ratio decidendi a la titulación de las demandantes en los respectivos procesos, proporcionan suficientes elementos de juicio externos para poder deducir razonablemente que el supuesto cambio que se denuncia no sería en cualquier caso fruto de un mero voluntarismo selectivo frente al caso anterior, sino la solución genérica sentada con vocación de futuro y efectivamente aplicada por el órgano judicial en casos posteriores [FJ 5].</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 xml:space="preserve">En el recurso de amparo núm. 5540-2004, promovido por doña Francisca Puga Fernández, representada por el Procurador de los Tribunales don Julián Sanz Aragón y asistida por la Letrada doña María Luisa Jiménez Burkhardt, contra la Sentencia dictada el 12 de julio 2004 por la Sección Tercera de la Sala de lo Contencioso- Administrativo del Tribunal Superior de Justicia de Andalucía, con sede en Granada, en el recurso núm. 2971-1998. Han </w:t>
      </w:r>
      <w:r>
        <w:lastRenderedPageBreak/>
        <w:t>intervenido la Letrada de la Junta de Andalucía, en la representación que ostenta, y el Ministerio Fiscal. Ha sido Ponente el Magistrado don Javier Delgado Barrio,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registrado en este Tribunal el 15 de septiembre de 2004, el Procurador de los Tribunales don Julián Sanz Aragón en nombre y representación de doña Francisca Puga Fernández, interpuso recurso de amparo constitucional contra la Sentencia citada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que fundamentan la demanda de amparo son resumidamente los siguientes: </w:t>
      </w:r>
    </w:p>
    <w:p w:rsidR="00DE14C9" w:rsidRDefault="00DE14C9" w:rsidP="00DE14C9">
      <w:pPr>
        <w:pStyle w:val="TextoNormal"/>
      </w:pPr>
      <w:r>
        <w:t xml:space="preserve">a) La recurrente, auxiliar de clínica, que desde 1981 prestaba sus servicios en la Diputación Provincial de Almería, fue transferida a la Junta de Andalucía en virtud de los Decretos 50/1989, de 14 de marzo, y 127/1990, de 2 de mayo, que ordenaron el proceso de traspasos de servicios y personal entre las Diputaciones Provinciales andaluzas y la Comunidad Autónoma, pasando a prestar desde entonces sus servicios en el SAS (Servicio Andaluz de Salud). </w:t>
      </w:r>
    </w:p>
    <w:p w:rsidR="00DE14C9" w:rsidRDefault="00DE14C9" w:rsidP="00DE14C9">
      <w:pPr>
        <w:pStyle w:val="TextoNormal"/>
      </w:pPr>
      <w:r>
        <w:t xml:space="preserve">b) Al objeto de regular la integración del personal transferido a la Junta de Andalucía, la Orden de 6 de junio de 1990 ofreció al personal funcionario de carrera de los centros e instituciones sanitarias de las Diputaciones Provinciales andaluzas la posibilidad de integrarse en los correspondientes regímenes estatutarios de la Seguridad Social. En particular, para el personal funcionario que no optara por la integración, el artículo 9 de la citada Orden establecía que “se le respetará el régimen económico y jurídico que derive de su situación de origen”. </w:t>
      </w:r>
    </w:p>
    <w:p w:rsidR="00DE14C9" w:rsidRDefault="00DE14C9" w:rsidP="00DE14C9">
      <w:pPr>
        <w:pStyle w:val="TextoNormal"/>
      </w:pPr>
      <w:r>
        <w:t xml:space="preserve">c) La recurrente, que no optó por integrarse en el régimen estatutario del personal al servicio del SAS, sin embargo no fue tampoco nombrada funcionaria de la Junta de Andalucía ni clasificada en ningún grupo ni nivel funcionarial. Ante esta situación, que considera irregular, con fecha de 26 de febrero de 1998, la recurrente solicitó a la Consejería de Gobernación de la Junta de Andalucía la regularización de su situación administrativa, interesando su nombramiento como funcionaria de la Junta de Andalucía, grupo D, nivel 14. </w:t>
      </w:r>
    </w:p>
    <w:p w:rsidR="00DE14C9" w:rsidRDefault="00DE14C9" w:rsidP="00DE14C9">
      <w:pPr>
        <w:pStyle w:val="TextoNormal"/>
      </w:pPr>
      <w:r>
        <w:t>d) Contra la denegación presunta por silencio de esa solicitud, la recurrente interpuso recurso contencioso-administrativo que fue desestimado íntegramente por Sentencia de 12 de julio de 2004, dictada por la Sección Tercera de la Sala de lo Contencioso-Administrativo del Tribunal Superior de Justicia de Andalucía, por entender que “las retribuciones básicas y complementarias que percibe la actora se corresponden con las del Grupo de procedencia, auxiliar de clínica de la Diputación, Grupo E, correspondiendo éste al nivel de titulación (certificado de escolaridad) que le fue exigido al tiempo de su ingreso en la función pública, por lo que ello demuestra que la Junta de Andalucía está respetando los derechos retributivos adquiridos por la demandante tras su paso por la Diputación de Almería. Por tanto, a consecuencia de su titulación, la actora no tienen porqué ser adscrita a un Cuerpo, Escala, Clase o Categoría funcionarial de la Junta de Andalucía del Grupo D”.</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La recurrente denuncia que la Sentencia impugnada ha vulnerado el derecho a la igualdad en la aplicación de la Ley que garantiza el art. 14 CE, toda vez que, según razona en la </w:t>
      </w:r>
      <w:r>
        <w:lastRenderedPageBreak/>
        <w:t>demanda, la Sentencia que combate, de 12 de julio de 2004, se aparta sin ninguna motivación que lo justifique del criterio que el propio órgano judicial, poco antes y en un asunto sustancialmente idéntico, había mantenido en su Sentencia de 8 de marzo de 2004, dictada en el recurso núm. 2975-1998 y que aporta para su contraste. En este otro caso, el órgano judicial estimó el recurso interpuesto y, en consecuencia, ordenó a la Consejería de Gobernación demandada que procediera a nombrar a la entonces actora como funcionaria de la Junta de Andalucía, clasificándola en el grupo D, nivel 14, que había solicitado. De modo principal porque en su criterio, “acreditado ... que tanto el personal estatuario auxiliares de enfermería del Servicio Andaluz de Salud como los funcionarios auxiliares de clínica de la Diputación Provincial de Almería tienen reconocido el Grupo D y el nivel 15, el hecho de que la actora no hubiese procedido a la opción expresa de integración en alguno de los regímenes estatuarios de la Junta de Andalucía no puede ser motivo ... [de discriminación profesional y económica] respecto de quienes, desempeñando el mismo trabajo al servicio de la misma Administración, sí tienen reconocido el Grupo D. El sentido de las normas ... [regulan los efectos del traspaso de personal] no es otro que el de que [ese traspaso] ... no puede suponer pérdida de derechos ya reconocidos, pero no que quedase congelada su situación, sin posibilidad de mejora”.</w:t>
      </w:r>
    </w:p>
    <w:p w:rsidR="00DE14C9" w:rsidRDefault="00DE14C9" w:rsidP="00DE14C9">
      <w:pPr>
        <w:pStyle w:val="TextoNormal"/>
      </w:pPr>
    </w:p>
    <w:p w:rsidR="00DE14C9" w:rsidRDefault="00DE14C9" w:rsidP="00DE14C9">
      <w:pPr>
        <w:pStyle w:val="TextoNormal"/>
      </w:pPr>
      <w:r w:rsidRPr="00DE14C9">
        <w:rPr>
          <w:rStyle w:val="NumeroAFNegritaCaracter"/>
        </w:rPr>
        <w:t>4</w:t>
      </w:r>
      <w:r>
        <w:t>. Por providencia de 1 de febrero de 2006, la Sección Primera de este Tribunal acordó admitir a trámite la demanda de amparo y, de conformidad con lo dispuesto en el art. 51 LOTC, requerir a la Sección Tercera de la Sala de lo Contencioso-Administrativo del Tribunal Superior de Justicia de Andalucía, con sede en Granada, y a la Consejería de Gobernación de la Junta de Andalucía para que respectivamente remitieran testimonio del recurso núm. 2971-1998 y del expediente administrativo incoado en virtud de la solicitud de 26 de febrero de 1998 formulada por la demandante, y al propio tiempo para que emplazase a quienes hubieran sido parte en aquel procedimiento, con excepción de la recurrente en amparo, a fin de que en el plazo de diez días pudieran comparecen en este proceso constitucional, con traslado a dichos efectos de copia de la demanda presentada. Lo que efectivamente hizo la Letrada de la Junta de Andalucía mediante escrito registrado en este Tribunal el 16 de marzo de 2006, interesando se tuviera por personada en el presente recurso de amparo a esa Administración pública autonómica.</w:t>
      </w:r>
    </w:p>
    <w:p w:rsidR="00DE14C9" w:rsidRDefault="00DE14C9" w:rsidP="00DE14C9">
      <w:pPr>
        <w:pStyle w:val="TextoNormal"/>
      </w:pPr>
    </w:p>
    <w:p w:rsidR="00DE14C9" w:rsidRDefault="00DE14C9" w:rsidP="00DE14C9">
      <w:pPr>
        <w:pStyle w:val="TextoNormal"/>
      </w:pPr>
      <w:r w:rsidRPr="00DE14C9">
        <w:rPr>
          <w:rStyle w:val="NumeroAFNegritaCaracter"/>
        </w:rPr>
        <w:t>5</w:t>
      </w:r>
      <w:r>
        <w:t>. Por diligencia de ordenación del Secretario de Justicia de la Sala Primera de 17 de noviembre de 2006, se acordó tener por personada y parte en el procedimiento a la Junta de Andalucía y, con arreglo a lo dispuesto en el art. 52 LOTC, conceder a todas las partes personadas y al Ministerio Fiscal un plazo común por veinte días para que, con vista de las actuaciones recibidas, formulasen alegaciones.</w:t>
      </w:r>
    </w:p>
    <w:p w:rsidR="00DE14C9" w:rsidRDefault="00DE14C9" w:rsidP="00DE14C9">
      <w:pPr>
        <w:pStyle w:val="TextoNormal"/>
      </w:pPr>
    </w:p>
    <w:p w:rsidR="00DE14C9" w:rsidRDefault="00DE14C9" w:rsidP="00DE14C9">
      <w:pPr>
        <w:pStyle w:val="TextoNormal"/>
      </w:pPr>
      <w:r w:rsidRPr="00DE14C9">
        <w:rPr>
          <w:rStyle w:val="NumeroAFNegritaCaracter"/>
        </w:rPr>
        <w:t>6</w:t>
      </w:r>
      <w:r>
        <w:t>. Dentro del plazo conferido, por escrito registrado el 22 de diciembre de 2006 la demandante de amparo presentó sus alegaciones, reiterando los argumentos de la demanda, que expresamente solicita se tengan por reproducidos.</w:t>
      </w:r>
    </w:p>
    <w:p w:rsidR="00DE14C9" w:rsidRDefault="00DE14C9" w:rsidP="00DE14C9">
      <w:pPr>
        <w:pStyle w:val="TextoNormal"/>
      </w:pPr>
    </w:p>
    <w:p w:rsidR="00DE14C9" w:rsidRDefault="00DE14C9" w:rsidP="00DE14C9">
      <w:pPr>
        <w:pStyle w:val="TextoNormal"/>
      </w:pPr>
      <w:r w:rsidRPr="00DE14C9">
        <w:rPr>
          <w:rStyle w:val="NumeroAFNegritaCaracter"/>
        </w:rPr>
        <w:t>7</w:t>
      </w:r>
      <w:r>
        <w:t xml:space="preserve">. El 22 de diciembre de 2006 el Ministerio Fiscal presentó sus alegaciones, interesando el otorgamiento del amparo solicitado. A tal fin, razona que la demanda cumple todos los requisitos que, de conformidad con una consolidada doctrina de este Tribunal y que está resumida, entre otras muchas, en la más reciente STC 246/2006, de 24 de julio (FJ 3), son necesarios para poder comprobar la lesión del derecho a la igualdad en la aplicación judicial </w:t>
      </w:r>
      <w:r>
        <w:lastRenderedPageBreak/>
        <w:t xml:space="preserve">de la Ley. En concreto, para el Fiscal no hay duda que el término de comparación aportado es válido para probar la desigualdad que se denuncia, puesto que la Sentencia recurrida y la que se aporta como término de comparación han sido dictadas por el mismo órgano judicial, el supuesto enjuiciado es sustancialmente igual en ambos casos, y hay finalmente alteridad. </w:t>
      </w:r>
    </w:p>
    <w:p w:rsidR="00DE14C9" w:rsidRDefault="00DE14C9" w:rsidP="00DE14C9">
      <w:pPr>
        <w:pStyle w:val="TextoNormal"/>
      </w:pPr>
      <w:r>
        <w:t>Si acaso, pero todo lo más, el único extremo algo dudoso es el que obliga a comprobar si realmente existía una línea jurisprudencial previa de la que la Sentencia impugnada se haya separado, habida cuenta de que la recurrente aporta como término de comparación únicamente una Sentencia anterior. Esta eventual objeción sería en todo caso a juicio del Ministerio Fiscal más aparente que real, toda vez que, conforme razona en su escrito, difícilmente en el presente asunto, dada la singularidad de la controversia planteada que presume ha de afectar a muy pocas personas, podría existir una línea jurisprudencial previa que pudiera ser acreditada. Y también porque los dos recursos contencioso- administrativos considerados, aunque resueltos temporalmente con separación, se interpusieron casi simultáneamente, como lo prueba sus respectivos números de registro (2971-1998 y 2975-1998), lo que refuerza la exigencia de que el órgano judicial arbitre algún medio para que las respuestas judiciales sean también iguales, evitando toda sombra de arbitrariedad. Por tales razones, concluye el Fiscal, la Sentencia de contraste aportada constituye un antecedente judicial inmediato válido.</w:t>
      </w:r>
    </w:p>
    <w:p w:rsidR="00DE14C9" w:rsidRDefault="00DE14C9" w:rsidP="00DE14C9">
      <w:pPr>
        <w:pStyle w:val="TextoNormal"/>
      </w:pPr>
    </w:p>
    <w:p w:rsidR="00DE14C9" w:rsidRDefault="00DE14C9" w:rsidP="00DE14C9">
      <w:pPr>
        <w:pStyle w:val="TextoNormal"/>
      </w:pPr>
      <w:r w:rsidRPr="00DE14C9">
        <w:rPr>
          <w:rStyle w:val="NumeroAFNegritaCaracter"/>
        </w:rPr>
        <w:t>8</w:t>
      </w:r>
      <w:r>
        <w:t>. La Letrada de la Junta de Andalucía presentó sus alegaciones el 22 de diciembre de 2006, instando la inadmisión del recurso por falta de agotamiento de la vía judicial previa, al no haberse interpuesto recurso de casación para la unificación de doctrina y, subsidiariamente, su desestimación al considerar que la Sentencia ofrecida de contraste no sirve para probar la desigualdad que se denuncia, toda vez que los hechos enjuiciados por la Sentencia recurrida en amparo difieren sustancialmente de los examinados en ese otro asunto que se aduce como término de comparación. En particular, falta en esta otra Sentencia el dato de la titulación académica de la entonces actora, que es, sin embargo, el elemento determinante a juicio del órgano judicial para desestimar el recurso en el caso de la demandante de amparo.</w:t>
      </w:r>
    </w:p>
    <w:p w:rsidR="00DE14C9" w:rsidRDefault="00DE14C9" w:rsidP="00DE14C9">
      <w:pPr>
        <w:pStyle w:val="TextoNormal"/>
      </w:pPr>
    </w:p>
    <w:p w:rsidR="00DE14C9" w:rsidRDefault="00DE14C9" w:rsidP="00DE14C9">
      <w:pPr>
        <w:pStyle w:val="TextoNormal"/>
      </w:pPr>
      <w:r w:rsidRPr="00DE14C9">
        <w:rPr>
          <w:rStyle w:val="NumeroAFNegritaCaracter"/>
        </w:rPr>
        <w:t>9</w:t>
      </w:r>
      <w:r>
        <w:t>. Por providencia de 15 de junio de 2007, se señaló para deliberación y votación de la presente Sentencia el día 18 del mismo mes y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Como ya se ha expuesto en los antecedentes, la recurrente en amparo denuncia que la Sentencia que combate, de 12 de julio de 2004, se ha apartado sin ninguna motivación que lo justifique del criterio que el propio órgano judicial, poco antes y en un asunto idéntico, había mantenido en su Sentencia de 8 de marzo de 2004 y, en consecuencia, ha vulnerado por tanto el derecho a la igualdad en la aplicación judicial de la Ley que garantiza el art. 14 CE. Así, concretamente señala la demanda: "El motivo por el que se formula recurso de amparo contra la Sentencia aludida, radica en el cambio sustancial de criterio que en esta Sentencia se ha producido con respecto al mantenido por la misma Sala, Sección Tercera en ambas, siendo el Presidente de la misma, Dª María R. Torres Donaire".</w:t>
      </w:r>
    </w:p>
    <w:p w:rsidR="00DE14C9" w:rsidRDefault="00DE14C9" w:rsidP="00DE14C9">
      <w:pPr>
        <w:pStyle w:val="TextoNormal"/>
      </w:pPr>
      <w:r>
        <w:t xml:space="preserve">El Ministerio Fiscal, por su parte, interesa también la estimación del recurso de amparo al considerar que en el presente asunto concurren efectivamente, con las matizaciones que </w:t>
      </w:r>
      <w:r>
        <w:lastRenderedPageBreak/>
        <w:t>antes se han recordado, todos los requisitos exigidos por la jurisprudencia constitucional para apreciar la vulneración del principio de igualdad.</w:t>
      </w:r>
    </w:p>
    <w:p w:rsidR="00DE14C9" w:rsidRDefault="00DE14C9" w:rsidP="00DE14C9">
      <w:pPr>
        <w:pStyle w:val="TextoNormal"/>
      </w:pPr>
      <w:r>
        <w:t>Por el contrario, la Letrada de la Junta de Andalucía solicita, ante todo, la inadmisión del recurso por falta de agotamiento de la vía judicial previa y, subsidiariamente, la denegación del amparo al considerar que entre la Sentencia impugnada y la alegada como término de comparación no existe la identidad necesaria para poder apreciar esta infracción constitucional, ya que las cuestiones que se plantea y resuelve la recurrida son diferentes de las resueltas en la que se aduce como término de comparación.</w:t>
      </w:r>
    </w:p>
    <w:p w:rsidR="00DE14C9" w:rsidRDefault="00DE14C9" w:rsidP="00DE14C9">
      <w:pPr>
        <w:pStyle w:val="TextoNormal"/>
      </w:pPr>
    </w:p>
    <w:p w:rsidR="00DE14C9" w:rsidRDefault="00DE14C9" w:rsidP="00DE14C9">
      <w:pPr>
        <w:pStyle w:val="TextoNormal"/>
      </w:pPr>
      <w:r w:rsidRPr="00DE14C9">
        <w:rPr>
          <w:rStyle w:val="NumeroAFNegritaCaracter"/>
        </w:rPr>
        <w:t>2</w:t>
      </w:r>
      <w:r>
        <w:t>. Antes de examinar el fondo del asunto debemos analizar con carácter previo el óbice procesal opuesto por la Letrada de la Junta de Andalucía. En su criterio, como antes se ha advertido, la demanda de amparo es inadmisible por falta de agotamiento de la vía judicial previa, al no haber interpuesto la recurrente el recurso de casación para la unificación de doctrina previsto en la Ley reguladora de la jurisdicción contencioso-administrativa (LJCA), que es el remedio procesal ideado precisamente por el ordenamiento para aquellos casos, como entiende que es el ahora considerado, en los que no cabe la casación ordinaria y se denuncia que litigantes en idéntica situación han obtenido pronunciamientos judiciales distintos.</w:t>
      </w:r>
    </w:p>
    <w:p w:rsidR="00DE14C9" w:rsidRDefault="00DE14C9" w:rsidP="00DE14C9">
      <w:pPr>
        <w:pStyle w:val="TextoNormal"/>
      </w:pPr>
      <w:r>
        <w:t>Esta objeción debe rechazarse, sin embargo, habida cuenta de que la Sentencia recurrida resuelve, según es incontrovertible, un recurso en materia de personal, que no afecta al nacimiento o a la extinción de la relación de servicio de funcionarios de carrera y que, por tanto, encaja limpiamente en el ámbito del artículo 86.2 a) LJCA, que es precisamente uno de los supuestos que el artículo 96.4 LJCA excluye de modo expreso del recurso de casación para la unificación de doctrina. En consecuencia, no tratándose de un remedio procesal adecuado, no hay duda de que su no interposición en el presente asunto no puede determinar el incumplimiento de la exigencia de agotar la vía judicial previa a que obliga el art. 44.1 a) LOTC, invocado por la Letrada de la Junta de Andalucía.</w:t>
      </w:r>
    </w:p>
    <w:p w:rsidR="00DE14C9" w:rsidRDefault="00DE14C9" w:rsidP="00DE14C9">
      <w:pPr>
        <w:pStyle w:val="TextoNormal"/>
      </w:pPr>
    </w:p>
    <w:p w:rsidR="00DE14C9" w:rsidRDefault="00DE14C9" w:rsidP="00DE14C9">
      <w:pPr>
        <w:pStyle w:val="TextoNormal"/>
      </w:pPr>
      <w:r w:rsidRPr="00DE14C9">
        <w:rPr>
          <w:rStyle w:val="NumeroAFNegritaCaracter"/>
        </w:rPr>
        <w:t>3</w:t>
      </w:r>
      <w:r>
        <w:t>. Descartado el motivo de inadmisibilidad alegado, procede pues entrar a conocer del fondo del asunto. Conforme es doctrina constitucional consolidada, que está resumida entre otras muchas en la reciente STC 2/2007, de 15 de enero, para poder comprobar la lesión del principio de igualdad en la aplicación judicial de la Ley es preciso que concurran los siguientes requisitos:</w:t>
      </w:r>
    </w:p>
    <w:p w:rsidR="00DE14C9" w:rsidRDefault="00DE14C9" w:rsidP="00DE14C9">
      <w:pPr>
        <w:pStyle w:val="TextoNormal"/>
      </w:pPr>
      <w:r>
        <w:t>a) La acreditación de un tertium comparationis, puesto que el juicio de igualdad sólo puede realizarse sobre la comparación entre la Sentencia impugnada y las precedentes resoluciones del mismo órgano judicial dictadas en casos sustancialmente iguales pero resueltos de forma contradictoria.</w:t>
      </w:r>
    </w:p>
    <w:p w:rsidR="00DE14C9" w:rsidRDefault="00DE14C9" w:rsidP="00DE14C9">
      <w:pPr>
        <w:pStyle w:val="TextoNormal"/>
      </w:pPr>
      <w:r>
        <w:t>b) La identidad de órgano judicial, entendiendo por tal, no sólo la identidad de Sala, sino también la de la Sección, al considerarse cada una de éstas como órgano jurisdiccional con entidad diferenciada suficiente para desvirtuar una supuesta desigualdad en la aplicación de la Ley. Esta exigencia permite valorar si la divergencia de criterio expresada por el juzgador es fruto de la posición del órgano jurisdiccional en el ejercicio de su función juzgadora (art. 117.3 CE) y consecuencia de una diferente apreciación jurídica de los supuestos sometidos a su decisión o, por el contrario, un cambio de valoración del caso puramente arbitrario, carente de fundamentación suficiente y razonable, esto es, por decirlo llanamente en expresión usual, la utilización por el mismo órgano judicial de una doble vara de medir.</w:t>
      </w:r>
    </w:p>
    <w:p w:rsidR="00DE14C9" w:rsidRDefault="00DE14C9" w:rsidP="00DE14C9">
      <w:pPr>
        <w:pStyle w:val="TextoNormal"/>
      </w:pPr>
      <w:r>
        <w:lastRenderedPageBreak/>
        <w:t>c) La existencia de alteridad en los supuestos contrastados, es decir, de "la referencia a otro" exigible en todo alegato de discriminación en la aplicación de la Ley, excluyente de la comparación consigo mismo.</w:t>
      </w:r>
    </w:p>
    <w:p w:rsidR="00DE14C9" w:rsidRDefault="00DE14C9" w:rsidP="00DE14C9">
      <w:pPr>
        <w:pStyle w:val="TextoNormal"/>
      </w:pPr>
      <w:r>
        <w:t>d) Finalmente, la ausencia de toda motivación que justifique en términos generalizables el cambio de criterio, bien lo sea para separarse de una línea doctrinal previa y consolidada, bien lo sea con quiebra de un antecedente inmediato en el tiempo y exactamente igual desde la perspectiva jurídica con la que se enjuició. Como también reitera la jurisprudencia, la razón de esta exigencia estriba en que el derecho a la igualdad en la aplicación de la Ley, en conexión con el principio de interdicción de la arbitrariedad (art. 9.3 CE), obliga a que un mismo órgano jurisdiccional no pueda cambiar de modo irreflexivo o arbitrario el sentido de sus decisiones adoptadas con anterioridad en casos sustancialmente iguales sin una argumentación razonada de dicha separación que justifique que la solución dada al caso responde a una interpretación abstracta y general de la norma aplicable, y no a una respuesta ad personam, singularizada.  Lo que negativamente significa que no podrá apreciarse la lesión de este derecho fundamental cuando el cambio de criterio responda a una vocación de generalidad, ya sea porque en la resolución se explicitan las razones que lo motivan o porque así se deduzca de otros elementos de juicio externos, "como podrían ser posteriores pronunciamientos coincidentes con la línea abierta en la Sentencia impugnada, que permitan apreciar dicho cambio como solución genérica aplicable en casos futuros y no como fruto de un mero voluntarismo selectivo frente a casos anteriores resueltos de modo diverso (SSTC 117/2004, de 12 de julio, FJ 3, y 76/2005, de 4 de abril, FJ 2, entre otras muchas)" -STC 2/2007, de 15 de enero, FJ 2.</w:t>
      </w:r>
    </w:p>
    <w:p w:rsidR="00DE14C9" w:rsidRDefault="00DE14C9" w:rsidP="00DE14C9">
      <w:pPr>
        <w:pStyle w:val="TextoNormal"/>
      </w:pPr>
    </w:p>
    <w:p w:rsidR="00DE14C9" w:rsidRDefault="00DE14C9" w:rsidP="00DE14C9">
      <w:pPr>
        <w:pStyle w:val="TextoNormal"/>
      </w:pPr>
      <w:r w:rsidRPr="00DE14C9">
        <w:rPr>
          <w:rStyle w:val="NumeroAFNegritaCaracter"/>
        </w:rPr>
        <w:t>4</w:t>
      </w:r>
      <w:r>
        <w:t>. La aplicación de esta doctrina al presente asunto lleva a la conclusión de que no existe la vulneración del derecho a la igualdad que denuncia la demandante de amparo. De un lado porque entre la Sentencia impugnada y la ofrecida como término de comparación no existe la identidad necesaria y, en consecuencia, el tertium comparationis que ha aportado la recurrente no es efectivamente idóneo a fin de probar esa infracción constitucional. Y de otro, como también ha de verse, porque la línea de razonamiento de la Sentencia recurrida en amparo ha tenido exacta continuidad en Sentencias posteriores dictadas en casos idénticos al que aquí se examina.</w:t>
      </w:r>
    </w:p>
    <w:p w:rsidR="00DE14C9" w:rsidRDefault="00DE14C9" w:rsidP="00DE14C9">
      <w:pPr>
        <w:pStyle w:val="TextoNormal"/>
      </w:pPr>
      <w:r>
        <w:t>En el primer sentido ha de indicarse que tanto la Sentencia impugnada como la de contraste resuelven casos en los que las dos interesadas solicitaron ante la Consejería de Gobernación su nombramiento como funcionarias al servicio de la Junta de Andalucía y su clasificación dentro del grupo D, nivel 14. Y también en ambos casos, frente a la desestimación por silencio administrativo de sus respectivas solicitudes, las dos funcionarias interpusieron recurso contencioso-administrativo reclamando el reconocimiento de esa misma situación jurídica individualizada. Sin embargo, las Sentencias dictadas en los respectivos procesos llegaron a soluciones distintas:</w:t>
      </w:r>
    </w:p>
    <w:p w:rsidR="00DE14C9" w:rsidRDefault="00DE14C9" w:rsidP="00DE14C9">
      <w:pPr>
        <w:pStyle w:val="TextoNormal"/>
      </w:pPr>
      <w:r>
        <w:t xml:space="preserve">a) La aquí impugnada desestimó la pretensión de la demandante con el siguiente razonamiento: "De acuerdo con lo alegado en la demanda, la recurrente rechazó la opción de integrarse como personal estatutario de la Junta de Andalucía. Las retribuciones básicas y complementarias que percibe la actora se corresponden con el grupo de procedencia, auxiliar de clínica de la Diputación, grupo E, correspondiendo este al nivel de titulación (certificado de escolaridad) que le fue exigida al tiempo de su ingreso en la función pública, por lo que ello demuestra que la Junta de Andalucía está respetando los derechos retributivos adquiridos por la demandante tras su paso por la Diputación de Almería. Por tanto, a consecuencia de </w:t>
      </w:r>
      <w:r>
        <w:lastRenderedPageBreak/>
        <w:t>su titulación, la actora no tiene porqué ser adscrita a un cuerpo, escala, clase o categoría funcional de la Junta de Andalucía del grupo D, como pretende".</w:t>
      </w:r>
    </w:p>
    <w:p w:rsidR="00DE14C9" w:rsidRDefault="00DE14C9" w:rsidP="00DE14C9">
      <w:pPr>
        <w:pStyle w:val="TextoNormal"/>
      </w:pPr>
      <w:r>
        <w:t>b) La de contraste, al contrario, estimó la pretensión en los siguientes términos: "Acreditado en la fase probatoria que tanto el personal estatutario Auxiliares de Enfermería del S.A.S.  como los funcionarios auxiliares de clínica de la Diputación Provincial de Almería tienen reconocido el grupo D y el nivel 15, el hecho de que la actora no hubiese procedido a la opción expresa de integración en alguno de los regímenes estatutarios de la Junta de Andalucía no puede ser motivo de una merma en sus derechos económicos respecto de quienes, desempeñando el mismo trabajo al servicio de la misma Administración, sí tienen reconocido el grupo D".</w:t>
      </w:r>
    </w:p>
    <w:p w:rsidR="00DE14C9" w:rsidRDefault="00DE14C9" w:rsidP="00DE14C9">
      <w:pPr>
        <w:pStyle w:val="TextoNormal"/>
      </w:pPr>
      <w:r>
        <w:t>De tal forma que no es realmente, como se denuncia en la demanda de amparo, que el mismo órgano judicial haya interpretado en forma distinta las normas que ordenaban el traspaso de personal de las Diputaciones Provinciales andaluzas a la Junta de Andalucía, negando ahora la interpretación que previamente había sostenido, sino que, tomando como presupuesto en la Sentencia impugnada el dato de la titulación exigida para ingresar en los distintos cuerpos funcionariales, dato este que no está presente en el recurso resuelto por la Sentencia de contraste, el órgano judicial ha considerado que la titulación exigida para "ser adscrita a un cuerpo, escala, clase o categoría funcional de la Junta de Andalucía del grupo D" constituye un requisito imprescindible, de modo que no es posible adscribir a un funcionario a un cuerpo de superior categoría si carece de la correspondiente titulación necesaria. En otros términos, no es que, ante idénticas situaciones de hecho, el órgano judicial haya realizado una distinta aplicación de las normas jurídicas aplicables, sino que, en ejercicio de su exclusiva función de interpretar y aplicar la legalidad ordinaria, ha entendido en el caso de la Sentencia impugnada que el hecho de que la recurrente careciera de la titulación necesaria impedía su clasificación dentro del grupo D. En suma, es la valoración de este elemento de hecho, que no consta en la Sentencia de contraste, y no el que el órgano judicial haya cambiado de criterio aplicativo, lo que justifica el pronunciamiento diferente e impide, en consecuencia, comprobar la lesión del art. 14 CE que se denuncia.</w:t>
      </w:r>
    </w:p>
    <w:p w:rsidR="00DE14C9" w:rsidRDefault="00DE14C9" w:rsidP="00DE14C9">
      <w:pPr>
        <w:pStyle w:val="TextoNormal"/>
      </w:pPr>
    </w:p>
    <w:p w:rsidR="00DE14C9" w:rsidRDefault="00DE14C9" w:rsidP="00DE14C9">
      <w:pPr>
        <w:pStyle w:val="TextoNormal"/>
      </w:pPr>
      <w:r w:rsidRPr="00DE14C9">
        <w:rPr>
          <w:rStyle w:val="NumeroAFNegritaCaracter"/>
        </w:rPr>
        <w:t>5</w:t>
      </w:r>
      <w:r>
        <w:t>. En último término, es preciso destacar que consta la existencia de pronunciamientos posteriores del mismo órgano judicial coincidentes con la solución de la Sentencia impugnada (Sentencias de 19 y 26 de julio de 2004, recursos núms. 2972-1998 y 2973-1998, y que han sido conocidas por este Tribunal porque han sido igualmente recurridas en amparo: recursos núms. 5630-2004 y 5855-2004). Y estas otras Sentencias, que están razonadas expressis verbis incluso en forma idéntica a como lo hace por su parte la resolución aquí impugnada, es decir, atendiendo precisamente como ratio decidendi a la titulación de las demandantes en los respectivos procesos, proporcionan suficientes elementos de juicio externos para poder deducir razonablemente que el supuesto cambio que se denuncia no sería en cualquier caso fruto de un mero voluntarismo selectivo frente al caso anterior, sino la solución genérica sentada con vocación de futuro y efectivamente aplicada por el órgano judicial en casos posteriores.</w:t>
      </w:r>
    </w:p>
    <w:p w:rsidR="00DE14C9" w:rsidRDefault="00DE14C9" w:rsidP="00DE14C9">
      <w:pPr>
        <w:pStyle w:val="TextoNormal"/>
      </w:pPr>
      <w:r>
        <w:t>En consecuencia, no apreciándose la concurrencia de un cambio de criterio que vulnere el principio de igualdad en la aplicación judicial de la Ley, procedente será el pronunciamiento previsto en el art. 53 b) LOTC.</w:t>
      </w:r>
    </w:p>
    <w:p w:rsidR="00DE14C9" w:rsidRDefault="00DE14C9" w:rsidP="00DE14C9">
      <w:pPr>
        <w:pStyle w:val="TextoNormal"/>
      </w:pPr>
    </w:p>
    <w:p w:rsidR="00DE14C9" w:rsidRDefault="00DE14C9" w:rsidP="00DE14C9">
      <w:pPr>
        <w:pStyle w:val="TextoNormalCentrado"/>
        <w:keepNext/>
      </w:pPr>
      <w:r>
        <w:lastRenderedPageBreak/>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Denegar el amparo solicitado por doña Francisca Puga Fernández.</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dieciocho de junio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61" w:name="SENTENCIA_2007_148"/>
      <w:r>
        <w:lastRenderedPageBreak/>
        <w:t>SENTENCIA 148/2007, de 18 de junio de 2007</w:t>
      </w:r>
    </w:p>
    <w:bookmarkEnd w:id="61"/>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179, de 27 de julio de 2007)</w:t>
      </w:r>
    </w:p>
    <w:p w:rsidR="00DE14C9" w:rsidRDefault="00DE14C9" w:rsidP="00DE14C9">
      <w:pPr>
        <w:pStyle w:val="TtuloBOE"/>
      </w:pPr>
    </w:p>
    <w:p w:rsidR="00DE14C9" w:rsidRDefault="00DE14C9" w:rsidP="00DE14C9">
      <w:pPr>
        <w:pStyle w:val="SntesisDescriptiva"/>
      </w:pPr>
      <w:r>
        <w:t>ECLI:ES:TC:2007:148</w:t>
      </w:r>
    </w:p>
    <w:p w:rsidR="00DE14C9" w:rsidRDefault="00DE14C9" w:rsidP="00DE14C9">
      <w:pPr>
        <w:pStyle w:val="SntesisDescriptiva"/>
      </w:pPr>
    </w:p>
    <w:p w:rsidR="00DE14C9" w:rsidRDefault="00DE14C9" w:rsidP="00DE14C9">
      <w:pPr>
        <w:pStyle w:val="SntesisDescriptiva"/>
      </w:pPr>
      <w:r>
        <w:t>Recurso de amparo 7545-2004. Promovido por don Francisco Javier Jover Estruch frente a la Sentencia de la Sala de lo Contencioso-Administrativo del Tribunal Superior de Justicia de Valencia que inadmitió su demanda contra el Ayuntamiento de Torrent sobre responsabilidad patrimonial.</w:t>
      </w:r>
    </w:p>
    <w:p w:rsidR="00DE14C9" w:rsidRDefault="00DE14C9" w:rsidP="00DE14C9">
      <w:pPr>
        <w:pStyle w:val="SntesisDescriptiva"/>
      </w:pPr>
    </w:p>
    <w:p w:rsidR="00DE14C9" w:rsidRDefault="00DE14C9" w:rsidP="00DE14C9">
      <w:pPr>
        <w:pStyle w:val="SntesisAnaltica"/>
      </w:pPr>
      <w:r>
        <w:t>Vulneración del derecho a la tutela judicial efectiva (acceso a la justicia): inadmisión de demanda contencioso-administrativa por extemporánea, que impide la asistencia jurídica gratuita (STC 219/2003).</w:t>
      </w:r>
    </w:p>
    <w:p w:rsidR="00DE14C9" w:rsidRDefault="00DE14C9" w:rsidP="00DE14C9">
      <w:pPr>
        <w:pStyle w:val="SntesisAnaltica"/>
      </w:pPr>
    </w:p>
    <w:p w:rsidR="00DE14C9" w:rsidRDefault="00DE14C9" w:rsidP="00DE14C9">
      <w:pPr>
        <w:pStyle w:val="Extracto"/>
      </w:pPr>
      <w:r>
        <w:t>1.</w:t>
      </w:r>
      <w:r>
        <w:tab/>
        <w:t>La omisión de cualquier consideración sobre la interpretación y aplicación del art. 16 LAJG, a saber, la posibilidad de que el recurrente, como beneficiario del derecho a la asistencia jurídica gratuita, pudiera disponer de los plazos procesales en su integridad, implica que la resolución impugnada no ha cumplido con las exigencias constitucionales de motivación propias de este tipo de decisiones que impiden el acceso a una primera resolución judicial sobre el fondo de lo pretendido [FJ 3].</w:t>
      </w:r>
    </w:p>
    <w:p w:rsidR="00DE14C9" w:rsidRDefault="00DE14C9" w:rsidP="00DE14C9">
      <w:pPr>
        <w:pStyle w:val="Extracto"/>
      </w:pPr>
    </w:p>
    <w:p w:rsidR="00DE14C9" w:rsidRDefault="00DE14C9" w:rsidP="00DE14C9">
      <w:pPr>
        <w:pStyle w:val="Extracto"/>
      </w:pPr>
      <w:r>
        <w:t>2.</w:t>
      </w:r>
      <w:r>
        <w:tab/>
        <w:t>Doctrina sobre el cómputo del plazo de prescripción en lo supuestos de solicitud del derecho a la asistencia jurídica gratuita (STC 219/2003) [FJ 2].</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 xml:space="preserve">En el recurso de amparo núm. 7545-2004, promovido por don Francisco Javier Jover Estruch, representado por la Procuradora de los Tribunales doña Ángela Cristina Santos Erroz y bajo la asistencia del Letrado don Andrés Gustavo Malamud Serur, contra la Sentencia de la Sección Tercera de la Sala de lo Contencioso-Administrativo del Tribunal Superior de Justicia de Valencia de 29 de octubre de 2004, que inadmitió el recurso contencioso-administrativo núm. 648-2001, sobre responsabilidad patrimonial de la Administración. Ha comparecido el Ayuntamiento de Torrent, representado por la Procuradora de los </w:t>
      </w:r>
      <w:r>
        <w:lastRenderedPageBreak/>
        <w:t>Tribunales doña Victoria Pérez-Mulet y Díez-Picazo y bajo la asistencia de la Letrada doña Pilar Guillén Zaragoza. Ha intervenido el Ministerio Fiscal. Ha sido Ponente el Magistrado don Pablo Pérez Tremps,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registrado en este Tribunal el día 15 de diciembre de 2004, don Francisco Javier Jover Estruch solicitó la designación de Abogado y Procurador de oficio para la interposición de recurso de amparo. Una vez efectuadas las designaciones, mediante escrito registrado el 14 de abril de 2005, la Procuradora de los Tribunales doña Ángela Cristina Santos Erroz, en nombre y representación de don Francisco Javier Jover Estruch, y bajo la asistencia del Letrado don Andrés Gustavo Malamud Serur, formuló demanda de amparo contra la Sentencia que se menciona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La demanda de amparo tiene su origen en los siguientes antecedentes: </w:t>
      </w:r>
    </w:p>
    <w:p w:rsidR="00DE14C9" w:rsidRDefault="00DE14C9" w:rsidP="00DE14C9">
      <w:pPr>
        <w:pStyle w:val="TextoNormal"/>
      </w:pPr>
      <w:r>
        <w:t xml:space="preserve">a) El recurrente formuló reclamación de responsabilidad patrimonial al Ayuntamiento de Torrent, que fue desestimada por Acuerdo de su Comisión de Gobierno de 5 de febrero de 2001, dictado en el expediente núm. 134-2000, que fue notificado el 23 de febrero de 2001, con la indicación de que contra el mismo cabía interponer recurso contencioso-administrativo ante la Sala de este orden del Tribunal Superior de Justicia de la Comunidad Valenciana, en el plazo de dos meses contados a partir del día siguiente de la fecha de notificación. </w:t>
      </w:r>
    </w:p>
    <w:p w:rsidR="00DE14C9" w:rsidRDefault="00DE14C9" w:rsidP="00DE14C9">
      <w:pPr>
        <w:pStyle w:val="TextoNormal"/>
      </w:pPr>
      <w:r>
        <w:t xml:space="preserve">b) El recurrente, representado por la Procuradora de los Tribunales doña María José Montesinos Pérez y bajo la asistencia del Letrado don Santiago Vicente Correcher Castellblanch, por escrito registrado el 11 de mayo de 2001, al que se acompañó documento del Ilustre Colegio de Procuradores de Valencia de 21 de marzo de 2001 por el que se comunica la designación en turno de oficio de la citada Procuradora, interpuso recurso contencioso-administrativo, que fue tramitado con el núm. 648-2001 por la Sección Tercera de la Sala de lo Contencioso-Administrativo del Tribunal Superior de Justicia de Valencia. El Ayuntamiento de Torrent alegó en la contestación a la demanda, entre otros extremos, la extemporaneidad del recurso por haberse presentado fuera del plazo de dos meses previsto legalmente. A esos efectos, advirtió que en los autos no constaba la fecha de la notificación de la designación de Abogado del turno de oficio que permitiera efectuar el cómputo del plazo correspondiente, conforme a lo dispuesto en el art. 16 de la Ley 1/1996, de 10 de enero, reguladora de la asistencia jurídica gratuita (en adelante LAJG). El Ayuntamiento de Torrente propuso como prueba documental que por el Ilustre Colegio de Abogados de Valencia se emitiera certificación de la fecha de la notificación al actor de la designación provisional del Letrado en el expediente de justicia gratuita núm. 1485-2001, lo que fue denegado por providencia de 27 de enero de 2004. En el trámite de conclusiones, el Ayuntamiento reiteró la causa de inadmisibilidad alegada, sin que el recurrente manifestara nada al respecto. </w:t>
      </w:r>
    </w:p>
    <w:p w:rsidR="00DE14C9" w:rsidRDefault="00DE14C9" w:rsidP="00DE14C9">
      <w:pPr>
        <w:pStyle w:val="TextoNormal"/>
      </w:pPr>
      <w:r>
        <w:t>c) La Sección Tercera de la Sala de lo Contencioso-Administrativo del Tribunal Superior de Justicia de Valencia, por Sentencia de 30 de noviembre de 2002, acordó declarar la inadmisibilidad del recurso al considerar que la demanda había sido interpuesta fuera del plazo legal de dos meses, argumentando que, al haberse notificado la resolución administrativa impugnada el 23 de febrero de 2001 y, por tanto, ser la fecha de término el 24 de abril de 2001, cuando se interpuso el recurso contencioso-administrativo, el 11 de mayo de 2001, ya estaba vencido el plazo previsto en el art. 46 LJCA.</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3</w:t>
      </w:r>
      <w:r>
        <w:t>. El recurrente aduce en su demanda de amparo la vulneración del derecho a la tutela judicial efectiva (art. 24.1 CE), en su vertiente de derecho de acceso a la jurisdicción, al haberse hecho una aplicación desproporcionada y rigorista del requisito del plazo de prescripción, atendiendo al hecho, ignorado por la resolución judicial, de que había sido solicitada la designación de Abogado y Procurador de oficio para la interposición del recurso contencioso-administrativo y, por tanto, que era de aplicación el art. 16 LAJG. A esos efectos se afirma, por un lado, que, tras serle notificada el 23 de febrero de 2001 la resolución administrativa, solicitó el 7 de marzo de 2001 que se le concediera el beneficio de justicia gratuita a los efectos de interponer recurso contencioso-administrativo, al ser preceptiva la intervención de Procurador y Abogado y, por otro, que la designaciones de Letrado y Procurador por los Ilustres Colegios de Abogados y Procuradores de Valencia, respectivamente, se produjeron el 21 de marzo de 2001, destacando que la designación de Abogado se había recibido “tiempo después” y la de Procurador el 6 de abril de 2001, concluyendo de ello que el 11 de mayo de 2001, cuando se interpuso el recurso contencioso-administrativo, no había transcurrido el plazo legal.</w:t>
      </w:r>
    </w:p>
    <w:p w:rsidR="00DE14C9" w:rsidRDefault="00DE14C9" w:rsidP="00DE14C9">
      <w:pPr>
        <w:pStyle w:val="TextoNormal"/>
      </w:pPr>
    </w:p>
    <w:p w:rsidR="00DE14C9" w:rsidRDefault="00DE14C9" w:rsidP="00DE14C9">
      <w:pPr>
        <w:pStyle w:val="TextoNormal"/>
      </w:pPr>
      <w:r w:rsidRPr="00DE14C9">
        <w:rPr>
          <w:rStyle w:val="NumeroAFNegritaCaracter"/>
        </w:rPr>
        <w:t>4</w:t>
      </w:r>
      <w:r>
        <w:t>. El Secretario de Justicia de la Sala Primera de este Tribunal, por diligencia de ordenación de 23 de mayo de 2005, de conformidad con lo dispuesto en el art. 88 LOTC, requirió a la Sección Tercera de la Sala de lo Contencioso-Administrativo del Tribunal Superior de Justicia de Valencia la remisión del testimonio de las actuaciones.</w:t>
      </w:r>
    </w:p>
    <w:p w:rsidR="00DE14C9" w:rsidRDefault="00DE14C9" w:rsidP="00DE14C9">
      <w:pPr>
        <w:pStyle w:val="TextoNormal"/>
      </w:pPr>
    </w:p>
    <w:p w:rsidR="00DE14C9" w:rsidRDefault="00DE14C9" w:rsidP="00DE14C9">
      <w:pPr>
        <w:pStyle w:val="TextoNormal"/>
      </w:pPr>
      <w:r w:rsidRPr="00DE14C9">
        <w:rPr>
          <w:rStyle w:val="NumeroAFNegritaCaracter"/>
        </w:rPr>
        <w:t>5</w:t>
      </w:r>
      <w:r>
        <w:t>. La Sección Segunda de este Tribunal, por providencia de 8 de marzo de 2006, acordó la admisión a trámite de la demanda de amparo y dirigir atenta comunicación al órgano judicial competente para el emplazamiento a quienes hubieran sido parte en este procedimiento para que pudieran comparecer en el mismo.</w:t>
      </w:r>
    </w:p>
    <w:p w:rsidR="00DE14C9" w:rsidRDefault="00DE14C9" w:rsidP="00DE14C9">
      <w:pPr>
        <w:pStyle w:val="TextoNormal"/>
      </w:pPr>
    </w:p>
    <w:p w:rsidR="00DE14C9" w:rsidRDefault="00DE14C9" w:rsidP="00DE14C9">
      <w:pPr>
        <w:pStyle w:val="TextoNormal"/>
      </w:pPr>
      <w:r w:rsidRPr="00DE14C9">
        <w:rPr>
          <w:rStyle w:val="NumeroAFNegritaCaracter"/>
        </w:rPr>
        <w:t>6</w:t>
      </w:r>
      <w:r>
        <w:t>. La Secretaría de Justicia de la Sala Primera de este Tribunal, por diligencia de ordenación de 5 de julio de 2006, a tenor del art. 52 LOTC, dio vista de las actuaciones al Ministerio Fiscal y al recurrente por plazo común de veinte días para que pudieran presentar las alegaciones que estimasen pertinentes. Por diligencia de ordenación de 11 de julio de 2006 se tuvo por personado y parte al Ayuntamiento de Torrent y se le dio vista de las actuaciones por un plazo de veinte días para que pudiera presentar las alegaciones que estimase pertinente.</w:t>
      </w:r>
    </w:p>
    <w:p w:rsidR="00DE14C9" w:rsidRDefault="00DE14C9" w:rsidP="00DE14C9">
      <w:pPr>
        <w:pStyle w:val="TextoNormal"/>
      </w:pPr>
    </w:p>
    <w:p w:rsidR="00DE14C9" w:rsidRDefault="00DE14C9" w:rsidP="00DE14C9">
      <w:pPr>
        <w:pStyle w:val="TextoNormal"/>
      </w:pPr>
      <w:r w:rsidRPr="00DE14C9">
        <w:rPr>
          <w:rStyle w:val="NumeroAFNegritaCaracter"/>
        </w:rPr>
        <w:t>7</w:t>
      </w:r>
      <w:r>
        <w:t>. El Ayuntamiento de Torrent, por escrito registrado el 18 de septiembre de 2006, presentó sus alegaciones, haciendo constar que había alegado la extemporaneidad del recurso contencioso-administrativo, habida cuenta de que la contraparte litigaba con designación de profesionales del turno de oficio, pero que sólo tenía conocimiento del oficio dirigido por el Colegio de Procuradores aportado junto con la demanda, siendo denegada la prueba solicitada sobre certificación de la fecha de notificación de la designación provisional de Letrado y sin que el recurrente hubiera aportado documento alguno al efecto ni manifestado oposición a la inadmisión alegada al formular conclusiones.</w:t>
      </w:r>
    </w:p>
    <w:p w:rsidR="00DE14C9" w:rsidRDefault="00DE14C9" w:rsidP="00DE14C9">
      <w:pPr>
        <w:pStyle w:val="TextoNormal"/>
      </w:pPr>
    </w:p>
    <w:p w:rsidR="00DE14C9" w:rsidRDefault="00DE14C9" w:rsidP="00DE14C9">
      <w:pPr>
        <w:pStyle w:val="TextoNormal"/>
      </w:pPr>
      <w:r w:rsidRPr="00DE14C9">
        <w:rPr>
          <w:rStyle w:val="NumeroAFNegritaCaracter"/>
        </w:rPr>
        <w:t>8</w:t>
      </w:r>
      <w:r>
        <w:t xml:space="preserve">. El Ministerio Fiscal, por escrito registrado el 19 de septiembre de 2006, presentó alegaciones interesando el otorgamiento del amparo, con anulación de la resolución impugnada y retroacción de actuaciones. A esos efectos argumenta que ha de considerarse lesiva del </w:t>
      </w:r>
      <w:r>
        <w:lastRenderedPageBreak/>
        <w:t>derecho a la tutela judicial efectiva una resolución judicial de inadmisión que se limita a la aplicación literal del art. 46 LJCA, sin hacer mención al efecto suspensivo de la tramitación del proceso mientras se obtiene el beneficio de justicia gratuita.</w:t>
      </w:r>
    </w:p>
    <w:p w:rsidR="00DE14C9" w:rsidRDefault="00DE14C9" w:rsidP="00DE14C9">
      <w:pPr>
        <w:pStyle w:val="TextoNormal"/>
      </w:pPr>
    </w:p>
    <w:p w:rsidR="00DE14C9" w:rsidRDefault="00DE14C9" w:rsidP="00DE14C9">
      <w:pPr>
        <w:pStyle w:val="TextoNormal"/>
      </w:pPr>
      <w:r w:rsidRPr="00DE14C9">
        <w:rPr>
          <w:rStyle w:val="NumeroAFNegritaCaracter"/>
        </w:rPr>
        <w:t>9</w:t>
      </w:r>
      <w:r>
        <w:t>. El recurrente, por escrito registrado el 5 de septiembre de 2006, presentó alegaciones reiterando el carácter rigorista de la causa de inadmisión apreciada en la resolución judicial impugnada.</w:t>
      </w:r>
    </w:p>
    <w:p w:rsidR="00DE14C9" w:rsidRDefault="00DE14C9" w:rsidP="00DE14C9">
      <w:pPr>
        <w:pStyle w:val="TextoNormal"/>
      </w:pPr>
    </w:p>
    <w:p w:rsidR="00DE14C9" w:rsidRDefault="00DE14C9" w:rsidP="00DE14C9">
      <w:pPr>
        <w:pStyle w:val="TextoNormal"/>
      </w:pPr>
      <w:r w:rsidRPr="00DE14C9">
        <w:rPr>
          <w:rStyle w:val="NumeroAFNegritaCaracter"/>
        </w:rPr>
        <w:t>10</w:t>
      </w:r>
      <w:r>
        <w:t>. Por providencia de fecha 15 de junio de 2007 se señaló para la deliberación y votación de la presente Sentencia el día 18 siguiente.</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El objeto del presente recurso de amparo es determinar si la inadmisión por extemporaneidad del recurso contencioso-administrativo interpuesto por el recurrente ha vulnerado su derecho a la tutela judicial efectiva (art. 24.1 CE), en su vertiente de derecho de acceso a la jurisdicción.</w:t>
      </w:r>
    </w:p>
    <w:p w:rsidR="00DE14C9" w:rsidRDefault="00DE14C9" w:rsidP="00DE14C9">
      <w:pPr>
        <w:pStyle w:val="TextoNormal"/>
      </w:pPr>
    </w:p>
    <w:p w:rsidR="00DE14C9" w:rsidRDefault="00DE14C9" w:rsidP="00DE14C9">
      <w:pPr>
        <w:pStyle w:val="TextoNormal"/>
      </w:pPr>
      <w:r w:rsidRPr="00DE14C9">
        <w:rPr>
          <w:rStyle w:val="NumeroAFNegritaCaracter"/>
        </w:rPr>
        <w:t>2</w:t>
      </w:r>
      <w:r>
        <w:t>. Este Tribunal ha reiterado que es un elemento esencial del derecho a la tutela judicial efectiva (art. 24.1 CE) obtener del órgano judicial una resolución sobre el fondo de las pretensiones, derecho que también se satisface con una decisión de inadmisión que impida entrar en el fondo de la cuestión planteada cuando dicha inadmisión se fundamente en la existencia de una causa legal que resulte aplicada razonablemente. Se ha resaltado que el primer contenido, en un orden lógico y cronológico, del derecho a la tutela judicial efectiva es el derecho de acceso a la jurisdicción, con respecto del cual opera el principio pro actione, por lo que las decisiones de inadmisión sólo serán conformes con el art. 24.1 CE cuando no eliminen u obstaculicen injustificadamente el derecho a que un órgano judicial conozca y resuelva la pretensión formulada, sin que ello comporte la forzosa selección de la interpretación más favorable a la admisión de entre todas las posibles de las normas que la regulan (por todas, STC 282/2006, de 9 de octubre, FJ 2).</w:t>
      </w:r>
    </w:p>
    <w:p w:rsidR="00DE14C9" w:rsidRDefault="00DE14C9" w:rsidP="00DE14C9">
      <w:pPr>
        <w:pStyle w:val="TextoNormal"/>
      </w:pPr>
      <w:r>
        <w:t>En particular, sobre la decisión judicial de inadmisión por extemporaneidad, este Tribunal ha destacado que, si bien la aplicación de los plazos de prescripción y de caducidad es una cuestión de mera legalidad ordinaria, nada impide que adquiera una dimensión constitucional cuando resulte inmotivada, arbitraria, irrazonable o incursa en error patente. Se ha hecho especial incidencia en que si dicha decisión, además, supone cerrar la posibilidad de obtener una primera resolución judicial sobre el fondo, también adquiere relevancia constitucional cuando sea el resultado de una interpretación y aplicación legal que por su rigorismo, formalismo excesivo o desproporción entre los fines que preservan y la consecuencia de cierre del proceso, se conviertan en un obstáculo injustificado para resolver sobre la pretensión deducida (por todas, STC 274/2006, de 25 de septiembre, FJ 2).</w:t>
      </w:r>
    </w:p>
    <w:p w:rsidR="00DE14C9" w:rsidRDefault="00DE14C9" w:rsidP="00DE14C9">
      <w:pPr>
        <w:pStyle w:val="TextoNormal"/>
      </w:pPr>
      <w:r>
        <w:t xml:space="preserve">Más en concreto, en relación con el cómputo del plazo de prescripción en lo supuestos de solicitud del derecho a la asistencia jurídica gratuita, este Tribunal ha señalado que “la interpretación del art. 16 [de la Ley 1/1996, de 10 de enero, reguladora de la asistencia jurídica gratuita: LAJG], así como, en general, del conjunto del articulado de esta norma legal, debe venir guiada por la finalidad proclamada expresamente por la propia exposición de motivos de la misma de garantizar a todos los ciudadanos, con independencia de cuál sea </w:t>
      </w:r>
      <w:r>
        <w:lastRenderedPageBreak/>
        <w:t>su situación económica, el acceso a la Justicia en condiciones de igualdad, impidiendo cualquier desequilibrio en la efectividad de las garantías procesales garantizadas constitucionalmente en el art. 24 CE que pudiera provocar indefensión, y, en particular, permitiéndoles disponer de los plazos procesales en su integridad” (STC 219/2003, de 15 de diciembre, FJ 4). A esos efectos, en la STC 182/2006, de 19 de junio, ya afirmamos que en los casos en que antes de iniciar el procedimiento contencioso-administrativo se realiza la solicitud de designación de profesionales de oficio dentro del plazo legal de dos meses para la interposición de la demanda resulta arbitrario que, siendo claramente viable entender que son los párrafos 3 y 4 del art. 16 LAJG los que regulan este tipo de supuestos, el órgano judicial considere, sin mayor argumentación, que no basta para la interrupción del plazo de prescripción la solicitud del reconocimiento del derecho a la asistencia jurídica gratuita, sino que es necesario obtener una resolución del órgano judicial decretando la suspensión.</w:t>
      </w:r>
    </w:p>
    <w:p w:rsidR="00DE14C9" w:rsidRDefault="00DE14C9" w:rsidP="00DE14C9">
      <w:pPr>
        <w:pStyle w:val="TextoNormal"/>
      </w:pPr>
    </w:p>
    <w:p w:rsidR="00DE14C9" w:rsidRDefault="00DE14C9" w:rsidP="00DE14C9">
      <w:pPr>
        <w:pStyle w:val="TextoNormal"/>
      </w:pPr>
      <w:r w:rsidRPr="00DE14C9">
        <w:rPr>
          <w:rStyle w:val="NumeroAFNegritaCaracter"/>
        </w:rPr>
        <w:t>3</w:t>
      </w:r>
      <w:r>
        <w:t>. En el presente caso, como ha sido expuesto con más detenimiento en los antecedentes, han quedado acreditados en las actuaciones los siguientes extremos: en primer lugar, que al recurrente se le notificó el 23 de febrero de 2001 el Acuerdo de la Comisión de Gobierno del Ayuntamiento de 5 de febrero de 2001 denegando su reclamación de responsabilidad patrimonial. En segundo lugar, que, representado por la Procuradora de los Tribunales doña María José Montesinos Pérez y bajo la asistencia del Letrado don Santiago Vicente Correcher Castellblanch, interpuso recurso contencioso-administrativo mediante escrito registrado el 11 de mayo de 2001, al que se acompañó documento del Ilustre Colegio de Procuradores de Valencia de 21 de marzo de 2001 por el que se comunica la designación en turno de oficio de la citada Procuradora. En tercer lugar, que el Ayuntamiento de Torrent en su contestación a la demanda alegó, entre otros extremos, la extemporaneidad del recurso, tras advertir que en los autos no constaba la fecha de la notificación de la designación de Abogado del turno de oficio que permitiera efectuar el cómputo del plazo correspondiente, conforme a lo dispuesto en el art. 16 LAJG y que, incluso, fue denegada la prueba documental propuesta por el Ayuntamiento para que se emitiera certificación de la fecha de la notificación de la designación provisional del Letrado. Por último, también se constata que en la resolución judicial impugnada se acordó declarar la inadmisibilidad del recurso por extemporaneidad, sin hacer mención alguna a la circunstancia de que el recurrente había solicitado y obtenido el derecho a la asistencia jurídica gratuita.</w:t>
      </w:r>
    </w:p>
    <w:p w:rsidR="00DE14C9" w:rsidRDefault="00DE14C9" w:rsidP="00DE14C9">
      <w:pPr>
        <w:pStyle w:val="TextoNormal"/>
      </w:pPr>
      <w:r>
        <w:t xml:space="preserve">En atención a estos antecedentes, y tal como también ha destacado el Ministerio Fiscal, no cabe sino concluir que la resolución judicial impugnada ha incurrido en un defecto de motivación con relevancia constitucional que debe implicar el otorgamiento del amparo por vulneración del derecho a la tutela judicial efectiva (art. 24.1 CE). En efecto, el órgano judicial contaba en la actuaciones con elementos concluyentes que ponían de manifiesto que el recurrente estaba actuando bajo la asistencia de profesionales del turno de oficio como son, por un lado, que así se hiciera constar en el encabezamiento del escrito de interposición del recurso, al que se acompañó copia de la designación del turno de oficio de la Procuradora y, por otro, que, incluso, el Ayuntamiento demandado había destacado esta circunstancia en la fundamentación de la causa de inadmisión alegada a los efectos de la aplicación del art. 16 LAJG en el cómputo de los plazos sobre la temporaneidad del recurso. A pesar de ello, la argumentación aportada en la Sentencia impugnada respecto de la extemporaneidad de la demanda se limitó a verificar el transcurso del plazo legal de dos meses desde la notificación de la resolución administrativa impugnada, omitiendo cualquier valoración sobre la eventual influencia que sobre dicho cómputo tenía la circunstancia de que el recurrente hubiera </w:t>
      </w:r>
      <w:r>
        <w:lastRenderedPageBreak/>
        <w:t>solicitado y obtenido el derecho a la asistencia jurídica gratuita para litigar contra la Administración demanda. Pues bien, en este contexto, la omisión de cualquier consideración sobre la interpretación y aplicación del art. 16 LAJG, así como, en general, del conjunto del articulado de esta norma legal, a los efectos de que se tomara en consideración en el caso concreto la posibilidad de que el recurrente, como beneficiario del derecho a la asistencia jurídica gratuita, pudiera disponer de los plazos procesales en su integridad, implica que la resolución impugnada no ha cumplido con las exigencias constitucionales de motivación propias de este tipo de decisiones que impiden el acceso a una primera resolución judicial sobre el fondo de lo pretendido.</w:t>
      </w:r>
    </w:p>
    <w:p w:rsidR="00DE14C9" w:rsidRDefault="00DE14C9" w:rsidP="00DE14C9">
      <w:pPr>
        <w:pStyle w:val="TextoNormal"/>
      </w:pPr>
      <w:r>
        <w:t>Todo ello determina que deba otorgarse el amparo solicitado por vulneración del derecho a la tutela judicial efectiva (art. 24.1 CE), desde la perspectiva del derecho de acceso a la jurisdicción, y anularse la resolución judicial impugnada con retroacción de actuaciones para que se dicte otra respetuosa con el derecho fundamental reconocido.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a don Francisco Javier Jover Estruch el amparo solicitado y, en consecuencia:</w:t>
      </w:r>
    </w:p>
    <w:p w:rsidR="00DE14C9" w:rsidRDefault="00DE14C9" w:rsidP="00DE14C9">
      <w:pPr>
        <w:pStyle w:val="TextoNormal"/>
      </w:pPr>
      <w:r>
        <w:t>1º Reconocer su derecho a la tutela judicial efectiva (art. 24.1 CE).</w:t>
      </w:r>
    </w:p>
    <w:p w:rsidR="00DE14C9" w:rsidRDefault="00DE14C9" w:rsidP="00DE14C9">
      <w:pPr>
        <w:pStyle w:val="TextoNormal"/>
      </w:pPr>
      <w:r>
        <w:t>2º Declarar la nulidad de la Sentencia de la Sección Tercera de la Sala de lo Contencioso-Administrativo del Tribunal Superior de Justicia de la Comunidad Valenciana, de 29 de octubre de 2004, dictada en el procedimiento contencioso-administrativo núm.  648-2001.</w:t>
      </w:r>
    </w:p>
    <w:p w:rsidR="00DE14C9" w:rsidRDefault="00DE14C9" w:rsidP="00DE14C9">
      <w:pPr>
        <w:pStyle w:val="TextoNormal"/>
      </w:pPr>
      <w:r>
        <w:t>3º Retrotraer las actuaciones al momento anterior al de dictar Sentencia para que se dicte nueva resolución respetuosa con el derecho fundamental reconocido.</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dieciocho de junio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62" w:name="SENTENCIA_2007_149"/>
      <w:r>
        <w:lastRenderedPageBreak/>
        <w:t>SENTENCIA 149/2007, de 18 de junio de 2007</w:t>
      </w:r>
    </w:p>
    <w:bookmarkEnd w:id="62"/>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179, de 27 de julio de 2007)</w:t>
      </w:r>
    </w:p>
    <w:p w:rsidR="00DE14C9" w:rsidRDefault="00DE14C9" w:rsidP="00DE14C9">
      <w:pPr>
        <w:pStyle w:val="TtuloBOE"/>
      </w:pPr>
    </w:p>
    <w:p w:rsidR="00DE14C9" w:rsidRDefault="00DE14C9" w:rsidP="00DE14C9">
      <w:pPr>
        <w:pStyle w:val="SntesisDescriptiva"/>
      </w:pPr>
      <w:r>
        <w:t>ECLI:ES:TC:2007:149</w:t>
      </w:r>
    </w:p>
    <w:p w:rsidR="00DE14C9" w:rsidRDefault="00DE14C9" w:rsidP="00DE14C9">
      <w:pPr>
        <w:pStyle w:val="SntesisDescriptiva"/>
      </w:pPr>
    </w:p>
    <w:p w:rsidR="00DE14C9" w:rsidRDefault="00DE14C9" w:rsidP="00DE14C9">
      <w:pPr>
        <w:pStyle w:val="SntesisDescriptiva"/>
      </w:pPr>
      <w:r>
        <w:t>Recurso de amparo 22-2005. Promovido por don Waheed Koshagi Kelani  frente a los Autos de la Sala de lo Penal de la Audiencia Nacional que acordaron su prisión provisional en causa por delito de pertenencia a organización terrorista.</w:t>
      </w:r>
    </w:p>
    <w:p w:rsidR="00DE14C9" w:rsidRDefault="00DE14C9" w:rsidP="00DE14C9">
      <w:pPr>
        <w:pStyle w:val="SntesisDescriptiva"/>
      </w:pPr>
    </w:p>
    <w:p w:rsidR="00DE14C9" w:rsidRDefault="00DE14C9" w:rsidP="00DE14C9">
      <w:pPr>
        <w:pStyle w:val="SntesisAnaltica"/>
      </w:pPr>
      <w:r>
        <w:t>Supuesta vulneración del derecho a la libertad personal: prisión provisional, ante la proximidad del juicio oral, suficientemente motivada (STC 35/2007).</w:t>
      </w:r>
    </w:p>
    <w:p w:rsidR="00DE14C9" w:rsidRDefault="00DE14C9" w:rsidP="00DE14C9">
      <w:pPr>
        <w:pStyle w:val="SntesisAnaltica"/>
      </w:pPr>
    </w:p>
    <w:p w:rsidR="00DE14C9" w:rsidRDefault="00DE14C9" w:rsidP="00DE14C9">
      <w:pPr>
        <w:pStyle w:val="Extracto"/>
      </w:pPr>
      <w:r>
        <w:t>1.</w:t>
      </w:r>
      <w:r>
        <w:tab/>
        <w:t>Las resoluciones judiciales se fundamentan en un fin constitucionalmente legítimo —evitar el riesgo de fuga—, riesgo que no se afirma sobre la base del único dato de la proximidad del juicio oral, sino considerando la naturaleza y gravedad de los hechos imputados reflejados en el Auto que confirma el procesamiento, la gravedad de la pena que puede imponerse, la confirmación del procesamiento y la proximidad del juicio oral, un cúmulo de circunstancias cuya ponderación conjunta no es inconstitucional (STC 35/2007) [FJ 4]</w:t>
      </w:r>
    </w:p>
    <w:p w:rsidR="00DE14C9" w:rsidRDefault="00DE14C9" w:rsidP="00DE14C9">
      <w:pPr>
        <w:pStyle w:val="Extracto"/>
      </w:pPr>
    </w:p>
    <w:p w:rsidR="00DE14C9" w:rsidRDefault="00DE14C9" w:rsidP="00DE14C9">
      <w:pPr>
        <w:pStyle w:val="Extracto"/>
      </w:pPr>
      <w:r>
        <w:t>2.</w:t>
      </w:r>
      <w:r>
        <w:tab/>
        <w:t>La proximidad de la celebración del juicio oral, al tener un sentido no concluyente, dado que el avance del proceso puede contribuir tanto a cimentar con mayor solidez la imputación como a debilitar los indicios de culpabilidad del acusado, el órgano judicial debe concretar las circunstancias que avalan en su caso la adopción y mantenimiento de prisión provisional (STC 128/1995; SSTEDH caso Wemhoff de 27 de junio de 1968, caso Neumeister de 27 de junio de 1968 y caso Matznetter de 10 de noviembre de 1969) [FJ 2 b)].</w:t>
      </w:r>
    </w:p>
    <w:p w:rsidR="00DE14C9" w:rsidRDefault="00DE14C9" w:rsidP="00DE14C9">
      <w:pPr>
        <w:pStyle w:val="Extracto"/>
      </w:pPr>
    </w:p>
    <w:p w:rsidR="00DE14C9" w:rsidRDefault="00DE14C9" w:rsidP="00DE14C9">
      <w:pPr>
        <w:pStyle w:val="Extracto"/>
      </w:pPr>
      <w:r>
        <w:t>3.</w:t>
      </w:r>
      <w:r>
        <w:tab/>
        <w:t>Este Tribunal no puede profundizar más en el control de la fundamentación de la decisión de acordar la prisión provisional sin traspasar los límites del control externo propio de la jurisdicción de amparo, pues no le compete realizar una valoración de la suficiencia de las circunstancias fácticas concurrentes en el caso para fundamentar el riesgo de fuga [FJ 4].</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lastRenderedPageBreak/>
        <w:t>SENTENCIA</w:t>
      </w:r>
    </w:p>
    <w:p w:rsidR="00DE14C9" w:rsidRDefault="00DE14C9" w:rsidP="00DE14C9">
      <w:pPr>
        <w:pStyle w:val="TextoNormalCentrado"/>
        <w:keepNext/>
      </w:pPr>
    </w:p>
    <w:p w:rsidR="00DE14C9" w:rsidRDefault="00DE14C9" w:rsidP="00DE14C9">
      <w:pPr>
        <w:pStyle w:val="TextoNormal"/>
      </w:pPr>
      <w:r>
        <w:t>En el recurso de amparo núm. 22-2005, promovido por don Waheed Koshagi Kelani, representado por el Procurador de los Tribunales don Adolfo Morales Hernández-Sanjuán y asistido por el Letrado don Sebastiá Salellas Magret, contra los Autos de la Sección Tercera de la Sala de lo Penal de la Audiencia Nacional, de 19 de noviembre y 9 de diciembre de 2004, en virtud de los cuales se decretó y confirmó la prisión provisional comunicada y sin fianza del recurrente. Ha intervenido el Ministerio Fiscal. Han comparecido don Ahmad Koshagi Kelani, representado por el Procurador don Adolfo Morales Hernández-Sanjuán y asistido por el Letrado don Sebastiá Salellas Magret; don Luis José Galán González, representado por el Procurador don Manuel García Ortiz de Urbina y bajo la dirección letrada de doña María Nieves Fernández Pérez Ravelo; don Taysir Alony Kate, representado por la Procuradora doña Esther Rodríguez Pérez y asistido por el Letrado don José Luis Galán Martín; y don Kamal Hadid Chaar, representado por la Procuradora doña Almudena Delgado Gordo y asistido por el Letrado don Juan José Carro Gómez. Ha sido Ponente el Magistrado don Ramón Rodríguez Arribas,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que tuvo entrada en el Registro General de este Tribunal el día 3 de enero de 2005 el Procurador de los Tribunales don Adolfo Morales Hernández-Sanjuán, en nombre y representación de don Waheed Koshagi Kelani, interpuso recurso de amparo contra las resoluciones judiciales que se citan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en los que tiene su origen el presente recurso y relevantes para su resolución son, sucintamente expuestos, los siguientes: </w:t>
      </w:r>
    </w:p>
    <w:p w:rsidR="00DE14C9" w:rsidRDefault="00DE14C9" w:rsidP="00DE14C9">
      <w:pPr>
        <w:pStyle w:val="TextoNormal"/>
      </w:pPr>
      <w:r>
        <w:t xml:space="preserve">a) El día 21 de septiembre del 2003 se dictó por parte del Juez Central de Instrucción núm. 5, en el marco del sumario 35-2001, un Auto por el que se decretaba la prisión provisional, incondicional y comunicada, entre otros, del ahora demandante de amparo, por su presunta integración en la organización terrorista Al Qaeda, estimando que debía neutralizarse la eventual continuidad delictiva de sus integrantes y, sobre todo, evitar su sustracción de la acción de la justicia, “eventualidad que en el caso actual, y a pesar de que algunos de los imputados llevan largo tiempo en España y, por la gravedad de la imputación, se constituye casi en una certeza; y en algún caso en la posibilidad de reiteración delictiva”. </w:t>
      </w:r>
    </w:p>
    <w:p w:rsidR="00DE14C9" w:rsidRDefault="00DE14C9" w:rsidP="00DE14C9">
      <w:pPr>
        <w:pStyle w:val="TextoNormal"/>
      </w:pPr>
      <w:r>
        <w:t xml:space="preserve">b) Con posterioridad el mismo Juez dictó un nuevo Auto, de fecha 19 de abril del 2004, en el que, además de declararle procesado, se reformaba la situación de prisión provisional incondicional y se decretaba la libertad provisional del demandante de amparo siempre que constituyera fianza en cuantía de ciento cincuenta mil euros (150.000 euros). </w:t>
      </w:r>
    </w:p>
    <w:p w:rsidR="00DE14C9" w:rsidRDefault="00DE14C9" w:rsidP="00DE14C9">
      <w:pPr>
        <w:pStyle w:val="TextoNormal"/>
      </w:pPr>
      <w:r>
        <w:t xml:space="preserve">Dicho Auto fundamentaba su decisión en “la menor gravedad de los hechos en relación con otros procesados; y la convicción de que, por las circunstancias concurrentes en el mismo, no se tratará de eludir la acción de la justicia, siendo suficiente la fijación de una fianza en cantidad proporcionada y suficiente”. </w:t>
      </w:r>
    </w:p>
    <w:p w:rsidR="00DE14C9" w:rsidRDefault="00DE14C9" w:rsidP="00DE14C9">
      <w:pPr>
        <w:pStyle w:val="TextoNormal"/>
      </w:pPr>
      <w:r>
        <w:t xml:space="preserve">Previo pago de la fianza impuesta, el recurrente obtuvo la libertad provisional en abril de 2004. </w:t>
      </w:r>
    </w:p>
    <w:p w:rsidR="00DE14C9" w:rsidRDefault="00DE14C9" w:rsidP="00DE14C9">
      <w:pPr>
        <w:pStyle w:val="TextoNormal"/>
      </w:pPr>
      <w:r>
        <w:t xml:space="preserve">c) El referido Auto de procesamiento fue recurrido en reforma por la representación del recurrente, recurso desestimado por el Juez instructor, quien confirmó mediante Auto de 21 de mayo de 2004 íntegramente todos los pronunciamientos del Auto de 19 de abril de 2004. </w:t>
      </w:r>
      <w:r>
        <w:lastRenderedPageBreak/>
        <w:t xml:space="preserve">Contra esta resolución se interpuso recurso de apelación, igualmente desestimado por Auto de la Sección Cuarta de la Sala de lo Penal de la Audiencia Nacional de 15 de noviembre de 2004, que confirmó las resoluciones impugnadas en todos sus pronunciamientos. </w:t>
      </w:r>
    </w:p>
    <w:p w:rsidR="00DE14C9" w:rsidRDefault="00DE14C9" w:rsidP="00DE14C9">
      <w:pPr>
        <w:pStyle w:val="TextoNormal"/>
      </w:pPr>
      <w:r>
        <w:t xml:space="preserve">d) El sumario 35-2001 del Juzgado Central de Instrucción núm. 5 correspondió para su enjuiciamiento a la Sección Tercera de la Sala de lo Penal de la Audiencia Nacional, que por Auto de 19 de noviembre de 2004, previa petición del Fiscal y tras celebrar la comparecencia prevista en el art. 505 LECrim, acordó decretar la prisión provisional comunicada y sin fianza del ahora demandante de amparo y de otros procesados que se hallaban en libertad. </w:t>
      </w:r>
    </w:p>
    <w:p w:rsidR="00DE14C9" w:rsidRDefault="00DE14C9" w:rsidP="00DE14C9">
      <w:pPr>
        <w:pStyle w:val="TextoNormal"/>
      </w:pPr>
      <w:r>
        <w:t xml:space="preserve">La fundamentación de tal decisión es la siguiente: </w:t>
      </w:r>
    </w:p>
    <w:p w:rsidR="00DE14C9" w:rsidRDefault="00DE14C9" w:rsidP="00DE14C9">
      <w:pPr>
        <w:pStyle w:val="TextoNormal"/>
      </w:pPr>
      <w:r>
        <w:t xml:space="preserve">“Primero.-El Tribunal, analizando la petición del Ministerio Fiscal respecto a la puesta en prisión provisional de Taysir Alony Kate (a) Abu Masab, Mohamed Khair Al-Saqqua Alsaqqua, Abdalrahman Alarnot Abu Aljer, Jamal Hussein Hussein, Basat Dalati Satut, Ghasoub Al-Abrash Ghalyoun, Waheed Koshagi Kelani, Kamal Haddid Chaar y Ahmad Koshagi Kelani, a tenor de los indicios racionales de criminalidad que resultan del Auto que resuelve el recurso de apelación contra el procesamiento, y oídas las alegaciones de las respectivas defensas de los procesados señalados, llega a la conclusión que en el procedimiento se ha producido una modificación de un hecho hasta ahora no existente cual es la petición de la acusación pública de la adopción de las medidas de prisión. </w:t>
      </w:r>
    </w:p>
    <w:p w:rsidR="00DE14C9" w:rsidRDefault="00DE14C9" w:rsidP="00DE14C9">
      <w:pPr>
        <w:pStyle w:val="TextoNormal"/>
      </w:pPr>
      <w:r>
        <w:t xml:space="preserve">Esta modificación obliga al Tribunal a valorar la procedencia o no de dicha medida, para lo que deben concurrir los siguientes requisitos: </w:t>
      </w:r>
    </w:p>
    <w:p w:rsidR="00DE14C9" w:rsidRDefault="00DE14C9" w:rsidP="00DE14C9">
      <w:pPr>
        <w:pStyle w:val="TextoNormal"/>
      </w:pPr>
      <w:r>
        <w:t xml:space="preserve">Unos de carácter material como son que conste la existencia de unos hechos que presenten carácter de delito sancionado con pena cuyo máximo es igual o superior a dos años de prisión. En el presente caso, estos hechos de apariencia delictiva emanan de los indicios racionales de criminalidad que se derivan para cada uno de los procesados a los que atañe la resolución del auto firme de fecha 15 de noviembre de 2004, con lo cual se cumple también el requisito del 1 apartado del artículo 503 de la LECR. </w:t>
      </w:r>
    </w:p>
    <w:p w:rsidR="00DE14C9" w:rsidRDefault="00DE14C9" w:rsidP="00DE14C9">
      <w:pPr>
        <w:pStyle w:val="TextoNormal"/>
      </w:pPr>
      <w:r>
        <w:t xml:space="preserve">Segundo.- Asimismo el Tribunal entiende que se dan los presupuestos que legitiman constitucionalmente la adopción de la prisión provisional, plasmados en el apartado 3, nº 1 del artículo 503, cuales son en el presente caso, por un lado conjurar el riesgo de fuga, pues a la vista de la naturaleza de los hechos, la gravedad de la pena que pueda imponerse a los procesados y la situación procedimental de la causa que hace presumir la pronta celebración del juicio, tal riesgo está latente, sin que dicho riesgo quede conjurado por las circunstancias familiares, personales o económicas de los procesados a las que aluden sus defensas. </w:t>
      </w:r>
    </w:p>
    <w:p w:rsidR="00DE14C9" w:rsidRDefault="00DE14C9" w:rsidP="00DE14C9">
      <w:pPr>
        <w:pStyle w:val="TextoNormal"/>
      </w:pPr>
      <w:r>
        <w:t xml:space="preserve">También el Tribunal dada la naturaleza de los hechos imputados a los procesados en el auto anteriormente señalado, entiende que con esta medida cautelar se conjura una posible continuada reiteración delictiva”. </w:t>
      </w:r>
    </w:p>
    <w:p w:rsidR="00DE14C9" w:rsidRDefault="00DE14C9" w:rsidP="00DE14C9">
      <w:pPr>
        <w:pStyle w:val="TextoNormal"/>
      </w:pPr>
      <w:r>
        <w:t xml:space="preserve">e) Recurrido dicho Auto en súplica la Sección Tercera de la Sala de lo Penal de la Audiencia Nacional desestimó el recurso mediante Auto 9 de diciembre del 2004. </w:t>
      </w:r>
    </w:p>
    <w:p w:rsidR="00DE14C9" w:rsidRDefault="00DE14C9" w:rsidP="00DE14C9">
      <w:pPr>
        <w:pStyle w:val="TextoNormal"/>
      </w:pPr>
      <w:r>
        <w:t xml:space="preserve">Tal decisión se fundamenta, por una parte, en la existencia de los indicios racionales de criminalidad que se recogen en el fundamento jurídico tercero núm. 2 del Auto que confirmó el procesamiento, donde se establece que este procesado “ha mantenido relaciones con personas implicadas en Al Qaeda como Mohamed Zaher Asade, Luis José Galán González (a) Yusuf Galán, Jasem Mahboule, Khaldum Najjar, David Charles Burgues (a) Abu Megen que en realidad es Salaedin Benyaoich, condenado en la actualidad en Marruecos por su relación con los atentados de Casablanca del 16 de mayo de 2003; ha mantenido reuniones en su domicilio o en el de Abu Dahdah a las que han concurrido los antedichos y otras personas integradas en la red de apoyo a Al Qaeda; y ha financiado a miembros de Al Qaeda </w:t>
      </w:r>
      <w:r>
        <w:lastRenderedPageBreak/>
        <w:t>mediante la remesa de cantidades de dinero en marcos alemanes tales como Mamado Mahmound Ahmed Salin (a) Abu Hajer procesado en EE UU como miembro integrante de la organización terrorista y vinculado a atentados reivindicativos por Al Qaeda en Kenia y Tanzania”. Por otra parte, en el razonamiento segundo se señala que “cuando se aproxima la celebración del juicio oral, el Ministerio público insta la prisión provisional del procesado, sobre la base de la existencia de indicios racionales de criminalidad contra el mismo y el elevado riesgo de que, ante su pronto enjuiciamiento, intente sustraerse a la acción de la justicia, petición revestida de toda lógica, que el Tribunal tiene que acoger en cumplimiento de la obligación que le corresponde de asegurar la celebración del juicio con la presencia de todos y cada uno de los procesados”.</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El recurrente fundamenta su demanda de amparo en la vulneración del derecho fundamental a la libertad y a la seguridad reconocido en el art. 17 CE. </w:t>
      </w:r>
    </w:p>
    <w:p w:rsidR="00DE14C9" w:rsidRDefault="00DE14C9" w:rsidP="00DE14C9">
      <w:pPr>
        <w:pStyle w:val="TextoNormal"/>
      </w:pPr>
      <w:r>
        <w:t xml:space="preserve">Tras recordar cuáles son las exigencias constitucionales que, conforme a la reiterada doctrina de este Tribunal, deben cumplir las resoluciones judiciales que acuerdan la prisión provisional, se afirma que las recurridas adolecen de falta de motivación conforme a tales exigencias, lo que determina la vulneración del derecho a la libertad. Y ello porque, si bien conforme a lo dispuesto en el art. 539 LECrim el Juez, de oficio, y en cualquier momento de la causa, puede modificar la situación personal del imputado, cuando —como ocurre en el presente caso— se revoca una libertad provisional para acordar la prisión provisional dicha resolución deberá motivar expresamente la concurrencia de los requisitos para la adopción de la prisión (como cualquier resolución acordando prisión provisional) y también deberá concretar cuál ha sido el cambio en las circunstancias que provoca una nueva valoración del Juez o Tribunal con consecuencias tan gravosas para los derechos fundamentales como la prisión provisional. Sin que la proximidad de celebración del juicio sea una causa habilitante ipso iure para el mantenimiento de la medida de prisión provisional y mucho menos para la adopción de la misma revocando la situación de libertad provisional, como se desprende de la STC 66/1997, que se reproduce parcialmente y que establece que “la simple referencia a lo avanzado de la tramitación carece como tal de fuerza argumentativa para afirmar la posibilidad de que el imputado huya”. </w:t>
      </w:r>
    </w:p>
    <w:p w:rsidR="00DE14C9" w:rsidRDefault="00DE14C9" w:rsidP="00DE14C9">
      <w:pPr>
        <w:pStyle w:val="TextoNormal"/>
      </w:pPr>
      <w:r>
        <w:t xml:space="preserve">En el presente caso el recurrente estuvo en prisión provisional por esta causa desde el 21 de septiembre de 2003 hasta abril del 2004, momento en que salió en libertad provisional previo pago de fianza. El Auto de 21 de septiembre del 2003, que acordó inicialmente la prisión provisional, fundamenta tal decisión —en cuanto a la finalidad perseguida, puesto que en la demanda no se discute la existencia de indicios racionales de criminalidad— en el riesgo de sustracción de la acción de la justicia, que, pese a que algunos de los imputados llevan largo tiempo en España, dada la gravedad de la imputación valora como “casi una certeza”, estimando que también existe riesgo de reiteración delictiva. Tales razones se reiteran en el Auto de 22 de octubre de 2003, que desestimó la reforma frente al anterior. Posteriormente el Auto de 19 de abril de 2004, que modificó la situación personal del recurrente y acordó su libertad provisional bajo fianza, fundamenta esta decisión en “la menor gravedad de los hechos en relación con otros procesados; y la convicción de que, con las circunstancias concurrentes en el mismo, no tratará de eludir la acción de la justicia, siendo suficiente la fijación de una fianza de cantidad proporcionada y suficiente”. Tanto en el Auto de procesamiento como en el de confirmación del de procesamiento se mantiene la libertad provisional, hasta que el día 19 de noviembre de 2004 se acuerda de nuevo la prisión provisional del recurrente y de ocho personas más, fundamentando la medida conjuntamente para todos de un modo totalmente genérico y estereotipado. </w:t>
      </w:r>
    </w:p>
    <w:p w:rsidR="00DE14C9" w:rsidRDefault="00DE14C9" w:rsidP="00DE14C9">
      <w:pPr>
        <w:pStyle w:val="TextoNormal"/>
      </w:pPr>
      <w:r>
        <w:lastRenderedPageBreak/>
        <w:t xml:space="preserve">Según el recurrente el citado Auto, al margen de la falta evidente de valoración de las circunstancias personales de cada uno de los nueve procesados, no señala motivadamente qué elementos o circunstancias nuevos son valorados para revocar la situación de libertad provisional, dado que el conjunto de fundamentos contenidos en el Auto ya aparecían en los Autos que confirmaban la situación de libertad provisional. En efecto, descartada la proximidad del juicio como circunstancia para motivar por si sola la revocación de la libertad provisional, la existencia de imputación era evidente desde la detención y la gravedad de la misma resultó consolidada cuando fue dictado el Auto de procesamiento, momento en el cual recurrente se encontraba en libertad. Por otra parte las circunstancias personales, familiares, sociales y económicas habían sido valoradas para considerar suficiente una fianza con anterioridad y más tarde no aparecen como suficientes para mantener la situación de libertad provisional, sin que conste un solo motivo objetivo para realizar dicha modificación, insistiendo en que, justo cuatro días antes la Sección Cuarta de la Sala de lo Penal confirmó el pronunciamiento sobre libertad provisional contenido en el Auto de procesamiento al confirmar éste. </w:t>
      </w:r>
    </w:p>
    <w:p w:rsidR="00DE14C9" w:rsidRDefault="00DE14C9" w:rsidP="00DE14C9">
      <w:pPr>
        <w:pStyle w:val="TextoNormal"/>
      </w:pPr>
      <w:r>
        <w:t xml:space="preserve">Y en cuanto al Auto de 9 de diciembre, que desestimó el recurso de súplica, entiende el recurrente que no suple la insuficiente motivación del anterior, pues se limita a señalar a insistir en la proximidad de la celebración del juicio como fin que justifica la medida, motivo que no puede fundar por si solo una medida de prisión provisional. </w:t>
      </w:r>
    </w:p>
    <w:p w:rsidR="00DE14C9" w:rsidRDefault="00DE14C9" w:rsidP="00DE14C9">
      <w:pPr>
        <w:pStyle w:val="TextoNormal"/>
      </w:pPr>
      <w:r>
        <w:t xml:space="preserve">En consecuencia entiende el recurrente que no se cumplen los requisitos exigidos por la doctrina constitucional para acordar la prisión provisional, vulnerándose el derecho a la libertad (art. 17.1 CE). </w:t>
      </w:r>
    </w:p>
    <w:p w:rsidR="00DE14C9" w:rsidRDefault="00DE14C9" w:rsidP="00DE14C9">
      <w:pPr>
        <w:pStyle w:val="TextoNormal"/>
      </w:pPr>
      <w:r>
        <w:t>Mediante otrosí solicita la suspensión de la ejecución de las resoluciones impugnadas, pues la misma ocasionaría un perjuicio que haría perder su finalidad al amparo.</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Por providencia de 20 de diciembre de 2005 la Sala Segunda acordó la admisión a trámite de la demanda y, a tenor de lo dispuesto en el art. 51 LOTC, dirigir atenta comunicación a la Sección Tercera de la Sala de lo Penal de la Audiencia Nacional a fin de que, en plazo que no excediese de diez días, remitiera certificación o fotocopia adverada de las actuaciones; debiendo previamente emplazarse a quienes hubieran sido parte en el procedimiento, excepto a la parte recurrente en amparo, para que en el plazo de diez días pudieran comparecer en el recurso de amparo. </w:t>
      </w:r>
    </w:p>
    <w:p w:rsidR="00DE14C9" w:rsidRDefault="00DE14C9" w:rsidP="00DE14C9">
      <w:pPr>
        <w:pStyle w:val="TextoNormal"/>
      </w:pPr>
      <w:r>
        <w:t>Respecto al otrosí se señala que, habiéndose recibido por fax el Auto de fecha 31 de mayo de 2005 dictado por la Sección Tercera de la Sala de lo Penal de la Audiencia Nacional decretando la libertad provisional del recurrente don Waheed Koshagi Kelani, no procede tramitar la pieza de suspensión, al carecer la misma de objeto.</w:t>
      </w:r>
    </w:p>
    <w:p w:rsidR="00DE14C9" w:rsidRDefault="00DE14C9" w:rsidP="00DE14C9">
      <w:pPr>
        <w:pStyle w:val="TextoNormal"/>
      </w:pPr>
    </w:p>
    <w:p w:rsidR="00DE14C9" w:rsidRDefault="00DE14C9" w:rsidP="00DE14C9">
      <w:pPr>
        <w:pStyle w:val="TextoNormal"/>
      </w:pPr>
      <w:r w:rsidRPr="00DE14C9">
        <w:rPr>
          <w:rStyle w:val="NumeroAFNegritaCaracter"/>
        </w:rPr>
        <w:t>5</w:t>
      </w:r>
      <w:r>
        <w:t>. Mediante escrito registrado en este Tribunal el día 16 de marzo de 2006 don Adolfo Morales Hernández-Sanjuán, Procurador de los Tribunales y de don Ahmad Koshagi Kelani, comparece y se persona en el presente recurso de amparo, bajo la dirección letrada de don Sebastiá Salellas Magret, manifestando que se adhiere a los motivos de recurso formulados por el recurrente e interesando la acumulación del presente recurso de amparo con el 23-2005, interpuesto por su representado, por tratarse de procedimientos con objetos conexos en los que está justificada la tramitación y decisión conjunta.</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6</w:t>
      </w:r>
      <w:r>
        <w:t>. El día 17 de marzo de 2006 comparece y se persona en el presente recurso don Manuel García Ortiz de Urbina, Procurador de los Tribunales y de don Luis José Galán González, bajo la dirección letrada de doña María Nieves Fernández Pérez Ravelo.</w:t>
      </w:r>
    </w:p>
    <w:p w:rsidR="00DE14C9" w:rsidRDefault="00DE14C9" w:rsidP="00DE14C9">
      <w:pPr>
        <w:pStyle w:val="TextoNormal"/>
      </w:pPr>
    </w:p>
    <w:p w:rsidR="00DE14C9" w:rsidRDefault="00DE14C9" w:rsidP="00DE14C9">
      <w:pPr>
        <w:pStyle w:val="TextoNormal"/>
      </w:pPr>
      <w:r w:rsidRPr="00DE14C9">
        <w:rPr>
          <w:rStyle w:val="NumeroAFNegritaCaracter"/>
        </w:rPr>
        <w:t>7</w:t>
      </w:r>
      <w:r>
        <w:t>. El 28 de marzo de 2006 la Procuradora de los Tribunales y de don Taysir Alony Kate, doña Esther Rodríguez Pérez, comparece igualmente en el presente recurso, bajo la dirección letrada de don José Luis Galán Martín, destacando que la vulneración del derecho fundamental que en el mismo se denuncia es sustancialmente idéntica a la denunciada en el recurso de amparo núm. 343-2005, interpuesto por su representado. Ante lo cual, por economía procesal y al estar suficientemente instruida de las actuaciones, evacua también el trámite del art. 52.1 LOTC, adhiriéndose a las alegaciones del recurrente.</w:t>
      </w:r>
    </w:p>
    <w:p w:rsidR="00DE14C9" w:rsidRDefault="00DE14C9" w:rsidP="00DE14C9">
      <w:pPr>
        <w:pStyle w:val="TextoNormal"/>
      </w:pPr>
    </w:p>
    <w:p w:rsidR="00DE14C9" w:rsidRDefault="00DE14C9" w:rsidP="00DE14C9">
      <w:pPr>
        <w:pStyle w:val="TextoNormal"/>
      </w:pPr>
      <w:r w:rsidRPr="00DE14C9">
        <w:rPr>
          <w:rStyle w:val="NumeroAFNegritaCaracter"/>
        </w:rPr>
        <w:t>8</w:t>
      </w:r>
      <w:r>
        <w:t xml:space="preserve">. Mediante diligencia de ordenación de 27 de julio de 2006 se tiene por personada y parte en el procedimiento a doña Almudena Delgado Gordo, en nombre y representación de don Kamal Hadid Chaar, y por designado en virtud del turno de oficio para su defensa al Letrado don Juan José Carro Gómez. </w:t>
      </w:r>
    </w:p>
    <w:p w:rsidR="00DE14C9" w:rsidRDefault="00DE14C9" w:rsidP="00DE14C9">
      <w:pPr>
        <w:pStyle w:val="TextoNormal"/>
      </w:pPr>
      <w:r>
        <w:t xml:space="preserve">En la misma diligencia se acordó dar vista de las actuaciones recibidas a las partes personadas y al Ministerio Fiscal por plazo común de veinte días, dentro de los cuales podrían presentar alegaciones, conforme a lo previsto en el art. 52.1 LOTC. </w:t>
      </w:r>
    </w:p>
    <w:p w:rsidR="00DE14C9" w:rsidRDefault="00DE14C9" w:rsidP="00DE14C9">
      <w:pPr>
        <w:pStyle w:val="TextoNormal"/>
      </w:pPr>
      <w:r>
        <w:t>Asimismo se acordó conceder a la parte recurrente, al Ministerio Fiscal y a las partes personadas un plazo de diez días a fin de que, conforme establece el art. 83 LOTC, efectuasen alegaciones acerca de la acumulación al presente recurso de amparo del recurso núm. 322-2005 seguido en la Sala Primera, así como de los recursos núm. 23-2005, núm. 282-2005 y núm. 343-2005, seguidos en la Sala Segunda. Evacuado dicho trámite, por Auto de 4 de junio de 2007, la Sala Segunda acordó denegar la acumulación de los citados recursos.</w:t>
      </w:r>
    </w:p>
    <w:p w:rsidR="00DE14C9" w:rsidRDefault="00DE14C9" w:rsidP="00DE14C9">
      <w:pPr>
        <w:pStyle w:val="TextoNormal"/>
      </w:pPr>
    </w:p>
    <w:p w:rsidR="00DE14C9" w:rsidRDefault="00DE14C9" w:rsidP="00DE14C9">
      <w:pPr>
        <w:pStyle w:val="TextoNormal"/>
      </w:pPr>
      <w:r w:rsidRPr="00DE14C9">
        <w:rPr>
          <w:rStyle w:val="NumeroAFNegritaCaracter"/>
        </w:rPr>
        <w:t>9</w:t>
      </w:r>
      <w:r>
        <w:t>. Mediante escrito registrado el día 7 de julio de 2006 la representación procesal de don Luis José Galán González formaliza su adhesión al recurso de amparo.</w:t>
      </w:r>
    </w:p>
    <w:p w:rsidR="00DE14C9" w:rsidRDefault="00DE14C9" w:rsidP="00DE14C9">
      <w:pPr>
        <w:pStyle w:val="TextoNormal"/>
      </w:pPr>
    </w:p>
    <w:p w:rsidR="00DE14C9" w:rsidRDefault="00DE14C9" w:rsidP="00DE14C9">
      <w:pPr>
        <w:pStyle w:val="TextoNormal"/>
      </w:pPr>
      <w:r w:rsidRPr="00DE14C9">
        <w:rPr>
          <w:rStyle w:val="NumeroAFNegritaCaracter"/>
        </w:rPr>
        <w:t>10</w:t>
      </w:r>
      <w:r>
        <w:t>. El día 10 de julio de 2006 doña Almudena Delgado Gordo, Procuradora de los Tribunales y de don Kamal Hadid Chaar, evacua el trámite de alegaciones manifestando que se debe otorgar el amparo a don Waheed Koshagi Kelani, por haberse vulnerado su derecho fundamental a la libertad del artículo 17 CE, toda vez que el Auto que acordó su prisión provisional tras haberse acordado tiempo atrás su libertad, no daba razones suficiente para tal excepcional medida, como de hecho se ha demostrado con la sentencia absolutoria firme dictada a favor del recurrente.</w:t>
      </w:r>
    </w:p>
    <w:p w:rsidR="00DE14C9" w:rsidRDefault="00DE14C9" w:rsidP="00DE14C9">
      <w:pPr>
        <w:pStyle w:val="TextoNormal"/>
      </w:pPr>
    </w:p>
    <w:p w:rsidR="00DE14C9" w:rsidRDefault="00DE14C9" w:rsidP="00DE14C9">
      <w:pPr>
        <w:pStyle w:val="TextoNormal"/>
      </w:pPr>
      <w:r w:rsidRPr="00DE14C9">
        <w:rPr>
          <w:rStyle w:val="NumeroAFNegritaCaracter"/>
        </w:rPr>
        <w:t>11</w:t>
      </w:r>
      <w:r>
        <w:t>. Mediante escrito registrado el día 13 de julio de 2006, doña Esther Rodríguez Pérez, Procuradora de los Tribunales y de don Taysir Alony Kate, manifiesta también su total apoyo a las alegaciones del recurrente, en cuanto coinciden con las de su propio recurso núm. 343-2005.</w:t>
      </w:r>
    </w:p>
    <w:p w:rsidR="00DE14C9" w:rsidRDefault="00DE14C9" w:rsidP="00DE14C9">
      <w:pPr>
        <w:pStyle w:val="TextoNormal"/>
      </w:pPr>
    </w:p>
    <w:p w:rsidR="00DE14C9" w:rsidRDefault="00DE14C9" w:rsidP="00DE14C9">
      <w:pPr>
        <w:pStyle w:val="TextoNormal"/>
      </w:pPr>
      <w:r w:rsidRPr="00DE14C9">
        <w:rPr>
          <w:rStyle w:val="NumeroAFNegritaCaracter"/>
        </w:rPr>
        <w:t>12</w:t>
      </w:r>
      <w:r>
        <w:t xml:space="preserve">. La representación procesal del demandante de amparo formuló sus alegaciones mediante escrito que tuvo su entrada en el Registro General de este Tribunal el día 28 de julio de 2006, en el que sustancialmente reproduce los argumentos ya expuestos en la demanda. </w:t>
      </w:r>
    </w:p>
    <w:p w:rsidR="00DE14C9" w:rsidRDefault="00DE14C9" w:rsidP="00DE14C9">
      <w:pPr>
        <w:pStyle w:val="TextoNormal"/>
      </w:pPr>
      <w:r>
        <w:lastRenderedPageBreak/>
        <w:t>Así sostiene que la prisión provisional acordada se halla huérfana de motivación y de finalidad constitucionalmente legítima, pues se fundamentó la modificación de la situación personal del recurrente y ocho personas más y la adopción de la prisión provisional de modo totalmente genérico y estereotipado, sin atender a las circunstancias personales, familiares, sociales y económicas, que habían sido valoradas para considerar suficiente una fianza con anterioridad y más tarde no aparecen como suficientes para mantener su situación de libertad provisional, sin que conste un solo motivo objetivo para realizar dicha modificación.</w:t>
      </w:r>
    </w:p>
    <w:p w:rsidR="00DE14C9" w:rsidRDefault="00DE14C9" w:rsidP="00DE14C9">
      <w:pPr>
        <w:pStyle w:val="TextoNormal"/>
      </w:pPr>
    </w:p>
    <w:p w:rsidR="00DE14C9" w:rsidRDefault="00DE14C9" w:rsidP="00DE14C9">
      <w:pPr>
        <w:pStyle w:val="TextoNormal"/>
      </w:pPr>
      <w:r w:rsidRPr="00DE14C9">
        <w:rPr>
          <w:rStyle w:val="NumeroAFNegritaCaracter"/>
        </w:rPr>
        <w:t>13</w:t>
      </w:r>
      <w:r>
        <w:t xml:space="preserve">. El Fiscal ante el Tribunal Constitucional formuló sus alegaciones mediante escrito registrado el día 1 de septiembre de 2006, en el que interesa la desestimación de la demanda de amparo. </w:t>
      </w:r>
    </w:p>
    <w:p w:rsidR="00DE14C9" w:rsidRDefault="00DE14C9" w:rsidP="00DE14C9">
      <w:pPr>
        <w:pStyle w:val="TextoNormal"/>
      </w:pPr>
      <w:r>
        <w:t xml:space="preserve">Tras analizar los hechos y los antecedentes procesales del caso recuerda el Fiscal que, cuando en un recurso de amparo se alega la infracción, conjunta o separada, del derecho a la libertad y del derecho a la tutela judicial efectiva, ha de entenderse integrado el segundo en el primero, toda vez que una eventual lesión del derecho a la tutela judicial efectiva, por una falta de motivación, supone el ataque frontal a la libertad del recurrente. A continuación, con cita de las SSTC 61/2001 y 170/2001, se recuerda la doctrina de este Tribunal acerca del derecho a la libertad en los supuestos de prisión provisional, destacando que el aseguramiento de la presencia del imputado en el juicio oral constituye un fin constitucionalmente legítimo, como recuerda la reciente STC 179/2005, en su FJ 4, que reproduce parcialmente. </w:t>
      </w:r>
    </w:p>
    <w:p w:rsidR="00DE14C9" w:rsidRDefault="00DE14C9" w:rsidP="00DE14C9">
      <w:pPr>
        <w:pStyle w:val="TextoNormal"/>
      </w:pPr>
      <w:r>
        <w:t xml:space="preserve">Y, pasando al análisis del presente caso, señala que la valoración del acuerdo de prisión no puede hacerse de modo aislado, sino en consideración a la cronología de los hechos y, por tanto, de la investigación e instrucción de aquellos y de los hitos procesales en que se insertan las respectivas resoluciones sobre la situación de los procesados. Así el recurrente fue privado de libertad al inicio del procedimiento por su indiciaria participación en los hechos, situación que se tornó en libertad poco después, habida cuenta de que la instrucción podía dilatarse, de sus circunstancias personales y del hecho de que su procesamiento inicial aún no era firme. </w:t>
      </w:r>
    </w:p>
    <w:p w:rsidR="00DE14C9" w:rsidRDefault="00DE14C9" w:rsidP="00DE14C9">
      <w:pPr>
        <w:pStyle w:val="TextoNormal"/>
      </w:pPr>
      <w:r>
        <w:t xml:space="preserve">“Sin embargo, tal situación de libertad dice, viene afectada en el decurso del tiempo por acontecimientos que hacen variar el criterio de la Sala enjuiciadora lo que determina el dictado del auto de detención de 18 de noviembre de 2004 y la citación, para la comparecencia prevista en el art. 505 de la LECr, al Ministerio Fiscal y a los letrados de los nuevamente detenidos para oírles sobre un posible cambio en la situación personal de aquellos. En tal acto el Ministerio Fiscal explicita la nueva realidad consistente en la confirmación por la Audiencia Nacional del auto de procesamiento dictado por el Juez Central de instrucción núm. 5, así como la pronta celebración del juicio oral lo que extrema el riesgo de fuga (folios 393 y ss. de la pieza de situación de Ahmad Kosagi) de los ahora detenidos, fuga que se consideraría por el Fiscal previsible y razonable. Es de reseñar que tales fines de la prisión están conectados con los constitucionalmente legítimos, riesgo de fuga e inminencia de celebración del juicio oral que aparecen asimismo en la legislación sobre la materia sobre la base de la jurisprudencia del Tribunal Constitucional (particularmente destacable lo es la conexión de ambos en la dicción del art. 503.3 a) de LECr)”. </w:t>
      </w:r>
    </w:p>
    <w:p w:rsidR="00DE14C9" w:rsidRDefault="00DE14C9" w:rsidP="00DE14C9">
      <w:pPr>
        <w:pStyle w:val="TextoNormal"/>
      </w:pPr>
      <w:r>
        <w:t xml:space="preserve">El mismo día de la celebración de la comparecencia la Sala dicta el primero de los Autos recurridos en amparo, a raíz de la petición y los argumentos esgrimidos por el Ministerio Fiscal, que pueden ser considerados como “hecho nuevo”, interpretando sensu contrario el art. 505.4 LECrim. “Asimismo, con la materialidad del requisito de la petición del Fiscal, se ofrece el del nuevo hecho consistente en el dictado por la Audiencia Nacional de un auto </w:t>
      </w:r>
      <w:r>
        <w:lastRenderedPageBreak/>
        <w:t xml:space="preserve">confirmando los acordados en su día para el Juez Central. Tal nueva valoración por un Tribunal Superior de hechos indiciarios de la comisión de delitos de terrorismo con el carácter de firme (ya que el nuevo auto de procesamiento era irrecurrible) es apto para provocar una reacción del órgano judicial de revisión de las situaciones personales de los procesados lo que aparece explicitado en el párrafo último del razonamiento jurídico primero del auto recurrido, y está en conexión con el núm. 1 del art. 503 de LECr”. </w:t>
      </w:r>
    </w:p>
    <w:p w:rsidR="00DE14C9" w:rsidRDefault="00DE14C9" w:rsidP="00DE14C9">
      <w:pPr>
        <w:pStyle w:val="TextoNormal"/>
      </w:pPr>
      <w:r>
        <w:t xml:space="preserve">Continúa el Fiscal destacando que el Auto de 19 de noviembre de 2004, por su parte, exterioriza el criterio del Tribunal sobre los demás requisitos que condicionan constitucionalmente la nueva toma de decisión, como es el riesgo de fuga, a la vista de la gravedad de los hechos, pena a imponer, situación procedimental de la causa y posibilidad de reiteración delictiva. E igualmente atiende a las circunstancias familiares, personales y económicas de los procesados (lo que no quiere decir necesariamente su acogimiento en orden a eludir la prisión, como pretendían las defensas), entendiendo que en la ponderación entre aquellas y el posible riesgo de fuga pesa más este último. </w:t>
      </w:r>
    </w:p>
    <w:p w:rsidR="00DE14C9" w:rsidRDefault="00DE14C9" w:rsidP="00DE14C9">
      <w:pPr>
        <w:pStyle w:val="TextoNormal"/>
      </w:pPr>
      <w:r>
        <w:t xml:space="preserve">Por tanto, y desde el control externo que puede llevar a cabo el Tribunal Constitucional, ha de afirmarse que las resoluciones impugnadas no adolecen de motivación deficiente, a la vista de la petición fiscal y del mantenimiento del Auto de procesamiento por la Sala desestimando el recurso de apelación, y la reconsideración de los indicios de criminalidad, el riesgo de fuga y la evitación de la reiteración añadidos a los criterios iniciales de gravedad de hechos y de penas a imponer. Una forma de motivar conectada, de otro lado, con los fines constitucionalmente legítimos a los que la prisión sirve, y que no viene desautorizada por el hecho de que en otro momento procesal se acordara la libertad provisional, pues “la nueva situación ofrece una visión distinta influida por la confirmación del procesamiento y la inminencia del juicio lo que conduce a una nueva prisión en la que las circunstancias personales del preso no pueden venir necesariamente abocadas a su libertad”. </w:t>
      </w:r>
    </w:p>
    <w:p w:rsidR="00DE14C9" w:rsidRDefault="00DE14C9" w:rsidP="00DE14C9">
      <w:pPr>
        <w:pStyle w:val="TextoNormal"/>
      </w:pPr>
      <w:r>
        <w:t>Por último entiende el Fiscal que no pueden considerarse los requisitos exigidos jurisprudencialmente de forma autónoma, y que en el presente caso se han valorado y ponderado tanto el riesgo de fuga, como los indicios, la pronta celebración del juicio oral y las circunstancias personales del preso, y que la valoración conjunta de todo ello llevó a la Sala a acordar la prisión, debidamente fundamentada en los dos Autos dictados sin que, pueda ser detectada lesión alguna del art. 17 CE y, derivadamente del 24.1 CE.</w:t>
      </w:r>
    </w:p>
    <w:p w:rsidR="00DE14C9" w:rsidRDefault="00DE14C9" w:rsidP="00DE14C9">
      <w:pPr>
        <w:pStyle w:val="TextoNormal"/>
      </w:pPr>
    </w:p>
    <w:p w:rsidR="00DE14C9" w:rsidRDefault="00DE14C9" w:rsidP="00DE14C9">
      <w:pPr>
        <w:pStyle w:val="TextoNormal"/>
      </w:pPr>
      <w:r w:rsidRPr="00DE14C9">
        <w:rPr>
          <w:rStyle w:val="NumeroAFNegritaCaracter"/>
        </w:rPr>
        <w:t>14</w:t>
      </w:r>
      <w:r>
        <w:t>. Por providencia de 14 de junio de 2007 se señaló para deliberación y votación de la presente Sentencia el día 18 del mismo mes y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xml:space="preserve">. La presente demanda de amparo se dirige contra Autos de la Sección Tercera de la Sala de lo Penal de la Audiencia Nacional de 19 de noviembre y 9 de diciembre de 2004, en virtud de los cuales se acordó la prisión provisional del recurrente de amparo en el procedimiento penal en el que se le consideró indiciariamente implicado en un delito de pertenencia a organización terrorista (Al Qaeda). Como se ha expuesto con detalle en los antecedentes, se denuncia la vulneración del derecho a la libertad personal (art. 17.1 CE) por entender que las resoluciones judiciales impugnadas no cumplen con las exigencias de motivación que la jurisprudencia de este Tribunal ha establecido como imprescindibles para poder restringir el derecho a la libertad. En concreto sostiene el recurrente que el riesgo de </w:t>
      </w:r>
      <w:r>
        <w:lastRenderedPageBreak/>
        <w:t>fuga, esgrimido como finalidad que justifica la medida, se afirma de forma genérica y estereotipada, sin tener en cuenta las circunstancias personales y del caso y sin explicitar qué circunstancias o hechos nuevos justifican el cambio de criterio frente a las anteriores decisiones adoptadas en el mismo procedimiento y que habían permitido su puesta en libertad provisional en atención a sus circunstancias personales. Se insiste en la demanda, con cita de la STC 66/1997, de 7 de abril, en que la proximidad del juicio no puede justificar por sí sola la revocación de la libertad provisional.</w:t>
      </w:r>
    </w:p>
    <w:p w:rsidR="00DE14C9" w:rsidRDefault="00DE14C9" w:rsidP="00DE14C9">
      <w:pPr>
        <w:pStyle w:val="TextoNormal"/>
      </w:pPr>
      <w:r>
        <w:t>El Ministerio Fiscal interesa la desestimación íntegra de la demanda, afirmando que las resoluciones impugnadas acuerdan la prisión del recurrente a raíz de la nueva situación generada por la petición del Ministerio Fiscal y la confirmación por la Audiencia Nacional del Auto de procesamiento. Y en la nueva ponderación llevada a cabo se tienen en cuenta, tanto la existencia de indicios de la comisión de un delito de terrorismo por parte del recurrente, como la concurrencia de riesgo de fuga, cuya prevención es una finalidad constitucionalmente legítima que habilita para decretar prisión provisional, y que resulta procedente en el caso tras ponderar las circunstancias personales del recurrente globalmente con la gravedad de los hechos y la pena, la confirmación del procesamiento y la proximidad del juicio oral. Y constatado que los órganos judiciales han exteriorizado dichos extremos, los límites marcados a la jurisdicción constitucional impiden, desde la perspectiva del control externo, sostener que las resoluciones judiciales adolecen de motivación deficiente.</w:t>
      </w:r>
    </w:p>
    <w:p w:rsidR="00DE14C9" w:rsidRDefault="00DE14C9" w:rsidP="00DE14C9">
      <w:pPr>
        <w:pStyle w:val="TextoNormal"/>
      </w:pPr>
    </w:p>
    <w:p w:rsidR="00DE14C9" w:rsidRDefault="00DE14C9" w:rsidP="00DE14C9">
      <w:pPr>
        <w:pStyle w:val="TextoNormal"/>
      </w:pPr>
      <w:r w:rsidRPr="00DE14C9">
        <w:rPr>
          <w:rStyle w:val="NumeroAFNegritaCaracter"/>
        </w:rPr>
        <w:t>2</w:t>
      </w:r>
      <w:r>
        <w:t>. El examen de la pretensión de amparo ha de partir de la consolidada jurisprudencia de este Tribunal acerca de las exigencias constitucionales de motivación que han de satisfacer las resoluciones judiciales a través de las que se acuerda la prisión provisional, en cuanto restrictivas del derecho fundamental a la libertad personal (art. 17.1 CE).</w:t>
      </w:r>
    </w:p>
    <w:p w:rsidR="00DE14C9" w:rsidRDefault="00DE14C9" w:rsidP="00DE14C9">
      <w:pPr>
        <w:pStyle w:val="TextoNormal"/>
      </w:pPr>
      <w:r>
        <w:t>a) Desde la STC 128/1995, de 26 de junio, este Tribunal viene afirmando que la prisión provisional es una medida cautelar cuya legitimidad constitucional, en tanto que limitativa del derecho a la libertad personal (art. 17.1 CE) de quien aún goza del derecho a la presunción de inocencia, exige como presupuesto la existencia de indicios racionales de la comisión de un delito por parte del sujeto pasivo; como objetivo, la consecución de fines constitucionalmente legítimos y congruentes con la naturaleza de la medida (riesgo de fuga, de obstrucción del normal desarrollo del proceso o de reiteración delictiva); y, como objeto, que se la conciba tanto en su adopción como en su mantenimiento como una medida de aplicación excepcional, subsidiaria, provisional y proporcionada a la consecución de dichos fines (por todas, SSTC 128/1995, de 26 de julio, FFJJ 3 y 4; 66/1997, de 7 de abril, FJ 4; 33/1999, de 8 de marzo, FJ 3; 47/2000, de 17 de febrero, FJ 3; o más recientemente STC 35/2007, de 12 de febrero, FJ 2).</w:t>
      </w:r>
    </w:p>
    <w:p w:rsidR="00DE14C9" w:rsidRDefault="00DE14C9" w:rsidP="00DE14C9">
      <w:pPr>
        <w:pStyle w:val="TextoNormal"/>
      </w:pPr>
      <w:r>
        <w:t>b) Las decisiones relativas a la adopción y mantenimiento de prisión provisional han de expresarse a través de una resolución judicial motivada, motivación que ha de ser “suficiente y razonable”, entendiendo por tal no la que colma meramente las exigencias del derecho a la tutela judicial efectiva, sino aquélla que respeta el contenido constitucionalmente garantizado del derecho a la libertad afectado, ponderando adecuadamente los intereses en juego —la libertad de la persona cuya inocencia se presume, por un lado; la realización de la administración de la justicia penal, en atención a los fines que hemos reseñado, por otro— a partir de toda la información disponible en el momento de adoptar la decisión y del entendimiento de la prisión provisional como una medida excepcional, subsidiaria y provisional.</w:t>
      </w:r>
    </w:p>
    <w:p w:rsidR="00DE14C9" w:rsidRDefault="00DE14C9" w:rsidP="00DE14C9">
      <w:pPr>
        <w:pStyle w:val="TextoNormal"/>
      </w:pPr>
      <w:r>
        <w:t xml:space="preserve">Para ello, obviamente, la resolución judicial ha de expresar cuál es el presupuesto de la medida y el fin constitucionalmente legítimo perseguido. Y, en relación con la constatación del peligro de fuga, hemos destacado que deberán tomarse en consideración “además de las </w:t>
      </w:r>
      <w:r>
        <w:lastRenderedPageBreak/>
        <w:t>características y la gravedad del delito imputado y de la pena con que se le amenaza, las circunstancias concretas del caso y las personales del imputado”, matizando, que si bien en un primer momento la necesidad de preservar los fines constitucionalmente legítimos de la prisión provisional pueden justificar que se adopte atendiendo sólo a circunstancias objetivas, como el tipo de delito y la gravedad de la pena, el transcurso del tiempo modifica el valor de este dato en la ponderación y obliga a ponderar las circunstancias personales del sujeto privado de libertad y los datos del caso concreto (por todas, SSTC 128/1995, de 26 de julio, FJ 4; 66/1997, de 7 de abril, FJ 4; 47/2000, de 17 de febrero, FJ 3; 35/2007, de 12 de febrero, FJ 2).</w:t>
      </w:r>
    </w:p>
    <w:p w:rsidR="00DE14C9" w:rsidRDefault="00DE14C9" w:rsidP="00DE14C9">
      <w:pPr>
        <w:pStyle w:val="TextoNormal"/>
      </w:pPr>
      <w:r>
        <w:t>Por otra parte, respecto a la proximidad de la celebración del juicio oral como dato a partir del cual sustentar los riesgos que se pretenden evitar, este Tribunal ha sostenido que, al tener un sentido ambivalente o no concluyente, dado que el avance del proceso puede contribuir tanto a cimentar con mayor solidez la imputación como a debilitar los indicios de culpabilidad del acusado, el órgano judicial debe concretar las circunstancias que avalan en el caso concreto una u otra hipótesis (por todas, SSTC 128/1995, de 26 de julio, FJ 3; 66/1997, de 7 de abril, FJ 6; 146/1997, de 15 de septiembre, FJ 5; 33/1999, 8 de marzo, FJ 6; 35/2007, de 12 de febrero, FJ 2). En particular, en el fundamento jurídico 6 de la STC 66/1997, invocada por el demandante, sostuvimos que “el hecho de que la tramitación se halle avanzada y la vista próxima es en sí mismo considerado un dato ambivalente a los efectos de nuestro enjuiciamiento: es cierto que el paso del tiempo, con el avance de la instrucción y la perfilación de la imputación, puede ir dotando de solidez a ésta, lo que podría a su vez incrementar la probabilidad de una efectiva condena y, con ello, el riesgo de fuga. Sin embargo, no es menos cierto que en otras circunstancias el transcurso del tiempo puede producir efectos contrarios a los que acabamos de indicar, no sólo porque el devenir del procedimiento puede debilitar los indicios que apuntan a la culpabilidad del acusado, sino también porque, como se razonó en la STC 128/1995 con amplia cita de Sentencias del Tribunal Europeo de Derechos Humanos, el argumento del peligro de fuga ‘se debilita por el propio paso del tiempo y la consiguiente disminución de las consecuencias punitivas que puede sufrir el preso (Sentencias del Tribunal Europeo de Derechos Humanos de 27 de junio de 1968, caso Wemhoff; de 27 de junio de 1968, caso Neumeister; de 10 de noviembre de 1969, caso Matznetter)’ [fundamento jurídico 4 b)]. Esta ambivalencia es precisamente la que obliga a que, cuando se alude a lo avanzado de la tramitación y al aseguramiento de la celebración del juicio oral —dato puramente objetivo—, se concreten las circunstancias específicas derivadas de la tramitación que en cada caso abonan o no la hipótesis de que, en el supuesto enjuiciado, el transcurso del tiempo puede llevar a la fuga del imputado. La simple referencia a lo avanzado de la tramitación carece como tal de fuerza argumentativa para afirmar la posibilidad de que el imputado huya”.</w:t>
      </w:r>
    </w:p>
    <w:p w:rsidR="00DE14C9" w:rsidRDefault="00DE14C9" w:rsidP="00DE14C9">
      <w:pPr>
        <w:pStyle w:val="TextoNormal"/>
      </w:pPr>
      <w:r>
        <w:t>c) La falta de motivación, en los términos anteriormente expuestos, de la resolución judicial afecta primordialmente, por la vía de uno de sus requisitos formales esenciales, a la propia existencia del presupuesto habilitante para la privación de la libertad y, por lo tanto, al derecho a la misma consagrado en el art. 17 CE (SSTC 128/1995, de 26 de julio, FJ 4; 47/2000, de 17 de febrero, FJ 3; 29/2001, de 29 de enero, FJ 2; 138/2002, de 3 de junio, FJ 3).</w:t>
      </w:r>
    </w:p>
    <w:p w:rsidR="00DE14C9" w:rsidRDefault="00DE14C9" w:rsidP="00DE14C9">
      <w:pPr>
        <w:pStyle w:val="TextoNormal"/>
      </w:pPr>
      <w:r>
        <w:t xml:space="preserve">Conforme a reiterados pronunciamientos de este Tribunal, los problemas de motivación en las resoluciones que acuerdan medidas limitativas de derechos fundamentales conciernen directamente a la lesión del propio derecho fundamental sustantivo y no, autónomamente, al derecho a la tutela judicial efectiva. Una decisión restrictiva de un derecho fundamental sustantivo, como es en este caso el derecho a la libertad, exige una resolución judicial cuya </w:t>
      </w:r>
      <w:r>
        <w:lastRenderedPageBreak/>
        <w:t>fundamentación, no sólo colme el deber general de motivación, que es inherente a la tutela judicial efectiva, sino que, además, ha de extenderse a la justificación de su legitimidad constitucional, ponderando las circunstancias concretas que, de acuerdo con el presupuesto legal y la finalidad constitucionalmente legítima, permitan la adopción de dicha decisión (por todas, SSTC 47/2000, de 17 de febrero, FJ 7; 29/2001, de 29 de enero, FJ 2). Por ello el análisis de la insuficiencia de motivación desde la perspectiva del deber genérico de fundamentación de las resoluciones judiciales queda desplazado por un análisis desde la perspectiva del deber más estricto de fundamentación para la adopción de medidas restrictivas del derecho a la libertad.</w:t>
      </w:r>
    </w:p>
    <w:p w:rsidR="00DE14C9" w:rsidRDefault="00DE14C9" w:rsidP="00DE14C9">
      <w:pPr>
        <w:pStyle w:val="TextoNormal"/>
      </w:pPr>
      <w:r>
        <w:t>d) Finalmente hemos de recordar también que es a los órganos de la jurisdicción ordinaria a quienes compete en exclusiva determinar en cada caso la concurrencia y valoración de los antecedentes fácticos justificativos de la medida cautelar, puesto que tales organismos son los únicos que gozan de la inmediación necesaria para ello. A este Tribunal, en su tarea de protección del derecho fundamental a la libertad, le corresponde controlar que dicha justificación, articulada a través de la motivación de las resoluciones judiciales, se lleve a cabo ponderando los derechos e intereses en conflicto y resolviendo de forma acorde con los fines legítimos que permiten justificar la limitación cautelar de la libertad personal (por todas, SSTC 128/1995, de 26 de julio, FJ 4; 66/1997, de 7 de abril, FJ 4; 47/2000, de 17 de febrero, FJ 7; 179/2005, de 4 de julio, FJ 4; 35/2007, de 12 de febrero, FJ 2).</w:t>
      </w:r>
    </w:p>
    <w:p w:rsidR="00DE14C9" w:rsidRDefault="00DE14C9" w:rsidP="00DE14C9">
      <w:pPr>
        <w:pStyle w:val="TextoNormal"/>
      </w:pPr>
    </w:p>
    <w:p w:rsidR="00DE14C9" w:rsidRDefault="00DE14C9" w:rsidP="00DE14C9">
      <w:pPr>
        <w:pStyle w:val="TextoNormal"/>
      </w:pPr>
      <w:r w:rsidRPr="00DE14C9">
        <w:rPr>
          <w:rStyle w:val="NumeroAFNegritaCaracter"/>
        </w:rPr>
        <w:t>3</w:t>
      </w:r>
      <w:r>
        <w:t>. La aplicación al caso de la doctrina anteriormente expuesta exige el análisis del contenido de las resoluciones judiciales impugnadas, ya reproducido en los antecedentes.</w:t>
      </w:r>
    </w:p>
    <w:p w:rsidR="00DE14C9" w:rsidRDefault="00DE14C9" w:rsidP="00DE14C9">
      <w:pPr>
        <w:pStyle w:val="TextoNormal"/>
      </w:pPr>
      <w:r>
        <w:t>El Auto de 19 de noviembre de 2004, si bien refiriéndose genéricamente al conjunto de los procesados, razona la existencia tanto del presupuesto habilitante de la medida (“la existencia de indicios racionales de criminalidad que se derivan para cada uno de los procesados a los que atañe la resolución del auto firme de fecha 15 de noviembre de 2004”) como la concurrencia de dos finalidades que legitiman constitucionalmente la medida: conjurar el riesgo de fuga, “pues a la vista de la naturaleza de los hechos, la gravedad de la pena que pueda imponerse a los procesados y la situación procedimental de la causa que hace presumir la pronta celebración del juicio, tal riesgo está latente, sin que dicho riesgo quede conjurado por las circunstancias familiares, personales o económicas de los procesados a las que aluden sus defensas”; y evitar la reiteración delictiva, “dada la naturaleza de los hechos imputados a los procesados”.</w:t>
      </w:r>
    </w:p>
    <w:p w:rsidR="00DE14C9" w:rsidRDefault="00DE14C9" w:rsidP="00DE14C9">
      <w:pPr>
        <w:pStyle w:val="TextoNormal"/>
      </w:pPr>
      <w:r>
        <w:t xml:space="preserve">El Auto de 9 de diciembre de 2004, que desestima el recurso de súplica contra el anterior, ya de forma individualizada respecto del recurrente, razona la existencia de indicios racionales de criminalidad específicamente recogidos en el fundamento jurídico tercero núm. 2 del Auto que confirmó su procesamiento, donde se establece que este procesado “ha mantenido relaciones con personas implicadas en Al Qaeda como Mohamed Zaher Asade, Luis José Galán González (a) Yusuf Galán, Jasem Mahboule, Khaldum Najjar, David Charles Burgues (a) Abu Megen que en realidad es Salaedin Benyaoich, condenado en la actualidad en Marruecos por su relación con los atentados de Casablanca del 16 de mayo de 2003; ha mantenido reuniones en su domicilio o en el de Abu Dahdah a las que han concurrido los antedichos y otras personas integradas en la red de apoyo a Al Qaeda; y ha financiado a miembros de Al Qaeda mediante la remesa de cantidades de dinero en marcos alemanes tales como Mamado Mahmound Ahmed Salin (a) Abu Hajer procesado en EE.UU. como miembro integrante de la organización terrorista y vinculado a atentados reivindicativos por Al Qaeda en Kenia y Tanzania”. Y también argumenta que “cuando se aproxima la celebración del juicio oral, el Ministerio público insta la prisión provisional del procesado, sobre la </w:t>
      </w:r>
      <w:r>
        <w:lastRenderedPageBreak/>
        <w:t>base de la existencia de indicios racionales de criminalidad contra el mismo y el elevado riesgo de que, ante su pronto enjuiciamiento, intente sustraerse a la acción de la justicia, petición revestida de toda lógica, que el Tribunal tiene que acoger en cumplimiento de la obligación que le corresponde de asegurar la celebración del juicio con la presencia de todos y cada uno de los procesados”.</w:t>
      </w:r>
    </w:p>
    <w:p w:rsidR="00DE14C9" w:rsidRDefault="00DE14C9" w:rsidP="00DE14C9">
      <w:pPr>
        <w:pStyle w:val="TextoNormal"/>
      </w:pPr>
    </w:p>
    <w:p w:rsidR="00DE14C9" w:rsidRDefault="00DE14C9" w:rsidP="00DE14C9">
      <w:pPr>
        <w:pStyle w:val="TextoNormal"/>
      </w:pPr>
      <w:r w:rsidRPr="00DE14C9">
        <w:rPr>
          <w:rStyle w:val="NumeroAFNegritaCaracter"/>
        </w:rPr>
        <w:t>4</w:t>
      </w:r>
      <w:r>
        <w:t>. De la lectura de ambas resoluciones judiciales se desprende aún cuando en su argumentación, sí exteriorizan los fundamentos de la decisión que adoptan en lo relativo a la concurrencia tanto del presupuesto habilitante de la misma —los indicios racionales de criminalidad, que el recurrente no pone en cuestión—, como de las finalidades constitucionalmente legítimas que se persiguen con la medida de prisión acordada —esencialmente conjurar el riesgo de fuga, aunque también la evitación de la reiteración delictiva; e igualmente se hace referencia a que tales riesgos no quedan conjurados por las circunstancias familiares, personales o económicas de los procesados.</w:t>
      </w:r>
    </w:p>
    <w:p w:rsidR="00DE14C9" w:rsidRDefault="00DE14C9" w:rsidP="00DE14C9">
      <w:pPr>
        <w:pStyle w:val="TextoNormal"/>
      </w:pPr>
      <w:r>
        <w:t>En la presente demanda de amparo no se cuestiona la existencia de tal exteriorización, sino la falta de consideración individualizada de las circunstancias personales y del caso a la hora de valorar el riesgo de fuga, y que no se señale cuáles son los elementos o circunstancias nuevos que han sido valorados por el Tribunal para revocar la situación de libertad provisional del recurrente, que no puede sustentarse exclusivamente en la proximidad del juicio. Un planteamiento coincidente en buena medida con el de la demanda del recurso de amparo núm. 322-2005 (interpuesto por otro de los coprocesados en la misma causa cuya prisión provisional fue decretada también por el Auto de 19 de noviembre de 2004), resuelto por la reciente Sentencia de la Sala Primera de este Tribunal 35/2007, de 12 de febrero. Ante lo cual, y remitiéndonos a los razonamientos jurídicos de la citada Sentencia, hemos de llegar igualmente a una decisión desestimatoria del amparo solicitado.</w:t>
      </w:r>
    </w:p>
    <w:p w:rsidR="00DE14C9" w:rsidRDefault="00DE14C9" w:rsidP="00DE14C9">
      <w:pPr>
        <w:pStyle w:val="TextoNormal"/>
      </w:pPr>
      <w:r>
        <w:t>En efecto, en contra de lo sostenido por el recurrente, el riesgo de fuga no se afirma sobre la base del único dato de la proximidad del juicio oral, sino considerando la naturaleza y gravedad de los hechos imputados reflejados en el Auto que confirma el procesamiento, la gravedad de la pena que puede imponerse, la confirmación del procesamiento y la proximidad del juicio oral, un cúmulo de circunstancias, “cuya ponderación conjunta no es inconstitucional, entendiéndose expresamente que el riesgo de fuga que de dichas circunstancias deriva no se conjura por las circunstancias individuales alegadas. En este contexto podrá sostenerse que la referencia a las circunstancias personales constituye una afirmación genérica que no se refiere sólo al demandante o que no se razona individualmente sobre las alegaciones de la defensa del recurrente, pero no puede afirmarse que la exteriorización del fundamento de la decisión no contenga una referencia a la ponderación de las circunstancias personales del demandante” (STC 35/2007, FJ 4).</w:t>
      </w:r>
    </w:p>
    <w:p w:rsidR="00DE14C9" w:rsidRDefault="00DE14C9" w:rsidP="00DE14C9">
      <w:pPr>
        <w:pStyle w:val="TextoNormal"/>
      </w:pPr>
      <w:r>
        <w:t xml:space="preserve">A lo que ha de añadirse que “si bien es cierto que desde que se dictó el Auto de procesamiento el 17 de septiembre de 2003 el órgano judicial mantuvo la libertad provisional del recurrente, no lo es menos que dicho Auto estaba recurrido, resolviéndose dicho recurso por Auto de 15 de noviembre de 2004. A la realidad de dicho Auto, a su firmeza y a su contenido se refieren expresamente las resoluciones impugnadas, de modo que, como advierte el Ministerio Fiscal, se trata de un hecho nuevo que puede ser valorado por los órganos judiciales en la evaluación de los riesgos que las medidas cautelares pretenden evitar. Y, además, se trata de una circunstancia procesal cuyo sentido objetivamente considerado reside en la consolidación de la imputación penal contra el recurrente. Como se ha expuesto, ante la ambivalencia del transcurso del tiempo y de la proximidad de la celebración del juicio oral al </w:t>
      </w:r>
      <w:r>
        <w:lastRenderedPageBreak/>
        <w:t>fundamentar el riesgo de fuga, la jurisprudencia constitucional exige una ponderación expresa de las circunstancias procesales concretas del caso para de este modo individualizar el sentido que en cada supuesto la proximidad del juicio oral pueda tener (STC 66/1997). En el caso examinado, al acordarse la prisión provisional del recurrente en Auto de 19 de noviembre de 2004 —cuatro días después de producirse la confirmación del procesamiento del recurrente en Auto de 15 de noviembre de 2004—, no se puede negar que los órganos judiciales han valorado un elemento —la confirmación del Auto de procesamiento— que, en tanto que dato del que deriva la consolidación de la imputación concreta, en la forma requerida por nuestra jurisprudencia, el modo en que la proximidad del juicio oral puede fundamentar el riesgo de fuga” (STC 35/2007, FJ 4).</w:t>
      </w:r>
    </w:p>
    <w:p w:rsidR="00DE14C9" w:rsidRDefault="00DE14C9" w:rsidP="00DE14C9">
      <w:pPr>
        <w:pStyle w:val="TextoNormal"/>
      </w:pPr>
      <w:r>
        <w:t>Por consiguiente las resoluciones judiciales —más allá de la afirmación de los indicios de criminalidad, que en la demanda de amparo no se cuestionan— se fundamentan en un fin constitucionalmente legítimo —evitar el riesgo de fuga—, cuya concurrencia se afirma tras realizar una nueva ponderación de los intereses en conflicto, justificada por la petición del Ministerio Fiscal tras la confirmación del Auto de procesamiento. Y en esa nueva ponderación se tienen en cuenta una serie de datos —proximidad del juicio oral, confirmación o firmeza del procesamiento, naturaleza del delito y gravedad de la pena—, cuya valoración conjunta es legítima desde la perspectiva constitucional, para afirmar la concurrencia del riesgo de fuga en ese nuevo momento procesal, lo que proporciona una justificación suficiente y razonable de la necesidad de la medida adoptada y satisface las exigencias constitucionales de motivación en esta materia. Constatado lo cual este Tribunal no puede profundizar más en el control de la fundamentación de la decisión de acordar la prisión provisional sin traspasar los límites del control externo propio de la jurisdicción de amparo, pues no le compete realizar una valoración —en positivo y de forma directa— de la suficiencia de las circunstancias fácticas concurrentes en el caso para fundamentar el riesgo de fuga o cualquier otro de los riesgos cuya evitación constituye la finalidad legítima de la institución.</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Denegar el amparo solicitado por don Waheed Koshagi Kelani.</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dieciocho de junio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63" w:name="SENTENCIA_2007_150"/>
      <w:r>
        <w:lastRenderedPageBreak/>
        <w:t>SENTENCIA 150/2007, de 18 de junio de 2007</w:t>
      </w:r>
    </w:p>
    <w:bookmarkEnd w:id="63"/>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179, de 27 de julio de 2007)</w:t>
      </w:r>
    </w:p>
    <w:p w:rsidR="00DE14C9" w:rsidRDefault="00DE14C9" w:rsidP="00DE14C9">
      <w:pPr>
        <w:pStyle w:val="TtuloBOE"/>
      </w:pPr>
    </w:p>
    <w:p w:rsidR="00DE14C9" w:rsidRDefault="00DE14C9" w:rsidP="00DE14C9">
      <w:pPr>
        <w:pStyle w:val="SntesisDescriptiva"/>
      </w:pPr>
      <w:r>
        <w:t>ECLI:ES:TC:2007:150</w:t>
      </w:r>
    </w:p>
    <w:p w:rsidR="00DE14C9" w:rsidRDefault="00DE14C9" w:rsidP="00DE14C9">
      <w:pPr>
        <w:pStyle w:val="SntesisDescriptiva"/>
      </w:pPr>
    </w:p>
    <w:p w:rsidR="00DE14C9" w:rsidRDefault="00DE14C9" w:rsidP="00DE14C9">
      <w:pPr>
        <w:pStyle w:val="SntesisDescriptiva"/>
      </w:pPr>
      <w:r>
        <w:t>Recurso de amparo 23-2005. Promovido por don Ahmad Koshagi Kelani frente a los Autos de la Sala de lo Penal de la Audiencia Nacional que acordaron su prisión provisional en causa por delito de pertenencia a organización terrorista.</w:t>
      </w:r>
    </w:p>
    <w:p w:rsidR="00DE14C9" w:rsidRDefault="00DE14C9" w:rsidP="00DE14C9">
      <w:pPr>
        <w:pStyle w:val="SntesisDescriptiva"/>
      </w:pPr>
    </w:p>
    <w:p w:rsidR="00DE14C9" w:rsidRDefault="00DE14C9" w:rsidP="00DE14C9">
      <w:pPr>
        <w:pStyle w:val="SntesisAnaltica"/>
      </w:pPr>
      <w:r>
        <w:t>Supuesta vulneración del derecho a la libertad personal: prisión provisional, ante la proximidad del juicio oral, suficientemente motivada (STC 35/2007).</w:t>
      </w:r>
    </w:p>
    <w:p w:rsidR="00DE14C9" w:rsidRDefault="00DE14C9" w:rsidP="00DE14C9">
      <w:pPr>
        <w:pStyle w:val="SntesisAnaltica"/>
      </w:pPr>
    </w:p>
    <w:p w:rsidR="00DE14C9" w:rsidRDefault="00DE14C9" w:rsidP="00DE14C9">
      <w:pPr>
        <w:pStyle w:val="Extracto"/>
      </w:pPr>
      <w:r>
        <w:t>1.</w:t>
      </w:r>
      <w:r>
        <w:tab/>
        <w:t xml:space="preserve">Reitera la STC 149/2007. </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23-2005, promovido por don Ahmad Koshagi Kelani, representado por el Procurador de los Tribunales don Adolfo Morales Hernández-Sanjuán y asistido por el Letrado don Sebastiá Salellas Magret, contra los Autos de la Sección Tercera de la Sala de lo Penal de la Audiencia Nacional, de 19 de noviembre y 9 de diciembre de 2004, en virtud de los cuales se decretó y confirmó la prisión provisional comunicada y sin fianza del recurrente. Ha intervenido el Ministerio Fiscal. Han comparecido don Waheed Koshagi Kelani, representado por el Procurador don Adolfo Morales Hernández-Sanjuán y asistido por el Letrado don Sebastiá Salellas Magret; don Luis José Galán González, representado por el Procurador don Manuel García Ortiz de Urbina y bajo la dirección letrada de doña María Nieves Fernández Pérez Ravelo; don Taysir Alony Kate, representado por la Procuradora doña Esther Rodríguez Pérez y asistido por el Letrado don José Luis Galán Martín; don Kamal Haddid Chaar, representado por la Procuradora doña Almudena Delgado Gordo y asistido por el Letrado don Jorge García de Oteyza; y don Jamal Hussein Hussein, representado por la Procuradora doña María Luz Albacar Medina y asistido por el Letrado Miguel Ignacio Prados Osuna. Ha sido Ponente el Magistrado don Pascual Sala Sánchez, quien expresa el parecer de la Sala.</w:t>
      </w:r>
    </w:p>
    <w:p w:rsidR="00DE14C9" w:rsidRDefault="00DE14C9" w:rsidP="00DE14C9">
      <w:pPr>
        <w:pStyle w:val="TextoNormal"/>
      </w:pPr>
    </w:p>
    <w:p w:rsidR="00DE14C9" w:rsidRDefault="00DE14C9" w:rsidP="00DE14C9">
      <w:pPr>
        <w:pStyle w:val="TextoNormalNegritaCentrado"/>
        <w:keepNext/>
      </w:pPr>
      <w:r>
        <w:lastRenderedPageBreak/>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que tuvo entrada en el Registro General de este Tribunal el día 3 de enero de 2005 el Procurador de los Tribunales don Adolfo Morales Hernández-Sanjuán, en nombre y representación de don Ahmad Koshagi Kelani, interpuso recurso de amparo contra las resoluciones judiciales que se citan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en los que tiene su origen el presente recurso y relevantes para su resolución son, sucintamente expuestos, los siguientes: </w:t>
      </w:r>
    </w:p>
    <w:p w:rsidR="00DE14C9" w:rsidRDefault="00DE14C9" w:rsidP="00DE14C9">
      <w:pPr>
        <w:pStyle w:val="TextoNormal"/>
      </w:pPr>
      <w:r>
        <w:t xml:space="preserve">a) El día 21 de septiembre del 2003 se dictó por parte del Juez Central de Instrucción núm. 5, en el marco del sumario 35-2001, un Auto por el que se decretaba la prisión provisional, incondicional y comunicada, entre otros, del ahora demandante de amparo, por su presunta integración en la organización terrorista Al Queda, estimando que debía neutralizarse la eventual continuidad delictiva de sus integrantes y, sobre todo, evitar su sustracción de la acción de la justicia, “eventualidad que en el caso actual, y a pesar de que algunos de los imputados llevan largo tiempo en España y, por la gravedad de la imputación, se constituye casi en una certeza; y en algún caso en la posibilidad de reiteración delictiva”. </w:t>
      </w:r>
    </w:p>
    <w:p w:rsidR="00DE14C9" w:rsidRDefault="00DE14C9" w:rsidP="00DE14C9">
      <w:pPr>
        <w:pStyle w:val="TextoNormal"/>
      </w:pPr>
      <w:r>
        <w:t xml:space="preserve">b) Con posterioridad el mismo Juez dictó un nuevo Auto, de fecha 16 de diciembre del 2003, en el que se reformaba la situación de prisión provisional incondicional y se decretaba la prisión provisional, eludible mediante el pago de una fianza en cuantía de ciento cincuenta mil euros (150.000 euros). </w:t>
      </w:r>
    </w:p>
    <w:p w:rsidR="00DE14C9" w:rsidRDefault="00DE14C9" w:rsidP="00DE14C9">
      <w:pPr>
        <w:pStyle w:val="TextoNormal"/>
      </w:pPr>
      <w:r>
        <w:t xml:space="preserve">Dicho Auto, tras rechazar la petición de sobreseimiento y archivo de la causa, por entender que existen indicios de criminalidad para mantener la imputación que deberían ser valorados a la hora de dictar auto de procesamiento, fundamenta su decisión respecto de la situación personal del recurrente en que “el riesgo de sustracción a la acción de la justicia puede concitarse con la prestación de una fianza proporcionada a las circunstancias y gravedad del caso” (FJ 3, punto 3). </w:t>
      </w:r>
    </w:p>
    <w:p w:rsidR="00DE14C9" w:rsidRDefault="00DE14C9" w:rsidP="00DE14C9">
      <w:pPr>
        <w:pStyle w:val="TextoNormal"/>
      </w:pPr>
      <w:r>
        <w:t xml:space="preserve">Previo pago de la fianza impuesta el recurrente obtuvo la libertad provisional en diciembre de 2004. </w:t>
      </w:r>
    </w:p>
    <w:p w:rsidR="00DE14C9" w:rsidRDefault="00DE14C9" w:rsidP="00DE14C9">
      <w:pPr>
        <w:pStyle w:val="TextoNormal"/>
      </w:pPr>
      <w:r>
        <w:t xml:space="preserve">c) El día 19 de abril de 2004, el Juez Instructor dictó auto de procesamiento, en el que se declaraba procesado al ahora demandante de amparo y se ratificaba su situación personal de libertad provisional. </w:t>
      </w:r>
    </w:p>
    <w:p w:rsidR="00DE14C9" w:rsidRDefault="00DE14C9" w:rsidP="00DE14C9">
      <w:pPr>
        <w:pStyle w:val="TextoNormal"/>
      </w:pPr>
      <w:r>
        <w:t xml:space="preserve">El referido auto de procesamiento fue recurrido en reforma por la representación del recurrente, recurso desestimado por el Juzgado Instructor, quien confirmó mediante Auto de 21 de mayo de 2004 íntegramente todos los pronunciamientos del Auto de 19 de abril de 2004. </w:t>
      </w:r>
    </w:p>
    <w:p w:rsidR="00DE14C9" w:rsidRDefault="00DE14C9" w:rsidP="00DE14C9">
      <w:pPr>
        <w:pStyle w:val="TextoNormal"/>
      </w:pPr>
      <w:r>
        <w:t xml:space="preserve">Contra esta resolución se interpuso recurso de apelación, igualmente desestimado por Auto de la Sección Cuarta de la Sala Penal de lo Penal de la Audiencia Nacional de 15 de noviembre de 2004, que confirmó las resoluciones impugnadas en todos sus pronunciamientos. </w:t>
      </w:r>
    </w:p>
    <w:p w:rsidR="00DE14C9" w:rsidRDefault="00DE14C9" w:rsidP="00DE14C9">
      <w:pPr>
        <w:pStyle w:val="TextoNormal"/>
      </w:pPr>
      <w:r>
        <w:t xml:space="preserve">d) El sumario 35-2001 del Juzgado Central de Instrucción núm. 5 correspondió para su enjuiciamiento a la Sección Tercera de la Sala Penal de la Audiencia Nacional, que por Auto de 19 de noviembre de 2004, previa petición del Fiscal y tras celebrar la comparecencia prevista en el art. 505 LECrim, acordó decretar la prisión provisional comunicada y sin fianza del ahora demandante de amparo y de otros procesados que se hallaban en libertad. </w:t>
      </w:r>
    </w:p>
    <w:p w:rsidR="00DE14C9" w:rsidRDefault="00DE14C9" w:rsidP="00DE14C9">
      <w:pPr>
        <w:pStyle w:val="TextoNormal"/>
      </w:pPr>
      <w:r>
        <w:t xml:space="preserve">La fundamentación de tal decisión es la siguiente: </w:t>
      </w:r>
    </w:p>
    <w:p w:rsidR="00DE14C9" w:rsidRDefault="00DE14C9" w:rsidP="00DE14C9">
      <w:pPr>
        <w:pStyle w:val="TextoNormal"/>
      </w:pPr>
      <w:r>
        <w:lastRenderedPageBreak/>
        <w:t xml:space="preserve">“Primero.-El Tribunal, analizando la petición del Ministerio Fiscal respecto a la puesta en prisión provisional de Taysir Alony Kate (a) Abu Masab, Mohamed Khair Al-Saqqua Alsaqqua, Abdalrahman Alarnot Abu Aljer, Jamal Hussein Hussein, Basat Dalati Satut, Ghasoub Al-Abrash Ghalyoun, Waheed Koshagi Kelani, Kamal Haddid Chaar y Ahmad Koshagi Kelani, a tenor de los indicios racionales de criminalidad que resultan del Auto que resuelve el recurso de apelación contra el procesamiento, y oídas las alegaciones de las respectivas defensas de los procesados señalados, llega a la conclusión que en el procedimiento se ha producido una modificación de un hecho hasta ahora no existente cual es la petición de la Acusación Pública de la adopción de las medidas de prisión. </w:t>
      </w:r>
    </w:p>
    <w:p w:rsidR="00DE14C9" w:rsidRDefault="00DE14C9" w:rsidP="00DE14C9">
      <w:pPr>
        <w:pStyle w:val="TextoNormal"/>
      </w:pPr>
      <w:r>
        <w:t xml:space="preserve">Esta modificación obliga al Tribunal a valorar la procedencia o no de dicha medida, para lo que deben concurrir los siguientes requisitos: </w:t>
      </w:r>
    </w:p>
    <w:p w:rsidR="00DE14C9" w:rsidRDefault="00DE14C9" w:rsidP="00DE14C9">
      <w:pPr>
        <w:pStyle w:val="TextoNormal"/>
      </w:pPr>
      <w:r>
        <w:t xml:space="preserve">Unos de carácter material como son que conste la existencia de unos hechos que presenten carácter de delito sancionado con pena cuyo máximo es igual o superior a dos años de prisión. En el presente caso, estos hechos de apariencia delictiva emanan de los indicios racionales de criminalidad que se derivan para cada uno de los procesados a los que atañe la resolución del auto firme de fecha 15 de noviembre de 2004, con lo cual se cumple también el requisito del 1ª apartado del artículo 503 de la LECR. </w:t>
      </w:r>
    </w:p>
    <w:p w:rsidR="00DE14C9" w:rsidRDefault="00DE14C9" w:rsidP="00DE14C9">
      <w:pPr>
        <w:pStyle w:val="TextoNormal"/>
      </w:pPr>
      <w:r>
        <w:t xml:space="preserve">Segundo.- Asimismo el Tribunal entiende que se dan los presupuestos que legitiman constitucionalmente la adopción de la prisión provisional, plasmados en el apartado 3, nº 1 del artículo 503, cuales son en el presente caso, por un lado conjurar el riesgo de fuga, pues a la vista de la naturaleza de los hechos, la gravedad de la pena que pueda imponerse a los procesados y la situación procedimental de la causa que hace presumir la pronta celebración del juicio, tal riesgo está latente, sin que dicho riesgo quede conjurado por las circunstancias familiares, personales o económicas de los procesados a las que aluden sus defensas. </w:t>
      </w:r>
    </w:p>
    <w:p w:rsidR="00DE14C9" w:rsidRDefault="00DE14C9" w:rsidP="00DE14C9">
      <w:pPr>
        <w:pStyle w:val="TextoNormal"/>
      </w:pPr>
      <w:r>
        <w:t xml:space="preserve">También el Tribunal dada la naturaleza de los hechos imputados a los procesados en el auto anteriormente señalado, entiende que con esta medida cautelar se conjura una posible continuada reiteración delictiva”. </w:t>
      </w:r>
    </w:p>
    <w:p w:rsidR="00DE14C9" w:rsidRDefault="00DE14C9" w:rsidP="00DE14C9">
      <w:pPr>
        <w:pStyle w:val="TextoNormal"/>
      </w:pPr>
      <w:r>
        <w:t xml:space="preserve">e) Recurrido dicho Auto en súplica la Sección Tercera de la Sala de lo Penal de la Audiencia Nacional desestimó el recurso mediante Auto 9 de diciembre del 2004. </w:t>
      </w:r>
    </w:p>
    <w:p w:rsidR="00DE14C9" w:rsidRDefault="00DE14C9" w:rsidP="00DE14C9">
      <w:pPr>
        <w:pStyle w:val="TextoNormal"/>
      </w:pPr>
      <w:r>
        <w:t xml:space="preserve">Tal decisión se fundamenta, por una parte, en la existencia de los indicios racionales de criminalidad que se recogen en el fundamento jurídico tercero núm. 1 del Auto que confirmó el procesamiento, donde se establece que este procesado “se encuentra integrado en la red de apoyo a Al Qaeda dirigida por Imad Edwin Barakat Yarkas (a) Abu Dahdah; con él mantiene contactos, al igual que con Galeb Kalaje Zouaydi, Nabil Nanakli Koisaibati y otros activistas terroristas … como resulta acreditado por los informes de inteligencia realizados por los expertos de la Unidad Central de Información Exterior de la policía; atestados aportados y documentos intervenidos; declaraciones testificales de los funcionarios de policía; conversaciones telefónicas intervenidas con la pertinente autorización judicial en las que se recoge lo manifestado entre estos procesados con Abu Dada; las declaraciones de los procesados y de otros coprocesados como Abdulla Khayatta Kattan; la documentación acumulada y en particular las Comisiones Rogatorias, principalmente la cumplimentada por las autoridades alemanas y las notas informativas y de investigación de la policía”. Por otra parte, en el razonamiento segundo se señala que “cuando se aproxima la celebración del juicio oral, el Ministerio público insta la prisión provisional del procesado, sobre la base de la existencia de indicios racionales de criminalidad contra el mismo y el elevado riesgo de que, ante su pronto enjuiciamiento, intente sustraerse a la acción de la justicia, petición revestida de toda lógica, que el Tribunal tiene que acoger en cumplimiento de la obligación </w:t>
      </w:r>
      <w:r>
        <w:lastRenderedPageBreak/>
        <w:t>que le corresponde de asegurar la celebración del juicio con la presencia de todos y cada uno de los procesados”.</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El recurrente fundamenta su demanda de amparo en la vulneración del derecho fundamental a la libertad y a la seguridad reconocido en el art. 17 CE. </w:t>
      </w:r>
    </w:p>
    <w:p w:rsidR="00DE14C9" w:rsidRDefault="00DE14C9" w:rsidP="00DE14C9">
      <w:pPr>
        <w:pStyle w:val="TextoNormal"/>
      </w:pPr>
      <w:r>
        <w:t xml:space="preserve">Tras recordar cuáles son las exigencias constitucionales que, conforme a la reiterada doctrina de este Tribunal, deben cumplir las resoluciones judiciales que acuerdan la prisión provisional, se afirma que las recurridas adolecen de falta de motivación conforme a tales exigencias, lo que determina la vulneración del derecho a la libertad. Y ello porque, si bien conforme a lo dispuesto en el art. 539 LECrim el Juez, de oficio, y en cualquier momento de la causa, puede modificar la situación personal del imputado, cuando —como ocurre en el presente caso— se revoca una libertad provisional para acordar la prisión provisional dicha resolución deberá motivar expresamente la concurrencia de los requisitos para la adopción de la prisión (como cualquier resolución acordando prisión provisional) y también deberá concretar cuál ha sido el cambio en las circunstancias que provoca una nueva valoración del Juez o Tribunal con consecuencias tan gravosas para los derechos fundamentales como la prisión provisional. Sin que la proximidad de celebración del juicio sea una causa habilitante ipso iure para el mantenimiento de la medida de prisión provisional, y mucho menos para la adopción de la misma revocando la situación de libertad provisional, como se desprende de la STC 66/1997, que se reproduce parcialmente y que establece que “la simple referencia a lo avanzado de la tramitación carece como tal de fuerza argumentativa para afirmar la posibilidad de que el imputado huya”. </w:t>
      </w:r>
    </w:p>
    <w:p w:rsidR="00DE14C9" w:rsidRDefault="00DE14C9" w:rsidP="00DE14C9">
      <w:pPr>
        <w:pStyle w:val="TextoNormal"/>
      </w:pPr>
      <w:r>
        <w:t xml:space="preserve">En el presente caso el recurrente estuvo en prisión provisional por esta causa desde el 21 de septiembre de 2003 hasta diciembre de 2004, momento en que salió en libertad provisional previo pago de fianza. El Auto de 21 de septiembre del 2003, que acordó inicialmente la prisión provisional, fundamenta tal decisión —en cuanto a la finalidad perseguida, puesto que en la demanda no se discute la existencia de indicios racionales de criminalidad— en el riesgo de sustracción de la acción de la justicia, que, pese a que algunos de los imputados llevan largo tiempo en España, dada la gravedad de la imputación valora como “casi una certeza”, estimando que también existe riesgo de reiteración delictiva. Tales razones se reiteran en el Auto de 22 de octubre de 2003, que desestimó la reforma frente al anterior. Posteriormente el Auto de 16 de diciembre de 2003, que modificó la situación personal del recurrente en el sentido de que la prisión provisional era eludible con una fianza de 150.000 euros, afirma expresamente que “el riesgo de sustracción a la acción de la justicia puede concitarse con la prestación de una fianza proporcionada a las circunstancias y gravedad del caso”. Tanto en el Auto de procesamiento como en el de confirmación del de procesamiento se mantiene la libertad provisional, hasta que el día 19 de noviembre de 2004 se acuerda de nuevo la prisión provisional del recurrente y de ocho personas más, fundamentando la medida conjuntamente para todos de un modo totalmente genérico y estereotipado. </w:t>
      </w:r>
    </w:p>
    <w:p w:rsidR="00DE14C9" w:rsidRDefault="00DE14C9" w:rsidP="00DE14C9">
      <w:pPr>
        <w:pStyle w:val="TextoNormal"/>
      </w:pPr>
      <w:r>
        <w:t xml:space="preserve">Según el recurrente el citado Auto, al margen de la falta evidente de valoración de las circunstancias personales de cada uno de los nueve procesados, no señala motivadamente qué elementos o circunstancias nuevos son valorados para revocar la situación de libertad provisional, dado que el conjunto de fundamentos contenidos en el Auto ya aparecían en los Autos que confirmaban la situación de libertad provisional. En efecto, descartada la proximidad del juicio como circunstancia para motivar por si sola la revocación de la libertad provisional, la existencia de imputación era evidente desde la detención, y la gravedad de la misma fue consolidada cuando resultó dictado el Auto de procesamiento, momento en el cual el recurrente se encontraba en libertad. Por otra parte las circunstancias personales, </w:t>
      </w:r>
      <w:r>
        <w:lastRenderedPageBreak/>
        <w:t xml:space="preserve">familiares, sociales y económicas habían sido valoradas para considerar suficiente una fianza con anterioridad y más tarde no aparecen como suficientes para mantener la situación de libertad provisional, sin que conste un solo motivo objetivo para realizar dicha modificación, insistiendo en que, justo cuatro días antes, la Sección Cuarta de la Sala de lo Penal confirmó el pronunciamiento sobre libertad provisional contenido en el Auto de procesamiento al confirmar éste. </w:t>
      </w:r>
    </w:p>
    <w:p w:rsidR="00DE14C9" w:rsidRDefault="00DE14C9" w:rsidP="00DE14C9">
      <w:pPr>
        <w:pStyle w:val="TextoNormal"/>
      </w:pPr>
      <w:r>
        <w:t xml:space="preserve">Y en cuanto al Auto de 9 de diciembre, que desestimó el recurso de súplica, entiende el recurrente que no suple la insuficiente motivación del anterior, pues se limita a insistir en la proximidad de la celebración del juicio como fin que justifica la medida, motivo que no puede fundar por si solo una medida de prisión provisional. </w:t>
      </w:r>
    </w:p>
    <w:p w:rsidR="00DE14C9" w:rsidRDefault="00DE14C9" w:rsidP="00DE14C9">
      <w:pPr>
        <w:pStyle w:val="TextoNormal"/>
      </w:pPr>
      <w:r>
        <w:t>En consecuencia entiende el recurrente que no se cumplen los requisitos exigidos por la doctrina constitucional para acordar la prisión provisional, vulnerándose el derecho a la libertad (art. 17.1 CE). Mediante otrosí solicita la suspensión de las resoluciones impugnadas, pues la ejecución de las mismas ocasionaría un perjuicio que haría perder su finalidad al amparo.</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Por providencia de 20 de diciembre de 2005 la Sala Segunda acordó la admisión a trámite de la demanda y, a tenor de lo dispuesto en el art. 51 LOTC, dirigir atenta comunicación a la Sección Tercera de la Sala de lo Penal de la Audiencia Nacional a fin de que, en plazo que no excediese de diez días, remitiera certificación o fotocopia adverada de las actuaciones correspondientes a la pieza de situación personal de don Ahmad Koshagi Kelani; debiendo previamente emplazarse a quienes hubieran sido parte en el procedimiento, excepto a la parte recurrente en amparo, para que en el plazo de diez días pudieran comparecer en el recurso de amparo. </w:t>
      </w:r>
    </w:p>
    <w:p w:rsidR="00DE14C9" w:rsidRDefault="00DE14C9" w:rsidP="00DE14C9">
      <w:pPr>
        <w:pStyle w:val="TextoNormal"/>
      </w:pPr>
      <w:r>
        <w:t>Respecto al otrosí digo se señala que, habiéndose recibido por fax el Auto de fecha 1 de junio de 2005 dictado por la Sección Tercera de la Sala de lo Penal de la Audiencia Nacional decretando la libertad provisional del recurrente don Ahmad Koshagi Kelani, no procede tramitar la pieza de suspensión.</w:t>
      </w:r>
    </w:p>
    <w:p w:rsidR="00DE14C9" w:rsidRDefault="00DE14C9" w:rsidP="00DE14C9">
      <w:pPr>
        <w:pStyle w:val="TextoNormal"/>
      </w:pPr>
    </w:p>
    <w:p w:rsidR="00DE14C9" w:rsidRDefault="00DE14C9" w:rsidP="00DE14C9">
      <w:pPr>
        <w:pStyle w:val="TextoNormal"/>
      </w:pPr>
      <w:r w:rsidRPr="00DE14C9">
        <w:rPr>
          <w:rStyle w:val="NumeroAFNegritaCaracter"/>
        </w:rPr>
        <w:t>5</w:t>
      </w:r>
      <w:r>
        <w:t>. Mediante escrito registrado en este Tribunal el día 23 de febrero de 2006 don Adolfo Morales Hernández-Sanjuán, Procurador de los Tribunales y de don Waheed Koshagi Kelani, comparece y se persona en el presente recurso de amparo, bajo la dirección letrada de don Sebastiá Salellas Magret, manifestando que se adhiere a los motivos de recurso formulados por el recurrente e interesando la acumulación del presente recurso de amparo al 22-2005, interpuesto por su representado, por tratarse de procedimientos con objetos conexos en los que está justificada la tramitación y decisión conjunta.</w:t>
      </w:r>
    </w:p>
    <w:p w:rsidR="00DE14C9" w:rsidRDefault="00DE14C9" w:rsidP="00DE14C9">
      <w:pPr>
        <w:pStyle w:val="TextoNormal"/>
      </w:pPr>
    </w:p>
    <w:p w:rsidR="00DE14C9" w:rsidRDefault="00DE14C9" w:rsidP="00DE14C9">
      <w:pPr>
        <w:pStyle w:val="TextoNormal"/>
      </w:pPr>
      <w:r w:rsidRPr="00DE14C9">
        <w:rPr>
          <w:rStyle w:val="NumeroAFNegritaCaracter"/>
        </w:rPr>
        <w:t>6</w:t>
      </w:r>
      <w:r>
        <w:t>. El 2 de marzo de 2006 la Procuradora de los Tribunales y de don Taysir Alony Kate, doña Esther Rodríguez Pérez, comparece igualmente en el presente recurso, bajo la dirección letrada de don José Luis Galán Martín, destacando que la vulneración del derecho fundamental que en el mismo se denuncia es sustancialmente idéntica a la denunciada en el recurso de amparo núm. 343-2005, interpuesto por su representado. Ante lo cual, por economía procesal y al estar suficientemente instruida de las actuaciones, evacua también el trámite del art. 52.1 LOTC, adhiriéndose a las alegaciones del recurrente.</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7</w:t>
      </w:r>
      <w:r>
        <w:t>. El día 7 de marzo de 2006 comparece y se persona en el presente recurso don Manuel García Ortiz de Urbina, Procurador de los Tribunales y de don Luis José Galán González, bajo la dirección letrada de doña María Nieves Fernández Pérez Ravelo.</w:t>
      </w:r>
    </w:p>
    <w:p w:rsidR="00DE14C9" w:rsidRDefault="00DE14C9" w:rsidP="00DE14C9">
      <w:pPr>
        <w:pStyle w:val="TextoNormal"/>
      </w:pPr>
    </w:p>
    <w:p w:rsidR="00DE14C9" w:rsidRDefault="00DE14C9" w:rsidP="00DE14C9">
      <w:pPr>
        <w:pStyle w:val="TextoNormal"/>
      </w:pPr>
      <w:r w:rsidRPr="00DE14C9">
        <w:rPr>
          <w:rStyle w:val="NumeroAFNegritaCaracter"/>
        </w:rPr>
        <w:t>8</w:t>
      </w:r>
      <w:r>
        <w:t>. Doña María Luz Albacar Medina, Procuradora de los Tribunales y de don Jamal Hussein Hussein, comparece y se persona en el presente recurso en día 8 de marzo de 2006.</w:t>
      </w:r>
    </w:p>
    <w:p w:rsidR="00DE14C9" w:rsidRDefault="00DE14C9" w:rsidP="00DE14C9">
      <w:pPr>
        <w:pStyle w:val="TextoNormal"/>
      </w:pPr>
    </w:p>
    <w:p w:rsidR="00DE14C9" w:rsidRDefault="00DE14C9" w:rsidP="00DE14C9">
      <w:pPr>
        <w:pStyle w:val="TextoNormal"/>
      </w:pPr>
      <w:r w:rsidRPr="00DE14C9">
        <w:rPr>
          <w:rStyle w:val="NumeroAFNegritaCaracter"/>
        </w:rPr>
        <w:t>9</w:t>
      </w:r>
      <w:r>
        <w:t xml:space="preserve">. Mediante diligencia de ordenación de 30 de marzo de 2006 se tiene por personado al Procurador don Adolfo Morales Hernández-Sanjuán en nombre de don Waheed Koshagi Kelani. </w:t>
      </w:r>
    </w:p>
    <w:p w:rsidR="00DE14C9" w:rsidRDefault="00DE14C9" w:rsidP="00DE14C9">
      <w:pPr>
        <w:pStyle w:val="TextoNormal"/>
      </w:pPr>
      <w:r>
        <w:t xml:space="preserve">Mediante otra diligencia de ordenación de 27 de junio de 2006 se tiene por personada y parte en el procedimiento a doña Almudena Delgado Gordo, en nombre y representación de don Kamal Hadid Chaar, y por designado en virtud del turno de oficio para su defensa al Letrado don Jorge García de Oteyza van den Brule. Igualmente se tienen por personados y partes a la Procuradora doña Esther Rodríguez Pérez, en nombre de don Taysir Alony Kate, a don Manuel García Ortiz de Urbina, en nombre de don Luis José Galán González, y a doña María Luz Albacar Medina, en nombre de don Jamal Hussein Hussein. En la misma diligencia se acuerda dar vista de las actuaciones recibidas a las partes personadas y al Ministerio Fiscal por plazo común de veinte días, dentro de los cuales podrían presentar alegaciones, conforme a lo previsto en el art. 52.1 LOTC. </w:t>
      </w:r>
    </w:p>
    <w:p w:rsidR="00DE14C9" w:rsidRDefault="00DE14C9" w:rsidP="00DE14C9">
      <w:pPr>
        <w:pStyle w:val="TextoNormal"/>
      </w:pPr>
      <w:r>
        <w:t>Asimismo se acordó conceder a la parte recurrente, al Ministerio Fiscal y a las partes personadas un plazo de diez días a fin de que, conforme establece el art. 83 LOTC, efectuasen alegaciones acerca de la acumulación del presente recurso de amparo al tramitado en la misma Sala con el núm. 22-2005. Evacuado dicho trámite, por Auto de 4 de junio de 2007 la Sala Segunda acordó denegar la acumulación de los recursos.</w:t>
      </w:r>
    </w:p>
    <w:p w:rsidR="00DE14C9" w:rsidRDefault="00DE14C9" w:rsidP="00DE14C9">
      <w:pPr>
        <w:pStyle w:val="TextoNormal"/>
      </w:pPr>
    </w:p>
    <w:p w:rsidR="00DE14C9" w:rsidRDefault="00DE14C9" w:rsidP="00DE14C9">
      <w:pPr>
        <w:pStyle w:val="TextoNormal"/>
      </w:pPr>
      <w:r w:rsidRPr="00DE14C9">
        <w:rPr>
          <w:rStyle w:val="NumeroAFNegritaCaracter"/>
        </w:rPr>
        <w:t>10</w:t>
      </w:r>
      <w:r>
        <w:t>. Mediante escrito registrado el día 13 de julio de 2006 doña Esther Rodríguez Pérez, Procuradora de los Tribunales y de don Taysir Alony Kate, manifiesta su total apoyo a las alegaciones del recurrente, en cuanto coinciden con las de su propio recurso núm.343-2005.</w:t>
      </w:r>
    </w:p>
    <w:p w:rsidR="00DE14C9" w:rsidRDefault="00DE14C9" w:rsidP="00DE14C9">
      <w:pPr>
        <w:pStyle w:val="TextoNormal"/>
      </w:pPr>
    </w:p>
    <w:p w:rsidR="00DE14C9" w:rsidRDefault="00DE14C9" w:rsidP="00DE14C9">
      <w:pPr>
        <w:pStyle w:val="TextoNormal"/>
      </w:pPr>
      <w:r w:rsidRPr="00DE14C9">
        <w:rPr>
          <w:rStyle w:val="NumeroAFNegritaCaracter"/>
        </w:rPr>
        <w:t>11</w:t>
      </w:r>
      <w:r>
        <w:t>. El día 28 de julio de 2006 doña Almudena Delgado Gordo, Procuradora de los Tribunales y de don Kamal Hadid Chaar, evacua el trámite de alegaciones manifestando que se adhiere plenamente al recurso planteado por don Ahmad Koshagi Kelani.</w:t>
      </w:r>
    </w:p>
    <w:p w:rsidR="00DE14C9" w:rsidRDefault="00DE14C9" w:rsidP="00DE14C9">
      <w:pPr>
        <w:pStyle w:val="TextoNormal"/>
      </w:pPr>
    </w:p>
    <w:p w:rsidR="00DE14C9" w:rsidRDefault="00DE14C9" w:rsidP="00DE14C9">
      <w:pPr>
        <w:pStyle w:val="TextoNormal"/>
      </w:pPr>
      <w:r w:rsidRPr="00DE14C9">
        <w:rPr>
          <w:rStyle w:val="NumeroAFNegritaCaracter"/>
        </w:rPr>
        <w:t>12</w:t>
      </w:r>
      <w:r>
        <w:t xml:space="preserve">. La representación procesal del demandante de amparo formuló sus alegaciones mediante escrito que tuvo su entrada en el Registro de este Tribunal el día 28 de julio de 2006, en el que sustancialmente reproduce los argumentos ya expuestos en la demanda. </w:t>
      </w:r>
    </w:p>
    <w:p w:rsidR="00DE14C9" w:rsidRDefault="00DE14C9" w:rsidP="00DE14C9">
      <w:pPr>
        <w:pStyle w:val="TextoNormal"/>
      </w:pPr>
      <w:r>
        <w:t>Así sostiene que la prisión provisional acordada se halla huérfana de motivación y de finalidad constitucionalmente legítima, pues se fundamentó la modificación de la situación personal del recurrente y ocho personas más y la adopción de la prisión provisional de modo totalmente genérico y estereotipado, sin atender a las circunstancias personales, familiares, sociales y económicas, que habían sido valoradas para considerar suficiente una fianza con anterioridad y más tarde no aparecen como suficientes para mantener su situación de libertad provisional, sin que conste un solo motivo objetivo para realizar dicha modificación.</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13</w:t>
      </w:r>
      <w:r>
        <w:t xml:space="preserve">. El Fiscal ante el Tribunal Constitucional formuló sus alegaciones mediante escrito registrado el día 1 de septiembre de 2006, en el que interesa la desestimación de la demanda de amparo. </w:t>
      </w:r>
    </w:p>
    <w:p w:rsidR="00DE14C9" w:rsidRDefault="00DE14C9" w:rsidP="00DE14C9">
      <w:pPr>
        <w:pStyle w:val="TextoNormal"/>
      </w:pPr>
      <w:r>
        <w:t xml:space="preserve">Tras analizar los hechos y los antecedentes procesales del caso recuerda el Fiscal que, cuando en un recurso de amparo se alega la infracción, conjunta o separada, del derecho a la libertad y del derecho a la tutela judicial efectiva, ha de entenderse integrado el segundo en el primero, toda vez que una eventual lesión del derecho a la tutela judicial efectiva, por una falta de motivación, supone el ataque frontal a la libertad del recurrente. A continuación, con cita de las SSTC 61/2001 y 170/2001, se recuerda la doctrina de este Tribunal acerca del derecho a la libertad en los supuestos de prisión provisional, destacando que el aseguramiento de la presencia del imputado en el juicio oral constituye un fin constitucionalmente legítimo, como recuerda la reciente STC 179/2005, en su FJ 4, que reproduce parcialmente. </w:t>
      </w:r>
    </w:p>
    <w:p w:rsidR="00DE14C9" w:rsidRDefault="00DE14C9" w:rsidP="00DE14C9">
      <w:pPr>
        <w:pStyle w:val="TextoNormal"/>
      </w:pPr>
      <w:r>
        <w:t xml:space="preserve">Y, pasando al análisis del presente caso, señala que la valoración del acuerdo de prisión no puede hacerse de modo aislado, sino en consideración a la cronología de los hechos y, por tanto, de la investigación e instrucción de aquéllos y de los hitos procesales en que se insertan las respectivas resoluciones sobre la situación de los procesados. Así el recurrente fue privado de libertad al inicio del procedimiento por su indiciaria participación en los hechos, situación que se tornó en libertad poco después, habida cuenta de que la instrucción podía dilatarse, de sus circunstancias personales y del hecho de que su procesamiento inicial aún no era firme. </w:t>
      </w:r>
    </w:p>
    <w:p w:rsidR="00DE14C9" w:rsidRDefault="00DE14C9" w:rsidP="00DE14C9">
      <w:pPr>
        <w:pStyle w:val="TextoNormal"/>
      </w:pPr>
      <w:r>
        <w:t xml:space="preserve">“Sin embargo, tal situación de libertad, [dice] viene afectada en el decurso del tiempo por acontecimientos que hacen variar el criterio de la Sala enjuiciadora lo que determina el dictado del auto de detención de 18 de noviembre de 2004 y la citación, para la comparecencia prevista en el art. 505 de la LECr., al Ministerio Fiscal y a los letrados de los nuevamente detenidos para oírles sobre un posible cambio en la situación personal de aquellos. En tal acto el Ministerio Fiscal explicita la nueva realidad consistente en la confirmación por la Audiencia Nacional del auto de procesamiento dictado por el Juez Central de instrucción núm. 5, así como la pronta celebración del juicio oral lo que extrema el riesgo de fuga (folios 393 y ss. de la pieza de situación de Ahmad Kosagi) de los ahora detenidos, fuga que se consideraría por el Fiscal previsible y razonable. Es de reseñar que tales fines de la prisión están conectados con los constitucionalmente legítimos, riesgo de fuga e inminencia de celebración del juicio oral que aparecen asimismo en la legislación sobre la materia sobre la base de la jurisprudencia del Tribunal Constitucional (particularmente destacable lo es la conexión de ambos en la dicción del art. 503.3 a) de LECr)”. </w:t>
      </w:r>
    </w:p>
    <w:p w:rsidR="00DE14C9" w:rsidRDefault="00DE14C9" w:rsidP="00DE14C9">
      <w:pPr>
        <w:pStyle w:val="TextoNormal"/>
      </w:pPr>
      <w:r>
        <w:t xml:space="preserve">El mismo día de la celebración de la comparecencia la Sala dicta el primero de los Autos recurridos en amparo, a raíz de la petición y los argumentos esgrimidos por el Ministerio Fiscal, que pueden ser considerados como “hecho nuevo”, interpretando sensu contrario el art. 505.4 LECrim. “Asimismo, con la materialidad del requisito de la petición del Fiscal, se ofrece el del nuevo hecho consistente en el dictado por la Audiencia Nacional de un auto confirmando los acordados en su día para el Juez Central. </w:t>
      </w:r>
    </w:p>
    <w:p w:rsidR="00DE14C9" w:rsidRDefault="00DE14C9" w:rsidP="00DE14C9">
      <w:pPr>
        <w:pStyle w:val="TextoNormal"/>
      </w:pPr>
      <w:r>
        <w:t xml:space="preserve">Tal nueva valoración por un Tribunal Superior de hechos indiciarios de la comisión de delitos de terrorismo con el carácter de firme (ya que el nuevo auto de procesamiento era irrecurrible) es apto para provocar una reacción del órgano judicial de revisión de las situaciones personales de los procesados lo que aparece explicitado en el párrafo último del razonamiento jurídico primero del auto recurrido, y está en conexión con el núm. 1 del art. 503 de LECr”. </w:t>
      </w:r>
    </w:p>
    <w:p w:rsidR="00DE14C9" w:rsidRDefault="00DE14C9" w:rsidP="00DE14C9">
      <w:pPr>
        <w:pStyle w:val="TextoNormal"/>
      </w:pPr>
      <w:r>
        <w:lastRenderedPageBreak/>
        <w:t xml:space="preserve">Continúa el Fiscal destacando que el Auto de 19 de noviembre de 2004, por su parte, exterioriza el criterio del Tribunal sobre los demás requisitos que condicionan constitucionalmente la nueva toma de decisión, como es el riesgo de fuga, a la vista de la gravedad de los hechos, pena a imponer, situación procedimental de la causa y posibilidad de reiteración delictiva. E igualmente atiende a las circunstancias familiares, personales y económicas de los procesados (lo que no quiere decir necesariamente su acogimiento en orden a eludir la prisión, como pretendían las defensas), entendiendo que en la ponderación entre aquellas y el posible riesgo de fuga pesa más este último. </w:t>
      </w:r>
    </w:p>
    <w:p w:rsidR="00DE14C9" w:rsidRDefault="00DE14C9" w:rsidP="00DE14C9">
      <w:pPr>
        <w:pStyle w:val="TextoNormal"/>
      </w:pPr>
      <w:r>
        <w:t>Por tanto, y desde el control externo que puede llevar a cabo el Tribunal Constitucional, ha de afirmarse que las resoluciones impugnadas no adolecen de motivación deficiente, a la vista de la petición fiscal y del mantenimiento del Auto de procesamiento por la Sala desestimando el recurso de apelación, y la reconsideración de los indicios de criminalidad, el riesgo de fuga y la evitación de la reiteración añadidos a los criterios iniciales de gravedad de hechos y de penas a imponer. Una forma de motivar conectada, de otro lado, con los fines constitucionalmente legítimos a los que la prisión sirve, y que no viene desautorizada por el hecho de que en otro momento procesal se acordara la libertad provisional, pues “la nueva situación ofrece una visión distinta influida por la confirmación del procesamiento y la inminencia del juicio lo que conduce a una nueva prisión en la que las circunstancias personales del preso no pueden venir necesariamente abocadas a su libertad”. Por último entiende el Fiscal que no pueden considerarse los requisitos exigidos jurisprudencialmente de forma autónoma, y que en el presente caso se han valorado y ponderado, tanto el riesgo de fuga como los indicios, la pronta celebración del juicio oral y las circunstancias personales del preso, y que la valoración conjunta de todo ello llevó a la Sala a acordar la prisión, debidamente fundamentada en los dos Autos dictados, sin que, por ello, pueda ser detectada lesión alguna del art. 17 CE y, derivadamente del 24.1 CE.</w:t>
      </w:r>
    </w:p>
    <w:p w:rsidR="00DE14C9" w:rsidRDefault="00DE14C9" w:rsidP="00DE14C9">
      <w:pPr>
        <w:pStyle w:val="TextoNormal"/>
      </w:pPr>
    </w:p>
    <w:p w:rsidR="00DE14C9" w:rsidRDefault="00DE14C9" w:rsidP="00DE14C9">
      <w:pPr>
        <w:pStyle w:val="TextoNormal"/>
      </w:pPr>
      <w:r w:rsidRPr="00DE14C9">
        <w:rPr>
          <w:rStyle w:val="NumeroAFNegritaCaracter"/>
        </w:rPr>
        <w:t>14</w:t>
      </w:r>
      <w:r>
        <w:t>. Por providencia de 14 de junio de 2007 se señaló para deliberación y votación de la presente Sentencia el día 18 del mismo mes y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 presente demanda de amparo se dirige contra Autos de la Sección Tercera de la Sala de lo Penal de la Audiencia Nacional de 19 de noviembre y 9 de diciembre de 2004, en virtud de los cuales se acordó la prisión provisional del recurrente de amparo en el procedimiento penal en el que se le consideró indiciariamente implicado en un delito de pertenencia a organización terrorista (Al Qaeda). Como se ha expuesto con detalle en los antecedentes, se denuncia la vulneración del derecho a la libertad personal (art. 17.1 CE) por entender que las resoluciones judiciales impugnadas no cumplen con las exigencias de motivación que la jurisprudencia de este Tribunal ha establecido como imprescindibles para poder restringir el derecho a la libertad. En concreto sostiene el recurrente que el riesgo de fuga, esgrimido como finalidad que justifica la medida, se afirma de forma genérica y estereotipada, sin tener en cuenta las circunstancias personales y del caso y sin explicitar qué circunstancias o hechos nuevos justifican el cambio de criterio frente a las anteriores decisiones adoptadas en el mismo procedimiento, que habían permitido su puesta en libertad provisional en atención a sus circunstancias personales. Se insiste en la demanda, con cita de la STC 66/1997, de 7 de abril, en que la proximidad del juicio no puede justificar por sí sola la revocación de la libertad provisional.</w:t>
      </w:r>
    </w:p>
    <w:p w:rsidR="00DE14C9" w:rsidRDefault="00DE14C9" w:rsidP="00DE14C9">
      <w:pPr>
        <w:pStyle w:val="TextoNormal"/>
      </w:pPr>
      <w:r>
        <w:lastRenderedPageBreak/>
        <w:t>El Ministerio Fiscal interesa la desestimación íntegra de la demanda, afirmando que las resoluciones impugnadas acuerdan la prisión del recurrente a raíz de la nueva situación generada por la petición del Ministerio Fiscal y la confirmación por la Audiencia Nacional del Auto de procesamiento. Y en la nueva ponderación llevada a cabo se tienen en cuenta, tanto la existencia de indicios de la comisión de un delito de terrorismo por parte del recurrente, como la concurrencia de riesgo de fuga, cuya prevención es una finalidad constitucionalmente legítima que habilita para decretar prisión provisional, y que resulta procedente articular en el caso tras ponderar las circunstancias personales del recurrente globalmente con la gravedad de los hechos y la pena, la confirmación del procesamiento y la proximidad del juicio oral. Y constatado que los órganos judiciales han exteriorizado dichos extremos, los límites marcados a la jurisdicción constitucional impiden, desde la perspectiva del control externo, sostener que las resoluciones judiciales adolecen de motivación deficiente.</w:t>
      </w:r>
    </w:p>
    <w:p w:rsidR="00DE14C9" w:rsidRDefault="00DE14C9" w:rsidP="00DE14C9">
      <w:pPr>
        <w:pStyle w:val="TextoNormal"/>
      </w:pPr>
    </w:p>
    <w:p w:rsidR="00DE14C9" w:rsidRDefault="00DE14C9" w:rsidP="00DE14C9">
      <w:pPr>
        <w:pStyle w:val="TextoNormal"/>
      </w:pPr>
      <w:r w:rsidRPr="00DE14C9">
        <w:rPr>
          <w:rStyle w:val="NumeroAFNegritaCaracter"/>
        </w:rPr>
        <w:t>2</w:t>
      </w:r>
      <w:r>
        <w:t>. El examen de la pretensión de amparo ha de partir de la consolidada jurisprudencia de este Tribunal acerca de las exigencias constitucionales de motivación que han de satisfacer las resoluciones judiciales a través de las que se acuerda la prisión provisional, en cuanto restrictivas del derecho fundamental a la libertad personal (art. 17.1 CE).</w:t>
      </w:r>
    </w:p>
    <w:p w:rsidR="00DE14C9" w:rsidRDefault="00DE14C9" w:rsidP="00DE14C9">
      <w:pPr>
        <w:pStyle w:val="TextoNormal"/>
      </w:pPr>
      <w:r>
        <w:t>a) Desde la STC 128/1995, de 26 de junio, este Tribunal viene afirmando que la prisión provisional es una medida cautelar cuya legitimidad constitucional, en tanto que limitativa del derecho a la libertad personal (art. 17.1 CE) de quien aún goza del derecho a la presunción de inocencia, exige como presupuesto la existencia de indicios racionales de la comisión de un delito por parte del sujeto pasivo; como objetivo, la consecución de fines constitucionalmente legítimos y congruentes con la naturaleza de la medida (riesgo de fuga, de obstrucción del normal desarrollo del proceso o de reiteración delictiva); y, como objeto, que se la conciba tanto en su adopción como en su mantenimiento como una medida de aplicación excepcional, subsidiaria, provisional y proporcionada a la consecución de dichos fines (por todas, SSTC 128/1995, de 26 de julio, FFJJ 3 y 4; 66/1997, de 7 de abril, FJ 4; 33/1999, de 8 de marzo, FJ 3; 47/2000, de 17 de febrero, FJ 3; o más recientemente STC 35/2007, de 12 de febrero, FJ 2).</w:t>
      </w:r>
    </w:p>
    <w:p w:rsidR="00DE14C9" w:rsidRDefault="00DE14C9" w:rsidP="00DE14C9">
      <w:pPr>
        <w:pStyle w:val="TextoNormal"/>
      </w:pPr>
      <w:r>
        <w:t>b) Las decisiones relativas a la adopción y mantenimiento de prisión provisional han de expresarse a través de una resolución judicial motivada, motivación que ha de ser “suficiente y razonable”, entendiendo por tal no la que colma meramente las exigencias del derecho a la tutela judicial efectiva, sino aquella que respeta el contenido constitucionalmente garantizado del derecho a la libertad afectado, ponderando adecuadamente los intereses en juego —la libertad de la persona cuya inocencia se presume, por un lado; la realización de la administración de la justicia penal, en atención a los fines que hemos reseñado, por otro— a partir de toda la información disponible en el momento de adoptar la decisión y del entendimiento de la prisión provisional como una medida excepcional, subsidiaria y provisional.</w:t>
      </w:r>
    </w:p>
    <w:p w:rsidR="00DE14C9" w:rsidRDefault="00DE14C9" w:rsidP="00DE14C9">
      <w:pPr>
        <w:pStyle w:val="TextoNormal"/>
      </w:pPr>
      <w:r>
        <w:t xml:space="preserve">Para ello, obviamente, la resolución judicial ha de expresar cuál es el presupuesto de la medida y el fin constitucionalmente legítimo perseguido. Y, en relación con la constatación del peligro de fuga, hemos destacado que deberán tomarse en consideración “además de las características y la gravedad del delito imputado y de la pena con que se le amenaza, las circunstancias concretas del caso y las personales del imputado”, matizando que, si bien en un primer momento la necesidad de preservar los fines constitucionalmente legítimos de la prisión provisional pueden justificar que se adopte atendiendo sólo a circunstancias objetivas, como el tipo de delito y la gravedad de la pena, el transcurso del tiempo modifica el valor de este dato en la ponderación y obliga a ponderar las circunstancias personales del sujeto privado de libertad y los datos del caso concreto (por todas, SSTC 128/1995, de 26 </w:t>
      </w:r>
      <w:r>
        <w:lastRenderedPageBreak/>
        <w:t>de julio, FJ 4; 66/1997, de 7 de abril, FJ 4; 47/2000, de 17 de febrero, FJ 3; 35/2007, de 12 de febrero, FJ 2).</w:t>
      </w:r>
    </w:p>
    <w:p w:rsidR="00DE14C9" w:rsidRDefault="00DE14C9" w:rsidP="00DE14C9">
      <w:pPr>
        <w:pStyle w:val="TextoNormal"/>
      </w:pPr>
      <w:r>
        <w:t>Por otra parte, respecto a la proximidad de la celebración del juicio oral como dato a partir del cual sustentar los riesgos que se pretenden evitar, este Tribunal ha sostenido que, al tener un sentido ambivalente o no concluyente, dado que el avance del proceso puede contribuir tanto a cimentar con mayor solidez la imputación como a debilitar los indicios de culpabilidad del acusado, el órgano judicial debe concretar las circunstancias que avalan en el caso concreto una u otra hipótesis (por todas, SSTC 128/1995, de 26 de julio, FJ 3; 66/1997, de 7 de abril, FJ 6; 146/1997, de 15 de septiembre, FJ 5; 33/1999, 8 de marzo, FJ 6; 35/2007, de 12 de febrero, FJ 2). En particular, en el fundamento jurídico 6 de la STC 66/1997, invocada por el demandante, sostuvimos que “el hecho de que la tramitación se halle avanzada y la vista próxima es en sí mismo considerado un dato ambivalente a los efectos de nuestro enjuiciamiento: es cierto que el paso del tiempo, con el avance de la instrucción y la perfilación de la imputación, puede ir dotando de solidez a ésta, lo que podría a su vez incrementar la probabilidad de una efectiva condena y, con ello, el riesgo de fuga. Sin embargo, no es menos cierto que en otras circunstancias el transcurso del tiempo puede producir efectos contrarios a los que acabamos de indicar, no sólo porque el devenir del procedimiento puede debilitar los indicios que apuntan a la culpabilidad del acusado, sino también porque, como se razonó en la STC 128/1995 con amplia cita de Sentencias del Tribunal Europeo de Derechos Humanos, el argumento del peligro de fuga ‘se debilita por el propio paso del tiempo y la consiguiente disminución de las consecuencias punitivas que puede sufrir el preso (Sentencias del Tribunal Europeo de Derechos Humanos de 27 de junio de 1968, caso Wemhoff; de 27 de junio de 1968, caso Neumeister; de 10 de noviembre de 1969, caso Matznetter)’ [fundamento jurídico 4 b)]. Esta ambivalencia es precisamente la que obliga a que, cuando se alude a lo avanzado de la tramitación y al aseguramiento de la celebración del juicio oral —dato puramente objetivo—, se concreten las circunstancias específicas derivadas de la tramitación que en cada caso abonan o no la hipótesis de que, en el supuesto enjuiciado, el transcurso del tiempo puede llevar a la fuga del imputado. La simple referencia a lo avanzado de la tramitación carece como tal de fuerza argumentativa para afirmar la posibilidad de que el imputado huya”.</w:t>
      </w:r>
    </w:p>
    <w:p w:rsidR="00DE14C9" w:rsidRDefault="00DE14C9" w:rsidP="00DE14C9">
      <w:pPr>
        <w:pStyle w:val="TextoNormal"/>
      </w:pPr>
      <w:r>
        <w:t>c) La falta de motivación, en los términos anteriormente expuestos, de la resolución judicial afecta primordialmente, por la vía de uno de sus requisitos formales esenciales, a la propia existencia del presupuesto habilitante para la privación de la libertad y, por lo tanto, al derecho a la misma consagrado en el art. 17 CE (128/1995, de 26 de julio FJ 4; 47/2000, de 17 de febrero, FJ 3; 29/2001, de 29 de enero, FJ 2; 138/2002, de 3 de junio, FJ 3).</w:t>
      </w:r>
    </w:p>
    <w:p w:rsidR="00DE14C9" w:rsidRDefault="00DE14C9" w:rsidP="00DE14C9">
      <w:pPr>
        <w:pStyle w:val="TextoNormal"/>
      </w:pPr>
      <w:r>
        <w:t>Conforme a reiterados pronunciamientos de este Tribunal, los problemas de motivación en las resoluciones que acuerdan medidas limitativas de derechos fundamentales conciernen directamente a la lesión del propio derecho fundamental sustantivo y no, autónomamente, al derecho a la tutela judicial efectiva. Una decisión restrictiva de un derecho fundamental sustantivo, como es en este caso el derecho a la libertad, exige una resolución judicial cuya fundamentación, no sólo colme el deber general de motivación, que es inherente a la tutela judicial efectiva, sino que, además, ha de extenderse a la justificación de su legitimidad constitucional, ponderando las circunstancias concretas que, de acuerdo con el presupuesto legal y la finalidad constitucionalmente legítima, permitan la adopción de dicha decisión (por todas, SSTC 47/2000, de 17 de febrero, FJ 7; 29/2001, de 29 de enero, FJ 2). Por ello el análisis de la insuficiencia de motivación desde la perspectiva del deber genérico de fun</w:t>
      </w:r>
      <w:r>
        <w:lastRenderedPageBreak/>
        <w:t>damentación de las resoluciones judiciales queda desplazado por un análisis desde la perspectiva del deber más estricto de fundamentación para la adopción de medidas restrictivas del derecho a la libertad.</w:t>
      </w:r>
    </w:p>
    <w:p w:rsidR="00DE14C9" w:rsidRDefault="00DE14C9" w:rsidP="00DE14C9">
      <w:pPr>
        <w:pStyle w:val="TextoNormal"/>
      </w:pPr>
      <w:r>
        <w:t>d) Finalmente, hemos de recordar también que es a los órganos de la jurisdicción ordinaria a quienes compete en exclusiva determinar en cada caso la concurrencia y valoración de los antecedentes fácticos justificativos de la medida cautelar, puesto que tales órganos con los únicos que gozan de la inmediación necesaria para ello. A este Tribunal, en su tarea de protección del derecho fundamental a la libertad, le corresponde controlar que dicha justificación, articulada a través de la motivación de las resoluciones judiciales, se lleve a cabo ponderando los derechos e intereses en conflicto y resolviendo de forma acorde con los fines legítimos que permiten justificar la limitación cautelar de la libertad personal (por todas, SSTC 128/1995, de 26 de julio, FJ 4; 66/1997, de 7 de abril, FJ 4; 47/2000, de 17 de febrero, FJ 7; 179/2005, de 4 de julio, FJ 4; 35/2007, de 12 de febrero, FJ 2).</w:t>
      </w:r>
    </w:p>
    <w:p w:rsidR="00DE14C9" w:rsidRDefault="00DE14C9" w:rsidP="00DE14C9">
      <w:pPr>
        <w:pStyle w:val="TextoNormal"/>
      </w:pPr>
    </w:p>
    <w:p w:rsidR="00DE14C9" w:rsidRDefault="00DE14C9" w:rsidP="00DE14C9">
      <w:pPr>
        <w:pStyle w:val="TextoNormal"/>
      </w:pPr>
      <w:r w:rsidRPr="00DE14C9">
        <w:rPr>
          <w:rStyle w:val="NumeroAFNegritaCaracter"/>
        </w:rPr>
        <w:t>3</w:t>
      </w:r>
      <w:r>
        <w:t>. La aplicación al caso de la doctrina anteriormente expuesta exige el análisis del contenido de las resoluciones judiciales impugnadas, ya reproducido en los antecedentes.</w:t>
      </w:r>
    </w:p>
    <w:p w:rsidR="00DE14C9" w:rsidRDefault="00DE14C9" w:rsidP="00DE14C9">
      <w:pPr>
        <w:pStyle w:val="TextoNormal"/>
      </w:pPr>
      <w:r>
        <w:t>El Auto de 19 de noviembre de 2004, si bien refiriéndose genéricamente al conjunto de los procesados, razona la existencia tanto del presupuesto habilitante de la medida (“la existencia de indicios racionales de criminalidad que se derivan para cada uno de los procesados a los que atañe la resolución del auto firme de fecha 15 de noviembre de 2004”) como la concurrencia de dos finalidades que legitiman constitucionalmente la medida: conjurar el riesgo de fuga, “pues a la vista de la naturaleza de los hechos, la gravedad de la pena que pueda imponerse a los procesados y la situación procedimental de la causa que hace presumir la pronta celebración del juicio, tal riesgo está latente, sin que dicho riesgo quede conjurado por las circunstancias familiares, personales o económicas de los procesados a las que aluden sus defensas”; y evitar la reiteración delictiva, “dada la naturaleza de los hechos imputados a los procesados”.</w:t>
      </w:r>
    </w:p>
    <w:p w:rsidR="00DE14C9" w:rsidRDefault="00DE14C9" w:rsidP="00DE14C9">
      <w:pPr>
        <w:pStyle w:val="TextoNormal"/>
      </w:pPr>
      <w:r>
        <w:t>El Auto de 9 de diciembre de 2004, que desestima el recurso de súplica contra el anterior, ya de forma individualizada respecto del recurrente, razona la existencia de indicios racionales de criminalidad específicamente recogidos en el fundamento jurídico tercero núm. 1 del Auto que confirmó su procesamiento, donde se establece que este procesado “se encuentra integrado en la red de apoyo a Al Qaeda dirigida por Imad Edwin Barakat Yarkas (a) Abu Dahdah; con él mantiene contactos, al igual que con Galeb Kalaje Zouaydi, Nabil Nanakli Koisaibati y otros activistas terroristas … como resulta acreditado por los informes de inteligencia realizados por los expertos de la Unidad Central de Información Exterior de la policía; atestados aportados y documentos intervenidos; declaraciones testificales de los funcionarios de policía; conversaciones telefónicas intervenidas con la pertinente autorización judicial en las que se recoge lo manifestado entre estos procesados con Abu Dada; las declaraciones de los procesados y de otros coprocesados como Abdulla Khayatta Kattan; la documentación acumulada y en particular las Comisiones Rogatorias, principalmente la cumplimentada por las autoridades alemanas y las notas informativas y de investigación de la policía”.  Y también argumenta que “cuando se aproxima la celebración del juicio oral, el Ministerio público insta la prisión provisional del procesado, sobre la base de la existencia de indicios racionales de criminalidad contra el mismo y el elevado riesgo de que, ante su pronto enjuiciamiento, intente sustraerse a la acción de la justicia, petición revestida de toda lógica, que el Tribunal tiene que acoger en cumplimiento de la obligación que le corresponde de asegurar la celebración del juicio con la presencia de todos y cada uno de los procesados”.</w:t>
      </w:r>
    </w:p>
    <w:p w:rsidR="00DE14C9" w:rsidRDefault="00DE14C9" w:rsidP="00DE14C9">
      <w:pPr>
        <w:pStyle w:val="TextoNormal"/>
      </w:pPr>
    </w:p>
    <w:p w:rsidR="00DE14C9" w:rsidRDefault="00DE14C9" w:rsidP="00DE14C9">
      <w:pPr>
        <w:pStyle w:val="TextoNormal"/>
      </w:pPr>
      <w:r w:rsidRPr="00DE14C9">
        <w:rPr>
          <w:rStyle w:val="NumeroAFNegritaCaracter"/>
        </w:rPr>
        <w:t>4</w:t>
      </w:r>
      <w:r>
        <w:t>. De la lectura de ambas resoluciones judiciales se desprende que, aun cuando parcas en su argumentación, sí exteriorizan los fundamentos de la decisión que adoptan en lo relativo a la concurrencia, tanto del presupuesto habilitante de la misma —los indicios racionales de criminalidad, que el recurrente no pone en cuestión—, como de las finalidades constitucionalmente legítimas que se persiguen con la medida de prisión acordada —esencialmente conjurar el riesgo de fuga, aunque también la evitación de la reiteración delictiva; e igualmente se hace referencia a que tales riesgos no quedan conjurados por las circunstancias familiares, personales o económicas de los procesados.</w:t>
      </w:r>
    </w:p>
    <w:p w:rsidR="00DE14C9" w:rsidRDefault="00DE14C9" w:rsidP="00DE14C9">
      <w:pPr>
        <w:pStyle w:val="TextoNormal"/>
      </w:pPr>
      <w:r>
        <w:t>En la presente demanda de amparo no se cuestiona la existencia de tal exteriorización, sino la falta de consideración individualizada de las circunstancias personales y del caso a la hora de valorar el riesgo de fuga, y que no se señale cuáles son los elementos o circunstancias nuevos que han sido valorados por el Tribunal para revocar la situación de libertad provisional del recurrente, que no puede sustentarse exclusivamente en la proximidad del juicio. Un planteamiento coincidente en buena medida con el de la demanda del recurso de amparo núm. 322-2005 (interpuesto por otro de los coprocesados en la misma causa, cuya prisión provisional fue decretada también por el Auto de 19 de noviembre de 2004), resuelto por la reciente Sentencia de la Sala Primera de este Tribunal 35/2007, de 12 de febrero. Ante lo cual, y remitiéndonos a los razonamientos jurídicos de la citada Sentencia, hemos de llegar igualmente a una decisión desestimatoria del amparo solicitado.</w:t>
      </w:r>
    </w:p>
    <w:p w:rsidR="00DE14C9" w:rsidRDefault="00DE14C9" w:rsidP="00DE14C9">
      <w:pPr>
        <w:pStyle w:val="TextoNormal"/>
      </w:pPr>
      <w:r>
        <w:t>En efecto, en contra de lo sostenido por el recurrente, el riesgo de fuga no se afirma sobre la base del único dato de la proximidad del juicio oral, sino considerando la naturaleza y gravedad de los hechos imputados reflejados en el Auto que confirma el procesamiento, la gravedad de la pena que puede imponerse, la confirmación del procesamiento y la proximidad del juicio oral, un cúmulo de circunstancias, “cuya ponderación conjunta no es inconstitucional, entendiéndose expresamente que el riesgo de fuga que de dichas circunstancias deriva no se conjura por las circunstancias individuales alegadas. En este contexto podrá sostenerse que la referencia a las circunstancias personales constituye una afirmación genérica que no se refiere sólo al demandante o que no se razona individualmente sobre las alegaciones de la defensa del recurrente, pero no puede afirmarse que la exteriorización del fundamento de la decisión no contenga una referencia a la ponderación de las circunstancias personales del demandante” (STC 35/2007, FJ 4).</w:t>
      </w:r>
    </w:p>
    <w:p w:rsidR="00DE14C9" w:rsidRDefault="00DE14C9" w:rsidP="00DE14C9">
      <w:pPr>
        <w:pStyle w:val="TextoNormal"/>
      </w:pPr>
      <w:r>
        <w:t xml:space="preserve">A lo que ha de añadirse que “si bien es cierto que desde que se dictó el Auto de procesamiento el 17 de septiembre de 2003 el órgano judicial mantuvo la libertad provisional del recurrente, no lo es menos que dicho Auto estaba recurrido, resolviéndose dicho recurso por Auto de 15 de noviembre de 2004. A la realidad de dicho Auto, a su firmeza y a su contenido se refieren expresamente las resoluciones impugnadas, de modo que, como advierte el Ministerio Fiscal, se trata de un hecho nuevo que puede ser valorado por los órganos judiciales en la evaluación de los riesgos que las medidas cautelares pretenden evitar. Y, además, se trata de una circunstancia procesal cuyo sentido objetivamente considerado reside en la consolidación de la imputación penal contra el recurrente. Como se ha expuesto, ante la ambivalencia del transcurso del tiempo y de la proximidad de la celebración del juicio oral al fundamentar el riesgo de fuga, la jurisprudencia constitucional exige una ponderación expresa de las circunstancias procesales concretas del caso para de este modo individualizar el sentido que en cada supuesto la proximidad del juicio oral pueda tener (STC 66/1997). En el caso examinado, al acordarse la prisión provisional del recurrente en Auto de 19 de noviembre de 2004 —cuatro días después de producirse la confirmación del procesamiento del recurrente en Auto de 15 de noviembre de 2004—, no se puede negar que los órganos </w:t>
      </w:r>
      <w:r>
        <w:lastRenderedPageBreak/>
        <w:t>judiciales han valorado un elemento —la confirmación del Auto de procesamiento— que, en tanto que dato del que deriva la consolidación de la imputación concreta, en la forma requerida por nuestra jurisprudencia, el modo en que la proximidad del juicio oral puede fundamentar el riesgo de fuga” (STC 35/2007, FJ 4).</w:t>
      </w:r>
    </w:p>
    <w:p w:rsidR="00DE14C9" w:rsidRDefault="00DE14C9" w:rsidP="00DE14C9">
      <w:pPr>
        <w:pStyle w:val="TextoNormal"/>
      </w:pPr>
      <w:r>
        <w:t>Por consiguiente las resoluciones judiciales —más allá de la afirmación de los indicios de criminalidad, que en la demanda de amparo no se cuestionan— se fundamentan en un fin constitucionalmente legítimo —evitar el riesgo de fuga—, cuya concurrencia se afirma tras realizar una nueva ponderación de los intereses en conflicto, justificada por la petición del Ministerio Fiscal tras la confirmación del Auto de procesamiento. Y en esa nueva ponderación se tienen en cuenta una serie de datos —proximidad del juicio oral, confirmación o firmeza del procesamiento, naturaleza del delito y gravedad de la pena—, cuya valoración conjunta es legítima desde la perspectiva constitucional, para afirmar la concurrencia del riesgo de fuga en ese nuevo momento procesal, lo que proporciona una justificación suficiente y razonable de la necesidad de la medida adoptada y satisface las exigencias constitucionales de motivación en esta materia. Constatado lo cual este Tribunal no puede profundizar más en el control de la fundamentación de la decisión de acordar la prisión provisional sin traspasar los límites del control externo propio de la jurisdicción de amparo, pues no le compete realizar una valoración —en positivo y de forma directa— de la suficiencia de las circunstancias fácticas concurrentes en el caso para fundamentar el riesgo de fuga o cualquier otro de los riesgos cuya evitación constituye la finalidad legítima de la institución.</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Denegar el amparo solicitado por don Ahmad Koshagi Kelani.</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dieciocho de junio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64" w:name="SENTENCIA_2007_151"/>
      <w:r>
        <w:lastRenderedPageBreak/>
        <w:t>SENTENCIA 151/2007, de 18 de junio de 2007</w:t>
      </w:r>
    </w:p>
    <w:bookmarkEnd w:id="64"/>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179, de 27 de julio de 2007)</w:t>
      </w:r>
    </w:p>
    <w:p w:rsidR="00DE14C9" w:rsidRDefault="00DE14C9" w:rsidP="00DE14C9">
      <w:pPr>
        <w:pStyle w:val="TtuloBOE"/>
      </w:pPr>
    </w:p>
    <w:p w:rsidR="00DE14C9" w:rsidRDefault="00DE14C9" w:rsidP="00DE14C9">
      <w:pPr>
        <w:pStyle w:val="SntesisDescriptiva"/>
      </w:pPr>
      <w:r>
        <w:t>ECLI:ES:TC:2007:151</w:t>
      </w:r>
    </w:p>
    <w:p w:rsidR="00DE14C9" w:rsidRDefault="00DE14C9" w:rsidP="00DE14C9">
      <w:pPr>
        <w:pStyle w:val="SntesisDescriptiva"/>
      </w:pPr>
    </w:p>
    <w:p w:rsidR="00DE14C9" w:rsidRDefault="00DE14C9" w:rsidP="00DE14C9">
      <w:pPr>
        <w:pStyle w:val="SntesisDescriptiva"/>
      </w:pPr>
      <w:r>
        <w:t>Recurso de amparo 281-2005. Promovido por don Ghasoub Al-Abrash Ghalyoun frente a los Autos de la Sala de lo Penal de la Audiencia Nacional que acordaron su prisión provisional en causa por delito de pertenencia a organización terrorista.</w:t>
      </w:r>
    </w:p>
    <w:p w:rsidR="00DE14C9" w:rsidRDefault="00DE14C9" w:rsidP="00DE14C9">
      <w:pPr>
        <w:pStyle w:val="SntesisDescriptiva"/>
      </w:pPr>
    </w:p>
    <w:p w:rsidR="00DE14C9" w:rsidRDefault="00DE14C9" w:rsidP="00DE14C9">
      <w:pPr>
        <w:pStyle w:val="SntesisAnaltica"/>
      </w:pPr>
      <w:r>
        <w:t>Supuesta vulneración del derecho a la libertad personal: prisión provisional, ante la proximidad del juicio oral, suficientemente motivada (STC 35/2007).</w:t>
      </w:r>
    </w:p>
    <w:p w:rsidR="00DE14C9" w:rsidRDefault="00DE14C9" w:rsidP="00DE14C9">
      <w:pPr>
        <w:pStyle w:val="SntesisAnaltica"/>
      </w:pPr>
    </w:p>
    <w:p w:rsidR="00DE14C9" w:rsidRDefault="00DE14C9" w:rsidP="00DE14C9">
      <w:pPr>
        <w:pStyle w:val="Extracto"/>
      </w:pPr>
      <w:r>
        <w:t>1.</w:t>
      </w:r>
      <w:r>
        <w:tab/>
        <w:t>Las resoluciones judiciales se fundamentan en un fin constitucionalmente legítimo —evitar el riesgo de fuga—, riesgo que no se afirma sobre la base del único dato de la proximidad del juicio oral, sino considerando la naturaleza y gravedad de los hechos imputados reflejados en el Auto que confirma el procesamiento, la gravedad de la pena que puede imponerse, la confirmación del procesamiento y la proximidad del juicio oral, un cúmulo de circunstancias cuya ponderación conjunta no es inconstitucional (STC 35/2007) [FJ 4]</w:t>
      </w:r>
    </w:p>
    <w:p w:rsidR="00DE14C9" w:rsidRDefault="00DE14C9" w:rsidP="00DE14C9">
      <w:pPr>
        <w:pStyle w:val="Extracto"/>
      </w:pPr>
    </w:p>
    <w:p w:rsidR="00DE14C9" w:rsidRDefault="00DE14C9" w:rsidP="00DE14C9">
      <w:pPr>
        <w:pStyle w:val="Extracto"/>
      </w:pPr>
      <w:r>
        <w:t>2.</w:t>
      </w:r>
      <w:r>
        <w:tab/>
        <w:t>La proximidad de la celebración del juicio oral, al tener un sentido no concluyente, dado que el avance del proceso puede contribuir tanto a cimentar con mayor solidez la imputación como a debilitar los indicios de culpabilidad del acusado, el órgano judicial debe concretar las circunstancias que avalan en su caso la adopción y mantenimiento de prisión provisional (STC 128/1995; SSTEDH caso Wemhoff de 27 de junio de 1968, caso Neumeister de 27 de junio de 1968 y caso Matznetter de 10 de noviembre de 1969) [FJ 2 b)].</w:t>
      </w:r>
    </w:p>
    <w:p w:rsidR="00DE14C9" w:rsidRDefault="00DE14C9" w:rsidP="00DE14C9">
      <w:pPr>
        <w:pStyle w:val="Extracto"/>
      </w:pPr>
    </w:p>
    <w:p w:rsidR="00DE14C9" w:rsidRDefault="00DE14C9" w:rsidP="00DE14C9">
      <w:pPr>
        <w:pStyle w:val="Extracto"/>
      </w:pPr>
      <w:r>
        <w:t>3.</w:t>
      </w:r>
      <w:r>
        <w:tab/>
        <w:t>Se ofrecen múltiples datos en los que se sustenta indiciariamente la presunta relación del recurrente con los hechos delictivos que se le imputan, lo que colma las exigencias de nuestra doctrina en relación con la exteriorización del presupuesto habilitante de la medida, sin que a este Tribunal le corresponda realizar ningún otro juicio al respecto desde la perspectiva del derecho a la libertad que nos ocupa [FJ 4].</w:t>
      </w:r>
    </w:p>
    <w:p w:rsidR="00DE14C9" w:rsidRDefault="00DE14C9" w:rsidP="00DE14C9">
      <w:pPr>
        <w:pStyle w:val="Extracto"/>
      </w:pPr>
    </w:p>
    <w:p w:rsidR="00DE14C9" w:rsidRDefault="00DE14C9" w:rsidP="00DE14C9">
      <w:pPr>
        <w:pStyle w:val="Extracto"/>
      </w:pPr>
      <w:r>
        <w:t>4.</w:t>
      </w:r>
      <w:r>
        <w:tab/>
        <w:t>Este Tribunal no puede profundizar más en el control de la fundamentación de la decisión de acordar la prisión provisional sin traspasar los límites del control externo propio de la jurisdicción de amparo, pues no le compete realizar una valoración de la suficiencia de las circunstancias fácticas concurrentes en el caso para fundamentar el riesgo de fuga [FJ 4].</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281-2005, promovido por don Ghasoub Al-Abrash Ghalyoun, representado por el Procurador de los Tribunales don Jaime Pérez Sevilla y Guitard y asistido por el Letrado don Eduardo Molina Esteban, contra los Autos de la Sección Tercera de la Sala de lo Penal de la Audiencia Nacional, de 19 de noviembre y 9 de diciembre de 2004, en virtud de los cuales se decretó y confirmó la prisión provisional comunicada y sin fianza del recurrente. Ha intervenido el Ministerio Fiscal. Han comparecido don Waheed y don Ahmad Koshagi Kelani, representados por el Procurador don Adolfo Morales Hernández-Sanjuán y asistidos por el Letrado don Sebastiá Salellas Magret; don Luis José Galán González, representado por el Procurador don Manuel García Ortiz de Urbina y bajo la dirección letrada de doña María Nieves Fernández Pérez Ravelo; don Taysir Alony Kate, representado por la Procuradora doña Esther Rodríguez Pérez y asistido por el Letrado don José Luis Galán Martín; don Kamal Hadid Chaar, representado por la Procuradora doña Almudena Delgado Gordo y asistido por la Letrada doña Corornada Ortiz Escribano; y don Jamal Hussein Hussein, representado por la Procuradora doña María Luz Albacar Medina y asistido por el Letrado Miguel Ignacio Prados Osuna. Ha sido Ponente el Magistrado don Vicente Conde Martín de Hijas,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que tuvo entrada en el Registro General de este Tribunal el día 14 de enero de 2005 el Procurador de los Tribunales don Jaime Pérez Sevilla y Guitard, en nombre y representación de don Ghasoub Al-Abrash Ghalyoun, interpuso recurso de amparo contra las resoluciones judiciales que se citan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en los que tiene su origen el presente recurso y relevantes para su resolución son, sucintamente expuestos, los siguientes: </w:t>
      </w:r>
    </w:p>
    <w:p w:rsidR="00DE14C9" w:rsidRDefault="00DE14C9" w:rsidP="00DE14C9">
      <w:pPr>
        <w:pStyle w:val="TextoNormal"/>
      </w:pPr>
      <w:r>
        <w:t xml:space="preserve">a) El día 19 de julio del 2002 se dictó por parte del Juez Central de Instrucción núm. 5, en el marco del sumario 35-2001, un Auto por el que se decretaba la prisión provisional, incondicional y comunicada, entre otros, del ahora demandante de amparo, por su presunta vinculación con la organización terrorista Al Queda. El día 23 de septiembre de 2002 fue puesto en libertad, ratificándose esta situación personal tanto en el Auto de procesamiento como en el que confirmó el procesamiento. </w:t>
      </w:r>
    </w:p>
    <w:p w:rsidR="00DE14C9" w:rsidRDefault="00DE14C9" w:rsidP="00DE14C9">
      <w:pPr>
        <w:pStyle w:val="TextoNormal"/>
      </w:pPr>
      <w:r>
        <w:t xml:space="preserve">b) Mediante Auto de 19 de noviembre de 2004, la Sección Tercera de la Sala Penal de la Audiencia Nacional, previa petición del Fiscal y tras celebrar la comparecencia prevista en el art. 505 LECrim, acordó decretar la prisión provisional comunicada y sin fianza del ahora demandante de amparo y de otros procesados que se hallaban en libertad. </w:t>
      </w:r>
    </w:p>
    <w:p w:rsidR="00DE14C9" w:rsidRDefault="00DE14C9" w:rsidP="00DE14C9">
      <w:pPr>
        <w:pStyle w:val="TextoNormal"/>
      </w:pPr>
      <w:r>
        <w:t xml:space="preserve">La fundamentación de tal decisión es la siguiente: </w:t>
      </w:r>
    </w:p>
    <w:p w:rsidR="00DE14C9" w:rsidRDefault="00DE14C9" w:rsidP="00DE14C9">
      <w:pPr>
        <w:pStyle w:val="TextoNormal"/>
      </w:pPr>
      <w:r>
        <w:lastRenderedPageBreak/>
        <w:t xml:space="preserve">"Primero.-El Tribunal, analizando la petición del Ministerio Fiscal respecto a la puesta en prisión provisional de Taysir Alony Kate (a) Abu Masab, Mohamed Khair Al-Saqqua Alsaqqua, Abdalrahman Alarnot Abu Aljer, Jamal Hussein Hussein, Basat Dalati Satut, Ghasoub Al-Abrash Ghalyoun, Waheed Koshagi Kelani, Kamal Haddid Chaar y Ahmad Koshagi Kelani, a tenor de los indicios racionales de criminalidad que resultan del Auto que resuelve el recurso de apelación contra el procesamiento, y oídas las alegaciones de las respectivas defensas de los procesados señalados, llega a la conclusión que en el procedimiento se ha producido una modificación de un hecho hasta ahora no existente cual es la petición de la Acusación Pública de la adopción de las medidas de prisión. </w:t>
      </w:r>
    </w:p>
    <w:p w:rsidR="00DE14C9" w:rsidRDefault="00DE14C9" w:rsidP="00DE14C9">
      <w:pPr>
        <w:pStyle w:val="TextoNormal"/>
      </w:pPr>
      <w:r>
        <w:t xml:space="preserve">Esta modificación obliga al Tribunal a valorar la procedencia o no de dicha medida, para lo que deben concurrir los siguientes requisitos: </w:t>
      </w:r>
    </w:p>
    <w:p w:rsidR="00DE14C9" w:rsidRDefault="00DE14C9" w:rsidP="00DE14C9">
      <w:pPr>
        <w:pStyle w:val="TextoNormal"/>
      </w:pPr>
      <w:r>
        <w:t xml:space="preserve">Unos de carácter material como son que conste la existencia de unos hechos que presenten carácter de delito sancionado con pena cuyo máximo es igual o superior a dos años de prisión. En el presente caso, estos hechos de apariencia delictiva emanan de los indicios racionales de criminalidad que se derivan para cada uno de los procesados a los que atañe la resolución del auto firme de fecha 15 de noviembre de 2004, con lo cual se cumple también el requisito del 1ª apartado del artículo 503 de la LECR. </w:t>
      </w:r>
    </w:p>
    <w:p w:rsidR="00DE14C9" w:rsidRDefault="00DE14C9" w:rsidP="00DE14C9">
      <w:pPr>
        <w:pStyle w:val="TextoNormal"/>
      </w:pPr>
      <w:r>
        <w:t xml:space="preserve">Segundo.- Asimismo el Tribunal entiende que se dan los presupuestos que legitiman constitucionalmente la adopción de la prisión provisional, plasmados en el apartado 3, nº 1 del artículo 503, cuales son en el presente caso, por un lado conjurar el riesgo de fuga, pues a la vista de la naturaleza de los hechos, la gravedad de la pena que pueda imponerse a los procesados y la situación procedimental de la causa que hace presumir la pronta celebración del juicio, tal riesgo está latente, sin que dicho riesgo quede conjurado por las circunstancias familiares, personales o económicas de los procesados a las que aluden sus defensas. </w:t>
      </w:r>
    </w:p>
    <w:p w:rsidR="00DE14C9" w:rsidRDefault="00DE14C9" w:rsidP="00DE14C9">
      <w:pPr>
        <w:pStyle w:val="TextoNormal"/>
      </w:pPr>
      <w:r>
        <w:t xml:space="preserve">También el Tribunal dada la naturaleza de los hechos imputados a los procesados en el auto anteriormente señalado, entiende que con esta medida cautelar se conjura una posible continuada reiteración delictiva". </w:t>
      </w:r>
    </w:p>
    <w:p w:rsidR="00DE14C9" w:rsidRDefault="00DE14C9" w:rsidP="00DE14C9">
      <w:pPr>
        <w:pStyle w:val="TextoNormal"/>
      </w:pPr>
      <w:r>
        <w:t xml:space="preserve">c) Recurrido dicho Auto en súplica, la Sección Tercera de la Sala de lo Penal de la Audiencia Nacional desestimó el recurso mediante Auto 9 de diciembre del 2004. </w:t>
      </w:r>
    </w:p>
    <w:p w:rsidR="00DE14C9" w:rsidRDefault="00DE14C9" w:rsidP="00DE14C9">
      <w:pPr>
        <w:pStyle w:val="TextoNormal"/>
      </w:pPr>
      <w:r>
        <w:t xml:space="preserve">Tal decisión se fundamenta, por una parte, en la existencia de los indicios racionales de criminalidad, que se recogen en el fundamento jurídico cuarto núm. 11 del Auto que confirmó el procesamiento, donde se establece lo siguiente: </w:t>
      </w:r>
    </w:p>
    <w:p w:rsidR="00DE14C9" w:rsidRDefault="00DE14C9" w:rsidP="00DE14C9">
      <w:pPr>
        <w:pStyle w:val="TextoNormal"/>
      </w:pPr>
      <w:r>
        <w:t xml:space="preserve">"En diversas conversaciones de Abu Dahdah, éste manifestó que su relación con Ghasoub era muy buena; que se verían en casa de Ghasoub; en conversación entre Abdulrahman y Abu Dahdah comentaron que Ghasoub se marchaba el lunes a Arabia Saudí y que ese mismo día irían a casa de Abu Dahdah el propio Abdulrahman junto con Abu Abdo y Ghasoub. En declaración efectuada por Ghasoub en la UCIE, manifestó que Abu Dahdah era una persona muy radical, que siempre estaba hablando de la Jihad, de los mujahidines de Bosnia, Afganistan y Chechenia y consideraba que toda persona que no pensaba como él, era un ateo. </w:t>
      </w:r>
    </w:p>
    <w:p w:rsidR="00DE14C9" w:rsidRDefault="00DE14C9" w:rsidP="00DE14C9">
      <w:pPr>
        <w:pStyle w:val="TextoNormal"/>
      </w:pPr>
      <w:r>
        <w:t xml:space="preserve">Según investigaciones de la UCIE el teléfono de Ghasoub estaba anotado en la agenda telefónica de un miembro importante de Al Qaeda identificado como Mohamed Bahaiah (a) Abu Kaled. Aunque Ghasoub no figurase como socio en determinados empresas de Galeb, a través de los libros registro que fueron intervenidos en la empresa Proyectos y Promociones ISO, S.L., siendo socios Ghaleb Kalaje y Basam Dalati, aparecen diversas anotaciones sobre ingresos de Galeb procedentes del edificio de Ghasoub Al Abrash. Dichos libros son </w:t>
      </w:r>
      <w:r>
        <w:lastRenderedPageBreak/>
        <w:t xml:space="preserve">de contabilidad privada en el que aparecen anotaciones manuscritas de Galeb comprometedoras como blanqueo de dinero, ingresos de inversores como Abu Dahdah y el propio Ghasoub. </w:t>
      </w:r>
    </w:p>
    <w:p w:rsidR="00DE14C9" w:rsidRDefault="00DE14C9" w:rsidP="00DE14C9">
      <w:pPr>
        <w:pStyle w:val="TextoNormal"/>
      </w:pPr>
      <w:r>
        <w:t xml:space="preserve">En los libros de Galeb figuraban también entradas de dinero de los inversores, con las siguientes anotaciones: 26.9.00, 300 millones de transferencia de Viviendas Sirio, S.A. y el 6.11.00, 80 millones de pesetas transferencia de Viviendas Sirio, S.A., siendo socios de esta empresa Ghasoub y Ahmad Najjar. </w:t>
      </w:r>
    </w:p>
    <w:p w:rsidR="00DE14C9" w:rsidRDefault="00DE14C9" w:rsidP="00DE14C9">
      <w:pPr>
        <w:pStyle w:val="TextoNormal"/>
      </w:pPr>
      <w:r>
        <w:t xml:space="preserve">Ghasoub efectuó un viaje a EE.UU. al parecer de tipo turístico, donde visitó varias ciudades siendo acompañado por diferentes personas árabes como aparecen en los vídeos y que viven en España, siendo del círculo de amistades de Galeb y de Abu Dahdah. Dicho viaje lo efectuó solo y realizó numerosas grabaciones con cámara, entre ellas el Aeropuerto de Nueva York con determinados aviones que se encontraban parados en la pista así como varias veces las Torres Gemelas desde diferentes ángulos de la ciudad, así como la estatua de la Libertad y el Empire State, siendo dichas construcciones señaladas por Al Qaeda como objetivos para atentados. También visitó San Francisco e hizo grabaciones de la ciudad y muy insistentemente del puente del Golden State, siendo otro de los objetivos terroristas. Cuando hizo la filmación de las Torres Gemelas manifestó que: 'su arquitecto se lo había pedido' extremo que era incierto ya que en la declaración efectuada por el arquitecto don Eduardo José Villanueva Canepa manifestó que él no le había mandado realizar ninguna grabación. </w:t>
      </w:r>
    </w:p>
    <w:p w:rsidR="00DE14C9" w:rsidRDefault="00DE14C9" w:rsidP="00DE14C9">
      <w:pPr>
        <w:pStyle w:val="TextoNormal"/>
      </w:pPr>
      <w:r>
        <w:t xml:space="preserve">Se le intervino una carta manuscrita de Ghasoub dirigida al Jefe del Departamento de los Servicios Secretos Sirios en que admitía haber formado parte de los Hermanos Musulmanes y haber recibido 'un curso para estudiantes'". </w:t>
      </w:r>
    </w:p>
    <w:p w:rsidR="00DE14C9" w:rsidRDefault="00DE14C9" w:rsidP="00DE14C9">
      <w:pPr>
        <w:pStyle w:val="TextoNormal"/>
      </w:pPr>
      <w:r>
        <w:t xml:space="preserve">Por otra parte, en el razonamiento segundo se señala que: </w:t>
      </w:r>
    </w:p>
    <w:p w:rsidR="00DE14C9" w:rsidRDefault="00DE14C9" w:rsidP="00DE14C9">
      <w:pPr>
        <w:pStyle w:val="TextoNormal"/>
      </w:pPr>
      <w:r>
        <w:t>"cuando se aproxima la celebración del juicio oral, el Ministerio público insta la prisión provisional del procesado, sobre la base de la existencia de indicios racionales de criminalidad contra el mismo y el elevado riesgo de que, ante su pronto enjuiciamiento, intente sustraerse a la acción de la justicia, petición revestida de toda lógica, que el Tribunal tiene que acoger en cumplimiento de la obligación que le corresponde de asegurar la celebración del juicio con la presencia de todos y cada uno de los procesados ".</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El recurrente fundamenta su demanda de amparo en la vulneración de los derechos fundamentales a la tutela judicial efectiva (art. 24.1 CE) y a la libertad (art. 17 CE), por entender que las resoluciones recurridas carecen de motivación suficiente para decretar la prisión provisional. </w:t>
      </w:r>
    </w:p>
    <w:p w:rsidR="00DE14C9" w:rsidRDefault="00DE14C9" w:rsidP="00DE14C9">
      <w:pPr>
        <w:pStyle w:val="TextoNormal"/>
      </w:pPr>
      <w:r>
        <w:t xml:space="preserve">Tras recordar cuáles son las exigencias constitucionales que, conforme a la reiterada doctrina de este Tribunal, deben cumplir las resoluciones judiciales que acuerdan la prisión provisional, con cita de la STC 164/2000, de 12 de junio, se afirma que no existe ningún indicio racional de criminalidad contra el demandante (combatiendo la consideración como tales de los reseñados en el Auto de 9 de diciembre); que la mera petición de la acusación pública no justifica en absoluto la medida, sino que la adopción de la misma ha de motivarse de forma especialmente rigurosa, al encontrarse en juego el derecho a la libertad y ser una medida excepcional; que la gravedad de la pena no puede justificar por sí sola la prisión (cita STC 47/2000, de 17 de febrero); que en el presente caso no existe riesgo de fuga, a la vista de las circunstancias personales, familiares y económicas del sujeto (lleva veinticinco años viviendo en España; tiene nacionalidad española; está casado y tiene cinco hijos; tiene un domicilio fijo en el que vive con su mujer, sus hijos y su madre; se dedica profesionalmente a la construcción de viviendas), que no han sido consideradas por las resoluciones </w:t>
      </w:r>
      <w:r>
        <w:lastRenderedPageBreak/>
        <w:t xml:space="preserve">impugnadas, pese a las exigencias de la jurisprudencia constitucional (cita, entre otras muchas, SSTC 128/1995, de 26 de julio, FJ 4; 33/1999 de 8 de marzo, FJ 7, y 8/2002, de 14 de enero, FJ 6) y que tampoco se aporta argumento alguno para afirmar el riesgo de reiteración delictiva. Por otra parte, respecto del argumento de la pronta celebración del juicio, y además de poner en cuestión tal proximidad, con cita de la STC 33/1999, de 8 de marzo, FJ 6, se sostiene que ese dato es insuficiente para afirmar el riesgo de fuga, por su carácter ambivalente. </w:t>
      </w:r>
    </w:p>
    <w:p w:rsidR="00DE14C9" w:rsidRDefault="00DE14C9" w:rsidP="00DE14C9">
      <w:pPr>
        <w:pStyle w:val="TextoNormal"/>
      </w:pPr>
      <w:r>
        <w:t xml:space="preserve">A la vista de todo lo cual se entiende que los Autos recurridos carecen de suficiente motivación para decretar la prisión, no han efectuado el juicio de ponderación de los intereses en juego exigido por la jurisprudencia constitucional (SSTC 37/1996, de 11 de marzo; 156/1997, de 29 de septiembre; 18/1999, de 22 de febrero; 217/2001, de 29 de octubre) y no existe proporcionalidad entre los hechos que se le imputan y la medida de privación de libertad adoptada, por lo que considera vulnerados los arts. 17.1 y 24.1 CE, solicitando que se deje sin efecto la prisión provisional por ellos acordada. </w:t>
      </w:r>
    </w:p>
    <w:p w:rsidR="00DE14C9" w:rsidRDefault="00DE14C9" w:rsidP="00DE14C9">
      <w:pPr>
        <w:pStyle w:val="TextoNormal"/>
      </w:pPr>
      <w:r>
        <w:t>Mediante otrosí se solicita la suspensión de la ejecución de las resoluciones impugnadas, pues la misma ocasionaría un perjuicio que haría perder su finalidad al amparo.</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Por providencia de 20 de diciembre de 2005 la Sala Segunda acordó la admisión a trámite de la demanda y, a tenor de lo dispuesto en el art. 51 LOTC, dirigir atenta comunicación a la Sección Tercera de la Sala de lo Penal de la Audiencia Nacional a fin de que, en plazo que no excediese de diez días, remitiera certificación o fotocopia adverada de las actuaciones correspondientes a la pieza de situación personal de don Ghasoub Al-Abrash Ghalyoun; debiendo previamente emplazarse a quienes hubieran sido parte en el procedimiento, excepto a la parte recurrente en amparo, para que en el plazo de diez días pudieran comparecer en el recurso de amparo. </w:t>
      </w:r>
    </w:p>
    <w:p w:rsidR="00DE14C9" w:rsidRDefault="00DE14C9" w:rsidP="00DE14C9">
      <w:pPr>
        <w:pStyle w:val="TextoNormal"/>
      </w:pPr>
      <w:r>
        <w:t>Respecto al otrosí digo se señala que habiéndose recibido por fax el Auto de fecha 25 de mayo de 2005 dictado por la Sección Tercera de la Sala de lo Penal de la Audiencia Nacional decretando la libertad provisional del recurrente, no procede tramitar la pieza de suspensión por pérdida sobrevenida de su objeto.</w:t>
      </w:r>
    </w:p>
    <w:p w:rsidR="00DE14C9" w:rsidRDefault="00DE14C9" w:rsidP="00DE14C9">
      <w:pPr>
        <w:pStyle w:val="TextoNormal"/>
      </w:pPr>
    </w:p>
    <w:p w:rsidR="00DE14C9" w:rsidRDefault="00DE14C9" w:rsidP="00DE14C9">
      <w:pPr>
        <w:pStyle w:val="TextoNormal"/>
      </w:pPr>
      <w:r w:rsidRPr="00DE14C9">
        <w:rPr>
          <w:rStyle w:val="NumeroAFNegritaCaracter"/>
        </w:rPr>
        <w:t>5</w:t>
      </w:r>
      <w:r>
        <w:t>. Mediante escrito registrado en este Tribunal el día 23 de febrero de 2006 don Adolfo Morales Hernández-Sanjuán, Procurador de los Tribunales y de don Ahmad Koshagi Kelani y don Waheed Koshagi Kelani, comparece y se persona en el presente recurso de amparo, bajo la dirección letrada de don Sebastiá Salellas Magret, manifestando que se adhiere a los motivos de recurso formulados por el recurrente e interesando la acumulación del presente recurso de amparo al 22/2005, interpuesto por su representado el Sr. Waheed Koshagi Kelani, por tratarse de procedimientos con objetos conexos en los que está justificada la tramitación y decisión conjunta.</w:t>
      </w:r>
    </w:p>
    <w:p w:rsidR="00DE14C9" w:rsidRDefault="00DE14C9" w:rsidP="00DE14C9">
      <w:pPr>
        <w:pStyle w:val="TextoNormal"/>
      </w:pPr>
    </w:p>
    <w:p w:rsidR="00DE14C9" w:rsidRDefault="00DE14C9" w:rsidP="00DE14C9">
      <w:pPr>
        <w:pStyle w:val="TextoNormal"/>
      </w:pPr>
      <w:r w:rsidRPr="00DE14C9">
        <w:rPr>
          <w:rStyle w:val="NumeroAFNegritaCaracter"/>
        </w:rPr>
        <w:t>6</w:t>
      </w:r>
      <w:r>
        <w:t>. El día 2 de marzo de 2006 la Procuradora de los Tribunales y de don Taysir Alony Kate, doña Esther Rodríguez Pérez, comparece igualmente en el presente recurso, bajo la dirección letrada de don José Luis Galán Martín, destacando que la vulneración del derecho fundamental que en el mismo se denuncia es sustancialmente idéntica a la denunciada en el recurso de amparo núm. 343/2005, interpuesto por su representado. Ante lo cual, por economía procesal y al estar suficientemente instruida de las actuaciones, evacua también el trámite del art. 52.1 LOTC, adhiriéndose a las alegaciones del recurrente.</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7</w:t>
      </w:r>
      <w:r>
        <w:t>. El día 7 de marzo de 2006 comparece y se persona en el presente recurso don Manuel García Ortiz de Urbina, Procurador de los Tribunales y de don Luis José Galán González, bajo la dirección letrada de doña Mª Nieves Fernández Pérez Ravelo.</w:t>
      </w:r>
    </w:p>
    <w:p w:rsidR="00DE14C9" w:rsidRDefault="00DE14C9" w:rsidP="00DE14C9">
      <w:pPr>
        <w:pStyle w:val="TextoNormal"/>
      </w:pPr>
    </w:p>
    <w:p w:rsidR="00DE14C9" w:rsidRDefault="00DE14C9" w:rsidP="00DE14C9">
      <w:pPr>
        <w:pStyle w:val="TextoNormal"/>
      </w:pPr>
      <w:r w:rsidRPr="00DE14C9">
        <w:rPr>
          <w:rStyle w:val="NumeroAFNegritaCaracter"/>
        </w:rPr>
        <w:t>8</w:t>
      </w:r>
      <w:r>
        <w:t>. Doña María Luz Albacar Medina, Procuradora de los Tribunales y de don Jamal Hussein Hussein, comparece y se persona en el presente recurso en día 8 de marzo de 2006.</w:t>
      </w:r>
    </w:p>
    <w:p w:rsidR="00DE14C9" w:rsidRDefault="00DE14C9" w:rsidP="00DE14C9">
      <w:pPr>
        <w:pStyle w:val="TextoNormal"/>
      </w:pPr>
    </w:p>
    <w:p w:rsidR="00DE14C9" w:rsidRDefault="00DE14C9" w:rsidP="00DE14C9">
      <w:pPr>
        <w:pStyle w:val="TextoNormal"/>
      </w:pPr>
      <w:r w:rsidRPr="00DE14C9">
        <w:rPr>
          <w:rStyle w:val="NumeroAFNegritaCaracter"/>
        </w:rPr>
        <w:t>9</w:t>
      </w:r>
      <w:r>
        <w:t xml:space="preserve">. Mediante una diligencia de ordenación de 4 de mayo de 2006 se tiene por personada y parte en el procedimiento a don Adolfo Morales Hernández-Sanjuán, en nombre de don Ahmad Koshagi Kelani y don Waheed Koshagi Kelani; a doña Esther Rodríguez Pérez, en nombre de don Taysir Alony Kate; a don Manuel García Ortiz de Urbina, en nombre de don Luis José Galán González y a doña María Luz Albacar Medina, en nombre de don Jamal Hussein Hussein. </w:t>
      </w:r>
    </w:p>
    <w:p w:rsidR="00DE14C9" w:rsidRDefault="00DE14C9" w:rsidP="00DE14C9">
      <w:pPr>
        <w:pStyle w:val="TextoNormal"/>
      </w:pPr>
      <w:r>
        <w:t xml:space="preserve">Mediante otra diligencia de ordenación de fecha 27 de junio de 2006 se tiene igualmente por personada a la Procuradora doña Almudena Delgado Gordo, en nombre y representación de don Kamal Hadid Chaar, y por designada en virtud del turno de oficio para su defensa a la Letrada doña Coronada Ortiz Escribano. </w:t>
      </w:r>
    </w:p>
    <w:p w:rsidR="00DE14C9" w:rsidRDefault="00DE14C9" w:rsidP="00DE14C9">
      <w:pPr>
        <w:pStyle w:val="TextoNormal"/>
      </w:pPr>
      <w:r>
        <w:t xml:space="preserve">En la misma diligencia se acuerda dar vista de las actuaciones recibidas a las partes personadas y al Ministerio Fiscal por plazo común de veinte días, dentro de los cuales podrían presentar alegaciones, conforme a lo previsto en el art. 52.1 LOTC. </w:t>
      </w:r>
    </w:p>
    <w:p w:rsidR="00DE14C9" w:rsidRDefault="00DE14C9" w:rsidP="00DE14C9">
      <w:pPr>
        <w:pStyle w:val="TextoNormal"/>
      </w:pPr>
      <w:r>
        <w:t>Asimismo se acordó conceder a la parte recurrente, al Ministerio Fiscal y a las partes personadas un plazo de diez días, a fin de que, conforme establece el art. 83 LOTC, efectuasen alegaciones acerca de la acumulación del presente recurso de amparo al 22-2005. Evacuado dicho trámite, por Auto de 4 de junio de 2007, la Sala Segunda acordó denegar la acumulación de los citados recursos.</w:t>
      </w:r>
    </w:p>
    <w:p w:rsidR="00DE14C9" w:rsidRDefault="00DE14C9" w:rsidP="00DE14C9">
      <w:pPr>
        <w:pStyle w:val="TextoNormal"/>
      </w:pPr>
    </w:p>
    <w:p w:rsidR="00DE14C9" w:rsidRDefault="00DE14C9" w:rsidP="00DE14C9">
      <w:pPr>
        <w:pStyle w:val="TextoNormal"/>
      </w:pPr>
      <w:r w:rsidRPr="00DE14C9">
        <w:rPr>
          <w:rStyle w:val="NumeroAFNegritaCaracter"/>
        </w:rPr>
        <w:t>10</w:t>
      </w:r>
      <w:r>
        <w:t>. Mediante escrito registrado el día 13 de julio de 2006 doña Esther Rodríguez Pérez, Procuradora de los Tribunales y de don Taysir Alony Kate, evacuando el trámite de alegaciones del art. 52.1 LOTC, manifiesta su total apoyo a las alegaciones del recurrente, en cuanto coinciden con las de su propio recurso núm. 343-2005.</w:t>
      </w:r>
    </w:p>
    <w:p w:rsidR="00DE14C9" w:rsidRDefault="00DE14C9" w:rsidP="00DE14C9">
      <w:pPr>
        <w:pStyle w:val="TextoNormal"/>
      </w:pPr>
    </w:p>
    <w:p w:rsidR="00DE14C9" w:rsidRDefault="00DE14C9" w:rsidP="00DE14C9">
      <w:pPr>
        <w:pStyle w:val="TextoNormal"/>
      </w:pPr>
      <w:r w:rsidRPr="00DE14C9">
        <w:rPr>
          <w:rStyle w:val="NumeroAFNegritaCaracter"/>
        </w:rPr>
        <w:t>11</w:t>
      </w:r>
      <w:r>
        <w:t>. El día 26 de julio de 2006 doña Almudena Delgado Gordo, Procuradora de los Tribunales y de don Kamal Hadid Chaar, evacua el trámite de alegaciones manifestando que se debe otorgar el amparo solicitado, por entender que los autos recurridos vulneran los arts. 17 y 24.1 CE, toda vez que no cumplen los requisitos de mínimos exigidos por la jurisprudencia de este Tribunal que justifican la medida adoptada, resultando insuficientes los motivos genéricos y estereotipados que esgrimen, máxime tras haberse acordado tiempo atrás su libertad en la causa.</w:t>
      </w:r>
    </w:p>
    <w:p w:rsidR="00DE14C9" w:rsidRDefault="00DE14C9" w:rsidP="00DE14C9">
      <w:pPr>
        <w:pStyle w:val="TextoNormal"/>
      </w:pPr>
    </w:p>
    <w:p w:rsidR="00DE14C9" w:rsidRDefault="00DE14C9" w:rsidP="00DE14C9">
      <w:pPr>
        <w:pStyle w:val="TextoNormal"/>
      </w:pPr>
      <w:r w:rsidRPr="00DE14C9">
        <w:rPr>
          <w:rStyle w:val="NumeroAFNegritaCaracter"/>
        </w:rPr>
        <w:t>12</w:t>
      </w:r>
      <w:r>
        <w:t>. La representación procesal del demandante de amparo formuló sus alegaciones mediante escrito que tuvo su entrada en el Registro de este Tribunal el día 28 de julio de 2006, remitiéndose a lo ya expuesto en la demanda de amparo.</w:t>
      </w:r>
    </w:p>
    <w:p w:rsidR="00DE14C9" w:rsidRDefault="00DE14C9" w:rsidP="00DE14C9">
      <w:pPr>
        <w:pStyle w:val="TextoNormal"/>
      </w:pPr>
    </w:p>
    <w:p w:rsidR="00DE14C9" w:rsidRDefault="00DE14C9" w:rsidP="00DE14C9">
      <w:pPr>
        <w:pStyle w:val="TextoNormal"/>
      </w:pPr>
      <w:r w:rsidRPr="00DE14C9">
        <w:rPr>
          <w:rStyle w:val="NumeroAFNegritaCaracter"/>
        </w:rPr>
        <w:t>13</w:t>
      </w:r>
      <w:r>
        <w:t xml:space="preserve">. El Fiscal ante el Tribunal Constitucional formuló sus alegaciones mediante escrito registrado el día 1 de septiembre de 2006, en el que interesa la desestimación de la demanda de amparo. </w:t>
      </w:r>
    </w:p>
    <w:p w:rsidR="00DE14C9" w:rsidRDefault="00DE14C9" w:rsidP="00DE14C9">
      <w:pPr>
        <w:pStyle w:val="TextoNormal"/>
      </w:pPr>
      <w:r>
        <w:lastRenderedPageBreak/>
        <w:t xml:space="preserve">Tras analizar los hechos y los antecedentes procesales del caso, recuerda el Fiscal que, cuando en un recurso de amparo se alega la infracción, conjunta o separada, del derecho a la libertad y del derecho a la tutela judicial efectiva, ha de entenderse integrado el segundo en el primero, toda vez que una eventual lesión del derecho a la tutela judicial efectiva, por una falta de motivación, supone el ataque frontal a la libertad del recurrente. A continuación, con cita de las SSTC 61/2001 y 170/2001, se recuerda la doctrina de este Tribunal acerca del derecho a la libertad en los supuestos de prisión provisional, destacando que el aseguramiento de la presencia del imputado en el juicio oral constituye un fin constitucionalmente legítimo, como recuerda la reciente STC 179/2005, en su FJ 4, que reproduce parcialmente. </w:t>
      </w:r>
    </w:p>
    <w:p w:rsidR="00DE14C9" w:rsidRDefault="00DE14C9" w:rsidP="00DE14C9">
      <w:pPr>
        <w:pStyle w:val="TextoNormal"/>
      </w:pPr>
      <w:r>
        <w:t xml:space="preserve">Y, pasando al análisis del presente caso, señala que la valoración del acuerdo de prisión no puede hacerse de modo aislado, sino en consideración a la cronología de los hechos y, por tanto, de la investigación e instrucción de aquéllos y de los hitos procesales en que se insertan las respectivas resoluciones sobre la situación de los procesados. Así el recurrente fue privado de libertad al inicio del procedimiento, por su indiciaria participación en los hechos, situación que se tornó en libertad poco después, habida cuenta de que la instrucción podía dilatarse, de sus circunstancias personales y del hecho de que su procesamiento inicial aún no era firme. </w:t>
      </w:r>
    </w:p>
    <w:p w:rsidR="00DE14C9" w:rsidRDefault="00DE14C9" w:rsidP="00DE14C9">
      <w:pPr>
        <w:pStyle w:val="TextoNormal"/>
      </w:pPr>
      <w:r>
        <w:t xml:space="preserve">"Sin embargo, tal situación de libertad, [dice] viene afectada en el decurso del tiempo por acontecimientos que hacen variar el criterio de la Sala enjuiciadora lo que determina el dictado del auto de detención de 18 de noviembre de 2004 y la citación, para la comparecencia prevista en el art. 505 de la LECr, al Ministerio Fiscal y a los letrados de los nuevamente detenidos para oírles sobre un posible cambio en la situación personal de aquellos. En tal acto el Ministerio Fiscal explicita la nueva realidad consistente en la confirmación por la Audiencia Nacional del auto de procesamiento dictado por el Juez Central de instrucción núm. 5, así como la pronta celebración del juicio oral lo que extrema el riesgo de fuga (folios 393 y ss. de la pieza de situación de Ahmad Kosagi) de los ahora detenidos, fuga que se consideraría por el Fiscal previsible y razonable. Es de reseñar que tales fines de la prisión están conectados con los constitucionalmente legítimos, riesgo de fuga e inminencia de celebración del juicio oral que aparecen asimismo en la legislación sobre la materia sobre la base de la jurisprudencia del Tribunal Constitucional (particularmente destacable lo es la conexión de ambos en la dicción del art. 503.3 a) de LECr)". </w:t>
      </w:r>
    </w:p>
    <w:p w:rsidR="00DE14C9" w:rsidRDefault="00DE14C9" w:rsidP="00DE14C9">
      <w:pPr>
        <w:pStyle w:val="TextoNormal"/>
      </w:pPr>
      <w:r>
        <w:t xml:space="preserve">El mismo día de la celebración de la comparecencia la Sala dicta el primero de los autos recurridos en amparo, a raíz de la petición y los argumentos esgrimidos por el Ministerio Fiscal, que pueden ser considerados como "hecho nuevo", interpretando sensu contrario el art. 505.4 LECrim. "Asimismo, con la materialidad del requisito de la petición del Fiscal, se ofrece el del nuevo hecho consistente en el dictado por la Audiencia Nacional de un auto confirmando los acordados en su día para el Juez Central. Tal nueva valoración por un Tribunal Superior de hechos indiciarios de la comisión de delitos de terrorismo con el carácter de firme (ya que el nuevo auto de procesamiento era irrecurrible) es apto para provocar una reacción del órgano judicial de revisión de las situaciones personales de los procesados lo que aparece explicitado en el párrafo último del razonamiento jurídico primero del auto recurrido, y está en conexión con el núm. 1 del art. 503 de LECr". </w:t>
      </w:r>
    </w:p>
    <w:p w:rsidR="00DE14C9" w:rsidRDefault="00DE14C9" w:rsidP="00DE14C9">
      <w:pPr>
        <w:pStyle w:val="TextoNormal"/>
      </w:pPr>
      <w:r>
        <w:t xml:space="preserve">Continúa el Fiscal destacando que el Auto de 19 de noviembre de 2004, por su parte, exterioriza el criterio del Tribunal sobre los demás requisitos que condicionan constitucionalmente la nueva toma de decisión, como es el riesgo de fuga, a la vista de la gravedad de los hechos, pena a imponer, situación procedimental de la causa y posibilidad de reiteración delictiva. E igualmente atiende a las circunstancias familiares, personales y económicas de los procesados (lo que no quiere decir necesariamente su acogimiento en orden a eludir la </w:t>
      </w:r>
      <w:r>
        <w:lastRenderedPageBreak/>
        <w:t xml:space="preserve">prisión, como pretendían las defensas), entendiendo que en la ponderación entre aquellas y el posible riesgo de fuga pesa más este último. </w:t>
      </w:r>
    </w:p>
    <w:p w:rsidR="00DE14C9" w:rsidRDefault="00DE14C9" w:rsidP="00DE14C9">
      <w:pPr>
        <w:pStyle w:val="TextoNormal"/>
      </w:pPr>
      <w:r>
        <w:t xml:space="preserve">Por tanto, y desde el control externo que puede llevar a cabo el Tribunal Constitucional, ha de afirmarse que las resoluciones impugnadas no adolecen de motivación deficiente, a la vista de la petición fiscal y del mantenimiento del Auto de procesamiento por la Sala desestimando el recurso de apelación, y la reconsideración de los indicios de criminalidad, el riesgo de fuga y la evitación de la reiteración añadidos a los criterios iniciales de gravedad de hechos y de penas a imponer. Una forma de motivar conectada, de otro lado, con los fines constitucionalmente legítimos a los que la prisión sirve, y que no viene desautorizada por el hecho de que en otro momento procesal se acordara la libertad provisional, pues "la nueva situación ofrece una visión distinta influida por la confirmación del procesamiento y la inminencia del juicio lo que conduce a una nueva prisión en la que las circunstancias personales del preso no pueden venir necesariamente abocadas a su libertad". </w:t>
      </w:r>
    </w:p>
    <w:p w:rsidR="00DE14C9" w:rsidRDefault="00DE14C9" w:rsidP="00DE14C9">
      <w:pPr>
        <w:pStyle w:val="TextoNormal"/>
      </w:pPr>
      <w:r>
        <w:t>Por último entiende el Fiscal que no pueden considerarse los requisitos exigidos jurisprudencialmente de forma autónoma, y que en el presente caso se han valorado y ponderado tanto el riesgo de fuga como los indicios, la pronta celebración del juicio oral y las circunstancias personales del preso, y que la valoración conjunta de todo ello llevó a la Sala a acordar la prisión, debidamente fundamentada en los dos autos dictados, sin que pueda ser detectada lesión alguna del art. 17 CE y, derivadamente del 24.1 CE.</w:t>
      </w:r>
    </w:p>
    <w:p w:rsidR="00DE14C9" w:rsidRDefault="00DE14C9" w:rsidP="00DE14C9">
      <w:pPr>
        <w:pStyle w:val="TextoNormal"/>
      </w:pPr>
    </w:p>
    <w:p w:rsidR="00DE14C9" w:rsidRDefault="00DE14C9" w:rsidP="00DE14C9">
      <w:pPr>
        <w:pStyle w:val="TextoNormal"/>
      </w:pPr>
      <w:r w:rsidRPr="00DE14C9">
        <w:rPr>
          <w:rStyle w:val="NumeroAFNegritaCaracter"/>
        </w:rPr>
        <w:t>14</w:t>
      </w:r>
      <w:r>
        <w:t>. Por providencia de 14 de junio de 2007, se señaló para deliberación y votación de la presente Sentencia el día 17 del mismo mes y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 presente demanda de amparo se dirige contra Autos de la Sección Tercera de la Sala de lo Penal de la Audiencia Nacional de 19 de noviembre y 9 de diciembre de 2004, en virtud de los cuales se acordó la prisión provisional del recurrente de amparo en el procedimiento penal en el que se le consideró indiciariamente implicado en un delito de pertenencia a organización terrorista (Al Qaeda). Como se ha expuesto con detalle en los antecedentes, se denuncia la vulneración de los derechos a la libertad personal (art. 17.1 CE) y a la tutela judicial efectiva (art. 24.1 CE), por entender que las resoluciones judiciales impugnadas no cumplen con las exigencias de motivación que la jurisprudencia de este Tribunal ha establecido como imprescindibles para poder restringir el derecho a la libertad. En concreto sostiene el recurrente que ni existían indicios racionales de criminalidad contra él; ni riesgo de fuga a la vista de sus circunstancias familiares y personales, que no han sido tenidas en cuenta por las resoluciones judiciales; ni riesgo de reiteración delictiva. Todo ello se afirma de forma genérica y estereotipada, sin tener en cuenta las circunstancias personales y del caso, y sin que ni la mera petición de la acusación pública, ni la gravedad de la pena, ni la supuesta proximidad del juicio sean argumentos suficientes para afirmar en el presente caso el riesgo de fuga y justificar la medida.</w:t>
      </w:r>
    </w:p>
    <w:p w:rsidR="00DE14C9" w:rsidRDefault="00DE14C9" w:rsidP="00DE14C9">
      <w:pPr>
        <w:pStyle w:val="TextoNormal"/>
      </w:pPr>
      <w:r>
        <w:t xml:space="preserve">El Ministerio Fiscal interesa la desestimación íntegra de la demanda, afirmando que las resoluciones impugnadas acuerdan la prisión del recurrente a raíz de la nueva situación generada por la petición del Ministerio Fiscal y la confirmación por la Audiencia Nacional del Auto de procesamiento. Y en la nueva ponderación llevada a cabo se tienen en cuenta, tanto la existencia de indicios de la comisión de un delito de terrorismo por parte del recurrente, </w:t>
      </w:r>
      <w:r>
        <w:lastRenderedPageBreak/>
        <w:t>como la concurrencia de riesgo de fuga, cuya prevención es una finalidad constitucionalmente legítima que habilita para decretar prisión provisional y que resulta procedente atender en el caso tras ponderar las circunstancias personales del recurrente globalmente con la gravedad de los hechos y la pena, la confirmación del procesamiento y la proximidad del juicio oral. Y constatado que los órganos judiciales han exteriorizado dichos extremos, los límites marcados a la jurisdicción constitucional impiden, desde la perspectiva del control externo, sostener que las resoluciones judiciales adolecen de motivación deficiente.</w:t>
      </w:r>
    </w:p>
    <w:p w:rsidR="00DE14C9" w:rsidRDefault="00DE14C9" w:rsidP="00DE14C9">
      <w:pPr>
        <w:pStyle w:val="TextoNormal"/>
      </w:pPr>
    </w:p>
    <w:p w:rsidR="00DE14C9" w:rsidRDefault="00DE14C9" w:rsidP="00DE14C9">
      <w:pPr>
        <w:pStyle w:val="TextoNormal"/>
      </w:pPr>
      <w:r w:rsidRPr="00DE14C9">
        <w:rPr>
          <w:rStyle w:val="NumeroAFNegritaCaracter"/>
        </w:rPr>
        <w:t>2</w:t>
      </w:r>
      <w:r>
        <w:t>. El examen de la pretensión de amparo ha de partir de la consolidada doctrina de este Tribunal acerca de las exigencias constitucionales de motivación que han de satisfacer las resoluciones judiciales a través de las que se acuerda la prisión provisional, en cuanto restrictivas del derecho fundamental a la libertad personal (art. 17.1 CE).</w:t>
      </w:r>
    </w:p>
    <w:p w:rsidR="00DE14C9" w:rsidRDefault="00DE14C9" w:rsidP="00DE14C9">
      <w:pPr>
        <w:pStyle w:val="TextoNormal"/>
      </w:pPr>
      <w:r>
        <w:t>a) Desde la STC 128/1995, de 26 de junio, este Tribunal viene afirmando que la prisión provisional es una medida cautelar cuya legitimidad constitucional, en tanto que limitativa del derecho a la libertad personal (art. 17.1 CE) de quien aún goza del derecho a la presunción de inocencia, exige como presupuesto la existencia de indicios racionales de la comisión de un delito por parte del sujeto pasivo; como objetivo, la consecución de fines constitucionalmente legítimos y congruentes con la naturaleza de la medida (riesgo de fuga, de obstrucción del normal desarrollo del proceso o de reiteración delictiva); y, como objeto, que se la conciba tanto en su adopción como en su mantenimiento como una medida de aplicación excepcional, subsidiaria, provisional y proporcionada a la consecución de dichos fines (por todas, SSTC 128/1995, de 26 de julio, FFJJ 3 y 4; 66/1997, de 7 de abril, FJ 4; 33/1999, de 8 de marzo, FJ 3; 47/2000, de 17 de febrero, FJ 3; o más recientemente STC 35/2007, de 12 de febrero, FJ 2).</w:t>
      </w:r>
    </w:p>
    <w:p w:rsidR="00DE14C9" w:rsidRDefault="00DE14C9" w:rsidP="00DE14C9">
      <w:pPr>
        <w:pStyle w:val="TextoNormal"/>
      </w:pPr>
      <w:r>
        <w:t>b) Las decisiones relativas a la adopción y mantenimiento de prisión provisional han de expresarse a través de una resolución judicial motivada, motivación que ha de ser "suficiente y razonable", entendiendo por tal, no la que colma meramente las exigencias del derecho a la tutela judicial efectiva, sino aquélla que respeta el contenido constitucionalmente garantizado del derecho a la libertad afectado, ponderando adecuadamente los intereses en juego -la libertad de la persona cuya inocencia se presume, por un lado; la realización de la administración de la justicia penal, en atención a los fines que hemos reseñado, por otro- a partir de toda la información disponible en el momento de adoptar la decisión y del entendimiento de la prisión provisional como una medida excepcional, subsidiaria y provisional.</w:t>
      </w:r>
    </w:p>
    <w:p w:rsidR="00DE14C9" w:rsidRDefault="00DE14C9" w:rsidP="00DE14C9">
      <w:pPr>
        <w:pStyle w:val="TextoNormal"/>
      </w:pPr>
      <w:r>
        <w:t>Para ello, obviamente, la resolución judicial ha de expresar cuál es el presupuesto de la medida y el fin constitucionalmente legítimo perseguido. Y, en relación con la constatación del peligro de fuga, hemos destacado que deberán tomarse en consideración "además de las características y la gravedad del delito imputado y de la pena con que se le amenaza, las circunstancias concretas del caso y las personales del imputado", matizando que, si bien en un primer momento la necesidad de preservar los fines constitucionalmente legítimos de la prisión provisional pueden justificar que se adopte atendiendo sólo a circunstancias objetivas, como el tipo de delito y la gravedad de la pena, el transcurso del tiempo modifica el valor de este dato en la ponderación y obliga a ponderar las circunstancias personales del sujeto privado de libertad y los datos del caso concreto (por todas, SSTC 128/1995, de 26 de julio, FJ 4; 66/1997, de 7 de abril, FJ 4; 47/2000, de 17 de febrero, FJ 3; 35/2007, de 12 de febrero, FJ 2).</w:t>
      </w:r>
    </w:p>
    <w:p w:rsidR="00DE14C9" w:rsidRDefault="00DE14C9" w:rsidP="00DE14C9">
      <w:pPr>
        <w:pStyle w:val="TextoNormal"/>
      </w:pPr>
      <w:r>
        <w:t xml:space="preserve">Por otra parte, respecto a la proximidad de la celebración del juicio oral como dato a partir del cual sustentar los riesgos que se pretenden evitar, este Tribunal ha sostenido que, al tener un sentido ambivalente o no concluyente, dado que el avance del proceso puede </w:t>
      </w:r>
      <w:r>
        <w:lastRenderedPageBreak/>
        <w:t>contribuir tanto a cimentar con mayor solidez la imputación como a debilitar los indicios de culpabilidad del acusado, el órgano judicial debe concretar las circunstancias que avalan en el caso concreto una u otra hipótesis (por todas, SSTC 128/1995, de 26 de julio, FJ 3; 66/1997, de 7 de abril, FJ 6; 146/1997, de 15 de septiembre, FJ 5; 33/1999, 8 de marzo, FJ 6; 35/2007, de 12 de febrero, FJ 2). En particular, en el fundamento jurídico 6 de la STC 66/1997, invocada por el demandante, sostuvimos que "el hecho de que la tramitación se halle avanzada y la vista próxima es en sí mismo considerado un dato ambivalente a los efectos de nuestro enjuiciamiento: es cierto que el paso del tiempo, con el avance de la instrucción y la perfilación de la imputación, puede ir dotando de solidez a ésta, lo que podría a su vez incrementar la probabilidad de una efectiva condena y, con ello, el riesgo de fuga. Sin embargo, no es menos cierto que en otras circunstancias el transcurso del tiempo puede producir efectos contrarios a los que acabamos de indicar, no sólo porque el devenir del procedimiento puede debilitar los indicios que apuntan a la culpabilidad del acusado, sino también porque, como se razonó en la STC 128/1995 con amplia cita de Sentencias del Tribunal Europeo de Derechos Humanos, el argumento del peligro de fuga 'se debilita por el propio paso del tiempo y la consiguiente disminución de las consecuencias punitivas que puede sufrir el preso (Sentencias del Tribunal Europeo de Derechos Humanos de 27 de junio de 1968, caso Wemhoff; de 27 de junio de 1968, caso Neumeister; de 10 de noviembre de 1969, caso Matznetter)' [fundamento jurídico 4 b)]. Esta ambivalencia es precisamente la que obliga a que, cuando se alude a lo avanzado de la tramitación y al aseguramiento de la celebración del juicio oral -dato puramente objetivo-, se concreten las circunstancias específicas derivadas de la tramitación que en cada caso abonan o no la hipótesis de que, en el supuesto enjuiciado, el transcurso del tiempo puede llevar a la fuga del imputado. La simple referencia a lo avanzado de la tramitación carece como tal de fuerza argumentativa para afirmar la posibilidad de que el imputado huya".</w:t>
      </w:r>
    </w:p>
    <w:p w:rsidR="00DE14C9" w:rsidRDefault="00DE14C9" w:rsidP="00DE14C9">
      <w:pPr>
        <w:pStyle w:val="TextoNormal"/>
      </w:pPr>
      <w:r>
        <w:t>c) La falta de motivación, en los términos anteriormente expuestos, de la resolución judicial afecta primordialmente, por la vía de uno de sus requisitos formales esenciales, a la propia existencia del presupuesto habilitante para la privación de la libertad y, por lo tanto, al derecho a la misma consagrado en el art. 17 CE (128/1995, de 26 de julio FJ 4; 47/2000, de 17 de febrero, FJ 3; 29/2001, de 29 de enero, FJ 2; 138/2002, de 3 de junio, FJ 3).</w:t>
      </w:r>
    </w:p>
    <w:p w:rsidR="00DE14C9" w:rsidRDefault="00DE14C9" w:rsidP="00DE14C9">
      <w:pPr>
        <w:pStyle w:val="TextoNormal"/>
      </w:pPr>
      <w:r>
        <w:t>Conforme a reiterados pronunciamientos de este Tribunal, los problemas de motivación en las resoluciones que acuerdan medidas limitativas de derechos fundamentales conciernen directamente a la lesión del propio derecho fundamental sustantivo y no, autónomamente, al derecho a la tutela judicial efectiva. Una decisión restrictiva de un derecho fundamental sustantivo, como es en este caso el derecho a la libertad, exige una resolución judicial cuya fundamentación, no sólo colme el deber general de motivación, que es inherente a la tutela judicial efectiva, sino que, además, ha de extenderse a la justificación de su legitimidad constitucional, ponderando las circunstancias concretas que, de acuerdo con el presupuesto legal y la finalidad constitucionalmente legítima, permitan la adopción de dicha decisión (por todas, SSTC 47/2000, de 17 de febrero, FJ 7; 29/2001, de 29 de enero, FJ 2). Por ello el análisis de la insuficiencia de motivación desde la perspectiva del deber genérico de fundamentación de las resoluciones judiciales queda desplazado por un análisis desde la perspectiva del deber más estricto de fundamentación para la adopción de medidas restrictivas del derecho a la libertad.</w:t>
      </w:r>
    </w:p>
    <w:p w:rsidR="00DE14C9" w:rsidRDefault="00DE14C9" w:rsidP="00DE14C9">
      <w:pPr>
        <w:pStyle w:val="TextoNormal"/>
      </w:pPr>
      <w:r>
        <w:t xml:space="preserve">d) Finalmente hemos de recordar también que es a los órganos de la jurisdicción ordinaria a quienes compete en exclusiva determinar en cada caso la concurrencia y valoración de los antecedentes fácticos justificativos de la medida cautelar, puesto que tales órganos son los únicos que gozan de la inmediación necesaria para ello. A este Tribunal, en su tarea de </w:t>
      </w:r>
      <w:r>
        <w:lastRenderedPageBreak/>
        <w:t>protección del derecho fundamental a la libertad, le corresponde controlar que dicha justificación, articulada a través de la motivación de las resoluciones judiciales, se lleve a cabo ponderando los derechos e intereses en conflicto y resolviendo de forma acorde con los fines legítimos que permiten justificar la limitación cautelar de la libertad personal (por todas, SSTC 128/1995, de 26 de julio, FJ 4; 66/1997, de 7 de abril, FJ 4; 47/2000, de 17 de febrero, FJ 7;179/2005, de 4 de julio, FJ 4; 35/2007, de 12 de febrero, FJ 2).</w:t>
      </w:r>
    </w:p>
    <w:p w:rsidR="00DE14C9" w:rsidRDefault="00DE14C9" w:rsidP="00DE14C9">
      <w:pPr>
        <w:pStyle w:val="TextoNormal"/>
      </w:pPr>
    </w:p>
    <w:p w:rsidR="00DE14C9" w:rsidRDefault="00DE14C9" w:rsidP="00DE14C9">
      <w:pPr>
        <w:pStyle w:val="TextoNormal"/>
      </w:pPr>
      <w:r w:rsidRPr="00DE14C9">
        <w:rPr>
          <w:rStyle w:val="NumeroAFNegritaCaracter"/>
        </w:rPr>
        <w:t>3</w:t>
      </w:r>
      <w:r>
        <w:t>. La aplicación al caso de la doctrina anteriormente expuesta exige el análisis del contenido de las resoluciones judiciales impugnadas, ya reproducido en los antecedentes.</w:t>
      </w:r>
    </w:p>
    <w:p w:rsidR="00DE14C9" w:rsidRDefault="00DE14C9" w:rsidP="00DE14C9">
      <w:pPr>
        <w:pStyle w:val="TextoNormal"/>
      </w:pPr>
      <w:r>
        <w:t>El Auto de 19 de noviembre de 2004, si bien refiriéndose genéricamente al conjunto de los procesados, razona la existencia tanto del presupuesto habilitante de la medida ("la existencia de indicios racionales de criminalidad que se derivan para cada uno de los procesados a los que atañe la resolución del auto firme de fecha 15 de noviembre de 2004") como la concurrencia de dos finalidades que legitiman constitucionalmente la medida: conjurar el riesgo de fuga, "pues a la vista de la naturaleza de los hechos, la gravedad de la pena que pueda imponerse a los procesados y la situación procedimental de la causa que hace presumir la pronta celebración del juicio, tal riesgo está latente, sin que dicho riesgo quede conjurado por las circunstancias familiares, personales o económicas de los procesados a las que aluden sus defensas"; y evitar la reiteración delictiva, "dada la naturaleza de los hechos imputados a los procesados".</w:t>
      </w:r>
    </w:p>
    <w:p w:rsidR="00DE14C9" w:rsidRDefault="00DE14C9" w:rsidP="00DE14C9">
      <w:pPr>
        <w:pStyle w:val="TextoNormal"/>
      </w:pPr>
      <w:r>
        <w:t>El Auto de 9 de diciembre de 2004, que desestima el recurso de súplica contra el anterior, ya de forma individualizada respecto del recurrente, razona la existencia de indicios racionales de criminalidad específicamente recogidos en el fundamento jurídico cuarto núm. 11 del Auto que confirmó su procesamiento, donde se establece lo siguiente:</w:t>
      </w:r>
    </w:p>
    <w:p w:rsidR="00DE14C9" w:rsidRDefault="00DE14C9" w:rsidP="00DE14C9">
      <w:pPr>
        <w:pStyle w:val="TextoNormal"/>
      </w:pPr>
      <w:r>
        <w:t>"En diversas conversaciones de Abu Dahdah, éste manifestó que su relación con Ghasoub era muy buena; que se verían en casa de Ghasoub; en conversación entre Abdulrahman y Abu Dahdah comentaron que Ghasoub se marchaba el lunes a Arabia Saudí y que ese mismo día irían a casa de Abu Dahdah el propio Abdulrahman junto con Abu Abdo y Ghasoub. En declaración efectuada por Ghasoub en la UCIE, manifestó que Abu Dahdah era una persona muy radical, que siempre estaba hablando de la Jihad, de los mujahidines de Bosnia, Afganistan y Chechenia y consideraba que toda persona que no pensaba como él, era un ateo.</w:t>
      </w:r>
    </w:p>
    <w:p w:rsidR="00DE14C9" w:rsidRDefault="00DE14C9" w:rsidP="00DE14C9">
      <w:pPr>
        <w:pStyle w:val="TextoNormal"/>
      </w:pPr>
      <w:r>
        <w:t>Según investigaciones de la UCIE el teléfono de Ghasoub estaba anotado en la agenda telefónica de un miembro importante de Al Qaeda identificado como Mohamed Bahaiah (a) Abu Kaled. Aunque Ghasoub no figurase como socio en determinados empresas de Galeb, a través de los libros registro que fueron intervenidos en la empresa Proyectos y Promociones ISO, S.L., siendo socios Ghaleb Kalaje y Basam Dalati, aparecen diversas anotaciones sobre ingresos de Galeb procedentes del edificio de Ghasoub Al Abrash.  Dichos libros son de contabilidad privada en el que aparecen anotaciones manuscritas de Galeb comprometedoras como blanqueo de dinero, ingresos de inversores como Abu Dahdah y el propio Ghasoub.</w:t>
      </w:r>
    </w:p>
    <w:p w:rsidR="00DE14C9" w:rsidRDefault="00DE14C9" w:rsidP="00DE14C9">
      <w:pPr>
        <w:pStyle w:val="TextoNormal"/>
      </w:pPr>
      <w:r>
        <w:t>En los libros de Galeb figuraban también entradas de dinero de los inversores, con las siguientes anotaciones: 26.9.00, 300 millones de transferencia de Viviendas Sirio, S.A. y el 6.11.00, 80 millones de pesetas transferencia de Viviendas Sirio, S.A., siendo socios de esta empresa Ghasoub y Ahmad Najjar.</w:t>
      </w:r>
    </w:p>
    <w:p w:rsidR="00DE14C9" w:rsidRDefault="00DE14C9" w:rsidP="00DE14C9">
      <w:pPr>
        <w:pStyle w:val="TextoNormal"/>
      </w:pPr>
      <w:r>
        <w:t xml:space="preserve">Ghasoub efectuó un viaje a EE UU al parecer de tipo turístico, donde visitó varias ciudades siendo acompañado por diferentes personas árabes como aparecen en los vídeos y que viven en España, siendo del círculo de amistades de Galeb y de Abu Dahdah.  Dicho viaje </w:t>
      </w:r>
      <w:r>
        <w:lastRenderedPageBreak/>
        <w:t>lo efectuó solo y realizó numerosas grabaciones con cámara, entre ellas el Aeropuerto de Nueva York con determinados aviones que se encontraban parados en la pista así como varias veces las Torres Gemelas desde diferentes ángulos de la ciudad, así como la estatua de la Libertad y el Empire State, siendo dichas construcciones señaladas por Al Qaeda como objetivos para atentados. También visitó San Francisco e hizo grabaciones de la ciudad y muy insistentemente del puente del Golden State, siendo otro de los objetivos terroristas. Cuando hizo la filmación de las Torres Gemelas manifestó que: "su arquitecto se lo había pedido" extremo que era incierto ya que en la declaración efectuada por el arquitecto don Eduardo José Villanueva Canepa manifestó que él no le había mandado realizar ninguna grabación.</w:t>
      </w:r>
    </w:p>
    <w:p w:rsidR="00DE14C9" w:rsidRDefault="00DE14C9" w:rsidP="00DE14C9">
      <w:pPr>
        <w:pStyle w:val="TextoNormal"/>
      </w:pPr>
      <w:r>
        <w:t>Se le intervino una carta manuscrita de Ghasoub dirigida al Jefe del Departamento de los Servicios Secretos Sirios en que admitía haber formado parte de los Hermanos Musulmanes y haber recibido 'un curso para estudiantes'".</w:t>
      </w:r>
    </w:p>
    <w:p w:rsidR="00DE14C9" w:rsidRDefault="00DE14C9" w:rsidP="00DE14C9">
      <w:pPr>
        <w:pStyle w:val="TextoNormal"/>
      </w:pPr>
      <w:r>
        <w:t>Y también argumenta que:</w:t>
      </w:r>
    </w:p>
    <w:p w:rsidR="00DE14C9" w:rsidRDefault="00DE14C9" w:rsidP="00DE14C9">
      <w:pPr>
        <w:pStyle w:val="TextoNormal"/>
      </w:pPr>
      <w:r>
        <w:t>"cuando se aproxima la celebración del juicio oral, el Ministerio público insta la prisión provisional del procesado, sobre la base de la existencia de indicios racionales de criminalidad contra el mismo y el elevado riesgo de que, ante su pronto enjuiciamiento, intente sustraerse a la acción de la justicia, petición revestida de toda lógica, que el Tribunal tiene que acoger en cumplimiento de la obligación que le corresponde de asegurar la celebración del juicio con la presencia de todos y cada uno de los procesados".</w:t>
      </w:r>
    </w:p>
    <w:p w:rsidR="00DE14C9" w:rsidRDefault="00DE14C9" w:rsidP="00DE14C9">
      <w:pPr>
        <w:pStyle w:val="TextoNormal"/>
      </w:pPr>
    </w:p>
    <w:p w:rsidR="00DE14C9" w:rsidRDefault="00DE14C9" w:rsidP="00DE14C9">
      <w:pPr>
        <w:pStyle w:val="TextoNormal"/>
      </w:pPr>
      <w:r w:rsidRPr="00DE14C9">
        <w:rPr>
          <w:rStyle w:val="NumeroAFNegritaCaracter"/>
        </w:rPr>
        <w:t>4</w:t>
      </w:r>
      <w:r>
        <w:t>. De la lectura de ambas resoluciones judiciales se desprende que, aun cuando parcas en su argumentación, sí exteriorizan los fundamentos de la decisión que adoptan en lo relativo a la concurrencia, tanto del presupuesto habilitante de la misma -los indicios racionales de criminalidad-, como de las finalidades constitucionalmente legítimas que se persiguen con la medida de prisión acordada -esencialmente conjurar el riesgo de fuga, aunque también la evitación de la reiteración delictiva-; e igualmente se hace referencia a que tales riesgos no quedan conjurados por las circunstancias familiares, personales o económicas de los procesados.</w:t>
      </w:r>
    </w:p>
    <w:p w:rsidR="00DE14C9" w:rsidRDefault="00DE14C9" w:rsidP="00DE14C9">
      <w:pPr>
        <w:pStyle w:val="TextoNormal"/>
      </w:pPr>
      <w:r>
        <w:t>En la presente demanda de amparo no se cuestiona la existencia de tal exteriorización, sino la consistencia de la argumentación y la falta de consideración individualizada de las circunstancias personales y del caso a la hora de valorar el riesgo de fuga, así como la insuficiencia del dato de la proximidad del juicio para afirmar tal riesgo y justificar la medida.</w:t>
      </w:r>
    </w:p>
    <w:p w:rsidR="00DE14C9" w:rsidRDefault="00DE14C9" w:rsidP="00DE14C9">
      <w:pPr>
        <w:pStyle w:val="TextoNormal"/>
      </w:pPr>
      <w:r>
        <w:t>Por lo que respecta a la cuestionada concurrencia de indicios de criminalidad, se ofrecen múltiples datos en los que se sustenta indiciariamente la presunta relación del recurrente con los hechos delictivos que se le imputan, datos que sirvieron de base para su procesamiento y que se extraen del Auto que confirma tal procesamiento, lo que colma las exigencias de nuestra doctrina en relación con la exteriorización del presupuesto habilitante de la medida, sin que a este Tribunal le corresponda realizar ningún otro juicio al respecto desde la perspectiva del derecho a la libertad que nos ocupa.</w:t>
      </w:r>
    </w:p>
    <w:p w:rsidR="00DE14C9" w:rsidRDefault="00DE14C9" w:rsidP="00DE14C9">
      <w:pPr>
        <w:pStyle w:val="TextoNormal"/>
      </w:pPr>
      <w:r>
        <w:t>Y en relación con las restantes cuestiones planteadas en la demanda ha de señalarse que coinciden en buena medida con las del recurso de amparo núm. 322-2005 (interpuesto por otro de los coprocesados en la misma causa cuya prisión provisional fue decretada también por el Auto de 19 de noviembre de 2004) resuelto por la reciente Sentencia de la Sala Primera de este Tribunal 35/2007, de 12 de febrero. Ante lo cual, y remitiéndonos a los razonamientos jurídicos de la citada Sentencia, hemos de llegar igualmente a una decisión desestimatoria del amparo solicitado.</w:t>
      </w:r>
    </w:p>
    <w:p w:rsidR="00DE14C9" w:rsidRDefault="00DE14C9" w:rsidP="00DE14C9">
      <w:pPr>
        <w:pStyle w:val="TextoNormal"/>
      </w:pPr>
      <w:r>
        <w:lastRenderedPageBreak/>
        <w:t>En efecto, en contra de lo sostenido por el recurrente, el riesgo de fuga no se afirma sobre la base del único dato de la proximidad del juicio oral, sino considerando la naturaleza y gravedad de los hechos imputados reflejados en el Auto que confirma el procesamiento, la gravedad de la pena que puede imponerse, la confirmación del procesamiento y la proximidad del juicio oral, un cúmulo de circunstancias, "cuya ponderación conjunta no es inconstitucional, entendiéndose expresamente que el riesgo de fuga que de dichas circunstancias deriva no se conjura por las circunstancias individuales alegadas. En este contexto podrá sostenerse que la referencia a las circunstancias personales constituye una afirmación genérica que no se refiere sólo al demandante o que no se razona individualmente sobre las alegaciones de la defensa del recurrente, pero no puede afirmarse que la exteriorización del fundamento de la decisión no contenga una referencia a la ponderación de las circunstancias personales del demandante" (STC 35/2007, FJ 4).</w:t>
      </w:r>
    </w:p>
    <w:p w:rsidR="00DE14C9" w:rsidRDefault="00DE14C9" w:rsidP="00DE14C9">
      <w:pPr>
        <w:pStyle w:val="TextoNormal"/>
      </w:pPr>
      <w:r>
        <w:t>A lo que ha de añadirse que "si bien es cierto que desde que se dictó el Auto de procesamiento el 17 de septiembre de 2003 el órgano judicial mantuvo la libertad provisional del recurrente, no lo es menos que dicho Auto estaba recurrido, resolviéndose dicho recurso por Auto de 15 de noviembre de 2004. A la realidad de dicho Auto, a su firmeza y a su contenido se refieren expresamente las resoluciones impugnadas, de modo que, como advierte el Ministerio Fiscal, se trata de un hecho nuevo que puede ser valorado por los órganos judiciales en la evaluación de los riesgos que las medidas cautelares pretenden evitar. Y, además, se trata de una circunstancia procesal cuyo sentido objetivamente considerado reside en la consolidación de la imputación penal contra el recurrente. Como se ha expuesto, ante la ambivalencia del transcurso del tiempo y de la proximidad de la celebración del juicio oral al fundamentar el riesgo de fuga, la jurisprudencia constitucional exige una ponderación expresa de las circunstancias procesales concretas del caso para de este modo individualizar el sentido que en cada supuesto la proximidad del juicio oral pueda tener (STC 66/1997). En el caso examinado, al acordarse la prisión provisional del recurrente en Auto de 19 de noviembre de 2004 -cuatro días después de producirse la confirmación del procesamiento del recurrente en Auto de 15 de noviembre de 2004-, no se puede negar que los órganos judiciales han valorado un elemento -la confirmación del Auto de procesamiento- que, en tanto que dato del que deriva la consolidación de la imputación concreta, en la forma requerida por nuestra jurisprudencia, el modo en que la proximidad del juicio oral puede fundamentar el riesgo de fuga" (STC 35/2007, FJ 4).</w:t>
      </w:r>
    </w:p>
    <w:p w:rsidR="00DE14C9" w:rsidRDefault="00DE14C9" w:rsidP="00DE14C9">
      <w:pPr>
        <w:pStyle w:val="TextoNormal"/>
      </w:pPr>
      <w:r>
        <w:t xml:space="preserve">Por consiguiente las resoluciones judiciales exteriorizan de forma conforme a las exigencias constitucionales la existencia de indicios de criminalidad, y se fundamentan en un fin constitucionalmente legítimo -evitar el riesgo de fuga-, cuya concurrencia se afirma tras realizar una nueva ponderación de los intereses en conflicto, justificada por la petición del Ministerio Fiscal tras la confirmación del Auto de procesamiento. Y en esa nueva ponderación se tienen en cuenta una serie de datos -proximidad del juicio oral, confirmación o firmeza del procesamiento, naturaleza del delito y gravedad de la pena-, cuya valoración conjunta es legítima desde la perspectiva constitucional, para afirmar la concurrencia del riesgo de fuga en ese nuevo momento procesal, lo que proporciona una justificación suficiente y razonable de la necesidad de la medida adoptada y satisface las exigencias constitucionales de motivación en esta materia. Constatado lo cual, este Tribunal no puede profundizar más en el control de la fundamentación de la decisión de acordar la prisión provisional sin traspasar los límites del control externo propio de la jurisdicción de amparo, pues no le compete realizar una valoración -en positivo y de forma directa- de la suficiencia de las circunstancias fácticas concurrentes en el caso para fundamentar el presupuesto de la media y el riesgo </w:t>
      </w:r>
      <w:r>
        <w:lastRenderedPageBreak/>
        <w:t>de fuga o cualquier otro de los riesgos cuya evitación constituye la finalidad legítima de la institución.</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Denegar el amparo solicitado por don Ghasoub Al-Abrash Ghalyoun.</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dieciocho de junio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65" w:name="SENTENCIA_2007_152"/>
      <w:r>
        <w:lastRenderedPageBreak/>
        <w:t>SENTENCIA 152/2007, de 18 de junio de 2007</w:t>
      </w:r>
    </w:p>
    <w:bookmarkEnd w:id="65"/>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179, de 27 de julio de 2007)</w:t>
      </w:r>
    </w:p>
    <w:p w:rsidR="00DE14C9" w:rsidRDefault="00DE14C9" w:rsidP="00DE14C9">
      <w:pPr>
        <w:pStyle w:val="TtuloBOE"/>
      </w:pPr>
    </w:p>
    <w:p w:rsidR="00DE14C9" w:rsidRDefault="00DE14C9" w:rsidP="00DE14C9">
      <w:pPr>
        <w:pStyle w:val="SntesisDescriptiva"/>
      </w:pPr>
      <w:r>
        <w:t>ECLI:ES:TC:2007:152</w:t>
      </w:r>
    </w:p>
    <w:p w:rsidR="00DE14C9" w:rsidRDefault="00DE14C9" w:rsidP="00DE14C9">
      <w:pPr>
        <w:pStyle w:val="SntesisDescriptiva"/>
      </w:pPr>
    </w:p>
    <w:p w:rsidR="00DE14C9" w:rsidRDefault="00DE14C9" w:rsidP="00DE14C9">
      <w:pPr>
        <w:pStyle w:val="SntesisDescriptiva"/>
      </w:pPr>
      <w:r>
        <w:t>Recurso de amparo 343-2005. Promovido por don Taysir Alony Kate frente a los Autos de la Sala de lo Penal de la Audiencia Nacional que acordaron su prisión provisional en causa por delito de pertenencia a organización terrorista.</w:t>
      </w:r>
    </w:p>
    <w:p w:rsidR="00DE14C9" w:rsidRDefault="00DE14C9" w:rsidP="00DE14C9">
      <w:pPr>
        <w:pStyle w:val="SntesisDescriptiva"/>
      </w:pPr>
    </w:p>
    <w:p w:rsidR="00DE14C9" w:rsidRDefault="00DE14C9" w:rsidP="00DE14C9">
      <w:pPr>
        <w:pStyle w:val="SntesisAnaltica"/>
      </w:pPr>
      <w:r>
        <w:t>Supuesta vulneración del derecho a la libertad personal: prisión provisional, ante la proximidad del juicio oral, suficientemente motivada (STC 35/2007).</w:t>
      </w:r>
    </w:p>
    <w:p w:rsidR="00DE14C9" w:rsidRDefault="00DE14C9" w:rsidP="00DE14C9">
      <w:pPr>
        <w:pStyle w:val="SntesisAnaltica"/>
      </w:pPr>
    </w:p>
    <w:p w:rsidR="00DE14C9" w:rsidRDefault="00DE14C9" w:rsidP="00DE14C9">
      <w:pPr>
        <w:pStyle w:val="Extracto"/>
      </w:pPr>
      <w:r>
        <w:t>1.</w:t>
      </w:r>
      <w:r>
        <w:tab/>
        <w:t>Las resoluciones judiciales exteriorizan la existencia de indicios de criminalidad, y se fundamentan en un fin constitucionalmente legítimo —evitar el riesgo de fuga—, cuya concurrencia se afirma tras realizar una nueva ponderación de los intereses en conflicto teniendo en cuenta una serie de datos —proximidad del juicio oral, confirmación o firmeza del procesamiento, naturaleza del delito y gravedad de la pena—, cuya valoración conjunta es legítima desde la perspectiva constitucional (STC 35/2007) [FJ 5].</w:t>
      </w:r>
    </w:p>
    <w:p w:rsidR="00DE14C9" w:rsidRDefault="00DE14C9" w:rsidP="00DE14C9">
      <w:pPr>
        <w:pStyle w:val="Extracto"/>
      </w:pPr>
    </w:p>
    <w:p w:rsidR="00DE14C9" w:rsidRDefault="00DE14C9" w:rsidP="00DE14C9">
      <w:pPr>
        <w:pStyle w:val="Extracto"/>
      </w:pPr>
      <w:r>
        <w:t>2.</w:t>
      </w:r>
      <w:r>
        <w:tab/>
        <w:t>La proximidad de la celebración del juicio oral, al tener un sentido no concluyente, dado que el avance del proceso puede contribuir tanto a cimentar con mayor solidez la imputación como a debilitar los indicios de culpabilidad del acusado, el órgano judicial debe concretar las circunstancias que avalan en su caso la adopción y mantenimiento de prisión provisional (STC 128/1995; SSTEDH caso Wemhoff de 27 de junio de 1968, caso Neumeister de 27 de junio de 1968 y caso Matznetter de 10 de noviembre de 1969) [FJ 3 b)].</w:t>
      </w:r>
    </w:p>
    <w:p w:rsidR="00DE14C9" w:rsidRDefault="00DE14C9" w:rsidP="00DE14C9">
      <w:pPr>
        <w:pStyle w:val="Extracto"/>
      </w:pPr>
    </w:p>
    <w:p w:rsidR="00DE14C9" w:rsidRDefault="00DE14C9" w:rsidP="00DE14C9">
      <w:pPr>
        <w:pStyle w:val="Extracto"/>
      </w:pPr>
      <w:r>
        <w:t>3.</w:t>
      </w:r>
      <w:r>
        <w:tab/>
        <w:t>No se acredita que la prueba documental solicitada y no practicada hubiera podido tener una influencia decisiva en el proceso que hubiese podido alterar el sentido de la decisión acerca de la procedencia de la prisión provisional, conforme a lo exigido por nuestra jurisprudencia como presupuesto para el examen de la queja en amparo [FJ 2].</w:t>
      </w:r>
    </w:p>
    <w:p w:rsidR="00DE14C9" w:rsidRDefault="00DE14C9" w:rsidP="00DE14C9">
      <w:pPr>
        <w:pStyle w:val="Extracto"/>
      </w:pPr>
    </w:p>
    <w:p w:rsidR="00DE14C9" w:rsidRDefault="00DE14C9" w:rsidP="00DE14C9">
      <w:pPr>
        <w:pStyle w:val="Extracto"/>
      </w:pPr>
      <w:r>
        <w:t>4.</w:t>
      </w:r>
      <w:r>
        <w:tab/>
        <w:t>El derecho a la utilización de los medios de prueba pertinentes para la defensa no ampara un hipotético derecho a que ésta sea ilimitada, correspondiendo el juicio de pertinencia y la decisión sobre la admisión de las pruebas solicitadas a los órganos judiciales, sin que este Tribunal pueda revisar sus decisiones, salvo cuando el rechazo de la prueba propuesta carezca de motivación o la que se ofrece sea insuficiente, manifiestamente arbitraria o irrazonable [FJ 2].</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343-2005, promovido por don Taysir Alony Kate, representado por la Procuradora de los Tribunales doña Esther Rodríguez Pérez y asistido por el Letrado don José Luis Galán Martín, contra los Autos de la Sección Tercera de la Sala de lo Penal de la Audiencia Nacional, de 19 de noviembre y 9 de diciembre de 2004, en virtud de los cuales se decretó y confirmó la prisión provisional comunicada y sin fianza del recurrente. Ha intervenido el Ministerio Fiscal. Han comparecido don Waheed y don Ahmad Koshagi Kelani, representados por el Procurador don Adolfo Morales Hernández-Sanjuán y asistidos por el Letrado don Sebastiá Salellas Magret; don Luis José Galán González, representado por el Procurador don Manuel García Ortiz de Urbina y bajo la dirección letrada de doña María Nieves Fernández Pérez Ravelo; don Kamal Hadid Chaar, representado por la Procuradora doña Almudena Delgado Gordo y asistido por el Letrado don Julio Pérez Martín; y don Jamal Hussein Hussein, representado por la Procuradora doña María Luz Albacar Medina y asistido por el Letrado Miguel Ignacio Prados Osuna. Ha sido Ponente la Magistrada doña Elisa Pérez Vera,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que tuvo entrada en el Registro General de este Tribunal el día 18 de enero de 2005, la Procuradora de los Tribunales doña Esther Rodríguez Pérez, en nombre y representación de don Taysir Alony Kate, interpuso recurso de amparo contra las resoluciones judiciales que se citan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en los que tiene su origen el presente recurso y relevantes para su resolución son, sucintamente expuestos, los siguientes: </w:t>
      </w:r>
    </w:p>
    <w:p w:rsidR="00DE14C9" w:rsidRDefault="00DE14C9" w:rsidP="00DE14C9">
      <w:pPr>
        <w:pStyle w:val="TextoNormal"/>
      </w:pPr>
      <w:r>
        <w:t xml:space="preserve">a) El día 11 de septiembre de 2003, se dictó por parte del Juzgado Central de Instrucción núm. 5, en el marco del sumario 35-2001, un Auto por el que se decretaba la prisión provisional, incondicional y comunicada del ahora demandante de amparo, por su presunta vinculación con la organización terrorista Al Queda. </w:t>
      </w:r>
    </w:p>
    <w:p w:rsidR="00DE14C9" w:rsidRDefault="00DE14C9" w:rsidP="00DE14C9">
      <w:pPr>
        <w:pStyle w:val="TextoNormal"/>
      </w:pPr>
      <w:r>
        <w:t xml:space="preserve">Por el mismo Juzgado se dictó el día 17 de septiembre de 2003 Auto de procesamiento, ratificando su situación de prisión provisional. </w:t>
      </w:r>
    </w:p>
    <w:p w:rsidR="00DE14C9" w:rsidRDefault="00DE14C9" w:rsidP="00DE14C9">
      <w:pPr>
        <w:pStyle w:val="TextoNormal"/>
      </w:pPr>
      <w:r>
        <w:t xml:space="preserve">El día 23 de octubre de 2003, el Juzgado reforma el Auto de 11 de septiembre y decreta la prisión provisional eludible mediante el pago de una fianza de 60.000 euros. Tal modificación se justifica "en atención al informe médico aportado". Ese mismo día se depositó la fianza y se produjo la puesta en libertad del recurrente. </w:t>
      </w:r>
    </w:p>
    <w:p w:rsidR="00DE14C9" w:rsidRDefault="00DE14C9" w:rsidP="00DE14C9">
      <w:pPr>
        <w:pStyle w:val="TextoNormal"/>
      </w:pPr>
      <w:r>
        <w:t xml:space="preserve">El referido Auto de procesamiento fue recurrido en reforma y subsidiariamente en apelación. El recurso de apelación fue desestimado por Auto de la Sección Cuarta de la Sala de lo Penal de la Audiencia Nacional de 15 de noviembre de 2004, sin modificar la situación personal de libertad provisional en que se encontraba el recurrente. </w:t>
      </w:r>
    </w:p>
    <w:p w:rsidR="00DE14C9" w:rsidRDefault="00DE14C9" w:rsidP="00DE14C9">
      <w:pPr>
        <w:pStyle w:val="TextoNormal"/>
      </w:pPr>
      <w:r>
        <w:lastRenderedPageBreak/>
        <w:t xml:space="preserve">b) Mediante Auto de 19 de noviembre de 2004, la Sección Tercera de la Sala Penal de la Audiencia Nacional, previa petición del Fiscal y tras celebrar la comparecencia prevista en el art. 505 LECrim, acordó decretar la prisión provisional comunicada y sin fianza del ahora demandante de amparo y de otros procesados que se hallaban en libertad. </w:t>
      </w:r>
    </w:p>
    <w:p w:rsidR="00DE14C9" w:rsidRDefault="00DE14C9" w:rsidP="00DE14C9">
      <w:pPr>
        <w:pStyle w:val="TextoNormal"/>
      </w:pPr>
      <w:r>
        <w:t xml:space="preserve">La fundamentación de tal decisión es la siguiente: </w:t>
      </w:r>
    </w:p>
    <w:p w:rsidR="00DE14C9" w:rsidRDefault="00DE14C9" w:rsidP="00DE14C9">
      <w:pPr>
        <w:pStyle w:val="TextoNormal"/>
      </w:pPr>
      <w:r>
        <w:t xml:space="preserve">"Primero.-El Tribunal, analizando la petición del Ministerio Fiscal respecto a la puesta en prisión provisional de Taysir Alony Kate (a) Abu Masab, Mohamed Khair Al-Saqqua Alsaqqua, Abdalrahman Alarnot Abu Aljer, Jamal Hussein Hussein, Basat Dalati Satut, Ghasoub Al-Abrash Ghalyoun, Waheed Koshagi Kelani, Kamal Haddid Chaar y Ahmad Koshagi Kelani, a tenor de los indicios racionales de criminalidad que resultan del Auto que resuelve el recurso de apelación contra el procesamiento, y oídas las alegaciones de las respectivas defensas de los procesados señalados, llega a la conclusión que en el procedimiento se ha producido una modificación de un hecho hasta ahora no existente cual es la petición de la Acusación Pública de la adopción de las medidas de prisión. </w:t>
      </w:r>
    </w:p>
    <w:p w:rsidR="00DE14C9" w:rsidRDefault="00DE14C9" w:rsidP="00DE14C9">
      <w:pPr>
        <w:pStyle w:val="TextoNormal"/>
      </w:pPr>
      <w:r>
        <w:t xml:space="preserve">Esta modificación obliga al Tribunal a valorar la procedencia o no de dicha medida, para lo que deben concurrir los siguientes requisitos: </w:t>
      </w:r>
    </w:p>
    <w:p w:rsidR="00DE14C9" w:rsidRDefault="00DE14C9" w:rsidP="00DE14C9">
      <w:pPr>
        <w:pStyle w:val="TextoNormal"/>
      </w:pPr>
      <w:r>
        <w:t xml:space="preserve">Unos de carácter material como son que conste la existencia de unos hechos que presenten carácter de delito sancionado con pena cuyo máximo es igual o superior a dos años de prisión. En el presente caso, estos hechos de apariencia delictiva emanan de los indicios racionales de criminalidad que se derivan para cada uno de los procesados a los que atañe la resolución del auto firme de fecha 15 de noviembre de 2004, con lo cual se cumple también el requisito del 1ª apartado del artículo 503 de la LECR. </w:t>
      </w:r>
    </w:p>
    <w:p w:rsidR="00DE14C9" w:rsidRDefault="00DE14C9" w:rsidP="00DE14C9">
      <w:pPr>
        <w:pStyle w:val="TextoNormal"/>
      </w:pPr>
      <w:r>
        <w:t xml:space="preserve">Segundo.- Asimismo el Tribunal entiende que se dan los presupuestos que legitiman constitucionalmente la adopción de la prisión provisional, plasmados en el apartado 3, nº 1 del artículo 503, cuales son en el presente caso, por un lado conjurar el riesgo de fuga, pues a la vista de la naturaleza de los hechos, la gravedad de la pena que pueda imponerse a los procesados y la situación procedimental de la causa que hace presumir la pronta celebración del juicio, tal riesgo está latente, sin que dicho riesgo quede conjurado por las circunstancias familiares, personales o económicas de los procesados a las que aluden sus defensas. </w:t>
      </w:r>
    </w:p>
    <w:p w:rsidR="00DE14C9" w:rsidRDefault="00DE14C9" w:rsidP="00DE14C9">
      <w:pPr>
        <w:pStyle w:val="TextoNormal"/>
      </w:pPr>
      <w:r>
        <w:t xml:space="preserve">También el Tribunal dada la naturaleza de los hechos imputados a los procesados en el auto anteriormente señalado, entiende que con esta medida cautelar se conjura una posible continuada reiteración delictiva". </w:t>
      </w:r>
    </w:p>
    <w:p w:rsidR="00DE14C9" w:rsidRDefault="00DE14C9" w:rsidP="00DE14C9">
      <w:pPr>
        <w:pStyle w:val="TextoNormal"/>
      </w:pPr>
      <w:r>
        <w:t xml:space="preserve">c) Recurrido dicho Auto en súplica, la Sección Tercera de la Sala de lo Penal de la Audiencia Nacional desestimó el recurso mediante Auto de 9 de diciembre del 2004. </w:t>
      </w:r>
    </w:p>
    <w:p w:rsidR="00DE14C9" w:rsidRDefault="00DE14C9" w:rsidP="00DE14C9">
      <w:pPr>
        <w:pStyle w:val="TextoNormal"/>
      </w:pPr>
      <w:r>
        <w:t xml:space="preserve">Tal decisión se fundamenta, por una parte, en la existencia de los indicios racionales de criminalidad, que se recogen en el fundamento jurídico cuarto núm. 12 del Auto que confirmó el procesamiento, donde se establece lo siguiente: </w:t>
      </w:r>
    </w:p>
    <w:p w:rsidR="00DE14C9" w:rsidRDefault="00DE14C9" w:rsidP="00DE14C9">
      <w:pPr>
        <w:pStyle w:val="TextoNormal"/>
      </w:pPr>
      <w:r>
        <w:t xml:space="preserve">"[e]ste procesado es una de las personas que han mantenido relaciones, contactos y citas, de una forma constante en el tiempo con Imad Barakat Yarkas (a) Abu Dahdah, a los fines que persigue la organización terrorista Al Qaeda de Osama Ben Laden. De las observaciones telefónicas de Abu Dahdah se ha podido comprobar que han existido contactos directos con Taysir Alony Kate, habiendo viajado el primero en numerosas ocasiones a Granada para contactos con el segundo. El 25.6.96, el procesado le comunica a Abu Dahdah que le había llamado el Haj, pidiéndole dinero, solicitando a Abu Dadah que consiguiera dinero a través de Abu Ali (Jamal Hussein Hissein), lo que evidencia que Taysir está mediando para facilitar fondos a un individuo que es un señalado miembro de Al Qaeda. </w:t>
      </w:r>
    </w:p>
    <w:p w:rsidR="00DE14C9" w:rsidRDefault="00DE14C9" w:rsidP="00DE14C9">
      <w:pPr>
        <w:pStyle w:val="TextoNormal"/>
      </w:pPr>
      <w:r>
        <w:t xml:space="preserve">Por otra parte ha colaborado y mantenido contactos con otros integrantes de la organización terrorista como Mohamed Zaher Asade. Igualmente ayudó a Mohamed Bahaiah para </w:t>
      </w:r>
      <w:r>
        <w:lastRenderedPageBreak/>
        <w:t xml:space="preserve">conseguir su residencia permanente en España habiéndose desplazado a Granada y alojándose en el domicilio de Taysir. También Taysir entregó, en febrero de 2000, dinero a Bahaiah, enviado por Abu Dahdah, cuando aquél se encontraba en Afganistán, tras huir precipitadamente de Turquía al ser descubiertas sus actividades a favor de Al Qaeda. </w:t>
      </w:r>
    </w:p>
    <w:p w:rsidR="00DE14C9" w:rsidRDefault="00DE14C9" w:rsidP="00DE14C9">
      <w:pPr>
        <w:pStyle w:val="TextoNormal"/>
      </w:pPr>
      <w:r>
        <w:t xml:space="preserve">Ha mantenido relaciones con otros importantes miembros de Al Qaeda como Mustapha Setmariam Nasar, Mamoun Dakazanli y Adul Fattat, dos conocidos integrantes de la infraestructura de Osama Ben Laden en Europa, como consta en evidencias telefónicas que muestran que Taysir mantenía contactos y encuentros con Mamoun Darkazanli en fechas próximas a los atentados del 11 de septiembre de 2001 en EE.UU. </w:t>
      </w:r>
    </w:p>
    <w:p w:rsidR="00DE14C9" w:rsidRDefault="00DE14C9" w:rsidP="00DE14C9">
      <w:pPr>
        <w:pStyle w:val="TextoNormal"/>
      </w:pPr>
      <w:r>
        <w:t xml:space="preserve">En una llamada en diciembre de 1999 que realiza Abu Abbud (Hassan Al Hussein) desde el domicilio de Taysir a Abu Sariya en que hacen comentarios sobre las donaciones que habían conseguido y que estaban en poder de Sariya y que comentan, que Abu Ahmad (Mohamed Zaher Asade) debía pasar por la casa de Sariya para recoger el dinero con la intención de que se lo diera a Abu Musab (Taysir Alony Kate) quien lógicamente lo debería llevar a Afganistán. </w:t>
      </w:r>
    </w:p>
    <w:p w:rsidR="00DE14C9" w:rsidRDefault="00DE14C9" w:rsidP="00DE14C9">
      <w:pPr>
        <w:pStyle w:val="TextoNormal"/>
      </w:pPr>
      <w:r>
        <w:t xml:space="preserve">Esta integración se produce también en cuanto que Taysir coordina y estructura el 'grupo de jóvenes de Granada' bajo la supervisión de Abu Dahdah". </w:t>
      </w:r>
    </w:p>
    <w:p w:rsidR="00DE14C9" w:rsidRDefault="00DE14C9" w:rsidP="00DE14C9">
      <w:pPr>
        <w:pStyle w:val="TextoNormal"/>
      </w:pPr>
      <w:r>
        <w:t xml:space="preserve">Por otra parte, en el razonamiento segundo se señala que "cuando se aproxima la celebración del juicio oral, el Ministerio público insta la prisión provisional del procesado, sobre la base de la existencia de indicios racionales de criminalidad contra el mismo y el elevado riesgo de que, ante su pronto enjuiciamiento, intente sustraerse a la acción de la justicia, petición revestida de toda lógica, que el Tribunal tiene que acoger en cumplimiento de la obligación que le corresponde de asegurar la celebración del juicio con la presencia de todos y cada uno de los procesados". </w:t>
      </w:r>
    </w:p>
    <w:p w:rsidR="00DE14C9" w:rsidRDefault="00DE14C9" w:rsidP="00DE14C9">
      <w:pPr>
        <w:pStyle w:val="TextoNormal"/>
      </w:pPr>
      <w:r>
        <w:t>Y, finalmente, en el tercero de los fundamentos jurídicos se analizan "las adversas condiciones físicas que, al parecer, padece Taysir Alony Kate, que se reflejan en la documentación aportada por su representación procesal, al interponer el recurso de súplica", señalando que las mismas son tenidas en consideración "y en su virtud, habrán de librarse los oportunos oficios al centro penitenciario en el que se encuentre interno, a fin de que se remitan los informes oportunos acerca de si dicho centro cuenta o no con los servicios médicos adecuados para atender debidamente el referido Sr. Alony. Se acuerda también que dicho procesado sea examinado de forma exhaustiva por dos médicos forenses de esta Audiencia Nacional, los cuales deberán informar acerca del estado de salud de Taysir Alony Kate". Unas previsiones que se trasladan al fallo de la resolución.</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El recurrente fundamenta su demanda de amparo en la vulneración de los derechos fundamentales a la tutela judicial efectiva (art. 24.1 CE), a utilizar los medios de prueba pertinentes para la defensa (art. 24.2 CE) y a la libertad (art. 17 CE). </w:t>
      </w:r>
    </w:p>
    <w:p w:rsidR="00DE14C9" w:rsidRDefault="00DE14C9" w:rsidP="00DE14C9">
      <w:pPr>
        <w:pStyle w:val="TextoNormal"/>
      </w:pPr>
      <w:r>
        <w:t xml:space="preserve">Como primer motivo de amparo se denuncia la vulneración del derecho a la libertad (art. 17.1 CE), en relación con el derecho a la tutela judicial efectiva (art. 24.1 CE). Luego de recordar el carácter excepcional, subsidiario, provisional y proporcionado que ha de tener la prisión provisional y las exigencias constitucionales de motivación que, conforme a la reiterada doctrina de este Tribunal, han de cumplir las resoluciones judiciales que la acuerdan, así como el deber de ponderar las circunstancias personales del imputado y las del caso concreto, sostiene la demanda que en el presente caso las aparentes motivaciones formales de los Autos recurridos no pasan de ser meras apariencias, afirmando incluso el primero de ellos el riesgo de fuga respecto de todos los procesados en conjunto, sin individualización alguna, ni consideración de las circunstancias personales de arraigo. Tras citar, entre otras, </w:t>
      </w:r>
      <w:r>
        <w:lastRenderedPageBreak/>
        <w:t xml:space="preserve">las SSTC 156/1997, 33/1999, 82/2003 y 110/2003 concluye que la Sala, de forma arbitraria e inmotivada, dicta un Auto en el que, ni se consideran las circunstancias personales, ni se argumenta realmente por qué hay riesgo de fuga y por qué éste no puede ser conjurado con otras medidas menos gravosas. </w:t>
      </w:r>
    </w:p>
    <w:p w:rsidR="00DE14C9" w:rsidRDefault="00DE14C9" w:rsidP="00DE14C9">
      <w:pPr>
        <w:pStyle w:val="TextoNormal"/>
      </w:pPr>
      <w:r>
        <w:t xml:space="preserve">No existía riesgo de fuga ni de reiteración delictiva, pues durante los trece meses en que el recurrente había estado en libertad provisional había cumplido escrupulosamente las condiciones establecidas, presentándose cada semana en el Juzgado, no habiendo salido del territorio nacional e incluso comunicando al Juzgado sus traslados a Ceuta y Melilla por razones familiares. También se destaca que la resolución adoptada resulta improcedente, pues las circunstancias objetivas y subjetivas no habían variado desde que se dictó el Auto de libertad provisional el 23 de octubre de 2003. En ese momento, el recurrente se hallaba ya procesado, sin que el Auto que confirma el procesamiento añada nada nuevo, salvo la confirmación de la existencia de los indicios de criminalidad anteriormente apreciados. Tan es así, que el propio Auto que confirma el procesamiento acuerda mantener la situación de libertad provisional. No existe en la causa información alguna de la que pueda desprenderse la existencia de riesgo de fuga y mucho menos de continuidad delictiva; especialmente si se tiene en cuenta su absoluto arraigo personal, familiar, social y profesional en nuestro país (es español, está casado con una española y tiene cinco hijos españoles, escolarizados los cuatro mayores, y trabaja para la cadena Al-Jazeera en España). Y, en todo caso, aunque se apreciara riesgo de fuga el mismo podría conjurarse con otras medidas menos gravosas. </w:t>
      </w:r>
    </w:p>
    <w:p w:rsidR="00DE14C9" w:rsidRDefault="00DE14C9" w:rsidP="00DE14C9">
      <w:pPr>
        <w:pStyle w:val="TextoNormal"/>
      </w:pPr>
      <w:r>
        <w:t xml:space="preserve">A todo lo cual, se añaden una serie de consideraciones sobre su precario estado de salud, con riesgo para su vida, datos que fueron decisivos para su puesta en libertad provisional en el Auto que acordó la misma. Y se insiste en el talante y convicciones pacifistas del recurrente, demostrado en su quehacer diario, tanto particular como profesional. </w:t>
      </w:r>
    </w:p>
    <w:p w:rsidR="00DE14C9" w:rsidRDefault="00DE14C9" w:rsidP="00DE14C9">
      <w:pPr>
        <w:pStyle w:val="TextoNormal"/>
      </w:pPr>
      <w:r>
        <w:t xml:space="preserve">Como segundo motivo de amparo, se denuncia la vulneración del derecho a la tutela judicial efectiva (art. 24.1 CE) en relación con el derecho a la prueba y a no sufrir indefensión (art. 24.2 CE). Y ello porque en el acto de la comparecencia celebrada con carácter previo a la adopción de la medida cautelar, la defensa del recurrente, al amparo del art. 505.3 LECrim, solicitó prueba documental (consistente en la aportación de la intervención del Fiscal en la vista del recurso contra el Auto de procesamiento, en la que sostuvo que tenía grandes dudas de la existencia de elementos probatorios contra el recurrente que permitieran formalizar acusación en su contra), diligencia que no se practicó, sin que se efectuara consideración alguna al respecto en los Autos recurridos, lo que vulnera el derecho a la prueba y genera indefensión. </w:t>
      </w:r>
    </w:p>
    <w:p w:rsidR="00DE14C9" w:rsidRDefault="00DE14C9" w:rsidP="00DE14C9">
      <w:pPr>
        <w:pStyle w:val="TextoNormal"/>
      </w:pPr>
      <w:r>
        <w:t>Mediante otrosí solicita la suspensión de la ejecución de las resoluciones impugnadas, pues la misma ocasionaría un perjuicio que haría perder su finalidad al amparo.</w:t>
      </w:r>
    </w:p>
    <w:p w:rsidR="00DE14C9" w:rsidRDefault="00DE14C9" w:rsidP="00DE14C9">
      <w:pPr>
        <w:pStyle w:val="TextoNormal"/>
      </w:pPr>
    </w:p>
    <w:p w:rsidR="00DE14C9" w:rsidRDefault="00DE14C9" w:rsidP="00DE14C9">
      <w:pPr>
        <w:pStyle w:val="TextoNormal"/>
      </w:pPr>
      <w:r w:rsidRPr="00DE14C9">
        <w:rPr>
          <w:rStyle w:val="NumeroAFNegritaCaracter"/>
        </w:rPr>
        <w:t>4</w:t>
      </w:r>
      <w:r>
        <w:t>. Por providencia de 20 de diciembre de 2005, la Sala Segunda acordó la admisión a trámite de la demanda y, a tenor de lo dispuesto en el art. 51 LOTC, dirigir atenta comunicación a la Sección Tercera de la Sala de lo Penal de la Audiencia Nacional a fin de que, en plazo que no excediera de diez días, remitiera certificación o fotocopia adverada de las actuaciones correspondientes a la pieza de situación personal del recurrente.</w:t>
      </w:r>
    </w:p>
    <w:p w:rsidR="00DE14C9" w:rsidRDefault="00DE14C9" w:rsidP="00DE14C9">
      <w:pPr>
        <w:pStyle w:val="TextoNormal"/>
      </w:pPr>
    </w:p>
    <w:p w:rsidR="00DE14C9" w:rsidRDefault="00DE14C9" w:rsidP="00DE14C9">
      <w:pPr>
        <w:pStyle w:val="TextoNormal"/>
      </w:pPr>
      <w:r w:rsidRPr="00DE14C9">
        <w:rPr>
          <w:rStyle w:val="NumeroAFNegritaCaracter"/>
        </w:rPr>
        <w:t>5</w:t>
      </w:r>
      <w:r>
        <w:t>. Por otra providencia de la misma fecha se acordó la apertura de la correspondiente pieza separada para la tramitación del incidente de suspensión, concediéndose un plazo común de tres días al recurrente y al Ministerio Fiscal para que formularan alegaciones sobre el particular, conforme a lo previsto en el art. 56 LOTC. Evacuado dicho trámite, mediante Auto de 16 de enero de 2006, la Sala Segunda acordó denegar la suspensión interesada.</w:t>
      </w:r>
    </w:p>
    <w:p w:rsidR="00DE14C9" w:rsidRDefault="00DE14C9" w:rsidP="00DE14C9">
      <w:pPr>
        <w:pStyle w:val="TextoNormal"/>
      </w:pPr>
    </w:p>
    <w:p w:rsidR="00DE14C9" w:rsidRDefault="00DE14C9" w:rsidP="00DE14C9">
      <w:pPr>
        <w:pStyle w:val="TextoNormal"/>
      </w:pPr>
      <w:r w:rsidRPr="00DE14C9">
        <w:rPr>
          <w:rStyle w:val="NumeroAFNegritaCaracter"/>
        </w:rPr>
        <w:t>6</w:t>
      </w:r>
      <w:r>
        <w:t>. Mediante diligencia de ordenación de fecha 27 de febrero de 2006 se solicitó a la Sala de lo Penal de la Audiencia Nacional que emplazara a quienes fueron parte en el procedimiento, a excepción del demandante de amparo, para que en el plazo de diez días pudieran comparecer en este proceso constitucional.</w:t>
      </w:r>
    </w:p>
    <w:p w:rsidR="00DE14C9" w:rsidRDefault="00DE14C9" w:rsidP="00DE14C9">
      <w:pPr>
        <w:pStyle w:val="TextoNormal"/>
      </w:pPr>
    </w:p>
    <w:p w:rsidR="00DE14C9" w:rsidRDefault="00DE14C9" w:rsidP="00DE14C9">
      <w:pPr>
        <w:pStyle w:val="TextoNormal"/>
      </w:pPr>
      <w:r w:rsidRPr="00DE14C9">
        <w:rPr>
          <w:rStyle w:val="NumeroAFNegritaCaracter"/>
        </w:rPr>
        <w:t>7</w:t>
      </w:r>
      <w:r>
        <w:t>. El día 24 de marzo de 2006, comparece y se persona en el presente recurso don Manuel García Ortiz de Urbina, Procurador de los Tribunales y de don Luis José Galán González, bajo la dirección letrada de doña María Nieves Fernández Pérez Ravelo.</w:t>
      </w:r>
    </w:p>
    <w:p w:rsidR="00DE14C9" w:rsidRDefault="00DE14C9" w:rsidP="00DE14C9">
      <w:pPr>
        <w:pStyle w:val="TextoNormal"/>
      </w:pPr>
    </w:p>
    <w:p w:rsidR="00DE14C9" w:rsidRDefault="00DE14C9" w:rsidP="00DE14C9">
      <w:pPr>
        <w:pStyle w:val="TextoNormal"/>
      </w:pPr>
      <w:r w:rsidRPr="00DE14C9">
        <w:rPr>
          <w:rStyle w:val="NumeroAFNegritaCaracter"/>
        </w:rPr>
        <w:t>8</w:t>
      </w:r>
      <w:r>
        <w:t>. Mediante escrito registrado en este Tribunal el día 27 de marzo de 2006, don Adolfo Morales Hernández-Sanjuán, Procurador de los Tribunales y de don Ahmad Koshagi Kelani y don Waheed Koshagi Kelani, comparece y se persona en el presente recurso de amparo, bajo la dirección letrada de don Sebastiá Salellas Magret, manifestando que se adhiere a los motivos de recurso formulados por el recurrente e interesando la acumulación del presente recurso de amparo al 22-2005, interpuesto por su representado el Sr. Waheed Koshagi Kelani, por tratarse de procedimientos con objetos conexos en los que está justificada la tramitación y decisión conjunta.</w:t>
      </w:r>
    </w:p>
    <w:p w:rsidR="00DE14C9" w:rsidRDefault="00DE14C9" w:rsidP="00DE14C9">
      <w:pPr>
        <w:pStyle w:val="TextoNormal"/>
      </w:pPr>
    </w:p>
    <w:p w:rsidR="00DE14C9" w:rsidRDefault="00DE14C9" w:rsidP="00DE14C9">
      <w:pPr>
        <w:pStyle w:val="TextoNormal"/>
      </w:pPr>
      <w:r w:rsidRPr="00DE14C9">
        <w:rPr>
          <w:rStyle w:val="NumeroAFNegritaCaracter"/>
        </w:rPr>
        <w:t>9</w:t>
      </w:r>
      <w:r>
        <w:t>. Doña María Luz Albacar Medina, Procuradora de los Tribunales y de don Jamal Hussein Hussein, comparece y se persona en el presente recurso el día 4 de abril de 2006.</w:t>
      </w:r>
    </w:p>
    <w:p w:rsidR="00DE14C9" w:rsidRDefault="00DE14C9" w:rsidP="00DE14C9">
      <w:pPr>
        <w:pStyle w:val="TextoNormal"/>
      </w:pPr>
    </w:p>
    <w:p w:rsidR="00DE14C9" w:rsidRDefault="00DE14C9" w:rsidP="00DE14C9">
      <w:pPr>
        <w:pStyle w:val="TextoNormal"/>
      </w:pPr>
      <w:r w:rsidRPr="00DE14C9">
        <w:rPr>
          <w:rStyle w:val="NumeroAFNegritaCaracter"/>
        </w:rPr>
        <w:t>10</w:t>
      </w:r>
      <w:r>
        <w:t xml:space="preserve">. Mediante una diligencia de ordenación de 4 de mayo de 2006, se tiene por personados y partes en el procedimiento a don Adolfo Morales Hernández-Sanjuán, en nombre de don Ahmad Koshagi Kelani y don Waheed Koshagi Kelani; a don Manuel García Ortiz de Urbina, en nombre de don Luis José Galán González y a doña María Luz Albacar Medina, en nombre de don Jamal Hussein Hussein. </w:t>
      </w:r>
    </w:p>
    <w:p w:rsidR="00DE14C9" w:rsidRDefault="00DE14C9" w:rsidP="00DE14C9">
      <w:pPr>
        <w:pStyle w:val="TextoNormal"/>
      </w:pPr>
      <w:r>
        <w:t xml:space="preserve">Mediante otra diligencia de ordenación, de fecha 27 de junio de 2006, se tiene igualmente por personada a la Procuradora doña Almudena Delgado Gordo, en nombre y representación de don Kamal Hadid Chaar, y por designado en virtud del turno de oficio para su defensa al Letrado don Julio Pérez Martín. </w:t>
      </w:r>
    </w:p>
    <w:p w:rsidR="00DE14C9" w:rsidRDefault="00DE14C9" w:rsidP="00DE14C9">
      <w:pPr>
        <w:pStyle w:val="TextoNormal"/>
      </w:pPr>
      <w:r>
        <w:t xml:space="preserve">En la misma diligencia se acordó dar vista de las actuaciones recibidas a las partes personadas y al Ministerio Fiscal por plazo común de veinte días, dentro de los cuales podrían presentar alegaciones, conforme a lo previsto en el art. 52.1 LOTC. </w:t>
      </w:r>
    </w:p>
    <w:p w:rsidR="00DE14C9" w:rsidRDefault="00DE14C9" w:rsidP="00DE14C9">
      <w:pPr>
        <w:pStyle w:val="TextoNormal"/>
      </w:pPr>
      <w:r>
        <w:t>Asimismo, se acordó conceder a la parte recurrente, al Ministerio Fiscal y a las partes personadas un plazo de diez días, a fin de que, conforme establece el art. 83 LOTC, efectuasen alegaciones acerca de la acumulación del presente recurso de amparo al 22-2005. Evacuado dicho trámite, por Auto de 4 de junio de 2007, la Sala Segunda acordó denegar la acumulación de los citados recursos.</w:t>
      </w:r>
    </w:p>
    <w:p w:rsidR="00DE14C9" w:rsidRDefault="00DE14C9" w:rsidP="00DE14C9">
      <w:pPr>
        <w:pStyle w:val="TextoNormal"/>
      </w:pPr>
    </w:p>
    <w:p w:rsidR="00DE14C9" w:rsidRDefault="00DE14C9" w:rsidP="00DE14C9">
      <w:pPr>
        <w:pStyle w:val="TextoNormal"/>
      </w:pPr>
      <w:r w:rsidRPr="00DE14C9">
        <w:rPr>
          <w:rStyle w:val="NumeroAFNegritaCaracter"/>
        </w:rPr>
        <w:t>11</w:t>
      </w:r>
      <w:r>
        <w:t>. Mediante escrito registrado el día 13 de julio de 2006, la representación procesal del recurrente, además de manifestar que no tiene inconveniente en la acumulación, evacua el trámite de alegaciones del art. 52.1 LOTC, dando por reproducidas las de la demanda de amparo.</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12</w:t>
      </w:r>
      <w:r>
        <w:t>. Mediante escrito registrado el día 2 de agosto de 2006, la Procuradora doña Almudena Delgado Gordo, en nombre y representación de don Kamal Hadid Chaar evacua el trámite de alegaciones, manifestando su adhesión al recurso de amparo.</w:t>
      </w:r>
    </w:p>
    <w:p w:rsidR="00DE14C9" w:rsidRDefault="00DE14C9" w:rsidP="00DE14C9">
      <w:pPr>
        <w:pStyle w:val="TextoNormal"/>
      </w:pPr>
    </w:p>
    <w:p w:rsidR="00DE14C9" w:rsidRDefault="00DE14C9" w:rsidP="00DE14C9">
      <w:pPr>
        <w:pStyle w:val="TextoNormal"/>
      </w:pPr>
      <w:r w:rsidRPr="00DE14C9">
        <w:rPr>
          <w:rStyle w:val="NumeroAFNegritaCaracter"/>
        </w:rPr>
        <w:t>13</w:t>
      </w:r>
      <w:r>
        <w:t xml:space="preserve">. El Fiscal ante el Tribunal Constitucional formuló sus alegaciones mediante escrito registrado el día 1 de septiembre de 2006, en el que interesa la desestimación de la demanda de amparo. </w:t>
      </w:r>
    </w:p>
    <w:p w:rsidR="00DE14C9" w:rsidRDefault="00DE14C9" w:rsidP="00DE14C9">
      <w:pPr>
        <w:pStyle w:val="TextoNormal"/>
      </w:pPr>
      <w:r>
        <w:t xml:space="preserve">Tras analizar los hechos y los antecedentes procesales del caso, recuerda el Fiscal que, cuando en un recurso de amparo se alega la infracción, conjunta o separada, del derecho a la libertad y del derecho a la tutela judicial efectiva, ha de entenderse integrado el segundo en el primero, toda vez que una eventual lesión del derecho a la tutela judicial efectiva, por una falta de motivación, supone el ataque frontal a la libertad del recurrente. A continuación, con cita de las SSTC 61/2001 y 170/2001, se recuerda la doctrina de este Tribunal acerca del derecho a la libertad en los supuestos de prisión provisional, destacando que el aseguramiento de la presencia del imputado en el juicio oral constituye un fin constitucionalmente legítimo, como recuerda la reciente STC 179/2005, en su FJ 4, que reproduce parcialmente. </w:t>
      </w:r>
    </w:p>
    <w:p w:rsidR="00DE14C9" w:rsidRDefault="00DE14C9" w:rsidP="00DE14C9">
      <w:pPr>
        <w:pStyle w:val="TextoNormal"/>
      </w:pPr>
      <w:r>
        <w:t xml:space="preserve">Pasando al análisis del presente caso, señala que la valoración del acuerdo de prisión no puede hacerse de modo aislado sino en consideración a la cronología de los hechos y, por tanto, de la investigación e instrucción de aquéllos y de los hitos procesales en que se insertan las respectivas resoluciones sobre la situación de los procesados. Así, el recurrente fue privado de libertad al inicio del procedimiento, por su indiciaria participación en los hechos, situación que se tornó en libertad poco después habida cuenta de que la instrucción podía dilatarse, de sus circunstancias personales y del hecho de que su procesamiento inicial aún no era firme. </w:t>
      </w:r>
    </w:p>
    <w:p w:rsidR="00DE14C9" w:rsidRDefault="00DE14C9" w:rsidP="00DE14C9">
      <w:pPr>
        <w:pStyle w:val="TextoNormal"/>
      </w:pPr>
      <w:r>
        <w:t xml:space="preserve">"Sin embargo, [dice] tal situación de libertad, viene afectada en el decurso del tiempo por acontecimientos que hacen variar el criterio de la Sala enjuiciadora lo que determina el dictado del auto de detención de 18 de noviembre de 2004 y la citación, para la comparecencia prevista en el art. 505 de la LECr, al Ministerio Fiscal y a los letrados de los nuevamente detenidos para oírles sobre un posible cambio en la situación personal de aquellos. En tal acto el Ministerio Fiscal explicita la nueva realidad consistente en la confirmación por la Audiencia Nacional del auto de procesamiento dictado por el Juez Central de instrucción núm. 5, así como la pronta celebración del juicio oral lo que extrema el riesgo de fuga (folios 393 y ss. de la pieza de situación de Ahmad Kosagi) de los ahora detenidos, fuga que se consideraría por el Fiscal previsible y razonable. Es de reseñar que tales fines de la prisión están conectados con los constitucionalmente legítimos, riesgo de fuga e inminencia de celebración del juicio oral que aparecen asimismo en la legislación sobre la materia sobre la base de la jurisprudencia del Tribunal Constitucional (particularmente destacable lo es la conexión de ambos en la dicción del art. 503.3 a) de LECr)". </w:t>
      </w:r>
    </w:p>
    <w:p w:rsidR="00DE14C9" w:rsidRDefault="00DE14C9" w:rsidP="00DE14C9">
      <w:pPr>
        <w:pStyle w:val="TextoNormal"/>
      </w:pPr>
      <w:r>
        <w:t xml:space="preserve">El mismo día de la celebración de la comparecencia, la Sala dicta el primero de los Autos recurridos en amparo, a raíz de la petición y los argumentos esgrimidos por el Ministerio Fiscal, que pueden ser considerados como "hecho nuevo" interpretando sensu contrario el art. 505.4 LECrim. "Asimismo, con la materialidad del requisito de la petición del Fiscal, se ofrece el del nuevo hecho consistente en el dictado por la Audiencia Nacional de un auto confirmando los acordados en su día para el Juez Central. Tal nueva valoración por un Tribunal Superior de hechos indiciarios de la comisión de delitos de terrorismo con el carácter de firme (ya que el nuevo auto de procesamiento era irrecurrible) es apto para provocar una reacción del órgano judicial de revisión de las situaciones personales de los procesados lo </w:t>
      </w:r>
      <w:r>
        <w:lastRenderedPageBreak/>
        <w:t xml:space="preserve">que aparece explicitado en el párrafo último del razonamiento jurídico primero del auto recurrido, y está en conexión con el núm. 1 del art. 503 de LECr". </w:t>
      </w:r>
    </w:p>
    <w:p w:rsidR="00DE14C9" w:rsidRDefault="00DE14C9" w:rsidP="00DE14C9">
      <w:pPr>
        <w:pStyle w:val="TextoNormal"/>
      </w:pPr>
      <w:r>
        <w:t xml:space="preserve">Continúa el Fiscal destacando que el Auto de 19 de noviembre de 2004, por su parte, exterioriza el criterio del Tribunal sobre los demás requisitos que condicionan constitucionalmente la nueva toma de decisión, como es el riesgo de fuga, a la vista de la gravedad de los hechos, pena a imponer, situación procedimental de la causa y posibilidad de reiteración delictiva. E igualmente atiende a las circunstancias familiares, personales y económicas de los procesados (lo que no quiere decir necesariamente su acogimiento en orden a eludir la prisión, como pretendían las defensas), entendiendo que en la ponderación entre aquellas y el posible riesgo de fuga, pesa más este último. Por otra parte, el Auto que desestima el recurso de súplica explicita los indicios específicos que existen contra este procesado, remarca el elevado riesgo de fuga que supone su puesta en libertad cuando se halla próxima la celebración del juicio oral y toma en consideración el estado de salud del Sr. Alony, lo que le lleva a adoptar una serie de disposiciones al respecto. </w:t>
      </w:r>
    </w:p>
    <w:p w:rsidR="00DE14C9" w:rsidRDefault="00DE14C9" w:rsidP="00DE14C9">
      <w:pPr>
        <w:pStyle w:val="TextoNormal"/>
      </w:pPr>
      <w:r>
        <w:t xml:space="preserve">Por tanto, y desde el control externo que puede llevar a cabo el Tribunal Constitucional, ha de afirmarse que las resoluciones impugnadas no adolecen de motivación deficiente, a la vista de la petición fiscal y del mantenimiento del Auto de procesamiento por la Sala desestimando el recurso de apelación, y la reconsideración de los indicios de criminalidad, el riesgo de fuga y la evitación de la reiteración añadidos a los criterios iniciales de gravedad de hechos y de penas a imponer. </w:t>
      </w:r>
    </w:p>
    <w:p w:rsidR="00DE14C9" w:rsidRDefault="00DE14C9" w:rsidP="00DE14C9">
      <w:pPr>
        <w:pStyle w:val="TextoNormal"/>
      </w:pPr>
      <w:r>
        <w:t xml:space="preserve">Una forma de motivar conectada, de otro lado, con los fines constitucionalmente legítimos a los que la prisión sirve y que no viene desautorizada por el hecho de que en otro momento procesal se acordara la libertad provisional, pues "la nueva situación ofrece una visión distinta influida por la confirmación del procesamiento y la inminencia del juicio lo que conduce a una nueva prisión en la que las circunstancias personales del preso no pueden venir necesariamente abocadas a su libertad". Sin que puedan, según el Fiscal, considerarse los requisitos exigidos jurisprudencialmente de forma autónoma y que en el presente caso se han valorado y ponderado tanto el riesgo de fuga, como los indicios, la pronta celebración del juicio oral y las circunstancias personales del preso, y que la valoración conjunta de todo ello llevó a la Sala a acordar la prisión, debidamente fundamentada en los dos Autos dictados sin que pueda ser detectada lesión alguna del art. 17 CE y, derivadamente, del art. 24.1 CE. </w:t>
      </w:r>
    </w:p>
    <w:p w:rsidR="00DE14C9" w:rsidRDefault="00DE14C9" w:rsidP="00DE14C9">
      <w:pPr>
        <w:pStyle w:val="TextoNormal"/>
      </w:pPr>
      <w:r>
        <w:t>Y en cuanto a la denunciada vulneración del derecho a la prueba (art. 24.2 CE), mantiene el Ministerio Fiscal que en el presente caso, al margen del incumplimiento del requisito procesal previsto en el art. 44.1 a) LOTC (pues la práctica de la prueba denegada no fue formalmente solicitada en el recurso de súplica, aunque sí se puso de manifiesto que la misma no había sido practicada), en la demanda de amparo no se acredita la indefensión material que la omisión de la prueba habría producido, al no justificar de qué forma lo sostenido por el Fiscal en la vista del recurso contra el Auto de procesamiento (en la que, por lo demás, había instado el mantenimiento del procesamiento) podía resultar decisivo respecto de la acordada prisión provisional del recurrente, una decisión que la Sala adopta precisamente a petición del Ministerio Fiscal.</w:t>
      </w:r>
    </w:p>
    <w:p w:rsidR="00DE14C9" w:rsidRDefault="00DE14C9" w:rsidP="00DE14C9">
      <w:pPr>
        <w:pStyle w:val="TextoNormal"/>
      </w:pPr>
    </w:p>
    <w:p w:rsidR="00DE14C9" w:rsidRDefault="00DE14C9" w:rsidP="00DE14C9">
      <w:pPr>
        <w:pStyle w:val="TextoNormal"/>
      </w:pPr>
      <w:r w:rsidRPr="00DE14C9">
        <w:rPr>
          <w:rStyle w:val="NumeroAFNegritaCaracter"/>
        </w:rPr>
        <w:t>14</w:t>
      </w:r>
      <w:r>
        <w:t>. Por providencia de 14 de junio de 2007 se señaló para deliberación y votación de la presente Sentencia el día 18 del mismo mes y año.</w:t>
      </w:r>
    </w:p>
    <w:p w:rsidR="00DE14C9" w:rsidRDefault="00DE14C9" w:rsidP="00DE14C9">
      <w:pPr>
        <w:pStyle w:val="TextoNormal"/>
      </w:pPr>
    </w:p>
    <w:p w:rsidR="00DE14C9" w:rsidRDefault="00DE14C9" w:rsidP="00DE14C9">
      <w:pPr>
        <w:pStyle w:val="TextoNormalNegritaCentrado"/>
        <w:keepNext/>
      </w:pPr>
      <w:r>
        <w:lastRenderedPageBreak/>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 presente demanda de amparo se dirige contra Autos de la Sección Tercera de la Sala de lo Penal de la Audiencia Nacional de 19 de noviembre y 9 de diciembre de 2004, en virtud de los cuales se acordó la prisión provisional del recurrente de amparo en el procedimiento penal en el que se le consideró indiciariamente implicado en un delito de pertenencia a organización terrorista -Al Qaeda. Como se ha expuesto con detalle en los antecedentes, se denuncia la vulneración de los derechos a la libertad personal (art. 17.1 CE) y a la tutela judicial efectiva (art. 24.1 CE), por entender que las resoluciones judiciales impugnadas no cumplen con las exigencias de motivación que la jurisprudencia de este Tribunal ha establecido como imprescindibles para poder restringir el derecho a la libertad. En concreto, sostiene el recurrente que el riesgo de fuga y el de reiteración delictiva se afirman de forma genérica y estereotipada, sin tener en cuenta las circunstancias personales y del caso, y sin explicitar qué hechos o circunstancias nuevos justifican el cambio de criterio del Tribunal frente a las anteriores decisiones adoptadas en el mismo procedimiento, y que habían permitido su puesta en libertad en atención a sus circunstancias personales y a su estado de salud, existiendo otras medidas menos gravosas. Por otra parte, se considera vulnerado el derecho a la prueba (art. 24.2 CE), por la denegación tácita de una prueba instada en tiempo y forma y relevante, lo que le habría generado indefensión.</w:t>
      </w:r>
    </w:p>
    <w:p w:rsidR="00DE14C9" w:rsidRDefault="00DE14C9" w:rsidP="00DE14C9">
      <w:pPr>
        <w:pStyle w:val="TextoNormal"/>
      </w:pPr>
      <w:r>
        <w:t>El Ministerio Fiscal interesa la desestimación íntegra de la demanda, afirmando que las resoluciones impugnadas acuerdan la prisión del recurrente a raíz de la nueva situación generada por la petición del Ministerio Fiscal y la confirmación por la Audiencia Nacional del Auto de procesamiento. Y en la nueva ponderación llevada a cabo se tienen en cuenta tanto la existencia de indicios de la comisión de un delito de terrorismo por parte del recurrente, como la concurrencia de riesgo de fuga, cuya prevención es una finalidad constitucionalmente legítima que habilita para decretar prisión provisional y que resulta procedente atender en el caso, tras ponderar las circunstancias personales del recurrente globalmente con la gravedad de los hechos y la pena, la confirmación del procesamiento y la proximidad del juicio oral. Y constatado que los órganos judiciales han exteriorizado dichos extremos, los límites marcados a la jurisdicción constitucional impiden, desde la perspectiva del control externo, sostener que las resoluciones judiciales adolecen de motivación deficiente. Por lo que respecta al segundo motivo de amparo, entiende el Fiscal que en la demanda no se acredita la indefensión material que la omisión de la prueba no practicada habría producido.</w:t>
      </w:r>
    </w:p>
    <w:p w:rsidR="00DE14C9" w:rsidRDefault="00DE14C9" w:rsidP="00DE14C9">
      <w:pPr>
        <w:pStyle w:val="TextoNormal"/>
      </w:pPr>
    </w:p>
    <w:p w:rsidR="00DE14C9" w:rsidRDefault="00DE14C9" w:rsidP="00DE14C9">
      <w:pPr>
        <w:pStyle w:val="TextoNormal"/>
      </w:pPr>
      <w:r w:rsidRPr="00DE14C9">
        <w:rPr>
          <w:rStyle w:val="NumeroAFNegritaCaracter"/>
        </w:rPr>
        <w:t>2</w:t>
      </w:r>
      <w:r>
        <w:t>. Comenzando nuestro análisis por el segundo motivo de amparo, hay que señalar, ante todo, que no se aprecia que concurra el óbice procesal a que alude el Ministerio Fiscal cuando entiende que se ha incumplido, en relación con este motivo concreto, lo dispuesto en el art. 44.1 a) LOTC. En efecto la lectura del recurso de súplica (motivo undécimo) pone de relieve que el actor denunció en tal momento procesal la vulneración del derecho a la prueba que ahora denuncia en este recurso de amparo. En consecuencia, debe entenderse correctamente agotada la vía judicial ordinaria, en los términos exigidos por la doctrina de este Tribunal (por todas, STC 55/2007, de 26 de marzo, FJ 2).</w:t>
      </w:r>
    </w:p>
    <w:p w:rsidR="00DE14C9" w:rsidRDefault="00DE14C9" w:rsidP="00DE14C9">
      <w:pPr>
        <w:pStyle w:val="TextoNormal"/>
      </w:pPr>
      <w:r>
        <w:t xml:space="preserve">En cuanto al fondo suscitado por este motivo de amparo, hemos de recordar que constituye reiteradísima doctrina de este Tribunal la que establece que el derecho a la utilización de los medios de prueba pertinentes para la defensa (art. 24.2 CE) garantiza a las partes la posibilidad de impulsar una actividad probatoria acorde con sus intereses, pero no ampara un hipotético derecho a que ésta sea ilimitada, sino sólo a la práctica de aquellas pruebas </w:t>
      </w:r>
      <w:r>
        <w:lastRenderedPageBreak/>
        <w:t>que, propuestas en tiempo y forma, sean lícitas y pertinentes, correspondiendo el juicio de pertinencia y la decisión sobre la admisión de las pruebas solicitadas a los órganos judiciales, sin que este Tribunal pueda revisar sus decisiones, salvo cuando el rechazo de la prueba propuesta carezca de motivación o la que se ofrece sea insuficiente, manifiestamente arbitraria o irrazonable.</w:t>
      </w:r>
    </w:p>
    <w:p w:rsidR="00DE14C9" w:rsidRDefault="00DE14C9" w:rsidP="00DE14C9">
      <w:pPr>
        <w:pStyle w:val="TextoNormal"/>
      </w:pPr>
      <w:r>
        <w:t>Y, en lo que ahora interesa, hemos declarado que sólo procede el examen de esta queja de amparo cuando se acredita la existencia de indefensión constitucionalmente relevante, en la medida en que la prueba propuesta hubiera podido tener una influencia decisiva en la resolución del pleito, al ser susceptible de alterar el fallo en favor del recurrente. La carga de la acreditación de este extremo recae sobre el solicitante de amparo, que ha de razonar en esta sede en un doble sentido: por un lado, respecto de la relación entre los hechos que se quisieron y no se pudieron probar y las pruebas inadmitidas; de otro, argumentando que la resolución final del proceso judicial podría haberle sido favorable de haberse practicado la prueba objeto de controversia, ya que sólo en tal caso, comprobado que el fallo pudo, acaso, haber sido otro si la prueba se hubiera admitido, podrá apreciarse también el menoscabo efectivo del derecho de quien, por este motivo, busca amparo (por todas, SSTC 70/2002, de 3 de abril, FJ 5; 1/2004, de 14 de enero, FJ 2; 82/2006, de 13 de marzo, FJ 3).</w:t>
      </w:r>
    </w:p>
    <w:p w:rsidR="00DE14C9" w:rsidRDefault="00DE14C9" w:rsidP="00DE14C9">
      <w:pPr>
        <w:pStyle w:val="TextoNormal"/>
      </w:pPr>
      <w:r>
        <w:t>En el presente caso, como pone de relieve el Ministerio Fiscal, en la demanda no se acredita que la prueba documental solicitada y no practicada hubiera podido tener una influencia decisiva en el proceso que hubiese podido alterar el sentido de la decisión acerca de la procedencia de la prisión provisional, conforme a lo exigido por nuestra jurisprudencia como presupuesto para el examen de la queja en amparo. En efecto, el recurrente se limita a afirmar que, en el acto la comparecencia del art.  505 de la Ley de enjuiciamiento criminal (LECrim), solicitó que se aportara como prueba documental la intervención del Ministerio Fiscal en el acto de la vista de los recursos contra el Auto de procesamiento, al objeto de acreditar que en dicho acto manifestó sus dudas acerca de que hubiera elementos de prueba suficientes para formular acusación contra el recurrente, lo que considera contradictorio con la actuación posterior del Ministerio Fiscal solicitando la prisión incondicional. En modo alguno se argumenta cuáles son las razones por las que tales manifestaciones, vertidas en el marco del recurso contra el Auto de procesamiento cuya confirmación solicitó el Ministerio Fiscal - como el propio recurrente admite- podían resultar decisivas en la decisión acerca de la prisión provisional del recurrente, una decisión que la Sala adopta precisamente a instancias del Ministerio Fiscal y con posterioridad a la confirmación del Auto de procesamiento. Falta de acreditación del carácter decisivo de la prueba no practicada que excluye la relevancia constitucional de la queja.</w:t>
      </w:r>
    </w:p>
    <w:p w:rsidR="00DE14C9" w:rsidRDefault="00DE14C9" w:rsidP="00DE14C9">
      <w:pPr>
        <w:pStyle w:val="TextoNormal"/>
      </w:pPr>
    </w:p>
    <w:p w:rsidR="00DE14C9" w:rsidRDefault="00DE14C9" w:rsidP="00DE14C9">
      <w:pPr>
        <w:pStyle w:val="TextoNormal"/>
      </w:pPr>
      <w:r w:rsidRPr="00DE14C9">
        <w:rPr>
          <w:rStyle w:val="NumeroAFNegritaCaracter"/>
        </w:rPr>
        <w:t>3</w:t>
      </w:r>
      <w:r>
        <w:t>. El examen de la pretensión principal del presente recurso de amparo -la relativa al derecho a la libertad (art. 17.1 CE) en relación con el derecho a la tutela judicial efectiva (art. 24.1 CE)- ha de partir de la consolidada jurisprudencia de este Tribunal acerca de las exigencias constitucionales de motivación que han de satisfacer las resoluciones judiciales a través de las que se acuerda la prisión provisional, en cuanto restrictivas del derecho fundamental a la libertad personal.</w:t>
      </w:r>
    </w:p>
    <w:p w:rsidR="00DE14C9" w:rsidRDefault="00DE14C9" w:rsidP="00DE14C9">
      <w:pPr>
        <w:pStyle w:val="TextoNormal"/>
      </w:pPr>
      <w:r>
        <w:t xml:space="preserve">a) Desde la STC 128/1995, de 26 de junio, este Tribunal viene afirmando que la prisión provisional es una medida cautelar cuya legitimidad constitucional, en tanto que limitativa del derecho a la libertad personal (art. 17.1 CE) de quien aún goza del derecho a la presunción de inocencia, exige, como presupuesto, la existencia de indicios racionales de la comisión de un delito por parte del sujeto pasivo; como objetivo, la consecución de fines constitucionalmente legítimos y congruentes con la naturaleza de la medida (riesgo de fuga, de </w:t>
      </w:r>
      <w:r>
        <w:lastRenderedPageBreak/>
        <w:t>obstrucción del normal desarrollo del proceso o de reiteración delictiva); y como objeto, que se la conciba tanto en su adopción como en su mantenimiento como una medida de aplicación excepcional, subsidiaria, provisional y proporcionada a la consecución de dichos fines (por todas, SSTC 128/1995, de 26 de julio, FFJJ 3 y 4; 66/1997, de 7 de abril, FJ 4; 33/1999, de 8 de marzo, FJ 3; 47/2000, de 17 de febrero, FJ 3; o más recientemente STC 35/2007, de 12 de febrero, FJ 2).</w:t>
      </w:r>
    </w:p>
    <w:p w:rsidR="00DE14C9" w:rsidRDefault="00DE14C9" w:rsidP="00DE14C9">
      <w:pPr>
        <w:pStyle w:val="TextoNormal"/>
      </w:pPr>
      <w:r>
        <w:t>b) Las decisiones relativas a la adopción y mantenimiento de prisión provisional han de expresarse a través de una resolución judicial motivada, motivación que ha de ser "suficiente y razonable", entendiendo por tal no la que colma meramente las exigencias del derecho a la tutela judicial efectiva, sino aquélla que respeta el contenido constitucionalmente garantizado del derecho a la libertad afectado, ponderando adecuadamente los intereses en juego -la libertad de la persona cuya inocencia se presume, por un lado; la realización de la administración de la justicia penal, en atención a los fines que hemos reseñado, por otro- a partir de toda la información disponible en el momento de adoptar la decisión y del entendimiento de la prisión provisional como una medida excepcional, subsidiaria y provisional.</w:t>
      </w:r>
    </w:p>
    <w:p w:rsidR="00DE14C9" w:rsidRDefault="00DE14C9" w:rsidP="00DE14C9">
      <w:pPr>
        <w:pStyle w:val="TextoNormal"/>
      </w:pPr>
      <w:r>
        <w:t>Para ello, obviamente, la resolución judicial ha de expresar cuál es el presupuesto de la medida y el fin constitucionalmente legítimo perseguido. Y, en relación con la constatación del peligro de fuga, hemos destacado que deberán tomarse en consideración "además de las características y la gravedad del delito imputado y de la pena con que se le amenaza, las circunstancias concretas del caso y las personales del imputado", matizando que si bien en un primer momento la necesidad de preservar los fines constitucionalmente legítimos de la prisión provisional pueden justificar que se adopte atendiendo sólo a circunstancias objetivas como el tipo de delito y la gravedad de la pena, el transcurso del tiempo modifica el valor de este dato en la ponderación y obliga a tomar en consideración las circunstancias personales del sujeto privado de libertad y los datos del caso concreto (por todas, SSTC 128/1995, de 26 de julio, FJ 4; 66/1997, de 7 de abril, FJ 4; 47/2000, de 17 de febrero, FJ 3; 35/2007, de 12 de febrero, FJ 2).</w:t>
      </w:r>
    </w:p>
    <w:p w:rsidR="00DE14C9" w:rsidRDefault="00DE14C9" w:rsidP="00DE14C9">
      <w:pPr>
        <w:pStyle w:val="TextoNormal"/>
      </w:pPr>
      <w:r>
        <w:t xml:space="preserve">Por otra parte, respecto a la proximidad de la celebración del juicio oral como dato a partir del cual sustentar los riesgos que se pretenden evitar, este Tribunal ha sostenido que al tener un sentido ambivalente o no concluyente, dado que el avance del proceso puede contribuir tanto a cimentar con mayor solidez la imputación, como a debilitar los indicios de culpabilidad del acusado, el órgano judicial debe concretar las circunstancias que avalan en el caso concreto una u otra hipótesis (por todas, SSTC 128/1995, de 26 de julio, FJ 3; 66/1997, de 7 de abril, FJ 6; 146/1997, de 15 de septiembre, FJ 5; 33/1999, 8 de marzo, FJ 6; 35/2007, de 12 de febrero, FJ 2). En particular, en el fundamento jurídico 6 de la STC 66/1997, invocada por el demandante, sostuvimos que "el hecho de que la tramitación se halle avanzada y la vista próxima es en sí mismo considerado un dato ambivalente a los efectos de nuestro enjuiciamiento: es cierto que el paso del tiempo, con el avance de la instrucción y la perfilación de la imputación, puede ir dotando de solidez a ésta, lo que podría a su vez incrementar la probabilidad de una efectiva condena y, con ello, el riesgo de fuga. Sin embargo, no es menos cierto que en otras circunstancias el transcurso del tiempo puede producir efectos contrarios a los que acabamos de indicar, no sólo porque el devenir del procedimiento puede debilitar los indicios que apuntan a la culpabilidad del acusado, sino también porque, como se razonó en la STC 128/1995 con amplia cita de Sentencias del Tribunal Europeo de Derechos Humanos, el argumento del peligro de fuga 'se debilita por el propio paso del tiempo y la consiguiente disminución de las consecuencias punitivas que puede sufrir el preso (Sentencias del Tribunal Europeo de Derechos Humanos de 27 de junio de 1968, caso Wemhoff; de 27 de junio de 1968, caso Neumeister; de 10 de noviembre de </w:t>
      </w:r>
      <w:r>
        <w:lastRenderedPageBreak/>
        <w:t>1969, caso Matznetter)' [fundamento jurídico 4 b)]. Esta ambivalencia es precisamente la que obliga a que, cuando se alude a lo avanzado de la tramitación y al aseguramiento de la celebración del juicio oral -dato puramente objetivo-, se concreten las circunstancias específicas derivadas de la tramitación que en cada caso abonan o no la hipótesis de que, en el supuesto enjuiciado, el transcurso del tiempo puede llevar a la fuga del imputado. La simple referencia a lo avanzado de la tramitación carece como tal de fuerza argumentativa para afirmar la posibilidad de que el imputado huya".</w:t>
      </w:r>
    </w:p>
    <w:p w:rsidR="00DE14C9" w:rsidRDefault="00DE14C9" w:rsidP="00DE14C9">
      <w:pPr>
        <w:pStyle w:val="TextoNormal"/>
      </w:pPr>
      <w:r>
        <w:t>c) La falta de motivación, en los términos anteriormente expuestos, de la resolución judicial afecta primordialmente, por la vía de uno de sus requisitos formales esenciales, a la propia existencia del presupuesto habilitante para la privación de la libertad y, por lo tanto, al derecho a la misma consagrado en el art. 17 CE (SSTC 128/1995, de 26 de julio FJ 4; 47/2000, de 17 de febrero, FJ 3; 29/2001, de 29 de enero, FJ 2; 138/2002, de 3 de junio, FJ 3).</w:t>
      </w:r>
    </w:p>
    <w:p w:rsidR="00DE14C9" w:rsidRDefault="00DE14C9" w:rsidP="00DE14C9">
      <w:pPr>
        <w:pStyle w:val="TextoNormal"/>
      </w:pPr>
      <w:r>
        <w:t>Conforme a reiterados pronunciamientos de este Tribunal, los problemas de motivación en las resoluciones que acuerdan medidas limitativas de derechos fundamentales conciernen directamente a la lesión del propio derecho fundamental sustantivo y no, autónomamente, al derecho a la tutela judicial efectiva. Una decisión restrictiva de un derecho fundamental sustantivo, como es en este caso el derecho a la libertad, exige una resolución judicial cuya fundamentación no sólo colme el deber general de motivación que es inherente a la tutela judicial efectiva, sino que, además, ha de extenderse a la justificación de su legitimidad constitucional, ponderando las circunstancias concretas que, de acuerdo con el presupuesto legal y la finalidad constitucionalmente legítima, permitan la adopción de dicha decisión (por todas, SSTC 47/2000, de 17 de febrero, FJ 7; 29/2001, de 29 de enero, FJ 2). Por ello, el análisis de la insuficiencia de motivación desde la perspectiva del deber genérico de fundamentación de las resoluciones judiciales queda desplazado por un análisis desde la perspectiva del deber más estricto de fundamentación para la adopción de medidas restrictivas del derecho a la libertad.</w:t>
      </w:r>
    </w:p>
    <w:p w:rsidR="00DE14C9" w:rsidRDefault="00DE14C9" w:rsidP="00DE14C9">
      <w:pPr>
        <w:pStyle w:val="TextoNormal"/>
      </w:pPr>
      <w:r>
        <w:t>d) Finalmente, hemos de recordar también que es a los órganos de la jurisdicción ordinaria a quienes compete en exclusiva determinar en cada caso la concurrencia y valoración de los antecedentes fácticos justificativos de la medida cautelar, puesto que tales órganos son los únicos que gozan de la inmediación necesaria para ello. A este Tribunal, en su tarea de protección del derecho fundamental a la libertad, le corresponde controlar que dicha justificación, articulada a través de la motivación de las resoluciones judiciales, se lleve a cabo ponderando los derechos e intereses en conflicto y resolviendo de forma acorde con los fines legítimos que permiten justificar la limitación cautelar de la libertad personal (por todas, SSTC 128/1995, de 26 de julio, FJ 4; 66/1997, de 7 de abril, FJ 4; 47/2000, de 17 de febrero, FJ 7; 179/2005, de 4 de julio, FJ 4; 35/2007, de 12 de febrero, FJ 2).</w:t>
      </w:r>
    </w:p>
    <w:p w:rsidR="00DE14C9" w:rsidRDefault="00DE14C9" w:rsidP="00DE14C9">
      <w:pPr>
        <w:pStyle w:val="TextoNormal"/>
      </w:pPr>
    </w:p>
    <w:p w:rsidR="00DE14C9" w:rsidRDefault="00DE14C9" w:rsidP="00DE14C9">
      <w:pPr>
        <w:pStyle w:val="TextoNormal"/>
      </w:pPr>
      <w:r w:rsidRPr="00DE14C9">
        <w:rPr>
          <w:rStyle w:val="NumeroAFNegritaCaracter"/>
        </w:rPr>
        <w:t>4</w:t>
      </w:r>
      <w:r>
        <w:t>. La aplicación al caso de la doctrina anteriormente expuesta exige el análisis del contenido de las resoluciones judiciales impugnadas, ya reproducidas en los antecedentes.</w:t>
      </w:r>
    </w:p>
    <w:p w:rsidR="00DE14C9" w:rsidRDefault="00DE14C9" w:rsidP="00DE14C9">
      <w:pPr>
        <w:pStyle w:val="TextoNormal"/>
      </w:pPr>
      <w:r>
        <w:t>El Auto de 19 de noviembre de 2004, si bien refiriéndose genéricamente al conjunto de los procesados, razona la existencia tanto del presupuesto habilitante de la medida ("la existencia de indicios racionales de criminalidad que se derivan para cada uno de los procesados a los que atañe la resolución del auto firme de fecha 15 de noviembre de 2004") como la concurrencia de dos finalidades que legitiman constitucionalmente la medida: conjurar el riesgo de fuga, "pues a la vista de la naturaleza de los hechos, la gravedad de la pena que pueda imponerse a los procesados y la situación procedimental de la causa que hace presu</w:t>
      </w:r>
      <w:r>
        <w:lastRenderedPageBreak/>
        <w:t>mir la pronta celebración del juicio, tal riesgo está latente, sin que dicho riesgo quede conjurado por las circunstancias familiares, personales o económicas de los procesados a las que aluden sus defensas"; y evitar la reiteración delictiva, "dada la naturaleza de los hechos imputados a los procesados".</w:t>
      </w:r>
    </w:p>
    <w:p w:rsidR="00DE14C9" w:rsidRDefault="00DE14C9" w:rsidP="00DE14C9">
      <w:pPr>
        <w:pStyle w:val="TextoNormal"/>
      </w:pPr>
      <w:r>
        <w:t>El Auto de 9 de diciembre de 2004, que desestima el recurso de súplica contra el anterior, ya de forma individualizada respecto del recurrente, razona la existencia de indicios racionales de criminalidad específicamente recogidos en el fundamento jurídico cuarto núm. 12 del Auto que confirmó su procesamiento, donde se establece lo siguiente:</w:t>
      </w:r>
    </w:p>
    <w:p w:rsidR="00DE14C9" w:rsidRDefault="00DE14C9" w:rsidP="00DE14C9">
      <w:pPr>
        <w:pStyle w:val="TextoNormal"/>
      </w:pPr>
      <w:r>
        <w:t>"este procesado es una de las personas que han mantenido relaciones, contactos y citas, de una forma constante en el tiempo con Imad Barakat Yarkas (a) Abu Dahdah, a los fines que persigue la organización terrorista Al Qaeda de Osama Ben Laden. De las observaciones telefónicas de Abu Dahdah se ha podido comprobar que han existido contactos directos con Taysir Alony Kate, habiendo viajado el primero en numerosas ocasiones a Granada para contactos con el segundo. El 25.6.96, el procesado le comunica a Abu Dahdah que le había llamado el Haj, pidiéndole dinero, solicitando a Abu Dahdah que consiguiera dinero a través de Abu Ali (Jamal Hussein Hussein), lo que evidencia que Taysir está mediando para facilitar fondos a un individuo que es un señalado miembro de Al Qaeda.</w:t>
      </w:r>
    </w:p>
    <w:p w:rsidR="00DE14C9" w:rsidRDefault="00DE14C9" w:rsidP="00DE14C9">
      <w:pPr>
        <w:pStyle w:val="TextoNormal"/>
      </w:pPr>
      <w:r>
        <w:t>Por otra parte ha colaborado y mantenido contactos con otros integrantes de la organización terrorista como Mohamed Zaher Asade. Igualmente ayudó a Mohamed Bahaiah para conseguir su residencia permanente en España habiéndose desplazado a Granada y alojándose en el domicilio de Taysir. También Taysir entregó, en febrero de 2000, dinero a Bahaiah, enviado por Abu Dahdah, cuando aquél se encontraba en Afganistán, tras huir precipitadamente de Turquía al ser descubiertas sus actividades a favor de Al Qaeda.</w:t>
      </w:r>
    </w:p>
    <w:p w:rsidR="00DE14C9" w:rsidRDefault="00DE14C9" w:rsidP="00DE14C9">
      <w:pPr>
        <w:pStyle w:val="TextoNormal"/>
      </w:pPr>
      <w:r>
        <w:t>Ha mantenido relaciones con otros importantes miembros de Al Qaeda como Mustapha Setmariam Nasar, Mamoun Dakazanli y Adul Fattat, dos conocidos integrantes de la infraestructura de Osama Ben Laden en Europa, como consta en evidencias telefónicas que muestran que Taysir mantenía contactos y encuentros con Mamoun Darkazanli en fechas próximas a los atentados del 11 de septiembre de 2001 en EE UU.</w:t>
      </w:r>
    </w:p>
    <w:p w:rsidR="00DE14C9" w:rsidRDefault="00DE14C9" w:rsidP="00DE14C9">
      <w:pPr>
        <w:pStyle w:val="TextoNormal"/>
      </w:pPr>
      <w:r>
        <w:t>En una llamada en diciembre de 1999 que realiza Abu Abbud (Hassan Al Hussein) desde el domicilio de Taysir a Abu Sariya en que hacen comentarios sobre las donaciones que habían conseguido y que estaban en poder de Sariya y que comentan, que Abu Ahmad (Mohamed Zaher Asade) debía pasar por la casa de Sariya para recoger el dinero con la intención de que se lo diera a Abu Musab (Taysir Alony Kate) quien lógicamente lo debería llevar a Afganistán.</w:t>
      </w:r>
    </w:p>
    <w:p w:rsidR="00DE14C9" w:rsidRDefault="00DE14C9" w:rsidP="00DE14C9">
      <w:pPr>
        <w:pStyle w:val="TextoNormal"/>
      </w:pPr>
      <w:r>
        <w:t>Esta integración se produce también en cuanto que Taysir coordina y estructura el 'grupo de jóvenes de Granada' bajo la supervisión de Abu Dahdah".</w:t>
      </w:r>
    </w:p>
    <w:p w:rsidR="00DE14C9" w:rsidRDefault="00DE14C9" w:rsidP="00DE14C9">
      <w:pPr>
        <w:pStyle w:val="TextoNormal"/>
      </w:pPr>
      <w:r>
        <w:t>También argumenta que "cuando se aproxima la celebración del juicio oral, el Ministerio público insta la prisión provisional del procesado, sobre la base de la existencia de indicios racionales de criminalidad contra el mismo y el elevado riesgo de que, ante su pronto enjuiciamiento, intente sustraerse a la acción de la justicia, petición revestida de toda lógica, que el Tribunal tiene que acoger en cumplimiento de la obligación que le corresponde de asegurar la celebración del juicio con la presencia de todos y cada uno de los procesados".</w:t>
      </w:r>
    </w:p>
    <w:p w:rsidR="00DE14C9" w:rsidRDefault="00DE14C9" w:rsidP="00DE14C9">
      <w:pPr>
        <w:pStyle w:val="TextoNormal"/>
      </w:pPr>
    </w:p>
    <w:p w:rsidR="00DE14C9" w:rsidRDefault="00DE14C9" w:rsidP="00DE14C9">
      <w:pPr>
        <w:pStyle w:val="TextoNormal"/>
      </w:pPr>
      <w:r w:rsidRPr="00DE14C9">
        <w:rPr>
          <w:rStyle w:val="NumeroAFNegritaCaracter"/>
        </w:rPr>
        <w:t>5</w:t>
      </w:r>
      <w:r>
        <w:t>. De la lectura de ambas resoluciones judiciales se desprende que sí exteriorizan los fundamentos de la decisión que adoptan en lo relativo a la concurrencia, tanto del presupuesto habilitante de la misma -los indicios racionales de criminalidad-, como de las finalidades constitucionalmente legítimas que se persiguen con la medida de prisión acordada -</w:t>
      </w:r>
      <w:r>
        <w:lastRenderedPageBreak/>
        <w:t>esencialmente conjurar el riesgo de fuga, aunque también la evitación de la reiteración delictiva; e igualmente se hace referencia a que tales riesgos no quedan conjurados por las circunstancias familiares, personales o económicas de los procesados.</w:t>
      </w:r>
    </w:p>
    <w:p w:rsidR="00DE14C9" w:rsidRDefault="00DE14C9" w:rsidP="00DE14C9">
      <w:pPr>
        <w:pStyle w:val="TextoNormal"/>
      </w:pPr>
      <w:r>
        <w:t>En la presente demanda de amparo no se cuestiona la existencia de tal exteriorización, sino la consistencia de la argumentación y la falta de consideración individualizada de las circunstancias personales y del caso a la hora de valorar el riesgo de fuga, así como la inexistencia de circunstancias objetivas o subjetivas nuevas que justifiquen la distinta valoración del Tribunal frente a las consideradas anteriormente al decretar la libertad provisional bajo fianza, entendiendo insuficiente el dato de la proximidad del juicio para afirmar el riesgo de fuga y justificar la medida. Un planteamiento coincidente sustancialmente con el de la demanda del recurso de amparo núm. 322-2005 (interpuesto por otro de los coprocesados en la misma causa cuya prisión provisional fue decretada también por el Auto de 19 de noviembre de 2004), resuelto por la reciente STC 35/2007, de 12 de febrero. Ante lo cual, y remitiéndonos a los razonamientos jurídicos de la citada Sentencia, hemos de llegar igualmente a una decisión desestimatoria del amparo solicitado.</w:t>
      </w:r>
    </w:p>
    <w:p w:rsidR="00DE14C9" w:rsidRDefault="00DE14C9" w:rsidP="00DE14C9">
      <w:pPr>
        <w:pStyle w:val="TextoNormal"/>
      </w:pPr>
      <w:r>
        <w:t>En efecto, en contra de lo sostenido por el recurrente, el riesgo de fuga no se afirma sobre la base del único dato de la proximidad del juicio oral, sino considerando la naturaleza y gravedad de los hechos imputados reflejados en el Auto que confirma el procesamiento, la gravedad de la pena que puede imponerse, la confirmación del procesamiento y la proximidad del juicio oral, un cúmulo de circunstancias, "cuya ponderación conjunta no es inconstitucional, entendiéndose expresamente que el riesgo de fuga que de dichas circunstancias deriva no se conjura por las circunstancias individuales alegadas. En este contexto podrá sostenerse que la referencia a las circunstancias personales constituye una afirmación genérica que no se refiere sólo al demandante o que no se razona individualmente sobre las alegaciones de la defensa del recurrente, pero no puede afirmarse que la exteriorización del fundamento de la decisión no contenga una referencia a la ponderación de las circunstancias personales del demandante" (STC 35/2007, FJ 4).</w:t>
      </w:r>
    </w:p>
    <w:p w:rsidR="00DE14C9" w:rsidRDefault="00DE14C9" w:rsidP="00DE14C9">
      <w:pPr>
        <w:pStyle w:val="TextoNormal"/>
      </w:pPr>
      <w:r>
        <w:t>A lo que ha de añadirse que si bien es cierto que cuando el órgano judicial acordó la libertad provisional del recurrente ya se había dictado Auto de procesamiento, "no lo es menos que dicho Auto estaba recurrido, resolviéndose dicho recurso por Auto de 15 de noviembre de 2004. A la realidad de dicho Auto, a su firmeza y a su contenido se refieren expresamente las resoluciones impugnadas, de modo que, como advierte el Ministerio Fiscal, se trata de un hecho nuevo que puede ser valorado por los órganos judiciales en la evaluación de los riesgos que las medidas cautelares pretenden evitar. Y, además, se trata de una circunstancia procesal cuyo sentido objetivamente considerado reside en la consolidación de la imputación penal contra el recurrente.  Como se ha expuesto, ante la ambivalencia del transcurso del tiempo y de la proximidad de la celebración del juicio oral al fundamentar el riesgo de fuga, la jurisprudencia constitucional exige una ponderación expresa de las circunstancias procesales concretas del caso para de este modo individualizar el sentido que en cada supuesto la proximidad del juicio oral pueda tener (STC 66/1997). En el caso examinado, al acordarse la prisión provisional del recurrente en Auto de 19 de noviembre de 2004 -cuatro días después de producirse la confirmación del procesamiento del recurrente en Auto de 15 de noviembre de 2004-, no se puede negar que los órganos judiciales han valorado un elemento -la confirmación del Auto de procesamiento- que, en tanto que dato del que deriva la consolidación de la imputación concreta, en la forma requerida por nuestra jurisprudencia, el modo en que la proximidad del juicio oral puede fundamentar el riesgo de fuga" (STC 35/2007, FJ 4).</w:t>
      </w:r>
    </w:p>
    <w:p w:rsidR="00DE14C9" w:rsidRDefault="00DE14C9" w:rsidP="00DE14C9">
      <w:pPr>
        <w:pStyle w:val="TextoNormal"/>
      </w:pPr>
      <w:r>
        <w:lastRenderedPageBreak/>
        <w:t>Por consiguiente, las resoluciones judiciales exteriorizan la existencia de indicios de criminalidad, y se fundamentan en un fin constitucionalmente legítimo -evitar el riesgo de fuga-, cuya concurrencia se afirma tras realizar una nueva ponderación de los intereses en conflicto, justificada por la petición del Ministerio Fiscal tras la confirmación del Auto de procesamiento. Además, en esa nueva ponderación se tienen en cuenta una serie de datos -proximidad del juicio oral, confirmación o firmeza del procesamiento, naturaleza del delito y gravedad de la pena-, cuya valoración conjunta es legítima desde la perspectiva constitucional, para afirmar la concurrencia del riesgo de fuga en ese nuevo momento procesal, lo que proporciona una justificación suficiente y razonable de la necesidad de la medida adoptada y satisface las exigencias constitucionales de motivación en esta materia. Constatado lo cual, este Tribunal no puede profundizar más en el control de la fundamentación de la decisión de acordar la prisión provisional sin traspasar los límites del control externo propio de la jurisdicción de amparo, pues no le compete realizar una valoración -en positivo y de forma directa- de la suficiencia de las circunstancias fácticas concurrentes en el caso para fundamentar el presupuesto de la medida y de la existencia de riesgo de fuga o de cualquier otro de los riesgos, cuya evitación constituye la finalidad legítima de la institución.</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Denegar el amparo solicitado por don Taysir Alony Kate.</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dieciocho de junio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66" w:name="SENTENCIA_2007_153"/>
      <w:r>
        <w:lastRenderedPageBreak/>
        <w:t>SENTENCIA 153/2007, de 18 de junio de 2007</w:t>
      </w:r>
    </w:p>
    <w:bookmarkEnd w:id="66"/>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179, de 27 de julio de 2007)</w:t>
      </w:r>
    </w:p>
    <w:p w:rsidR="00DE14C9" w:rsidRDefault="00DE14C9" w:rsidP="00DE14C9">
      <w:pPr>
        <w:pStyle w:val="TtuloBOE"/>
      </w:pPr>
    </w:p>
    <w:p w:rsidR="00DE14C9" w:rsidRDefault="00DE14C9" w:rsidP="00DE14C9">
      <w:pPr>
        <w:pStyle w:val="SntesisDescriptiva"/>
      </w:pPr>
      <w:r>
        <w:t>ECLI:ES:TC:2007:153</w:t>
      </w:r>
    </w:p>
    <w:p w:rsidR="00DE14C9" w:rsidRDefault="00DE14C9" w:rsidP="00DE14C9">
      <w:pPr>
        <w:pStyle w:val="SntesisDescriptiva"/>
      </w:pPr>
    </w:p>
    <w:p w:rsidR="00DE14C9" w:rsidRDefault="00DE14C9" w:rsidP="00DE14C9">
      <w:pPr>
        <w:pStyle w:val="SntesisDescriptiva"/>
      </w:pPr>
      <w:r>
        <w:t>Recurso de amparo 423-2005. Promovido por el sindicato Confederación General del Trabajo respecto a la Sentencia de la Sala de lo Contencioso-Administrativo del Tribunal Superior de Justicia de Castilla y León (sede de Valladolid) que inadmitió su demanda contra la Junta de Castilla y León sobre provisión mediante concurso de plazas de medio ambiente.</w:t>
      </w:r>
    </w:p>
    <w:p w:rsidR="00DE14C9" w:rsidRDefault="00DE14C9" w:rsidP="00DE14C9">
      <w:pPr>
        <w:pStyle w:val="SntesisDescriptiva"/>
      </w:pPr>
    </w:p>
    <w:p w:rsidR="00DE14C9" w:rsidRDefault="00DE14C9" w:rsidP="00DE14C9">
      <w:pPr>
        <w:pStyle w:val="SntesisAnaltica"/>
      </w:pPr>
      <w:r>
        <w:t>Vulneración del derecho a la tutela judicial efectiva (acceso a la justicia): inadmisión de recurso contencioso-administrativo por falta de legitimación del sindicato, ignorando su legítimo interés profesional o económico (STC 101/1996).</w:t>
      </w:r>
    </w:p>
    <w:p w:rsidR="00DE14C9" w:rsidRDefault="00DE14C9" w:rsidP="00DE14C9">
      <w:pPr>
        <w:pStyle w:val="SntesisAnaltica"/>
      </w:pPr>
    </w:p>
    <w:p w:rsidR="00DE14C9" w:rsidRDefault="00DE14C9" w:rsidP="00DE14C9">
      <w:pPr>
        <w:pStyle w:val="Extracto"/>
      </w:pPr>
      <w:r>
        <w:t>1.</w:t>
      </w:r>
      <w:r>
        <w:tab/>
        <w:t>de acuerdo con la doctrina constitucional sobre la legitimación procesal de los sindicatos derivada de la existencia de un vínculo o conexión entre sus funciones —la defensa y promoción de los intereses económicos y sociales de los trabajadores— y la pretensión ejercitada, ha de reconocerse la existencia de interés específico del sindicato en la impugnación de la Orden de resolución del concurso de provisión de puestos de trabajo y, por tanto, su legitimación activa en el recurso contencioso-administrativo (STC 101/1996) [FJ 5].</w:t>
      </w:r>
    </w:p>
    <w:p w:rsidR="00DE14C9" w:rsidRDefault="00DE14C9" w:rsidP="00DE14C9">
      <w:pPr>
        <w:pStyle w:val="Extracto"/>
      </w:pPr>
    </w:p>
    <w:p w:rsidR="00DE14C9" w:rsidRDefault="00DE14C9" w:rsidP="00DE14C9">
      <w:pPr>
        <w:pStyle w:val="Extracto"/>
      </w:pPr>
      <w:r>
        <w:t>2.</w:t>
      </w:r>
      <w:r>
        <w:tab/>
        <w:t>Limitar la legitimación activa para impugnar la Orden de adjudicación de unos puestos de trabajo exclusivamente a los funcionarios que participaron en el concurso para su provisión resulta lesivo del derecho fundamental del sindicato a la tutela judicial efectiva en su vertiente de derecho de acceso a la jurisdicción y vulnera el derecho a la libertad sindical (SSTC 24/2001, 358/2006) [FJ 7].</w:t>
      </w:r>
    </w:p>
    <w:p w:rsidR="00DE14C9" w:rsidRDefault="00DE14C9" w:rsidP="00DE14C9">
      <w:pPr>
        <w:pStyle w:val="Extracto"/>
      </w:pPr>
    </w:p>
    <w:p w:rsidR="00DE14C9" w:rsidRDefault="00DE14C9" w:rsidP="00DE14C9">
      <w:pPr>
        <w:pStyle w:val="Extracto"/>
      </w:pPr>
      <w:r>
        <w:t>3.</w:t>
      </w:r>
      <w:r>
        <w:tab/>
        <w:t>De acuerdo con nuestra doctrina, en los casos que el derecho fundamental a la tutela judicial efectiva se hace valer en relación con la defensa de un derecho sustantivo fundamental, como es el derecho a la libertad sindical, el canon de constitucionalidad a aplicar ha de ser un canon reforzado (SSTC 84/2001, 358/2006) [FJ 3].</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lastRenderedPageBreak/>
        <w:t>SENTENCIA</w:t>
      </w:r>
    </w:p>
    <w:p w:rsidR="00DE14C9" w:rsidRDefault="00DE14C9" w:rsidP="00DE14C9">
      <w:pPr>
        <w:pStyle w:val="TextoNormalCentrado"/>
        <w:keepNext/>
      </w:pPr>
    </w:p>
    <w:p w:rsidR="00DE14C9" w:rsidRDefault="00DE14C9" w:rsidP="00DE14C9">
      <w:pPr>
        <w:pStyle w:val="TextoNormal"/>
      </w:pPr>
      <w:r>
        <w:t>En el recurso de amparo núm. 423-2005, promovido por el sindicato Confederación General del Trabajo, representado por la Procuradora de los Tribunales doña Valentina López Valero y asistido por el Letrado don Oscar Martínez González, contra la Sentencia núm. 1710/2004, de 17 de diciembre, de la Sala de lo Contencioso-Administrativo del Tribunal Superior de Justicia de Castilla y León (sede de Valladolid). Ha sido parte la Comunidad Autónoma de Castilla y León. Ha intervenido el Ministerio Fiscal. Ha sido Ponente el Magistrado don Guillermo Jiménez Sánchez,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el Registro General de este Tribunal el día 20 de enero de 2005 la Procuradora de los Tribunales doña Valentina López Valero, en nombre y representación del sindicato Confederación General del Trabajo (CGT), interpuso recurso de amparo contra la resolución judicial de la que se hace mérito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en los que tiene su origen el presente recurso, relevantes para su resolución, son sucintamente expuestos, los siguientes: </w:t>
      </w:r>
    </w:p>
    <w:p w:rsidR="00DE14C9" w:rsidRDefault="00DE14C9" w:rsidP="00DE14C9">
      <w:pPr>
        <w:pStyle w:val="TextoNormal"/>
      </w:pPr>
      <w:r>
        <w:t xml:space="preserve">a) La Federación Regional del sindicato Confederación General del Trabajo (CGT) denunció ante los propios órganos administrativos (mediante cartas remitidas al Director de la Función Pública de la Junta de Castilla y León, al Consejero de Presidencia de la Junta de Castilla y León y al Presidente de la comisión de valoración del concurso convocado por Orden de 30 de octubre de 2002) que la comisión de valoración estaba entrevistando a candidatos que no tenían la titulación exigida en las bases de la convocatoria para acceder a un puesto en el cuerpo Facultativo Superior de la Consejería de Medio Ambiente, porque no eran Ingenieros de Montes. La Orden PAT/469/2003, de 11 de abril, de la Consejería de Presidencia y Administración Territorial de la Junta de Castilla y León, resolvió el concurso específico para la provisión de puestos vacantes adscritos a los grupos A y B, cuerpo superior de la Administración, cuerpo facultativo superior (Ingenieros de Montes) y cuerpo de gestión de la Administración para la Consejería de Medio Ambiente. El sindicato recurrente formuló recurso contencioso-administrativo contra la citada Orden en cuanto que asignó tres puestos de trabajo en el cuerpo Facultativo Superior a funcionarios que no reunían la titulación exigida en la convocatoria pública, es decir, que no eran Ingenieros de Montes. </w:t>
      </w:r>
    </w:p>
    <w:p w:rsidR="00DE14C9" w:rsidRDefault="00DE14C9" w:rsidP="00DE14C9">
      <w:pPr>
        <w:pStyle w:val="TextoNormal"/>
      </w:pPr>
      <w:r>
        <w:t xml:space="preserve">b) Por Sentencia de 6 de noviembre de 2003 el Juzgado de lo Contencioso-Administrativo núm. 1 de Valladolid estimó el recurso contencioso-administrativo, anulando parcialmente la orden impugnada en cuanto adjudicaba los tres puestos de trabajo del cuerpo facultativo superior a funcionarios que no eran Ingenieros de Montes. </w:t>
      </w:r>
    </w:p>
    <w:p w:rsidR="00DE14C9" w:rsidRDefault="00DE14C9" w:rsidP="00DE14C9">
      <w:pPr>
        <w:pStyle w:val="TextoNormal"/>
      </w:pPr>
      <w:r>
        <w:t>c) La Junta de Castilla y León recurrió en apelación la Sentencia del Juzgado. Mediante providencia de 10 de noviembre de 2004 la Sala de lo Contencioso-Administrativo del Tribunal Superior de Justicia de Castilla y León (sede de Valladolid) suspendió el plazo para dictar sentencia sometiendo a las partes la posible falta de legitimación activa del sindicato para impugnar la Orden que resolvió el proceso de provisión de puestos de trabajo. Finalmente por Sentencia de 17 de diciembre de 2004 el Tribunal Superior de Justicia de Castilla y León (sede de Valladolid) revocó la Sentencia de instancia declarando la inadmisibilidad del recurso contencioso-administrativo por falta de legitimación activa del sindicato.</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3</w:t>
      </w:r>
      <w:r>
        <w:t>. El sindicato recurrente fundamenta su demanda de amparo en la denuncia de la vulneración de su derecho fundamental a la tutela judicial efectiva (art. 24.1 CE), en su vertiente de acceso a la jurisdicción, en relación con su derecho a la libertad sindical (art. 18.1 CE), que entiende producida por la Sentencia impugnada. Aduce el sindicato que, aun cuando la apreciación de la existencia de interés legítimo es una cuestión de legalidad ordinaria, no es menos cierto que dicha interpretación realizada por los órganos judiciales debe tender a no ser rigorista ni restrictiva, máxime cuando afecta directamente a otro derecho fundamental de carácter sustantivo, como es el de libertad sindical. Según la demanda de amparo el interés profesional del sindicato y el objeto del recurso estaban en perfecta conexión, porque la ventaja o utilidad que la organización sindical obtendría en caso de prosperar el recurso sería extensible a los afiliados al sindicato y, en general, al personal de la Junta de Castilla y León. La estimación del recurso posibilitaría que los participantes que cumplían los requisitos y no accedieron a la plaza pudieran optar a alguna de las que se adjudicaron irregularmente, así como permitiría que el personal interino que ocupaba las plazas convocadas permaneciera en su puesto hasta que fueran cubiertas conforme a Derecho. Los funcionarios de la Junta que no habían participado en el proceso a pesar de tener la titulación exigida también podrían beneficiarse con la anulación de la adjudicación irregular. De todo ello deriva, según se afirma en la demanda de amparo, el interés profesional o económico del sindicato en la impugnación de la Orden administrativa, y, en consecuencia, su legitimación activa.</w:t>
      </w:r>
    </w:p>
    <w:p w:rsidR="00DE14C9" w:rsidRDefault="00DE14C9" w:rsidP="00DE14C9">
      <w:pPr>
        <w:pStyle w:val="TextoNormal"/>
      </w:pPr>
    </w:p>
    <w:p w:rsidR="00DE14C9" w:rsidRDefault="00DE14C9" w:rsidP="00DE14C9">
      <w:pPr>
        <w:pStyle w:val="TextoNormal"/>
      </w:pPr>
      <w:r w:rsidRPr="00DE14C9">
        <w:rPr>
          <w:rStyle w:val="NumeroAFNegritaCaracter"/>
        </w:rPr>
        <w:t>4</w:t>
      </w:r>
      <w:r>
        <w:t>. Por providencia de 29 de mayo de 2006 la Sección Tercera de este Tribunal acordó, de conformidad con lo dispuesto en el art. 50.3 LOTC, conceder a la parte demandante y al Ministerio público plazo común de diez días para que formulasen las alegaciones que estimaran pertinentes en relación con la causa de inadmisión de carencia manifiesta de contenido constitucional de la demanda [art. 50.1 c) LOTC].</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En escrito presentado en el Registro General de este Tribunal el 13 de junio de 2006 presentó alegaciones el Fiscal sobre la causa de inadmisión de carencia manifiesta de contenido constitucional de la demanda [art. 50.1 c) LOTC], interesando la admisión del recurso de amparo porque, a su juicio, la demanda no carece manifiestamente de contenido constitucional. </w:t>
      </w:r>
    </w:p>
    <w:p w:rsidR="00DE14C9" w:rsidRDefault="00DE14C9" w:rsidP="00DE14C9">
      <w:pPr>
        <w:pStyle w:val="TextoNormal"/>
      </w:pPr>
      <w:r>
        <w:t xml:space="preserve">Recuerda el Ministerio público la doctrina del Tribunal Constitucional en materia de legitimación activa, según la cual el canon de enjuiciamiento constitucional de las decisiones de inadmisión en el momento del acceso a la vía jurisdiccional es más severo que en la fase de utilización de los recursos establecidos contra las resoluciones judiciales. Y que el Tribunal tiene establecido que, en el momento inicial de su incoación, la aptitud para ser parte en un proceso contencioso-administrativo se localiza, para los sindicatos, en la noción de interés profesional o económico, que se identifica con “la obtención de un beneficio o la desaparición de un perjuicio en el supuesto de que prospere la acción intentada, y que no necesariamente ha de revestir un contenido patrimonial” (SSTC 101/1996, de 11 de junio, FJ 2; 74/2005, de 4 de abril, FJ 2). </w:t>
      </w:r>
    </w:p>
    <w:p w:rsidR="00DE14C9" w:rsidRDefault="00DE14C9" w:rsidP="00DE14C9">
      <w:pPr>
        <w:pStyle w:val="TextoNormal"/>
      </w:pPr>
      <w:r>
        <w:t xml:space="preserve">En el caso de autos el interés profesional o económico del sindicato radica, de acuerdo con las alegaciones del Fiscal, en el prestigio que obtendría entre tres categorías de trabajadores que resultan directamente afectados por la resolución contraria a Derecho: los que interinamente están ocupando las plazas que salieron a concurso, que prolongarían su ocupación; los que concursaron cumpliendo los requisitos y no se les adjudicaron plazas que se </w:t>
      </w:r>
      <w:r>
        <w:lastRenderedPageBreak/>
        <w:t>concedieron a otros que no los cumplían; y, por último, los que no concursaron por no cumplir los requisitos y después vieron las plazas adjudicadas a otros que tampoco los cumplían. Del prestigio obtenido por el sindicato entre esos colectivos pueden resultar nuevas afiliaciones, con el incremento consiguiente de la influencia del sindicato.</w:t>
      </w:r>
    </w:p>
    <w:p w:rsidR="00DE14C9" w:rsidRDefault="00DE14C9" w:rsidP="00DE14C9">
      <w:pPr>
        <w:pStyle w:val="TextoNormal"/>
      </w:pPr>
    </w:p>
    <w:p w:rsidR="00DE14C9" w:rsidRDefault="00DE14C9" w:rsidP="00DE14C9">
      <w:pPr>
        <w:pStyle w:val="TextoNormal"/>
      </w:pPr>
      <w:r w:rsidRPr="00DE14C9">
        <w:rPr>
          <w:rStyle w:val="NumeroAFNegritaCaracter"/>
        </w:rPr>
        <w:t>6</w:t>
      </w:r>
      <w:r>
        <w:t>. Mediante escrito registrado en este Tribunal el 19 de junio de 2005 presentó alegaciones el sindicato recurrente en amparo sobre la posible causa de inadmisión de carencia manifiesta de contenido constitucional de la demanda de amparo [art. 50.1 c) LOTC]. Alega el sindicato que la Sentencia impugnada vulneró su derecho fundamental a la tutela judicial efectiva sin indefensión (art. 24.1 CE), en su vertiente de derecho de acceso a la jurisdicción, y lesionó su derecho a la libertad sindical (art. 28.1 CE), porque no tuvo en cuenta el interés profesional o económico que tenía para la organización sindical la anulación de la orden impugnada. Concretamente el interés profesional o económico del sindicato se localiza en el aumento de su prestigio sindical, que se produciría a consecuencia de demostrar que defendía eficazmente los derechos de los afiliados al sindicato y de los funcionarios de la Junta de Castilla y León, lo que favorecería nuevas afiliaciones. La acción del sindicato beneficiaría los derechos de aquellos que interinamente estaban ocupando las plazas que salieron a concurso, porque prolongarían su ocupación; de los que concursaron cumpliendo los requisitos y no se les adjudicaron plazas que se concedieron a otros que no los cumplían; y, por último, de los que no concursaron por no cumplir los requisitos y después vieron las plazas adjudicadas a otros que tampoco los cumplían.</w:t>
      </w:r>
    </w:p>
    <w:p w:rsidR="00DE14C9" w:rsidRDefault="00DE14C9" w:rsidP="00DE14C9">
      <w:pPr>
        <w:pStyle w:val="TextoNormal"/>
      </w:pPr>
    </w:p>
    <w:p w:rsidR="00DE14C9" w:rsidRDefault="00DE14C9" w:rsidP="00DE14C9">
      <w:pPr>
        <w:pStyle w:val="TextoNormal"/>
      </w:pPr>
      <w:r w:rsidRPr="00DE14C9">
        <w:rPr>
          <w:rStyle w:val="NumeroAFNegritaCaracter"/>
        </w:rPr>
        <w:t>7</w:t>
      </w:r>
      <w:r>
        <w:t>. Por providencia de 18 de septiembre de 2006 la Sala Segunda de este Tribunal acordó la admisión a trámite de la demanda y, a tenor de lo dispuesto en el art. 51 LOTC, requerir al Tribunal Superior de Justicia de Castilla y León, sede de Valladolid, y al Juzgado de lo Contencioso-Administrativo núm. 1 de Valladolid para que en plazo de diez días remitieran, respectivamente, testimonio del recurso de apelación núm. 119-2004 y del recurso contencioso-administrativo núm. 117-2003, interesándose al tiempo que se emplazara a quienes fueron parte en el procedimiento, a excepción de la organización sindical recurrente en amparo, para que en el plazo de diez días pudiesen comparecer en este proceso constitucional, si así lo desearan.</w:t>
      </w:r>
    </w:p>
    <w:p w:rsidR="00DE14C9" w:rsidRDefault="00DE14C9" w:rsidP="00DE14C9">
      <w:pPr>
        <w:pStyle w:val="TextoNormal"/>
      </w:pPr>
    </w:p>
    <w:p w:rsidR="00DE14C9" w:rsidRDefault="00DE14C9" w:rsidP="00DE14C9">
      <w:pPr>
        <w:pStyle w:val="TextoNormal"/>
      </w:pPr>
      <w:r w:rsidRPr="00DE14C9">
        <w:rPr>
          <w:rStyle w:val="NumeroAFNegritaCaracter"/>
        </w:rPr>
        <w:t>8</w:t>
      </w:r>
      <w:r>
        <w:t>. Por diligencia de ordenación de 12 de diciembre de 2006 la Sala Segunda de este Tribunal tuvo por personada y parte a la Junta de Castilla y León, asistida y representada por la Letrada doña Juana María Servera Martínez. Asimismo se concedió un plazo de diez días, de acuerdo con lo dispuesto en el art. 50.5 LOTC, para que doña Rosa García Gómez, que presentó escrito para comparecer en este proceso constitucional, compareciese asistida de Letrado y representada por medio de Procurador con poder al efecto, de acuerdo con lo establecido en el art. 81.1 LOTC.</w:t>
      </w:r>
    </w:p>
    <w:p w:rsidR="00DE14C9" w:rsidRDefault="00DE14C9" w:rsidP="00DE14C9">
      <w:pPr>
        <w:pStyle w:val="TextoNormal"/>
      </w:pPr>
    </w:p>
    <w:p w:rsidR="00DE14C9" w:rsidRDefault="00DE14C9" w:rsidP="00DE14C9">
      <w:pPr>
        <w:pStyle w:val="TextoNormal"/>
      </w:pPr>
      <w:r w:rsidRPr="00DE14C9">
        <w:rPr>
          <w:rStyle w:val="NumeroAFNegritaCaracter"/>
        </w:rPr>
        <w:t>9</w:t>
      </w:r>
      <w:r>
        <w:t>. Por providencia de 24 de enero de 2007 la Sección Tercera de este Tribunal acordó tener por decaída en su derecho a doña Rosa García Gómez por haber transcurrido el plazo de diez días sin haber comparecido asistida de Letrado y representada por Procurador. Asimismo se ordenó dar vista de las actuaciones remitidas a las partes personadas y al Ministerio público por término de veinte días, dentro de los cuales podrían presentar las alegaciones que estimasen pertinentes, conforme a lo establecido en el art. 52.1 LOTC.</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10</w:t>
      </w:r>
      <w:r>
        <w:t>. El día 22 de febrero de 2007 presentó sus alegaciones el Fiscal, interesando el otorgamiento del amparo solicitado. Alega el Ministerio público que, de acuerdo con lo expuesto en las alegaciones formuladas sobre la posible causa de inadmisión de la demanda de amparo, el sindicato recurrente cumple los dos requisitos que exige la doctrina constitucional para entender que posee legitimación activa para impugnar la orden que resolvía el concurso de provisión de puestos de trabajo. Por un lado, el sindicato pretendía la defensa de los derechos e intereses legítimos de los empleados públicos, concretamente, de los funcionarios del cuerpo superior facultativo que ostentasen el título universitario de Ingeniero de montes exigido por la convocatoria para ocupar las plazas convocadas y que, sin embargo, fueron adjudicadas a otros tres funcionarios que no poseían esa titulación académica. Y además, por otro lado, alega el Fiscal que el sindicato ostenta un interés profesional o económico específico para impugnar la Orden que resolvía el concurso de provisión de puestos de trabajo, puesto que su actuación se produce en favor de aquellos de sus afiliados que reunían los requisitos exigidos por la convocatoria, concretándose en que las vacantes incluidas en el concurso pudieran ser ocupadas por los que realmente se hallaban en posesión del título universitario exigido.</w:t>
      </w:r>
    </w:p>
    <w:p w:rsidR="00DE14C9" w:rsidRDefault="00DE14C9" w:rsidP="00DE14C9">
      <w:pPr>
        <w:pStyle w:val="TextoNormal"/>
      </w:pPr>
    </w:p>
    <w:p w:rsidR="00DE14C9" w:rsidRDefault="00DE14C9" w:rsidP="00DE14C9">
      <w:pPr>
        <w:pStyle w:val="TextoNormal"/>
      </w:pPr>
      <w:r w:rsidRPr="00DE14C9">
        <w:rPr>
          <w:rStyle w:val="NumeroAFNegritaCaracter"/>
        </w:rPr>
        <w:t>11</w:t>
      </w:r>
      <w:r>
        <w:t>. La representación procesal del sindicato demandante de amparo formuló sus alegaciones mediante escrito que tuvo su entrada en el Registro General de este Tribunal el día 28 de febrero de 2007, en el que sustancialmente reproduce los argumentos ya expuestos en la demanda. En apoyo de sus alegaciones menciona, además, la STC 358/2006, de 18 de diciembre, que reconoce la legitimación activa de un sindicato para impugnar la adjudicación de un puesto de trabajo a un funcionario que no reunía los requisitos exigidos en las bases de la convocatoria.</w:t>
      </w:r>
    </w:p>
    <w:p w:rsidR="00DE14C9" w:rsidRDefault="00DE14C9" w:rsidP="00DE14C9">
      <w:pPr>
        <w:pStyle w:val="TextoNormal"/>
      </w:pPr>
    </w:p>
    <w:p w:rsidR="00DE14C9" w:rsidRDefault="00DE14C9" w:rsidP="00DE14C9">
      <w:pPr>
        <w:pStyle w:val="TextoNormal"/>
      </w:pPr>
      <w:r w:rsidRPr="00DE14C9">
        <w:rPr>
          <w:rStyle w:val="NumeroAFNegritaCaracter"/>
        </w:rPr>
        <w:t>12</w:t>
      </w:r>
      <w:r>
        <w:t>. Por diligencia de ordenación de 22 de marzo de 2007 se hizo constar que había transcurrido el plazo concedido sin que la Junta de Castilla y León hubiese presentado alegaciones.</w:t>
      </w:r>
    </w:p>
    <w:p w:rsidR="00DE14C9" w:rsidRDefault="00DE14C9" w:rsidP="00DE14C9">
      <w:pPr>
        <w:pStyle w:val="TextoNormal"/>
      </w:pPr>
    </w:p>
    <w:p w:rsidR="00DE14C9" w:rsidRDefault="00DE14C9" w:rsidP="00DE14C9">
      <w:pPr>
        <w:pStyle w:val="TextoNormal"/>
      </w:pPr>
      <w:r w:rsidRPr="00DE14C9">
        <w:rPr>
          <w:rStyle w:val="NumeroAFNegritaCaracter"/>
        </w:rPr>
        <w:t>13</w:t>
      </w:r>
      <w:r>
        <w:t>. Por providencia de 14 de junio de 2007 se señaló para deliberación y votación de la presente Sentencia el día 18 del mismo mes y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El enjuiciamiento de la pretensión deducida en el presente recurso de amparo requiere determinar si la Sentencia de 17 de diciembre de 2004 del Tribunal Superior de Justicia de Castilla y León (sede de Valladolid) que revocó la Sentencia de instancia declarando la inadmisión del recurso contencioso-administrativo formulado por el sindicato Confederación General del Trabajo (CGT) por falta de legitimación activa, lesionó o no los derechos fundamentales a la tutela judicial efectiva (art.  24.1 CE), en su vertiente de acceso a la jurisdicción, y a la libertad sindical (art. 28.1 CE) del sindicato recurrente, al impedir el desarrollo de su actividad en la defensa de los intereses de sus afiliados y de los trabajadores de la Junta de Castilla y León.</w:t>
      </w:r>
    </w:p>
    <w:p w:rsidR="00DE14C9" w:rsidRDefault="00DE14C9" w:rsidP="00DE14C9">
      <w:pPr>
        <w:pStyle w:val="TextoNormal"/>
      </w:pPr>
      <w:r>
        <w:t xml:space="preserve">El Ministerio público interesa el otorgamiento del amparo solicitado porque el sindicato demandante de amparo no pretende la defensa de la legalidad en abstracto, sino que, con la impugnación de la Orden que resolvió el concurso para la provisión de puestos de trabajo, </w:t>
      </w:r>
      <w:r>
        <w:lastRenderedPageBreak/>
        <w:t>defiende los derechos de aquellos funcionarios afiliados al sindicato que eran Ingenieros de Montes y que se presentaron al concurso pero fueron desplazados por quienes, finalmente, resultaron adjudicatarios de las plazas, así como los de aquellos otros funcionarios de la Junta que no se presentaron al concurso por no tener la titulación exigida y los de los interinos que fueron desplazados por quienes resultaron adjudicatarios de las plazas sin tener la titulación requerida por la convocatoria. A ese concreto interés profesional o económico del sindicato en la defensa de los derechos de los funcionarios de la Junta de Castilla y León se debe sumar, además, al parecer del Fiscal, el prestigio que la entidad recurrente en amparo ganaría con la presumible estimación de su demanda, lo que podría conllevar nuevas afiliaciones para el sindicato aumentando su representación entre los funcionarios de Castilla y León.</w:t>
      </w:r>
    </w:p>
    <w:p w:rsidR="00DE14C9" w:rsidRDefault="00DE14C9" w:rsidP="00DE14C9">
      <w:pPr>
        <w:pStyle w:val="TextoNormal"/>
      </w:pPr>
    </w:p>
    <w:p w:rsidR="00DE14C9" w:rsidRDefault="00DE14C9" w:rsidP="00DE14C9">
      <w:pPr>
        <w:pStyle w:val="TextoNormal"/>
      </w:pPr>
      <w:r w:rsidRPr="00DE14C9">
        <w:rPr>
          <w:rStyle w:val="NumeroAFNegritaCaracter"/>
        </w:rPr>
        <w:t>2</w:t>
      </w:r>
      <w:r>
        <w:t>. Aunque el sindicato recurrente aduce la lesión de dos derechos fundamentales nuestro enjuiciamiento debe centrarse en la vulneración de su derecho fundamental a la tutela judicial efectiva (art. 24.1 CE), pues de su vulneración o no deriva, como consecuencia inmediata, la lesión del derecho fundamental reconocido en el art. 28.1 CE, al formar el derecho fundamental a la tutela judicial efectiva parte del contenido de la acción institucional del sindicato (SSTC 24/2001, de 29 de enero, FJ 1; 358/2006, de 18 de diciembre, FJ 2).</w:t>
      </w:r>
    </w:p>
    <w:p w:rsidR="00DE14C9" w:rsidRDefault="00DE14C9" w:rsidP="00DE14C9">
      <w:pPr>
        <w:pStyle w:val="TextoNormal"/>
      </w:pPr>
    </w:p>
    <w:p w:rsidR="00DE14C9" w:rsidRDefault="00DE14C9" w:rsidP="00DE14C9">
      <w:pPr>
        <w:pStyle w:val="TextoNormal"/>
      </w:pPr>
      <w:r w:rsidRPr="00DE14C9">
        <w:rPr>
          <w:rStyle w:val="NumeroAFNegritaCaracter"/>
        </w:rPr>
        <w:t>3</w:t>
      </w:r>
      <w:r>
        <w:t>. Este Tribunal tiene declarado que corresponde efectuar a los Jueces y Tribunales de ese orden jurisdiccional, ex art. 117.3 CE, la determinación de la legitimación activa en vía contencioso-administrativa, al ser ésta una cuestión de legalidad ordinaria. Asimismo hemos declarado que el derecho fundamental a la tutela judicial efectiva (art. 24.1 CE) también se satisface con una resolución de inadmisión siempre que se dicte en aplicación razonada de una causa legal y en el sentido más favorable para la efectividad del derecho fundamental, esto es, conforme al principio pro actione (SSTC 220/2003, de 15 de diciembre, FJ 3; 358/2006, de 18 de diciembre, FJ 2). De acuerdo con nuestra doctrina, en casos como el presente, en los que el derecho fundamental a la tutela judicial efectiva se hace valer en relación con la defensa de un derecho sustantivo fundamental, como es el derecho a la libertad sindical, el canon de constitucionalidad a aplicar ha de ser un canon reforzado (SSTC 84/2001, de 26 de marzo, FJ 3; 215/2001, de 29 de octubre, FJ 2; 203/2002, de 28 de octubre, FJ 3; 358/2006, de 18 de diciembre, FJ 4).</w:t>
      </w:r>
    </w:p>
    <w:p w:rsidR="00DE14C9" w:rsidRDefault="00DE14C9" w:rsidP="00DE14C9">
      <w:pPr>
        <w:pStyle w:val="TextoNormal"/>
      </w:pPr>
    </w:p>
    <w:p w:rsidR="00DE14C9" w:rsidRDefault="00DE14C9" w:rsidP="00DE14C9">
      <w:pPr>
        <w:pStyle w:val="TextoNormal"/>
      </w:pPr>
      <w:r w:rsidRPr="00DE14C9">
        <w:rPr>
          <w:rStyle w:val="NumeroAFNegritaCaracter"/>
        </w:rPr>
        <w:t>4</w:t>
      </w:r>
      <w:r>
        <w:t>. Las resoluciones de este Tribunal sobre la legitimación activa de los sindicatos en el orden contencioso-administrativo forman un cuerpo consolidado de doctrina, cuyos rasgos principales son los siguientes:</w:t>
      </w:r>
    </w:p>
    <w:p w:rsidR="00DE14C9" w:rsidRDefault="00DE14C9" w:rsidP="00DE14C9">
      <w:pPr>
        <w:pStyle w:val="TextoNormal"/>
      </w:pPr>
      <w:r>
        <w:t xml:space="preserve">En primer lugar, que ha de reconocerse, con carácter abstracto o general, la legitimación de los sindicatos para impugnar ante los órganos del orden jurisdiccional contencioso-administrativo decisiones que afecten a los trabajadores, funcionarios públicos y personal estatutario. Los sindicatos tienen atribuida una función genérica de representación y defensa, no sólo de los intereses de sus afiliados, sino también de los intereses colectivos de los trabajadores en general (STC 84/2001, de 26 de marzo, FJ 3). Este reconocimiento abstracto se basa en la función de los sindicatos que, desde la perspectiva constitucional, consiste en defender los intereses de los trabajadores, en este caso, al servicio de la Administración, por lo que hemos declarado que “es posible reconocer en principio legitimado al sindicato en cualquier proceso en que estén en juego intereses colectivos de los trabajadores” (SSTC </w:t>
      </w:r>
      <w:r>
        <w:lastRenderedPageBreak/>
        <w:t>210/1994, de 11 de julio, FJ 3; 28/2005, de 14 de febrero, FJ 3; 358/2006, de 18 de diciembre, FJ 4).</w:t>
      </w:r>
    </w:p>
    <w:p w:rsidR="00DE14C9" w:rsidRDefault="00DE14C9" w:rsidP="00DE14C9">
      <w:pPr>
        <w:pStyle w:val="TextoNormal"/>
      </w:pPr>
      <w:r>
        <w:t>En segundo lugar, que la genérica legitimación abstracta ha de proyectarse de un modo particular sobre el objeto de los recursos que formulen ante los Jueces y Tribunales mediante un vínculo o conexión entre el sindicato y la pretensión ejercitada, porque tenemos declarado que “la función atribuida por la Constitución a los sindicatos no los transforma en guardianes abstractos de la legalidad” (SSTC 210/1994, de 11 de julio, FJ 4; 28/2005, de 14 de febrero, FJ 3; 358/2006, de 18 de diciembre, FJ 4).</w:t>
      </w:r>
    </w:p>
    <w:p w:rsidR="00DE14C9" w:rsidRDefault="00DE14C9" w:rsidP="00DE14C9">
      <w:pPr>
        <w:pStyle w:val="TextoNormal"/>
      </w:pPr>
      <w:r>
        <w:t>Y, por último, en tercer lugar, que el vínculo o nexo exigido entre la actividad y los fines del sindicato y el objeto del pleito debe ponderarse en cada caso, lo que en el orden contencioso-administrativo ha de implicar el recurso a la noción de “interés profesional o económico, traducible en una ventaja o beneficio cierto, cualificado y específico derivado de la eventual estimación del recurso entablado” (SSTC 24/2001, de 29 de enero, FJ 5; 84/2001, de 26 de marzo, FJ 3; 28/2005, de 14 de febrero, FJ 3; 358/2006, de 18 de diciembre, FJ 4).</w:t>
      </w:r>
    </w:p>
    <w:p w:rsidR="00DE14C9" w:rsidRDefault="00DE14C9" w:rsidP="00DE14C9">
      <w:pPr>
        <w:pStyle w:val="TextoNormal"/>
      </w:pPr>
    </w:p>
    <w:p w:rsidR="00DE14C9" w:rsidRDefault="00DE14C9" w:rsidP="00DE14C9">
      <w:pPr>
        <w:pStyle w:val="TextoNormal"/>
      </w:pPr>
      <w:r w:rsidRPr="00DE14C9">
        <w:rPr>
          <w:rStyle w:val="NumeroAFNegritaCaracter"/>
        </w:rPr>
        <w:t>5</w:t>
      </w:r>
      <w:r>
        <w:t>. En el caso de autos el sindicato recurrente impugnó la Orden de 11 de abril de 2003 de la Consejería de Presidencia y Administración Territorial de la Junta de Castilla y León que resolvió el concurso específico para la provisión de puestos vacantes adscritos a los grupos A y B, cuerpo superior de la Administración, cuerpo facultativo superior (Ingenieros de Montes) y cuerpo de gestión de la Administración en la Consejería de Medio Ambiente. El objeto del recurso contencioso-administrativo era la Orden de adjudicación de los tres puestos en el cuerpo facultativo superior a funcionarios que no tenían la titulación exigida en la convocatoria del concurso, es decir, que no eran Ingenieros de Montes.</w:t>
      </w:r>
    </w:p>
    <w:p w:rsidR="00DE14C9" w:rsidRDefault="00DE14C9" w:rsidP="00DE14C9">
      <w:pPr>
        <w:pStyle w:val="TextoNormal"/>
      </w:pPr>
      <w:r>
        <w:t>La Sentencia de 6 de noviembre de 2003 del Juzgado de lo Contencioso-Administrativo núm. 1 de Valladolid estimó el recurso formulado por el sindicato, sin cuestionar la legitimación activa de esta entidad. Sin embargo la Sentencia de 17 de diciembre de 2004 del Tribunal Superior de Justicia de Castilla y León (sede de Valladolid) declara la falta de legitimación del sindicato para impugnar el acto que resuelve un proceso de provisión de puestos de trabajo en el que tomaron parte funcionarios y en el que se adjudicaron los puestos a algunos de los participantes en el concurso.</w:t>
      </w:r>
    </w:p>
    <w:p w:rsidR="00DE14C9" w:rsidRDefault="00DE14C9" w:rsidP="00DE14C9">
      <w:pPr>
        <w:pStyle w:val="TextoNormal"/>
      </w:pPr>
      <w:r>
        <w:t xml:space="preserve">La fundamentación de esta última resolución judicial (que es aquella frente a la cual se demanda nuestro amparo) parte de la exposición de la doctrina de este Tribunal sobre la legitimación activa de las organizaciones sindicales en el orden jurisdiccional contencioso-administrativo. Recoge el concepto de interés específico, como vínculo o conexión entre el sindicato y la pretensión ejercitada, al que hace referencia la STC 203/2002, de 28 de octubre, la cual menciona algunos supuestos en los que este Tribunal ha reconocido la existencia de ese interés específico y, por tanto, la legitimación activa de los sindicatos recurrentes. La Sentencia impugnada recuerda en su fundamento de Derecho tercero que en la STC 203/2002, de 28 de octubre, este Tribunal “[ha] reconocido la existencia de ese interés específico para recurrir un Acuerdo de la Junta de Gobierno de una Universidad aprobatorio de la dotación de determinadas plazas de profesorado (STC 101/1996, de 11 de junio, FJ 3); para impugnar el sistema de provisión de una plaza de Jefe de la policía local en un Ayuntamiento (STC 7/2001, de 15 de enero, FJ 6); para impugnar las bases de la convocatoria de un concurso-oposición para la provisión de plazas de bomberos de una Diputación Provincial (STC 24/2001, de 29 de enero, FJ 4); o para recurrir el Acuerdo del Pleno de un Ayuntamiento que aprobaba la plantilla orgánica del mismo (STC 84/2001, de 26 de marzo, FJ 4). En todos estos supuestos entendimos acreditado tal interés por la conexión entre los fines y la actividad del sindicato (la defensa y promoción de los intereses económicos y sociales </w:t>
      </w:r>
      <w:r>
        <w:lastRenderedPageBreak/>
        <w:t>de los trabajadores) y el objeto del pleito, centrado en actividades relacionadas con la organización administrativa”.</w:t>
      </w:r>
    </w:p>
    <w:p w:rsidR="00DE14C9" w:rsidRDefault="00DE14C9" w:rsidP="00DE14C9">
      <w:pPr>
        <w:pStyle w:val="TextoNormal"/>
      </w:pPr>
      <w:r>
        <w:t>A partir de la mención de esta doctrina constitucional, la Sentencia impugnada declara la falta de legitimación activa del sindicato demandante de amparo para impugnar la resolución del concurso de provisión de puestos de trabajo con fundamento, tanto en que el interés que el sindicato hace valer no encaja en la previsión de la letra a) del art. 19.1 de la Ley de la jurisdicción contencioso-administrativa (LJCA), ya que ningún efecto directo, beneficioso o perjudicial habría de derivarse de la resolución que pudiera recaer en el recurso para el sindicato, como en que el interés del sindicato tampoco puede entenderse comprendido en la letra b) del art. 19.1 LJCA, que establece la legitimación de corporaciones, asociaciones, sindicatos y grupos y entidades a que se refiere el anterior art. 18 del mismo texto legal para la defensa de los derechos e intereses legítimos colectivos. Si el asunto litigioso es la decisión de adjudicar determinados puestos del concurso a quienes no reúnen alguno de los requisitos exigidos por la convocatoria, advierte la Sala de lo Contencioso-Administrativo del Tribunal Superior de Justicia, no puede entenderse que el sindicato esté actuando en defensa de derechos e intereses colectivos, porque sólo los que participaron en el concurso tendrían un interés directo y personalísimo en accionar; y, si se trata de defender a aquéllos que hubieran podido participar, el sindicato debió recurrir en su momento la Orden de la convocatoria si entendía que no era ajustada a Derecho.</w:t>
      </w:r>
    </w:p>
    <w:p w:rsidR="00DE14C9" w:rsidRDefault="00DE14C9" w:rsidP="00DE14C9">
      <w:pPr>
        <w:pStyle w:val="TextoNormal"/>
      </w:pPr>
      <w:r>
        <w:t>En resumen, la Sentencia impugnada fundamenta la falta de legitimación activa del sindicato en que el objeto del pleito es la orden de resolución del concurso, en cuya impugnación sólo están en juego los intereses personales de los participantes en el proceso de provisión, pero no intereses profesionales y funcionariales que, de acuerdo con la Sentencia impugnada, habrían de haberse hecho valer en el acto de la convocatoria del concurso, pero que no cabe aducir en el momento de su resolución.</w:t>
      </w:r>
    </w:p>
    <w:p w:rsidR="00DE14C9" w:rsidRDefault="00DE14C9" w:rsidP="00DE14C9">
      <w:pPr>
        <w:pStyle w:val="TextoNormal"/>
      </w:pPr>
    </w:p>
    <w:p w:rsidR="00DE14C9" w:rsidRDefault="00DE14C9" w:rsidP="00DE14C9">
      <w:pPr>
        <w:pStyle w:val="TextoNormal"/>
      </w:pPr>
      <w:r w:rsidRPr="00DE14C9">
        <w:rPr>
          <w:rStyle w:val="NumeroAFNegritaCaracter"/>
        </w:rPr>
        <w:t>6</w:t>
      </w:r>
      <w:r>
        <w:t>. Este razonamiento de la resolución judicial impugnada no se corresponde con la doctrina constitucional citada por la propia Sentencia. La doctrina constitucional de las SSTC 101/1996, de 11 de junio, FJ 3, 7/2001, de 15 de enero, FJ 6, 24/2001, de 29 de enero, FJ 4, y 84/2001, de 26 de marzo, FJ 4, citadas por la Sentencia para destacar la diferencia entre los supuestos de hecho que originaron esos pronunciamientos judiciales con el caso de autos objeto de este recurso de amparo, no permite concluir que el sindicato demandante de amparo carezca de un interés profesional o económico en la impugnación de la Orden de adjudicación del concurso de provisión de puestos de trabajo. Así la STC 7/2001, de 15 de enero, FJ 6, declaró que “el objeto del recurso intentado (la fiscalización de la legalidad del Decreto por el que se cubría la plaza de Inspector Jefe de la Policía Local mediante el sistema de comisión de servicios voluntaria) estaba en conexión con la finalidad que legítimamente persiguen los sindicatos (la defensa y promoción de los intereses económicos y sociales de los trabajadores), y, por tanto, con lo que la jurisprudencia constitucional ha denominado interés profesional o económico”. La razón de esta conexión es que la ventaja o utilidad que se obtendría en caso de prosperar el recurso contencioso-administrativo sería extensible a todos y cada uno de los afiliados a la organización sindical y, en general, al personal del Ayuntamiento, ya que éste debería acudir a otro sistema de provisión el cual posibilitaría que todas aquellas personas que cumpliesen unos mínimos requisitos tuvieran, por lo menos, una expectativa de participar en el proceso selectivo.</w:t>
      </w:r>
    </w:p>
    <w:p w:rsidR="00DE14C9" w:rsidRDefault="00DE14C9" w:rsidP="00DE14C9">
      <w:pPr>
        <w:pStyle w:val="TextoNormal"/>
      </w:pPr>
      <w:r>
        <w:t xml:space="preserve">Conforme a este mismo criterio la STC 28/2005, de 14 de febrero, otorgó el amparo solicitado por una organización sindical contra el Acuerdo del Pleno de un Ayuntamiento que había aprobado las bases para la provisión en propiedad de una plaza de sargento de la </w:t>
      </w:r>
      <w:r>
        <w:lastRenderedPageBreak/>
        <w:t>policía local sin negociación previa con los sindicatos. En esta ocasión declaramos que el objeto de la demanda contencioso-administrativa (la nulidad de un Decreto por el que se aprobaba un concurso-oposición para acceder a una plaza del cuerpo de policía local) estaba plenamente conectado con una finalidad que legítimamente pueden perseguir los sindicatos, la defensa y promoción de los intereses económicos y sociales de los trabajadores y, por tanto, con lo que la jurisprudencia constitucional ha denominado interés profesional o económico. Encontramos la razón de esta conexión en que, si hubiera prosperado la pretensión contencioso-administrativa, “el sindicato hubiera tenido derecho a ser oído para, así, poner de manifiesto la inclusión o exclusión de determinados méritos o requisitos que pudieran reunir los funcionarios que optaran al puesto de trabajo convocado, velando de esa manera por las legítimas aspiraciones profesionales de aquellos miembros de la policía local afiliados al sindicato que se encontraran en disposición de poder ocupar dicha plaza” (STC 28/2005, de 14 de febrero, FJ 4).</w:t>
      </w:r>
    </w:p>
    <w:p w:rsidR="00DE14C9" w:rsidRDefault="00DE14C9" w:rsidP="00DE14C9">
      <w:pPr>
        <w:pStyle w:val="TextoNormal"/>
      </w:pPr>
    </w:p>
    <w:p w:rsidR="00DE14C9" w:rsidRDefault="00DE14C9" w:rsidP="00DE14C9">
      <w:pPr>
        <w:pStyle w:val="TextoNormal"/>
      </w:pPr>
      <w:r w:rsidRPr="00DE14C9">
        <w:rPr>
          <w:rStyle w:val="NumeroAFNegritaCaracter"/>
        </w:rPr>
        <w:t>7</w:t>
      </w:r>
      <w:r>
        <w:t>. En el caso sometido ahora a nuestro enjuiciamiento el sindicato demandante de amparo actúa procesalmente con la finalidad de tutelar y defender los intereses de los trabajadores, concretamente los de los funcionarios de la Junta de Castilla y León.  De acuerdo con la doctrina constitucional expuesta la legitimación procesal del sindicato derivaría de la existencia de un vínculo o conexión entre sus funciones (la defensa y promoción de los intereses económicos y sociales de los trabajadores) y la pretensión ejercitada (la nulidad parcial de la Orden de resolución del concurso de provisión de puestos de trabajo que considera ilegal). Pues bien, en el recurso contencioso-administrativo el vínculo que otorga la legitimación activa al demandante de amparo, es decir, la ventaja o utilidad que obtendría en caso de prosperar el recurso contencioso-administrativo, se encuentra en la defensa de los intereses de los funcionarios, afiliados o no al sindicato, que participaron en el concurso y que, aun teniendo la titulación exigida, fueron desplazados por aquellos a los cuales se adjudicaron las plazas, así como también en la defensa de los intereses de aquellos otros funcionarios que, por no tener la titulación exigida, se abstuvieron de presentarse al concurso.</w:t>
      </w:r>
    </w:p>
    <w:p w:rsidR="00DE14C9" w:rsidRDefault="00DE14C9" w:rsidP="00DE14C9">
      <w:pPr>
        <w:pStyle w:val="TextoNormal"/>
      </w:pPr>
      <w:r>
        <w:t>Entender, como hace la resolución judicial impugnada, que la legitimación activa para impugnar la Orden de adjudicación de unos puestos de trabajo sólo corresponde a los funcionarios que participaron en el concurso para su provisión resulta lesivo del derecho fundamental del sindicato a la tutela judicial efectiva (art. 24.1 CE) en su vertiente de derecho de acceso a la jurisdicción, lo que vulnera el derecho a la libertad sindical (art. 28.1 CE), porque el derecho fundamental a la tutela judicial efectiva forma parte en el caso de autos del contenido de la acción institucional del sindicato (SSTC 24/2001, de 29 de enero, FJ 1; 358/2006, de 18 de diciembre, FJ 2). Las funciones que tiene atribuidas por la Constitución y por los tratados internacionales legitiman al sindicato demandante de amparo para impugnar, no sólo la Orden de convocatoria de un concurso de provisión de puestos de trabajo que considere no ajustada a Derecho, como afirma la Sentencia impugnada, sino también la Orden de resolución del concurso si considera que no respeta lo establecido en la convocatoria. Y todo ello, como dijimos, en representación y defensa de los intereses colectivos de los trabajadores, en el caso sometido en esta ocasión a nuestro enjuiciamiento tanto de los intereses de los funcionarios que habían participado en el concurso y fueron desplazados por los que resultaron adjudicatarios de los puestos de trabajo como de los intereses de aquellos funcionarios que no participaron en el concurso por no tener la titulación exigida en la convocatoria.</w:t>
      </w:r>
    </w:p>
    <w:p w:rsidR="00DE14C9" w:rsidRDefault="00DE14C9" w:rsidP="00DE14C9">
      <w:pPr>
        <w:pStyle w:val="TextoNormal"/>
      </w:pPr>
      <w:r>
        <w:lastRenderedPageBreak/>
        <w:t>De ahí que, de acuerdo con la doctrina constitucional expuesta, ha de reconocerse la existencia de interés específico del sindicato en la impugnación de la Orden de resolución del concurso de provisión de puestos de trabajo y, por tanto, su legitimación activa en el recurso contencioso-administrativo.</w:t>
      </w:r>
    </w:p>
    <w:p w:rsidR="00DE14C9" w:rsidRDefault="00DE14C9" w:rsidP="00DE14C9">
      <w:pPr>
        <w:pStyle w:val="TextoNormal"/>
      </w:pPr>
    </w:p>
    <w:p w:rsidR="00DE14C9" w:rsidRDefault="00DE14C9" w:rsidP="00DE14C9">
      <w:pPr>
        <w:pStyle w:val="TextoNormal"/>
      </w:pPr>
      <w:r w:rsidRPr="00DE14C9">
        <w:rPr>
          <w:rStyle w:val="NumeroAFNegritaCaracter"/>
        </w:rPr>
        <w:t>8</w:t>
      </w:r>
      <w:r>
        <w:t>. Por lo expuesto procede declarar que la Sentencia de 17 de diciembre de 2004 de la Sala de lo Contencioso-Administrativo del Tribunal Superior de Justicia de Castilla y León (sede de Valladolid) vulneró el derecho fundamental del sindicato recurrente en amparo a la tutela judicial efectiva (art. 24.1 CE), en su vertiente de acceso a la jurisdicción, al realizar una interpretación excesivamente rigorista y desproporcionada, contraria al principio pro actione, de los requisitos procesales de acceso a la jurisdicción.</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el Sindicato Confederación General del Trabajo (CGT) y, en consecuencia:</w:t>
      </w:r>
    </w:p>
    <w:p w:rsidR="00DE14C9" w:rsidRDefault="00DE14C9" w:rsidP="00DE14C9">
      <w:pPr>
        <w:pStyle w:val="TextoNormal"/>
      </w:pPr>
      <w:r>
        <w:t>1º Declarar que ha sido vulnerado el derecho fundamental a la tutela judicial efectiva (art. 24.1 CE) del sindicato Confederación General del Trabajo (CGT).</w:t>
      </w:r>
    </w:p>
    <w:p w:rsidR="00DE14C9" w:rsidRDefault="00DE14C9" w:rsidP="00DE14C9">
      <w:pPr>
        <w:pStyle w:val="TextoNormal"/>
      </w:pPr>
      <w:r>
        <w:t>2º Restablecer al sindicato recurrente en la integridad de su derecho y, a tal fin, anular la Sentencia de 17 de diciembre de 2004 dictada por la Sala de lo Contencioso-Administrativo del Tribunal Superior de Justicia de Castilla y León (sede de Valladolid) en el rollo de apelación núm. 119-2004, retrotrayendo las actuaciones al momento inmediatamente anterior al pronunciamiento de esta Sentencia para que el órgano judicial dicte una nueva respetuosa con el derecho fundamental vulnerado.</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dieciocho de junio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67" w:name="SENTENCIA_2007_154"/>
      <w:r>
        <w:lastRenderedPageBreak/>
        <w:t>SENTENCIA 154/2007, de 18 de junio de 2007</w:t>
      </w:r>
    </w:p>
    <w:bookmarkEnd w:id="67"/>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179, de 27 de julio de 2007)</w:t>
      </w:r>
    </w:p>
    <w:p w:rsidR="00DE14C9" w:rsidRDefault="00DE14C9" w:rsidP="00DE14C9">
      <w:pPr>
        <w:pStyle w:val="TtuloBOE"/>
      </w:pPr>
    </w:p>
    <w:p w:rsidR="00DE14C9" w:rsidRDefault="00DE14C9" w:rsidP="00DE14C9">
      <w:pPr>
        <w:pStyle w:val="SntesisDescriptiva"/>
      </w:pPr>
      <w:r>
        <w:t>ECLI:ES:TC:2007:154</w:t>
      </w:r>
    </w:p>
    <w:p w:rsidR="00DE14C9" w:rsidRDefault="00DE14C9" w:rsidP="00DE14C9">
      <w:pPr>
        <w:pStyle w:val="SntesisDescriptiva"/>
      </w:pPr>
    </w:p>
    <w:p w:rsidR="00DE14C9" w:rsidRDefault="00DE14C9" w:rsidP="00DE14C9">
      <w:pPr>
        <w:pStyle w:val="SntesisDescriptiva"/>
      </w:pPr>
      <w:r>
        <w:t>Recurso de amparo 7634-2006. Promovido por doña Elisée Marie Louise Bouchard contra los Autos de un Juzgado de Primera Instancia de Valencia que denegaron la nulidad de actuaciones del juicio sobre resolución de contrato de arrendamiento de vivienda.</w:t>
      </w:r>
    </w:p>
    <w:p w:rsidR="00DE14C9" w:rsidRDefault="00DE14C9" w:rsidP="00DE14C9">
      <w:pPr>
        <w:pStyle w:val="SntesisDescriptiva"/>
      </w:pPr>
    </w:p>
    <w:p w:rsidR="00DE14C9" w:rsidRDefault="00DE14C9" w:rsidP="00DE14C9">
      <w:pPr>
        <w:pStyle w:val="SntesisAnaltica"/>
      </w:pPr>
      <w:r>
        <w:t>Vulneración del derecho a la tutela judicial efectiva: desestimación de un incidente de nulidad de actuaciones en pleito civil seguido inaudita parte por haber formulado otra solicitud en la primera comparecencia judicial.</w:t>
      </w:r>
    </w:p>
    <w:p w:rsidR="00DE14C9" w:rsidRDefault="00DE14C9" w:rsidP="00DE14C9">
      <w:pPr>
        <w:pStyle w:val="SntesisAnaltica"/>
      </w:pPr>
    </w:p>
    <w:p w:rsidR="00DE14C9" w:rsidRDefault="00DE14C9" w:rsidP="00DE14C9">
      <w:pPr>
        <w:pStyle w:val="Extracto"/>
      </w:pPr>
      <w:r>
        <w:t>1.</w:t>
      </w:r>
      <w:r>
        <w:tab/>
        <w:t>La aplicación e interpretación realizadas por el órgano judicial, en cuya virtud la sola petición de entrada en la vivienda excluía cualquier posibilidad ulterior de instar dentro del plazo previsto en la ley, la nulidad de actuaciones, determinan un resultado notoriamente desproporcionado desde la perspectiva del principio pro actione, lesionando, el derecho a la tutela judicial efectiva sin indefensión (art. 24.1 CE) [FJ 4].</w:t>
      </w:r>
    </w:p>
    <w:p w:rsidR="00DE14C9" w:rsidRDefault="00DE14C9" w:rsidP="00DE14C9">
      <w:pPr>
        <w:pStyle w:val="Extracto"/>
      </w:pPr>
    </w:p>
    <w:p w:rsidR="00DE14C9" w:rsidRDefault="00DE14C9" w:rsidP="00DE14C9">
      <w:pPr>
        <w:pStyle w:val="Extracto"/>
      </w:pPr>
      <w:r>
        <w:t>2.</w:t>
      </w:r>
      <w:r>
        <w:tab/>
        <w:t>Resultaría improcedente la anticipación en amparo y per saltum de un juicio sobre la eventual nulidad de lo actuado en instancia cuando tal extremo no se ha decidido aún en la vía judicial ordinaria (SSTC 314/2005, 302/2006) [FJ 2].</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7634-2006, promovido por doña Elisée Marie Louise Bouchard, representada por la Procuradora de los Tribunales doña María Cristina Huertas Vega y asistida por el Letrado don Juan Domingo Merelo, contra el Auto del Juzgado de Primera Instancia núm. 25 de Valencia de 2 de junio de 2006, confirmado por Auto del mismo Juzgado de 23 de junio de 2006, denegatorio de la nulidad de actuaciones del juicio ordinario núm. 497-2004. Ha intervenido el Ministerio Fiscal y ha sido Ponente la Magistrada doña Elisa Pérez Vera, quien expresa el parecer de la Sala.</w:t>
      </w:r>
    </w:p>
    <w:p w:rsidR="00DE14C9" w:rsidRDefault="00DE14C9" w:rsidP="00DE14C9">
      <w:pPr>
        <w:pStyle w:val="TextoNormal"/>
      </w:pPr>
    </w:p>
    <w:p w:rsidR="00DE14C9" w:rsidRDefault="00DE14C9" w:rsidP="00DE14C9">
      <w:pPr>
        <w:pStyle w:val="TextoNormalNegritaCentrado"/>
        <w:keepNext/>
      </w:pPr>
      <w:r>
        <w:lastRenderedPageBreak/>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Por escrito registrado en este Tribunal el 19 de julio de 2006 doña María Cristina Huertas Vega, Procuradora de los Tribunales, en nombre y representación de doña Elisée Marie Louise Bouchard, interpuso recurso de amparo contra las resoluciones judiciales citadas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más relevantes de los que trae causa la demanda de amparo son los siguientes: </w:t>
      </w:r>
    </w:p>
    <w:p w:rsidR="00DE14C9" w:rsidRDefault="00DE14C9" w:rsidP="00DE14C9">
      <w:pPr>
        <w:pStyle w:val="TextoNormal"/>
      </w:pPr>
      <w:r>
        <w:t xml:space="preserve">a) Con fecha de 21 de mayo de 2004 don Emilio Vázquez Peris interpuso demanda de juicio declarativo ordinario sobre resolución de contrato de arrendamiento urbano de vivienda por denegación de prórroga forzosa contra doña Elisée Martí Correcher. En la demanda se hace constar que el piso alto del inmueble objeto del contrato (sito en Travesía de Pinedo al Mar, núm. 8-1, Pinedo —Valencia) se encuentra arrendado a don Francisco Soria Beltrán y que, al fallecer éste, se subrogó en el contrato de arrendamiento su mujer, doña Elisée Marie Louise Bouchard. Con la demanda se aporta este último contrato de arrendamiento, así como diversos documentos relativos todos ellos a esta relación contractual. </w:t>
      </w:r>
    </w:p>
    <w:p w:rsidR="00DE14C9" w:rsidRDefault="00DE14C9" w:rsidP="00DE14C9">
      <w:pPr>
        <w:pStyle w:val="TextoNormal"/>
      </w:pPr>
      <w:r>
        <w:t xml:space="preserve">b) El día 24 de mayo de 2004 el Juzgado de Primera Instancia núm. 25 de Valencia dictó Auto por el que admitía a trámite la demanda contra doña Elisée Martí Correcher, emplazándola para que en veinte días hábiles presentara su contestación a la misma. </w:t>
      </w:r>
    </w:p>
    <w:p w:rsidR="00DE14C9" w:rsidRDefault="00DE14C9" w:rsidP="00DE14C9">
      <w:pPr>
        <w:pStyle w:val="TextoNormal"/>
      </w:pPr>
      <w:r>
        <w:t xml:space="preserve">c) El 28 de mayo de 2004 se intenta la notificación en el domicilio señalado en la demanda (calle Travesía de Pinedo al Mar, núm. 8-1), extendiéndose diligencia negativa de notificación, que resulta también infructuosa, los días 2 y 8 de junio siguientes en que se intentó, ante lo cual la parte demandante dirige escrito al Juzgado solicitando que se habilite día y hora para que se practique la diligencia de citación a juicio de la demandada, indicando que le consta que ésta reside en la vivienda objeto del litigio. Por Auto de 18 de junio de 2004 se habilitan todos los días de la semana a partir de las 22:00 horas para la práctica de la diligencia consistente en la notificación a doña Elisée Martí Correcher del Auto de 24 de mayo de 2004, con entrega de copia de la demanda y documentos acompañados a la misma y el emplazamiento por veinte días para su contestación. Intentada así nuevamente la notificación con fechas de 23 de julio, 17 y 29 de septiembre de 2004 no se obtuvo resultado en ninguna de las ocasiones. </w:t>
      </w:r>
    </w:p>
    <w:p w:rsidR="00DE14C9" w:rsidRDefault="00DE14C9" w:rsidP="00DE14C9">
      <w:pPr>
        <w:pStyle w:val="TextoNormal"/>
      </w:pPr>
      <w:r>
        <w:t xml:space="preserve">d) El 5 de octubre de 2004 la representación del demandante en la instancia dirige escrito al Juzgado en el que, al desconocer el actual domicilio de la demandada, interesa que se libre oficio a la oficina REGIN para que facilite el actual domicilio de doña Elisée Martí Correcher, para lo cual, por providencia de 8 de octubre de 2004, el Juzgado requiere al demandante que facilite el número de DNI de aquélla. Por providencia de 19 de enero de 2005, y visto el tiempo transcurrido desde que se le notificó la providencia anterior a la parte actora sin que por la misma se hubiera impulsado el procedimiento, el Juzgado archiva provisionalmente los autos. </w:t>
      </w:r>
    </w:p>
    <w:p w:rsidR="00DE14C9" w:rsidRDefault="00DE14C9" w:rsidP="00DE14C9">
      <w:pPr>
        <w:pStyle w:val="TextoNormal"/>
      </w:pPr>
      <w:r>
        <w:t xml:space="preserve">e) Posteriormente, la representación del demandante dirige un escrito al Juzgado en el que se comunica el número de tarjeta de residente de la demandada, identificando como tal a doña Elisée Marie Louise Bouchard, añadiendo que comunica tal dato a fin de que se libre oficio a la oficina del REGIN para que proporcione “el actual domicilio de doña Elisse Marie Luise Bouchard”. Ante ello, el Juzgado, por providencia de 8 de febrero de 2005, requiere que se aclare contra quién se dirige la demanda, “si contra Dª. Elisse Marie Luise Bouchar o contra Dª. Elisee Marti Correcher”. </w:t>
      </w:r>
    </w:p>
    <w:p w:rsidR="00DE14C9" w:rsidRDefault="00DE14C9" w:rsidP="00DE14C9">
      <w:pPr>
        <w:pStyle w:val="TextoNormal"/>
      </w:pPr>
      <w:r>
        <w:lastRenderedPageBreak/>
        <w:t xml:space="preserve">En respuesta a tal providencia, el 16 de febrero de 2005 se recibe escrito en el Juzgado en el que la parte actora señala que ha observado que cometió un error material en la demanda, aclarando que la persona demandada es doña Elisée Marie Louise Bouchard, subsanándose dicho error por providencia de 17 de febrero de 2005, en la que se entiende por dirigida la demanda contra ésta, ordenando asimismo librar oficio a la oficina REGIN a efectos de averiguación de su actual domicilio. </w:t>
      </w:r>
    </w:p>
    <w:p w:rsidR="00DE14C9" w:rsidRDefault="00DE14C9" w:rsidP="00DE14C9">
      <w:pPr>
        <w:pStyle w:val="TextoNormal"/>
      </w:pPr>
      <w:r>
        <w:t xml:space="preserve">f) Al no facilitarse por la oficina requerida un domicilio diverso del que constaba ya en las actuaciones, el demandante interesó la publicación de la demanda por edictos, conforme al art. 156.4 LEC, lo que se acuerda por providencia de 12 de julio de 2005. En cumplimiento de ésta, se inserta la cédula de emplazamiento en el tablón del Juzgado, en la que, no obstante, consta como demandada doña Elisée Martí Correcher. </w:t>
      </w:r>
    </w:p>
    <w:p w:rsidR="00DE14C9" w:rsidRDefault="00DE14C9" w:rsidP="00DE14C9">
      <w:pPr>
        <w:pStyle w:val="TextoNormal"/>
      </w:pPr>
      <w:r>
        <w:t xml:space="preserve">g) Por providencia de 14 de septiembre de 2005, y no habiendo comparecido en el plazo concedido, de acuerdo con el art. 496.1 LEC el Juzgado declara en rebeldía a doña Elisée Martí Correcher. </w:t>
      </w:r>
    </w:p>
    <w:p w:rsidR="00DE14C9" w:rsidRDefault="00DE14C9" w:rsidP="00DE14C9">
      <w:pPr>
        <w:pStyle w:val="TextoNormal"/>
      </w:pPr>
      <w:r>
        <w:t xml:space="preserve">h) El día 1 de febrero de 2006 el Juzgado dictó Sentencia en la que, estimando la demanda interpuesta contra doña Elisée Marie Louise Bouchard, declara resuelto el contrato de arrendamiento de la vivienda sita en Pinedo, calle Travesía de Pinedo al Mar núm. 8-1, condenando a la demandada a desalojar la vivienda en el plazo legal, con apercibimiento de lanzamiento si no lo verifica, imponiéndole asimismo el pago de las costas. </w:t>
      </w:r>
    </w:p>
    <w:p w:rsidR="00DE14C9" w:rsidRDefault="00DE14C9" w:rsidP="00DE14C9">
      <w:pPr>
        <w:pStyle w:val="TextoNormal"/>
      </w:pPr>
      <w:r>
        <w:t xml:space="preserve">El fallo de la Sentencia, en el que sí se hacía constar el nombre de la recurrente en amparo, fue publicado en el “Diario Oficial de la Generalitat Valenciana” de 27 de marzo de 2006, en cuyo encabezamiento, en cambio, aparece literalmente lo siguiente: “Notificación a Elisee Martí Correcher de la sentencia recaída en los autos de juicio sobre resolución de contrato de arrendamiento número 497/2004. [2006/Q2979] Procedimiento: asunto civil 497/2004 Parte demandante: Emilio Vázquez Peris Parte demandada: Elisee Martí Correcher …” </w:t>
      </w:r>
    </w:p>
    <w:p w:rsidR="00DE14C9" w:rsidRDefault="00DE14C9" w:rsidP="00DE14C9">
      <w:pPr>
        <w:pStyle w:val="TextoNormal"/>
      </w:pPr>
      <w:r>
        <w:t xml:space="preserve">i) Decretada la firmeza de la Sentencia por providencia de 3 de abril de 2006, el demandante solicitó su ejecución. Por Auto de 12 de abril de 2006 (procedimiento de ejecución de títulos judiciales núm. 436-2006), el Juzgado despachó ejecución para el desalojo del inmueble y, dado que había transcurrido el plazo legal sin que se hubiera verificado su entrega, se acordó librar mandamiento para el lanzamiento, autorizándose la presencia de cerrajero para el acto de lanzamiento, por si fuera necesario. </w:t>
      </w:r>
    </w:p>
    <w:p w:rsidR="00DE14C9" w:rsidRDefault="00DE14C9" w:rsidP="00DE14C9">
      <w:pPr>
        <w:pStyle w:val="TextoNormal"/>
      </w:pPr>
      <w:r>
        <w:t xml:space="preserve">El día 26 de abril se levanta diligencia de lanzamiento, haciéndose constar que, pese a que no se halló a nadie en la vivienda, ésta se encontraba en situación de la que se desprendía que era visitada asiduamente, por lo que no constando en el mandamiento el destino de los bienes hallados, se procedió a cambiar la cerradura, quedando las llaves en poder del Juzgado. </w:t>
      </w:r>
    </w:p>
    <w:p w:rsidR="00DE14C9" w:rsidRDefault="00DE14C9" w:rsidP="00DE14C9">
      <w:pPr>
        <w:pStyle w:val="TextoNormal"/>
      </w:pPr>
      <w:r>
        <w:t xml:space="preserve">j) Con fecha de 12 de mayo de 2006 se recibe en el Juzgado (presentado con fecha de 11 de mayo en el RUE) un escrito de doña Elisée Marie Louise Bouchard solicitando que le sea permitida la entrada en la vivienda para recuperar bienes de uso personal, tales como documentación personal, ropa y medicamentos, así como para comprobar el estado de los animales domésticos que tenía en la vivienda. Dicha entrada, así como la continuación de la diligencia de lanzamiento, fue autorizada por el Juzgado por providencia de 12 de mayo de 2006. </w:t>
      </w:r>
    </w:p>
    <w:p w:rsidR="00DE14C9" w:rsidRDefault="00DE14C9" w:rsidP="00DE14C9">
      <w:pPr>
        <w:pStyle w:val="TextoNormal"/>
      </w:pPr>
      <w:r>
        <w:t>k) El 15 de mayo de 2006 se registra la entrada en el Juzgado de Instrucción núm. 25 de Valencia de un escrito —presentado el 12 de mayo de 2006 en el Registro unificado de entrada— de la demandante de amparo por el que se interpone incidente de nulidad de ac</w:t>
      </w:r>
      <w:r>
        <w:lastRenderedPageBreak/>
        <w:t xml:space="preserve">tuaciones del juicio ordinario núm. 497-2004. En él se argumenta que la parte tuvo conocimiento del proceso cuando, en la tarde del 26 de abril de 2006, volvió a su domicilio y encontró precintada y cambiada la llave de la vivienda, encontrando pegada en la puerta una nota con los datos del procedimiento de ejecución. Su desconocimiento provenía, por una parte, del error cometido en la demanda, que se dirige contra persona distinta a la inquilina de la vivienda, así como de la reproducción sucesiva de dicho error en los actos de comunicación en que se la emplazaba, incluidos los edictos, pues estaban dirigidos a doña Elisée Martí Correcher y no a la recurrente, habiéndosele irrogado, en consecuencia, indefensión, por lo que interesa la nulidad de todo lo actuado desde el Auto de 24 de mayo de 2004 de admisión a trámite de la demanda, con nuevo emplazamiento para contestar a la misma. </w:t>
      </w:r>
    </w:p>
    <w:p w:rsidR="00DE14C9" w:rsidRDefault="00DE14C9" w:rsidP="00DE14C9">
      <w:pPr>
        <w:pStyle w:val="TextoNormal"/>
      </w:pPr>
      <w:r>
        <w:t xml:space="preserve">l) En igual fecha se presenta escrito promoviendo incidente de nulidad de actuaciones en el procedimiento de ejecución de títulos judiciales núm. 436-2006 fundamentado, en primer lugar, en el incumplimiento del plazo previsto en el art. 548 LEC, y, en segundo término, en que la Sentencia dictada en el juicio ordinario 497-2004 es nula de pleno derecho por no haberse subsanado los defectos procesales de emplazamiento de la demandada, con la correspondiente indefensión para la misma. </w:t>
      </w:r>
    </w:p>
    <w:p w:rsidR="00DE14C9" w:rsidRDefault="00DE14C9" w:rsidP="00DE14C9">
      <w:pPr>
        <w:pStyle w:val="TextoNormal"/>
      </w:pPr>
      <w:r>
        <w:t xml:space="preserve">ll) Por providencia de 15 de mayo de 2006 el Juzgado acuerda el traslado a la parte actora del escrito de solicitud de la nulidad de actuaciones del procedimiento ordinario núm. 479- 2004, dejando en suspenso la tramitación del referido al procedimiento 436-2006, de ejecución de la Sentencia, hasta tanto se resolviera sobre el primero. </w:t>
      </w:r>
    </w:p>
    <w:p w:rsidR="00DE14C9" w:rsidRDefault="00DE14C9" w:rsidP="00DE14C9">
      <w:pPr>
        <w:pStyle w:val="TextoNormal"/>
      </w:pPr>
      <w:r>
        <w:t xml:space="preserve">m) Por Auto de 2 de junio de 2006 el Juzgado deniega la nulidad de actuaciones interesada, sin entrar a valorar si las diligencias a las que se refiere la solicitante se han realizado o no adecuadamente y si ello podría causar indefensión, aplicando el art. 166.2 LEC, en tanto que la solicitante no denunció en su primera comparecencia ante el Juzgado la nulidad de diligencia alguna, pidiendo únicamente una autorización, sin indicar ninguna de las circunstancias en que basaba la nulidad. </w:t>
      </w:r>
    </w:p>
    <w:p w:rsidR="00DE14C9" w:rsidRDefault="00DE14C9" w:rsidP="00DE14C9">
      <w:pPr>
        <w:pStyle w:val="TextoNormal"/>
      </w:pPr>
      <w:r>
        <w:t xml:space="preserve">n) El 9 de junio de 2006 se registra en el Juzgado la entrada de un escrito por el que se solicita por la recurrente la aclaración, subsanación y complemento del Auto anterior, por haberse producido un error material consistente en entender que se solicitaba la nulidad de la notificación del lanzamiento practicado, cuando lo interesado era la nulidad de todas las actuaciones por defectos procesales cometidos hacía más de dos años, respecto de los que no resultaría aplicable el art. 166.2 LEC. De otro lado, se pedía la subsanación y/o complemento del citado Auto, por no resolver sobre el resto de comunicaciones y actuaciones respecto de los que se solicitó la nulidad. </w:t>
      </w:r>
    </w:p>
    <w:p w:rsidR="00DE14C9" w:rsidRDefault="00DE14C9" w:rsidP="00DE14C9">
      <w:pPr>
        <w:pStyle w:val="TextoNormal"/>
      </w:pPr>
      <w:r>
        <w:t>ñ) Por Auto de 23 de junio de 2006, el Juzgado señala que no procede ni la aclaración ni la complementación interesadas, pues lo que se pretende por la solicitante a través de esta vía es que el órgano judicial varíe su criterio, debiéndose estar, por el contrario, al contenido del Auto, que no entra a valorar si el emplazamiento o las notificaciones practicadas se realizaron adecuadamente, aplicándose directamente el contenido del art. 166.2 LEC.</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En la demanda de amparo la actora denuncia la vulneración del derecho a la tutela judicial efectiva (art. 24.1 CE) por haberle causado indefensión las resoluciones recurridas, impidiéndole el acceso al proceso al desestimarse el incidente de nulidad de actuaciones planteado. </w:t>
      </w:r>
    </w:p>
    <w:p w:rsidR="00DE14C9" w:rsidRDefault="00DE14C9" w:rsidP="00DE14C9">
      <w:pPr>
        <w:pStyle w:val="TextoNormal"/>
      </w:pPr>
      <w:r>
        <w:t xml:space="preserve">Así, en primer término, señala que el Auto de 2 de junio de 2006 infringe el derecho mencionado al aplicarse indebidamente las normas de la legislación procesal civil, concretamente el art. 166. 2 LEC, ya que se entiende, erróneamente, que se solicita la nulidad de </w:t>
      </w:r>
      <w:r>
        <w:lastRenderedPageBreak/>
        <w:t xml:space="preserve">la notificación del lanzamiento practicado, cuando no es éste el objeto del incidente de nulidad planteado. En segundo lugar, afirma que se ha transgredido aquel derecho por los defectos producidos en las notificaciones que se le dirigieron a lo largo del juicio ordinario, con error en la identidad de la persona emplazada, generándole indefensión e impidiéndole el acceso al proceso para la defensa de sus legítimos intereses. Con base en todo ello, insta la nulidad de los Autos recurridos para que se entre a conocer acerca de la existencia de la nulidad de actuaciones formulada, y además, o bien subsidiariamente, que se declare por este Tribunal la nulidad de actuaciones con retroacción al momento del emplazamiento a la demandada para contestar a la demanda. </w:t>
      </w:r>
    </w:p>
    <w:p w:rsidR="00DE14C9" w:rsidRDefault="00DE14C9" w:rsidP="00DE14C9">
      <w:pPr>
        <w:pStyle w:val="TextoNormal"/>
      </w:pPr>
      <w:r>
        <w:t>Asimismo, mediante otrosí, y al amparo del art. 56 LOTC, solicita la anotación preventiva de la demanda en el Registro de la Propiedad núm. 11 de Valencia, así como la suspensión de la ejecución de la Sentencia dictada en el juicio ordinario núm. 497-2004 por el Juzgado de Primera Instancia núm. 25 de Valencia.</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Mediante providencia de 11 de octubre de 2006 la Sala Segunda del Tribunal Constitucional acordó, de conformidad con lo dispuesto en el art. 11.2 LOTC, conocer del presente recurso de amparo, admitir a trámite la demanda y, en aplicación del art. 51 LOTC, requerir al órgano judicial para que remitiera testimonio de las actuaciones, interesando asimismo el emplazamiento de quienes hubieran sido parte en el procedimiento, con excepción de la parte recurrente en amparo, para que en el plazo de diez días pudieran comparecer en este proceso constitucional. </w:t>
      </w:r>
    </w:p>
    <w:p w:rsidR="00DE14C9" w:rsidRDefault="00DE14C9" w:rsidP="00DE14C9">
      <w:pPr>
        <w:pStyle w:val="TextoNormal"/>
      </w:pPr>
      <w:r>
        <w:t>Asimismo, de conformidad con lo instado por la actora, se acordó formar la correspondiente pieza separada de suspensión para la tramitación del incidente correspondiente y, tras atender las alegaciones pertinentes, por Auto de la Sala Segunda de este Tribunal de 15 de noviembre de 2006, se acordó, en primer lugar, conceder la suspensión de la Sentencia dictada por el Juzgado de Primera Instancia núm. 25 de Valencia en el juicio ordinario núm. 497-2004, así como la del Auto de 12 de abril de 2006, recaído en el procedimiento de ejecución de títulos judiciales núm. 436-2006 y, en segundo lugar, denegar la práctica de la anotación preventiva de la demanda de amparo en el Registro de la Propiedad.</w:t>
      </w:r>
    </w:p>
    <w:p w:rsidR="00DE14C9" w:rsidRDefault="00DE14C9" w:rsidP="00DE14C9">
      <w:pPr>
        <w:pStyle w:val="TextoNormal"/>
      </w:pPr>
    </w:p>
    <w:p w:rsidR="00DE14C9" w:rsidRDefault="00DE14C9" w:rsidP="00DE14C9">
      <w:pPr>
        <w:pStyle w:val="TextoNormal"/>
      </w:pPr>
      <w:r w:rsidRPr="00DE14C9">
        <w:rPr>
          <w:rStyle w:val="NumeroAFNegritaCaracter"/>
        </w:rPr>
        <w:t>5</w:t>
      </w:r>
      <w:r>
        <w:t>. Por diligencia de ordenación de 12 de diciembre de 2006, y según lo previsto en el art. 52.1 LOTC, se acordó dar vista de las actuaciones por un plazo común de veinte días al Ministerio Fiscal y a la parte recurrente, para que dentro de dicho período presentaran las alegaciones que estimasen convenientes.</w:t>
      </w:r>
    </w:p>
    <w:p w:rsidR="00DE14C9" w:rsidRDefault="00DE14C9" w:rsidP="00DE14C9">
      <w:pPr>
        <w:pStyle w:val="TextoNormal"/>
      </w:pPr>
    </w:p>
    <w:p w:rsidR="00DE14C9" w:rsidRDefault="00DE14C9" w:rsidP="00DE14C9">
      <w:pPr>
        <w:pStyle w:val="TextoNormal"/>
      </w:pPr>
      <w:r w:rsidRPr="00DE14C9">
        <w:rPr>
          <w:rStyle w:val="NumeroAFNegritaCaracter"/>
        </w:rPr>
        <w:t>6</w:t>
      </w:r>
      <w:r>
        <w:t>. El día 3 de enero de 2007 se registró la entrada del escrito de alegaciones de la demandante, en el que se remite a lo ya expresado en la demanda de amparo.</w:t>
      </w:r>
    </w:p>
    <w:p w:rsidR="00DE14C9" w:rsidRDefault="00DE14C9" w:rsidP="00DE14C9">
      <w:pPr>
        <w:pStyle w:val="TextoNormal"/>
      </w:pPr>
    </w:p>
    <w:p w:rsidR="00DE14C9" w:rsidRDefault="00DE14C9" w:rsidP="00DE14C9">
      <w:pPr>
        <w:pStyle w:val="TextoNormal"/>
      </w:pPr>
      <w:r w:rsidRPr="00DE14C9">
        <w:rPr>
          <w:rStyle w:val="NumeroAFNegritaCaracter"/>
        </w:rPr>
        <w:t>7</w:t>
      </w:r>
      <w:r>
        <w:t xml:space="preserve">. El Ministerio Fiscal presentó sus alegaciones el 29 de enero de 2007, interesando el otorgamiento del amparo. </w:t>
      </w:r>
    </w:p>
    <w:p w:rsidR="00DE14C9" w:rsidRDefault="00DE14C9" w:rsidP="00DE14C9">
      <w:pPr>
        <w:pStyle w:val="TextoNormal"/>
      </w:pPr>
      <w:r>
        <w:t xml:space="preserve">Señala el Fiscal ante el Tribunal Constitucional que el razonamiento utilizado por el órgano judicial para la denegación de la nulidad de actuaciones que promovió la recurrente resulta irrazonable y carece de apoyo legal, ya que aplica un plazo, el previsto en el art. 166.2 LEC, que difícilmente puede admitirse como el preceptivo, ya que está ordenado para las notificaciones, lo que no era el supuesto de autos. Por otro lado, ignora el plazo que determina la LOPJ para el incidente de nulidad de actuaciones, que es el que se había suscitado y además en plazo. Ello comporta, en consecuencia, la vulneración del derecho a la </w:t>
      </w:r>
      <w:r>
        <w:lastRenderedPageBreak/>
        <w:t xml:space="preserve">motivación de las resoluciones judiciales en el marco del derecho a la tutela judicial efectiva protegido en el art. 24.1 CE, ya que al elegirse una norma inadecuada se ha impedido el pronunciamiento de fondo; y si a ello se añade que el incidente de nulidad de actuaciones podría tener graves consecuencias procesales, la magnitud del defecto de motivación se hace más patente. </w:t>
      </w:r>
    </w:p>
    <w:p w:rsidR="00DE14C9" w:rsidRDefault="00DE14C9" w:rsidP="00DE14C9">
      <w:pPr>
        <w:pStyle w:val="TextoNormal"/>
      </w:pPr>
      <w:r>
        <w:t>En suma, estima el Ministerio Fiscal que ha de reconocerse el derecho fundamental vulnerado con la consiguiente anulación de los Autos impugnados, a fin de que por el Juzgado se dicte nueva resolución en la que se pronuncie sobre el fondo de las pretensiones del incidente, sin que sea posible, por el contrario, que este Tribunal se pronuncie ahora sobre la queja, planteada alternativa o subsidiariamente por la demandante, relativa a la existencia o no de la nulidad de actuaciones, ya que el órgano judicial no se ha pronunciado sobre el fondo de dicha cuestión, de modo que sería improcedente la anticipación en amparo y per saltum de algo no decidido en la vía ordinaria.</w:t>
      </w:r>
    </w:p>
    <w:p w:rsidR="00DE14C9" w:rsidRDefault="00DE14C9" w:rsidP="00DE14C9">
      <w:pPr>
        <w:pStyle w:val="TextoNormal"/>
      </w:pPr>
    </w:p>
    <w:p w:rsidR="00DE14C9" w:rsidRDefault="00DE14C9" w:rsidP="00DE14C9">
      <w:pPr>
        <w:pStyle w:val="TextoNormal"/>
      </w:pPr>
      <w:r w:rsidRPr="00DE14C9">
        <w:rPr>
          <w:rStyle w:val="NumeroAFNegritaCaracter"/>
        </w:rPr>
        <w:t>8</w:t>
      </w:r>
      <w:r>
        <w:t>. Por providencia de 14 de junio de 2007, se señaló para la deliberación y votación de la presente Sentencia el día 18 del mismo mes y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 presente demanda de amparo se dirige contra el Auto del Juzgado de Primera Instancia núm. 25 de Valencia de 2 de junio de 2006, confirmado por Auto del mismo Juzgado de 23 de junio de 2006, por el que se deniega la nulidad de actuaciones del juicio ordinario núm. 497-2004, solicitada por la recurrente, que denuncia que dichas resoluciones vulneran su derecho a la tutela judicial efectiva sin indefensión (art. 24.1 CE).  De otra parte, considera la demandante que se ha infringido este mismo derecho a lo largo del proceso —razón por la cual solicitó su nulidad—, en la medida en que el emplazamiento y los sucesivos actos procesales adolecerían de defectos de forma que le habrían provocado indefensión, impidiéndole acceder al proceso para la defensa de sus intereses legítimos. Por todo ello interesa de este Tribunal que, otorgando el amparo solicitado, se proceda a anular las mencionadas resoluciones y además, o subsidiariamente, que se declare la nulidad de todo el proceso, retrotrayendo las actuaciones al momento del emplazamiento.</w:t>
      </w:r>
    </w:p>
    <w:p w:rsidR="00DE14C9" w:rsidRDefault="00DE14C9" w:rsidP="00DE14C9">
      <w:pPr>
        <w:pStyle w:val="TextoNormal"/>
      </w:pPr>
      <w:r>
        <w:t>Con los razonamientos y el alcance que han quedado expuestos en los antecedentes, el Fiscal ante el Tribunal Constitucional interesa que se otorgue el amparo solicitado, al considerar que la resolución denegatoria de la nulidad de actuaciones infringe el derecho a la motivación de las resoluciones judiciales ínsito en el derecho a la tutela judicial efectiva (art. 24.1 CE).</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Inicialmente, y habida cuenta de las quejas expresadas en la demanda de amparo, es preciso determinar el orden y el objeto de nuestro examen. La recurrente denuncia en primer lugar la lesión del derecho a la tutela judicial efectiva (art. 24.1 CE) que provendría de la interpretación realizada por el órgano judicial para denegar su solicitud de nulidad de actuaciones, en la que manifestaba la indefensión padecida a causa de los defectos de que adolecerían los actos de comunicación realizados a lo largo del proceso. Y, en segundo término, se reproduce aquí la misma queja de indefensión, solicitando de este Tribunal que resuelva sobre la existencia misma de la nulidad de actuaciones. Ahora bien, la estimación de la vulneración producida por las resoluciones que deniegan la nulidad de actuaciones, y la consecuente declaración de nulidad de aquéllas, conllevaría la reposición de los autos del </w:t>
      </w:r>
      <w:r>
        <w:lastRenderedPageBreak/>
        <w:t>proceso de instancia al momento en que el órgano judicial se pronunció sobre el incidente de nulidad de actuaciones planteado, abriendo así la vía para que el Juzgado resuelva sobre dicha materia y determine si existió o no la indefensión alegada. Por el contrario, como hace notar el Ministerio Fiscal, resultaría improcedente la anticipación en amparo y per saltum de un juicio sobre la eventual nulidad de lo actuado en instancia cuando tal extremo no se ha decidido aún en la vía judicial ordinaria; esto es, no cabría determinar ahora si efectivamente existió o no en el proceso a quo indefensión constitucionalmente censurable, pues tal pronunciamiento, atendida la subsidiariedad del recurso de amparo [art. 53.2 CE y arts. 43.1 y 44.1 a) LOTC], sería en este momento prematuro (SSTC 314/2005, de 12 de diciembre, FJ 3, y 302/2006, de 23 de octubre, FJ 2).</w:t>
      </w:r>
    </w:p>
    <w:p w:rsidR="00DE14C9" w:rsidRDefault="00DE14C9" w:rsidP="00DE14C9">
      <w:pPr>
        <w:pStyle w:val="TextoNormal"/>
      </w:pPr>
    </w:p>
    <w:p w:rsidR="00DE14C9" w:rsidRDefault="00DE14C9" w:rsidP="00DE14C9">
      <w:pPr>
        <w:pStyle w:val="TextoNormal"/>
      </w:pPr>
      <w:r w:rsidRPr="00DE14C9">
        <w:rPr>
          <w:rStyle w:val="NumeroAFNegritaCaracter"/>
        </w:rPr>
        <w:t>3</w:t>
      </w:r>
      <w:r>
        <w:t>. Fijado así el alcance de nuestro análisis, cabe reseñar que es doctrina constitucional reiterada que el derecho a la tutela judicial efectiva (art. 24.1 CE) incluye el derecho a obtener de los órganos judiciales una resolución motivada y fundada en Derecho sobre el fondo de las pretensiones que hayan sido oportunamente planteadas por las partes en el proceso, si bien aquella resolución puede ser también de inadmisión si el Juez o Tribunal aprecia razonadamente que existe alguna causa legal para ello, apreciación ésta que, por pertenecer a la legalidad ordinaria, corresponde a los órganos judiciales en el ejercicio exclusivo de la potestad jurisdiccional que les reconoce el art. 117.3 CE. Ahora bien, importa subrayar que las decisiones de inadmisión o de no resolución sobre el fondo pueden ser controladas por este Tribunal cuando la concurrencia de los presupuestos y requisitos procesales se haya interpretado de forma arbitraria, manifiestamente irrazonable o incurriendo en un error patente.</w:t>
      </w:r>
    </w:p>
    <w:p w:rsidR="00DE14C9" w:rsidRDefault="00DE14C9" w:rsidP="00DE14C9">
      <w:pPr>
        <w:pStyle w:val="TextoNormal"/>
      </w:pPr>
      <w:r>
        <w:t>Además, cuando del acceso a la jurisdicción se trata, el control constitucional ha de ser particularmente intenso, pues rige en tales casos el principio pro actione, de estricta observancia para los órganos judiciales y que, si bien no obliga a una ineludible selección de la interpretación más favorable a la admisión (por todas, STC 191/2005, de 18 de julio, FJ 3), sí veda cualquier decisión que por su rigorismo, por su formalismo excesivo o por cualquier otra causa muestren una manifiesta desproporción entre los fines que aquellos motivos protegen y los intereses que sacrifican.  En suma, cuando aparece comprometido el derecho de acceso al proceso, aunque no es función de este Tribunal interpretar la normativa procesal, sí lo es comprobar que la exégesis realizada por los órganos judiciales no resulte contraria a la Constitución en los términos indicados; esto es, habrá de comprobar que la resolución de inadmisión no sea arbitraria, irrazonable o incursa en error patente, así como que no resulta desproporcionada por su rigorismo o formalismo excesivos (SSTC 205/1999, de 8 de noviembre, FJ 7; 311/2000, de 18 de diciembre, FJ 3; 231/2001, de 26 de noviembre, FJ 2; 211/2002, de 11 de noviembre, FJ 2; 165/2003, de 29 de septiembre, FJ 2; 144/2004, de 13 de septiembre, FJ 2; 327/2005, de 12 de diciembre, FJ 3; 63/2006, de 27 de febrero, FJ 2; y 236/2006, de 17 de julio, FJ 2).</w:t>
      </w:r>
    </w:p>
    <w:p w:rsidR="00DE14C9" w:rsidRDefault="00DE14C9" w:rsidP="00DE14C9">
      <w:pPr>
        <w:pStyle w:val="TextoNormal"/>
      </w:pPr>
    </w:p>
    <w:p w:rsidR="00DE14C9" w:rsidRDefault="00DE14C9" w:rsidP="00DE14C9">
      <w:pPr>
        <w:pStyle w:val="TextoNormal"/>
      </w:pPr>
      <w:r w:rsidRPr="00DE14C9">
        <w:rPr>
          <w:rStyle w:val="NumeroAFNegritaCaracter"/>
        </w:rPr>
        <w:t>4</w:t>
      </w:r>
      <w:r>
        <w:t>. Pues bien, en el presente supuesto éste es el grado de control que se ha de efectuar, ya que, en la medida en que el órgano judicial rechazó entrar a conocer si había existido o no una indefensión desencadenante de la nulidad de actuaciones en un proceso que se siguió inaudita parte, el examen de la cuestión habrá de hacerse justamente desde la perspectiva del acceso a la jurisdicción. En efecto, si se aprecia la vulneración denunciada quedará expedita la vía para que el órgano judicial resuelva sobre el fondo de la solicitud planteada, de tal modo que la demandante pueda acceder al proceso para la defensa de sus derechos e intereses legítimos.</w:t>
      </w:r>
    </w:p>
    <w:p w:rsidR="00DE14C9" w:rsidRDefault="00DE14C9" w:rsidP="00DE14C9">
      <w:pPr>
        <w:pStyle w:val="TextoNormal"/>
      </w:pPr>
      <w:r>
        <w:lastRenderedPageBreak/>
        <w:t>Como se ha dejado expuesto en los antecedentes, el Juzgado, en el Auto de 2 de junio de 2006, afirma primeramente —reiterándolo en el Auto posterior en que deniega la aclaración y complementación de aquél— que no entra “a valorar si las diligencias a las que se refiere el [sic] solicitante se han realizado adecuadamente ni si ello podría causar indefensión”, y seguidamente, con base en el art. 166.2 de la Ley de enjuiciamiento civil (LEC), señala que procede la denegación de la nulidad solicitada.  Así, argumenta el órgano judicial que el primer escrito que la recurrente presentó en el Juzgado, cuyo único objeto era que se le autorizara a retirar de la vivienda bienes de uso personal y a comprobar el estado de los animales domésticos que allí tenía, en tanto suponía su primera comparecencia ante el Juzgado y no contenía indicación de causa alguna en que basar la nulidad, subsanaba cualquier deficiencia que pudiera haber acontecido a lo largo de todo el proceso.</w:t>
      </w:r>
    </w:p>
    <w:p w:rsidR="00DE14C9" w:rsidRDefault="00DE14C9" w:rsidP="00DE14C9">
      <w:pPr>
        <w:pStyle w:val="TextoNormal"/>
      </w:pPr>
      <w:r>
        <w:t>Pues bien, aunque hemos reiterado que no es función del Tribunal Constitucional pronunciarse acerca de cuál es la interpretación más acertada de la legalidad ordinaria ni revisar la selección de la norma aplicable hecha en vía judicial (entre otras muchas, SSTC 8/2004, de 9 de febrero, FJ 10, y 157/2005, de 20 de junio, FJ 2), sí le compete, desde el estricto punto de vista constitucional, apreciar si en el desarrollo de tales cometidos atribuidos a la jurisdicción ordinaria se ha producido una infracción constitucionalmente relevante. Y en el caso que aquí se examina la interpretación realizada por el órgano judicial aplicando el art. 166.2 LEC para resolver, sin entrar en el fondo, el incidente de nulidad de actuaciones, se opone al art.  24.1 CE, vulnerando el derecho a la tutela judicial efectiva sin indefensión de la actora, ya que da lugar a un sacrificio desproporcionado de aquel derecho fundamental.</w:t>
      </w:r>
    </w:p>
    <w:p w:rsidR="00DE14C9" w:rsidRDefault="00DE14C9" w:rsidP="00DE14C9">
      <w:pPr>
        <w:pStyle w:val="TextoNormal"/>
      </w:pPr>
      <w:r>
        <w:t>En efecto, en el presente caso la aplicación e interpretación realizadas por el órgano judicial, en cuya virtud la sola petición de entrada en la vivienda excluía cualquier posibilidad ulterior de instar dentro del plazo previsto en la ley, tal y como aquí se hizo, la nulidad de actuaciones, determinan un resultado notoriamente desproporcionado desde la perspectiva del principio pro actione, lesionando, en consecuencia, el derecho a la tutela judicial efectiva sin indefensión (art. 24.1 CE). Y es que, con el citado entendimiento se ha cercenado indebidamente la posibilidad de enjuiciar si efectivamente concurrieron los defectos procesales causantes de indefensión que hubieran dado lugar a la nulidad interesada por la demandante; nulidad que le habría otorgado, en su caso, la oportunidad de intervenir contradictoriamente en el proceso para la defensa de sus derechos e intereses legítimos.</w:t>
      </w:r>
    </w:p>
    <w:p w:rsidR="00DE14C9" w:rsidRDefault="00DE14C9" w:rsidP="00DE14C9">
      <w:pPr>
        <w:pStyle w:val="TextoNormal"/>
      </w:pPr>
    </w:p>
    <w:p w:rsidR="00DE14C9" w:rsidRDefault="00DE14C9" w:rsidP="00DE14C9">
      <w:pPr>
        <w:pStyle w:val="TextoNormal"/>
      </w:pPr>
      <w:r w:rsidRPr="00DE14C9">
        <w:rPr>
          <w:rStyle w:val="NumeroAFNegritaCaracter"/>
        </w:rPr>
        <w:t>5</w:t>
      </w:r>
      <w:r>
        <w:t>. La estimación de esta queja de amparo y el restablecimiento en la integridad de su derecho a la demandante determina la anulación del Auto denegatorio de la nulidad de actuaciones, así como la del Auto que rechaza la solicitud de su aclaración y complementación, con retroacción de las actuaciones al momento en que se produjo la vulneración constitucional apreciada para que el órgano judicial se pronuncie sobre la nulidad de actuaciones denunciada, resolviendo si existió o no la indefensión que alegó la demandante. En consecuencia, resulta improcedente en este proceso constitucional —conforme se ha dejado expuesto— que el Tribunal se pronuncie sobre el motivo que sustentaba el incidente de nulidad de actuaciones promovido por la ahora recurrente en amparo.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lastRenderedPageBreak/>
        <w:t>Ha decidido</w:t>
      </w:r>
    </w:p>
    <w:p w:rsidR="00DE14C9" w:rsidRDefault="00DE14C9" w:rsidP="00DE14C9">
      <w:pPr>
        <w:pStyle w:val="TextoNormalCentrado"/>
        <w:keepNext/>
      </w:pPr>
    </w:p>
    <w:p w:rsidR="00DE14C9" w:rsidRDefault="00DE14C9" w:rsidP="00DE14C9">
      <w:pPr>
        <w:pStyle w:val="TextoNormal"/>
      </w:pPr>
      <w:r>
        <w:t>Otorgar el amparo solicitado por doña Elisée Marie Louise Bouchard y, en su virtud:</w:t>
      </w:r>
    </w:p>
    <w:p w:rsidR="00DE14C9" w:rsidRDefault="00DE14C9" w:rsidP="00DE14C9">
      <w:pPr>
        <w:pStyle w:val="TextoNormal"/>
      </w:pPr>
      <w:r>
        <w:t>1º Declarar que ha sido vulnerado el derecho a la tutela judicial efectiva sin indefensión (art.  24.1 CE) de la recurrente.</w:t>
      </w:r>
    </w:p>
    <w:p w:rsidR="00DE14C9" w:rsidRDefault="00DE14C9" w:rsidP="00DE14C9">
      <w:pPr>
        <w:pStyle w:val="TextoNormal"/>
      </w:pPr>
      <w:r>
        <w:t>2º Restablecerla en el citado derecho y, a tal fin, declarar la nulidad del Auto de 2 de junio de 2006 por el que el Juzgado de Primera Instancia núm. 25 de Valencia denegó el incidente de nulidad de actuaciones del juicio ordinario núm.  497-2004 promovido por la demandante de amparo, así como el Auto de 23 de junio de 2006 del mismo órgano judicial, por el que se deniega la solicitud de aclaración y complementación de aquel Auto, retrotrayendo las actuaciones procesales al momento inmediatamente anterior al dictado de las resoluciones anuladas a fin de que se dicte por el referido órgano judicial la resolución que proceda, con respeto al derecho fundamental vulnerado.</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dieciocho de junio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68" w:name="SENTENCIA_2007_155"/>
      <w:r>
        <w:lastRenderedPageBreak/>
        <w:t>SENTENCIA 155/2007, de 2 de julio de 2007</w:t>
      </w:r>
    </w:p>
    <w:bookmarkEnd w:id="68"/>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185, de 3 de agosto de 2007)</w:t>
      </w:r>
    </w:p>
    <w:p w:rsidR="00DE14C9" w:rsidRDefault="00DE14C9" w:rsidP="00DE14C9">
      <w:pPr>
        <w:pStyle w:val="TtuloBOE"/>
      </w:pPr>
    </w:p>
    <w:p w:rsidR="00DE14C9" w:rsidRDefault="00DE14C9" w:rsidP="00DE14C9">
      <w:pPr>
        <w:pStyle w:val="SntesisDescriptiva"/>
      </w:pPr>
      <w:r>
        <w:t>ECLI:ES:TC:2007:155</w:t>
      </w:r>
    </w:p>
    <w:p w:rsidR="00DE14C9" w:rsidRDefault="00DE14C9" w:rsidP="00DE14C9">
      <w:pPr>
        <w:pStyle w:val="SntesisDescriptiva"/>
      </w:pPr>
    </w:p>
    <w:p w:rsidR="00DE14C9" w:rsidRDefault="00DE14C9" w:rsidP="00DE14C9">
      <w:pPr>
        <w:pStyle w:val="SntesisDescriptiva"/>
      </w:pPr>
      <w:r>
        <w:t>Recurso de amparo 4590-2003. Promovido por don Alejandro José Zapata Palacios frente a los Autos de un Juzgado de Vigilancia Penitenciaria de Barcelona que desestimaron su recurso sobre sanción disciplinaria por resistirse a entrar en su galería.</w:t>
      </w:r>
    </w:p>
    <w:p w:rsidR="00DE14C9" w:rsidRDefault="00DE14C9" w:rsidP="00DE14C9">
      <w:pPr>
        <w:pStyle w:val="SntesisDescriptiva"/>
      </w:pPr>
    </w:p>
    <w:p w:rsidR="00DE14C9" w:rsidRDefault="00DE14C9" w:rsidP="00DE14C9">
      <w:pPr>
        <w:pStyle w:val="SntesisAnaltica"/>
      </w:pPr>
      <w:r>
        <w:t>Vulneración parcial del derecho a la tutela judicial efectiva (acceso al recurso legal y motivación): indicación de recursos (STC 167/2003); resoluciones judiciales estereotipadas.</w:t>
      </w:r>
    </w:p>
    <w:p w:rsidR="00DE14C9" w:rsidRDefault="00DE14C9" w:rsidP="00DE14C9">
      <w:pPr>
        <w:pStyle w:val="SntesisAnaltica"/>
      </w:pPr>
    </w:p>
    <w:p w:rsidR="00DE14C9" w:rsidRDefault="00DE14C9" w:rsidP="00DE14C9">
      <w:pPr>
        <w:pStyle w:val="Extracto"/>
      </w:pPr>
      <w:r>
        <w:t>1.</w:t>
      </w:r>
      <w:r>
        <w:tab/>
        <w:t>Las respuestas ofrecidas en las resoluciones impugnadas se refieren exclusivamente, y aun así de forma abstracta y genérica, a los hechos y a su calificación jurídica, sin que, ni de forma implícita ni explícita, se encuentre alusión motivada alguna a las irregularidades presuntamente cometidas en el procedimiento sancionador o a la supuesta falta de respuesta a las alegaciones planteadas en el recurso de alzada [FJ 4].</w:t>
      </w:r>
    </w:p>
    <w:p w:rsidR="00DE14C9" w:rsidRDefault="00DE14C9" w:rsidP="00DE14C9">
      <w:pPr>
        <w:pStyle w:val="Extracto"/>
      </w:pPr>
    </w:p>
    <w:p w:rsidR="00DE14C9" w:rsidRDefault="00DE14C9" w:rsidP="00DE14C9">
      <w:pPr>
        <w:pStyle w:val="Extracto"/>
      </w:pPr>
      <w:r>
        <w:t>2.</w:t>
      </w:r>
      <w:r>
        <w:tab/>
        <w:t>La vulneración del derecho a la tutela judicial efectiva es tanto más relevante cuanto que dos de los motivos del recurso de alzada tenían por objeto la supuesta vulneración del derechos de defensa del interno, al que hemos vinculado la posibilidad de asesorarse durante la tramitación del expediente sancionador y del derecho a utilizar los medios de prueba pertinentes para la defensa (SSTC 143/1995, 27/2001, 128/2003) [FJ 4].</w:t>
      </w:r>
    </w:p>
    <w:p w:rsidR="00DE14C9" w:rsidRDefault="00DE14C9" w:rsidP="00DE14C9">
      <w:pPr>
        <w:pStyle w:val="Extracto"/>
      </w:pPr>
    </w:p>
    <w:p w:rsidR="00DE14C9" w:rsidRDefault="00DE14C9" w:rsidP="00DE14C9">
      <w:pPr>
        <w:pStyle w:val="Extracto"/>
      </w:pPr>
      <w:r>
        <w:t>3.</w:t>
      </w:r>
      <w:r>
        <w:tab/>
        <w:t>El presente recurso de amparo es de los denominados mixtos dado que algunas de las lesiones de derechos fundamentales atribuidas al órgano judicial son autónomas, es decir, van más allá de la mera falta de reparación de las que se achacan originariamente a la Administración penitenciaria sancionadora [FJ 1].</w:t>
      </w:r>
    </w:p>
    <w:p w:rsidR="00DE14C9" w:rsidRDefault="00DE14C9" w:rsidP="00DE14C9">
      <w:pPr>
        <w:pStyle w:val="Extracto"/>
      </w:pPr>
    </w:p>
    <w:p w:rsidR="00DE14C9" w:rsidRDefault="00DE14C9" w:rsidP="00DE14C9">
      <w:pPr>
        <w:pStyle w:val="Extracto"/>
      </w:pPr>
      <w:r>
        <w:t>4.</w:t>
      </w:r>
      <w:r>
        <w:tab/>
        <w:t>Reitera la doctrina sobre la trascendencia constitucional de una indicación judicial hecha por el órgano a quo en el sentido de que la resolución por él dictada es irrecurrible (STC 167/2003) [FJ 2].</w:t>
      </w:r>
    </w:p>
    <w:p w:rsidR="00DE14C9" w:rsidRDefault="00DE14C9" w:rsidP="00DE14C9">
      <w:pPr>
        <w:pStyle w:val="Extracto"/>
      </w:pPr>
    </w:p>
    <w:p w:rsidR="00DE14C9" w:rsidRDefault="00DE14C9" w:rsidP="00DE14C9">
      <w:pPr>
        <w:pStyle w:val="Extracto"/>
      </w:pPr>
      <w:r>
        <w:t>5.</w:t>
      </w:r>
      <w:r>
        <w:tab/>
        <w:t>En la medida en que se aduce que con las resoluciones judiciales impugnadas se cerró indebidamente el acceso al recurso legal y no se dio respuesta a las cuestiones atinentes a la posible vulneración de otros derechos fundamentales, la estimación de cualquiera de tales quejas conllevaría la retroacción de actuaciones a fin de que los órganos judiciales pudieran agotar la vía procesal legalmente prevista y otorgar, en su caso, la tutela que de ellos se pretendía (STC 167/2003) [FJ ].</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4590-2003, promovido por don Alejandro José Zapata Palacios, representado por el Procurador de los Tribunales don Javier del Amo Artés y asistido por la Abogada doña María Teresa Peña García-Margallo, contra los Autos del Juzgado de Vigilancia Penitenciaria núm. 4 de Barcelona, dictados el 1 de abril y 2 de junio de 2003, en el expediente personal núm. 11.832. Ha intervenido el Ministerio Fiscal. Ha sido Ponente el Magistrado don Ramón Rodríguez Arribas,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fechado el 30 de junio de 2003, presentado en el centro penitenciario de Barcelona, el interno don Alejandro José Zapata Palacios manifestó su intención de recurrir en amparo ante este Tribunal Constitucional. Dicho escrito fue recibido por correo el 10 de julio de 2003. En él solicitaba el recurrente asistencia jurídica gratuita. Una vez efectuados los oportunos nombramientos de Abogado y Procurador de oficio el Procurador de los Tribunales don Javier del Amo Artés presentó demanda formalizando la interposición del recurso de amparo contra las resoluciones citadas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fundamentos de hecho de la demanda de amparo son los que siguen: </w:t>
      </w:r>
    </w:p>
    <w:p w:rsidR="00DE14C9" w:rsidRDefault="00DE14C9" w:rsidP="00DE14C9">
      <w:pPr>
        <w:pStyle w:val="TextoNormal"/>
      </w:pPr>
      <w:r>
        <w:t xml:space="preserve">a) El 12 de marzo de 2003 la comisión disciplinaria del centro penitenciario de Barcelona acordó imponer al demandante de amparo una sanción de seis días de aislamiento en celda, como responsable de una falta muy grave prevista en el art. 108 d) del Reglamento penitenciario aprobado por Real Decreto 1201/1981, de 8 de mayo, como consecuencia de que “el 14 de enero de 2003 se resistió activamente a entrar en su galería”. </w:t>
      </w:r>
    </w:p>
    <w:p w:rsidR="00DE14C9" w:rsidRDefault="00DE14C9" w:rsidP="00DE14C9">
      <w:pPr>
        <w:pStyle w:val="TextoNormal"/>
      </w:pPr>
      <w:r>
        <w:t xml:space="preserve">b) El demandante de amparo interpuso recurso de alzada contra el referido acuerdo sancionador ante el Juzgado de Vigilancia Penitencia. En su recurso alegaba que no se había admitido su petición de asesoramiento letrado y que no se había admitido uno de los medios de prueba propuestos para su defensa, así como cuestionaba la realidad de los hechos imputados, afirmando que si se negó a entrar en la galería a la que había sido trasladado era porque tal traslado resultaba consecuencia de una infracción disciplinaria anterior que había sido anulada por el Juzgado de Vigilancia Penitenciaria, y así lo había puesto de manifiesto poco antes en una instancia dirigida al director del centro penitenciario. Denunciaba también la falta de motivación del acuerdo sancionador. </w:t>
      </w:r>
    </w:p>
    <w:p w:rsidR="00DE14C9" w:rsidRDefault="00DE14C9" w:rsidP="00DE14C9">
      <w:pPr>
        <w:pStyle w:val="TextoNormal"/>
      </w:pPr>
      <w:r>
        <w:t xml:space="preserve">c) El recurso de alzada fue desestimado por Auto de 1 de abril de 2003, cuyo razonamiento jurídico único expresa: </w:t>
      </w:r>
    </w:p>
    <w:p w:rsidR="00DE14C9" w:rsidRDefault="00DE14C9" w:rsidP="00DE14C9">
      <w:pPr>
        <w:pStyle w:val="TextoNormal"/>
      </w:pPr>
      <w:r>
        <w:lastRenderedPageBreak/>
        <w:t xml:space="preserve">“Que de la detenida lectura del expediente se deduce que los hechos se desarrollaron en la forma que en el apartado anterior se relata, sin que la resultancia de los mismos haya sido desvirtuada por la alegación del recurrente, y hechos que constituyen la falta por la que se sanciona al interno; y apareciendo que la sanción impuesta está dentro de los límites establecidos por los arts. 233 y 234 del reglamento penitenciario, y es adecuada a la infracción cometida, procede confirmarla en su integridad”. </w:t>
      </w:r>
    </w:p>
    <w:p w:rsidR="00DE14C9" w:rsidRDefault="00DE14C9" w:rsidP="00DE14C9">
      <w:pPr>
        <w:pStyle w:val="TextoNormal"/>
      </w:pPr>
      <w:r>
        <w:t xml:space="preserve">d) El interno presentó recurso de reforma, reiterando las quejas y denunciando que el Auto que resolvió el recurso de alzada no había respondido a ninguna de las alegaciones planteadas en el escrito de impugnación, lo que vulnera los arts. 14 y 24.1 CE. </w:t>
      </w:r>
    </w:p>
    <w:p w:rsidR="00DE14C9" w:rsidRDefault="00DE14C9" w:rsidP="00DE14C9">
      <w:pPr>
        <w:pStyle w:val="TextoNormal"/>
      </w:pPr>
      <w:r>
        <w:t xml:space="preserve">e) El recurso fue desestimado por Auto de 2 de junio de 2003 en consideración a que: </w:t>
      </w:r>
    </w:p>
    <w:p w:rsidR="00DE14C9" w:rsidRDefault="00DE14C9" w:rsidP="00DE14C9">
      <w:pPr>
        <w:pStyle w:val="TextoNormal"/>
      </w:pPr>
      <w:r>
        <w:t>“[e]l impugnante ni amplía lo ya alegado ni prueba sus alegaciones; las que, por otro lado resultan contradictorias con los informes y declaraciones obrantes en el expediente, limitándose el recurrente a demostrar su desacuerdo con la resolución, sin expresar razón alguna que fundamente su derecho pretendidamente violado”.</w:t>
      </w:r>
    </w:p>
    <w:p w:rsidR="00DE14C9" w:rsidRDefault="00DE14C9" w:rsidP="00DE14C9">
      <w:pPr>
        <w:pStyle w:val="TextoNormal"/>
      </w:pPr>
    </w:p>
    <w:p w:rsidR="00DE14C9" w:rsidRDefault="00DE14C9" w:rsidP="00DE14C9">
      <w:pPr>
        <w:pStyle w:val="TextoNormal"/>
      </w:pPr>
      <w:r w:rsidRPr="00DE14C9">
        <w:rPr>
          <w:rStyle w:val="NumeroAFNegritaCaracter"/>
        </w:rPr>
        <w:t>3</w:t>
      </w:r>
      <w:r>
        <w:t>. El demandante de amparo alega la vulneración del derecho a la tutela judicial efectiva (art. 24.1 CE) en tanto garantiza el acceso a los recursos establecidos en la ley y el derecho a recibir de los órganos judiciales una respuesta fundada y congruente con las pretensiones planteadas. Considera que la indicación de recursos plasmada en el Auto de 2 de junio de 2003 le ha impedido impugnarlo en apelación, cerrándole indebidamente la vía al recurso legal. Entiende que las resoluciones judiciales impugnadas no están motivadas y no dan respuesta a sus pretensiones referidas a la petición de asesoramiento y a la denegación de un medio de prueba, lo que supone, autónomamente, una limitación indebida de su derecho de defensa y del derecho a usar los medios de prueba pertinentes (art. 24.2 CE). Por último se refiere, sin desarrollo argumental añadido, a la supuesta infracción de los derechos a la igualdad, a la intimidad, a la presunción de inocencia, a la legalidad sancionatoria y a la finalidad resocializadora de las penas privativas de libertad (arts. 14, 18, 24.2 25.1 y 2 CE). Finaliza la demanda solicitando la declaración de nulidad de las resoluciones del Juzgado de Vigilancia Penitenciaria y demás medidas necesarias para restablecerle en sus derechos.</w:t>
      </w:r>
    </w:p>
    <w:p w:rsidR="00DE14C9" w:rsidRDefault="00DE14C9" w:rsidP="00DE14C9">
      <w:pPr>
        <w:pStyle w:val="TextoNormal"/>
      </w:pPr>
    </w:p>
    <w:p w:rsidR="00DE14C9" w:rsidRDefault="00DE14C9" w:rsidP="00DE14C9">
      <w:pPr>
        <w:pStyle w:val="TextoNormal"/>
      </w:pPr>
      <w:r w:rsidRPr="00DE14C9">
        <w:rPr>
          <w:rStyle w:val="NumeroAFNegritaCaracter"/>
        </w:rPr>
        <w:t>4</w:t>
      </w:r>
      <w:r>
        <w:t>. Por providencia de 9 de junio de 2005 la Sala Segunda de este Tribunal acordó la admisión a trámite de la demanda de amparo y, a tenor de lo dispuesto en el art. 51 LOTC, interesar del Juzgado de Vigilancia Penitenciaria núm. 4 de Barcelona y del centro penitenciario que remitieran copia certificada de las actuaciones judiciales y administrativas a que se refiere la demanda.</w:t>
      </w:r>
    </w:p>
    <w:p w:rsidR="00DE14C9" w:rsidRDefault="00DE14C9" w:rsidP="00DE14C9">
      <w:pPr>
        <w:pStyle w:val="TextoNormal"/>
      </w:pPr>
    </w:p>
    <w:p w:rsidR="00DE14C9" w:rsidRDefault="00DE14C9" w:rsidP="00DE14C9">
      <w:pPr>
        <w:pStyle w:val="TextoNormal"/>
      </w:pPr>
      <w:r w:rsidRPr="00DE14C9">
        <w:rPr>
          <w:rStyle w:val="NumeroAFNegritaCaracter"/>
        </w:rPr>
        <w:t>5</w:t>
      </w:r>
      <w:r>
        <w:t>. Por diligencia de ordenación de 19 de julio de 2005, conforme al art. 52.1 LOTC, se acordó dar vista de las actuaciones, por un plazo común de veinte días, al Ministerio Fiscal y a la parte recurrente para que, dentro de dicho término, pudieran presentar las alegaciones que a su derecho conviniera.</w:t>
      </w:r>
    </w:p>
    <w:p w:rsidR="00DE14C9" w:rsidRDefault="00DE14C9" w:rsidP="00DE14C9">
      <w:pPr>
        <w:pStyle w:val="TextoNormal"/>
      </w:pPr>
    </w:p>
    <w:p w:rsidR="00DE14C9" w:rsidRDefault="00DE14C9" w:rsidP="00DE14C9">
      <w:pPr>
        <w:pStyle w:val="TextoNormal"/>
      </w:pPr>
      <w:r w:rsidRPr="00DE14C9">
        <w:rPr>
          <w:rStyle w:val="NumeroAFNegritaCaracter"/>
        </w:rPr>
        <w:t>6</w:t>
      </w:r>
      <w:r>
        <w:t>. El Ministerio Fiscal presentó sus alegaciones en escrito registrado el 12 de septiembre de 2005. Entiende el Fiscal que los Autos del Juzgado de Vigilancia Penitenciaria que se impugnan no han dado contestación a las pretensiones del actor, interno en el centro penitenciario. No hacen una explícita o implícita referencia a los medios de prueba denegados, ni tampoco al asesoramiento que el recurrente ha interesado durante el expediente. Sus res</w:t>
      </w:r>
      <w:r>
        <w:lastRenderedPageBreak/>
        <w:t>puestas son, por el contrario, generales y no relacionadas con los pedimentos de quien recurre, ni con la problemática del caso concreto. Se trata, pues, de una clara falta de motivación que lesiona el derecho invocado a la tutela judicial efectiva. Añade el Ministerio Fiscal que, por lo dicho y sin entrar en consideraciones sobre el resto de derechos fundamentales alegados, procede otorgar el amparo y retrotraer las actuaciones al momento anterior a resolverse el recurso de alzada, para que por el Juzgado se pronuncie nueva resolución que respete el derecho a la tutela judicial efectiva desde la vertiente de la motivación.</w:t>
      </w:r>
    </w:p>
    <w:p w:rsidR="00DE14C9" w:rsidRDefault="00DE14C9" w:rsidP="00DE14C9">
      <w:pPr>
        <w:pStyle w:val="TextoNormal"/>
      </w:pPr>
    </w:p>
    <w:p w:rsidR="00DE14C9" w:rsidRDefault="00DE14C9" w:rsidP="00DE14C9">
      <w:pPr>
        <w:pStyle w:val="TextoNormal"/>
      </w:pPr>
      <w:r w:rsidRPr="00DE14C9">
        <w:rPr>
          <w:rStyle w:val="NumeroAFNegritaCaracter"/>
        </w:rPr>
        <w:t>7</w:t>
      </w:r>
      <w:r>
        <w:t>. La representación procesal del recurrente dio cumplimiento al trámite de alegaciones conferido mediante escrito presentado el 13 de septiembre de 2005, en el que reiteró las efectuadas en el escrito de demanda.</w:t>
      </w:r>
    </w:p>
    <w:p w:rsidR="00DE14C9" w:rsidRDefault="00DE14C9" w:rsidP="00DE14C9">
      <w:pPr>
        <w:pStyle w:val="TextoNormal"/>
      </w:pPr>
    </w:p>
    <w:p w:rsidR="00DE14C9" w:rsidRDefault="00DE14C9" w:rsidP="00DE14C9">
      <w:pPr>
        <w:pStyle w:val="TextoNormal"/>
      </w:pPr>
      <w:r w:rsidRPr="00DE14C9">
        <w:rPr>
          <w:rStyle w:val="NumeroAFNegritaCaracter"/>
        </w:rPr>
        <w:t>8</w:t>
      </w:r>
      <w:r>
        <w:t>. Por providencia de 28 de junio de 2007 se señaló para la deliberación y votación de la presente Sentencia el día 2 de julio del mismo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El presente recurso de amparo se dirige contra a los Autos de 1 de abril y 2 de junio de 2003 del Juzgado de Vigilancia Penitenciaria núm. 4 de Barcelona. Dichas resoluciones, tras desestimar los sucesivos recursos de alzada y reforma presentados por el demandante de amparo, confirmaron el Acuerdo de 12 de marzo de 2003 de la comisión disciplinaria del centro penitenciario de Barcelona, por el que fue declarado responsable de una falta disciplinaria muy grave, tipificada en el apartado c) del art.  108 del Reglamento penitenciario de 1981, consistente en “desobedecer las órdenes recibidas o resistirse a su cumplimiento en manifiesta actitud de rebeldía o insubordinación”. La sanción impuesta fue de seis días de aislamiento en celda. Además, como cabe inferir de los derechos que el recurrente invoca en su escrito inicial ante este Tribunal y en el de demanda, la petición de amparo se dirige también contra el referido Acuerdo disciplinario sancionador.</w:t>
      </w:r>
    </w:p>
    <w:p w:rsidR="00DE14C9" w:rsidRDefault="00DE14C9" w:rsidP="00DE14C9">
      <w:pPr>
        <w:pStyle w:val="TextoNormal"/>
      </w:pPr>
      <w:r>
        <w:t xml:space="preserve">Prescindiendo de otras alegaciones, carentes del mínimo desarrollo argumental exigible, que citan como vulnerados el derecho a la igualdad, a la intimidad y a la presunción de inocencia, las cuales, precisamente por dicho déficit, no serán analizadas (STC 93/2002, de 22 de abril, FJ 3, y, entre las más recientes, SSTC 42/2006, de 13 de febrero, FJ 2; 72/2006, de 13 de marzo, FJ 1; y 123/2006, de 24 de abril, FJ 3), se queja el recurrente de que se le han vulnerado diversos derechos fundamentales que son garantía de un proceso justo. Así, la Administración penitenciaria habría desconocido su derecho a la asistencia letrada en el expediente administrativo sancionador por no haber dado respuesta alguna a la petición de obtener asesoramiento jurídico durante su tramitación; y habría vulnerado también el derecho al uso de los medios de prueba pertinentes para su defensa por la injustificada denegación de uno de los que propuso. De otra parte la Juez de Vigilancia Penitenciaria habría reiterado dichas vulneraciones al no corregirlas y, autónomamente, le habría cerrado indebidamente el acceso a los recursos previstos en la ley al indicarle que el Auto de 2 de junio de 2003, que desestimó el recurso de reforma, era firme e irrecurrible; como le habría denegado la tutela judicial efectiva pretendida al no dar respuesta motivada a las pretensiones que fundamentaron los recursos de alzada y de reforma con los que impugnó el acuerdo disciplinario sancionador. En razón de ello el presente recurso de amparo es de los denominados mixtos (arts. 43 y 44 LOTC), dado que algunas de las lesiones de derechos fundamentales atribuidas al órgano judicial son autónomas, es decir, van más allá de la mera falta </w:t>
      </w:r>
      <w:r>
        <w:lastRenderedPageBreak/>
        <w:t>de reparación de las que se achacan originariamente a la Administración penitenciaria sancionadora.</w:t>
      </w:r>
    </w:p>
    <w:p w:rsidR="00DE14C9" w:rsidRDefault="00DE14C9" w:rsidP="00DE14C9">
      <w:pPr>
        <w:pStyle w:val="TextoNormal"/>
      </w:pPr>
      <w:r>
        <w:t>A la petición de amparo se suma el Ministerio Fiscal al considerar que los Autos del Juzgado de Vigilancia Penitenciaria deben ser anulados, porque infringen el art. 24.1 CE al no haber dado respuesta a las pretensiones formuladas en el recurso de alzada y en el de reforma, pues en ellos fueron cuestionados tanto la decisión disciplinaria sancionatoria como el relato de hechos en que ésta se apoyaba sin que la Juez de Vigilancia Penitenciaria se pronunciara sobre el fundamento de dicha impugnación ni, más específicamente, sobre las quejas relativas a la falta de asesoramiento letrado y la denegación de los medios de prueba propuestos en el procedimiento administrativo.</w:t>
      </w:r>
    </w:p>
    <w:p w:rsidR="00DE14C9" w:rsidRDefault="00DE14C9" w:rsidP="00DE14C9">
      <w:pPr>
        <w:pStyle w:val="TextoNormal"/>
      </w:pPr>
      <w:r>
        <w:t>Al igual que hicimos en nuestras SSTC 83/1998, de 20 de abril (FFJJ 2 y 3), 128/2003, de 30 de junio (FJ 2), y 2/2004, de 14 de enero (FJ 2), con carácter previo al análisis de las posibles vulneraciones de derechos atribuidas a la Administración hemos de analizar las quejas dirigidas específicamente frente a la actuación del órgano judicial, pues, en la medida en que se aduce que con tales resoluciones judiciales se cerró indebidamente el acceso al recurso legal y no se dio respuesta a las cuestiones planteadas, entre ellas las atinentes a la posible vulneración de otros derechos fundamentales, la estimación de cualquiera de tales quejas conllevaría la retroacción de actuaciones a fin de que los órganos judiciales pudieran agotar la vía procesal legalmente prevista y otorgar, en su caso, la tutela que de ellos se pretendía (STC 167/2003, de 29 de septiembre, FJ 2). Se preserva así la posición de subsidiariedad propia del recurso de amparo ante el Tribunal Constitucional, favoreciendo que los órganos judiciales tengan la posibilidad de agotar y, en caso de estimación, reparar en vía ordinaria las lesiones de derechos fundamentales que ante ellos se alegan, o bien de desestimar motivadamente tales pretensiones cuando carezcan de fundamento.</w:t>
      </w:r>
    </w:p>
    <w:p w:rsidR="00DE14C9" w:rsidRDefault="00DE14C9" w:rsidP="00DE14C9">
      <w:pPr>
        <w:pStyle w:val="TextoNormal"/>
      </w:pPr>
    </w:p>
    <w:p w:rsidR="00DE14C9" w:rsidRDefault="00DE14C9" w:rsidP="00DE14C9">
      <w:pPr>
        <w:pStyle w:val="TextoNormal"/>
      </w:pPr>
      <w:r w:rsidRPr="00DE14C9">
        <w:rPr>
          <w:rStyle w:val="NumeroAFNegritaCaracter"/>
        </w:rPr>
        <w:t>2</w:t>
      </w:r>
      <w:r>
        <w:t>. Afirma el recurrente que la indicación plasmada en la parte dispositiva del Auto de 2 de junio de 2003, conforme a la cual dicha resolución era firme y ejecutoria, sin que contra la misma cupiera ulterior recurso, le ha impedido impugnarlo en apelación, posibilidad ésta que —según aduce—, estaba entonces prevista en la disposición adicional quinta, apartado 3, de la Ley Orgánica del Poder Judicial (LOPJ), que regula los recursos en materia de vigilancia penitenciaria.</w:t>
      </w:r>
    </w:p>
    <w:p w:rsidR="00DE14C9" w:rsidRDefault="00DE14C9" w:rsidP="00DE14C9">
      <w:pPr>
        <w:pStyle w:val="TextoNormal"/>
      </w:pPr>
      <w:r>
        <w:t>Debemos aclarar, en primer lugar, que en contra de lo expuesto en la demanda de amparo, la dicción de la disposición adicional quinta, apartado 3 LOPJ citada, en la fecha en que se dictó el Auto, establecía lo siguiente: “Las resoluciones del Juez de Vigilancia Penitenciaria en lo referente al régimen penitenciario y demás materias no comprendidas en el apartado anterior serán recurribles en apelación o queja siempre que no se hayan dictado resolviendo un recurso de apelación contra resolución administrativa. Conocerá de la apelación o de la queja la Audiencia Provincial que corresponda, por estar situado dentro de su demarcación el establecimiento penitenciario” (redacción dada por el artículo primero, apartado cuarto, de la Ley Orgánica 5/2003, de 27 de mayo). Su texto es coincidente con la redacción original de la Ley Orgánica 6/1985, de 1 de julio, del Poder Judicial, y se mantuvo después en la reforma operada por Ley Orgánica 7/2003, de 30 de junio.</w:t>
      </w:r>
    </w:p>
    <w:p w:rsidR="00DE14C9" w:rsidRDefault="00DE14C9" w:rsidP="00DE14C9">
      <w:pPr>
        <w:pStyle w:val="TextoNormal"/>
      </w:pPr>
      <w:r>
        <w:t xml:space="preserve">Sobre dicha previsión legislativa, y sobre la cuestión planteada en la demanda de amparo, tuvo ocasión de pronunciarse este Tribunal en la STC 167/2003, de 29 de septiembre (FJ 2).  Al igual que entonces y en los casos analizados en las SSTC 128/1998, de 16 de junio, y 65/2002, de 11 de marzo, no nos encontramos aquí en un supuesto en el que se cuestione una determinada interpretación de la legalidad procesal, conforme a la cual el órgano judicial al que corresponde pronunciarse sobre el fondo de una pretendida impugnación la ha </w:t>
      </w:r>
      <w:r>
        <w:lastRenderedPageBreak/>
        <w:t>resuelto inadmitiéndola (supuestos que, en el ámbito penitenciario, han sido analizados en las SSTC 54/1992, de 8 de abril; 128/1996, de 9 de julio; 169/1996 y 170/1996, de 29 de octubre; y 201/1997, de 25 de noviembre), pues no ha habido en este caso decisión alguna de inadmisión. Lo que se plantea en la demanda es la trascendencia constitucional de una indicación judicial hecha por el órgano a quo en el sentido de que la resolución por él dictada es irrecurrible. Frente a esta indicación viene directamente en amparo el recurrente que, a pesar de disentir de su contenido, la acató pues no presentó el recurso de apelación que estimaba procedente ni acudió en queja ante el órgano ad quem competente para resolver la apelación.</w:t>
      </w:r>
    </w:p>
    <w:p w:rsidR="00DE14C9" w:rsidRDefault="00DE14C9" w:rsidP="00DE14C9">
      <w:pPr>
        <w:pStyle w:val="TextoNormal"/>
      </w:pPr>
      <w:r>
        <w:t>Al resolver aquel caso dijimos, y ahora debemos reiterar, que corresponde dilucidar a los Jueces y Tribunales la duda acerca de si un recurso existe legalmente, por ser ésta una cuestión de interpretación de la legalidad ordinaria. Y sobre la materia concreta suscitada en la demanda, pese a reconocer en abstracto la dificultad de fijar en el ámbito penitenciario —a partir de los términos de la regulación legal— un criterio unívoco e incuestionable en materia de recursos de apelación, este Tribunal declaró ya en las SSTC 129/1996, de 9 de julio, y 169/1996, de 29 de octubre, que era razonable y no arbitraria la negativa a tramitar la apelación frente a resoluciones judiciales dictadas en expedientes disciplinarios, dado que, por tratarse de una cuestión de “régimen penitenciario”, entendimos resultaba incardinable en el apartado tercero de la citada disposición adicional, conforme al cual “queda excluido el recurso de apelación contra las resoluciones dictadas por el Juez de Vigilancia Penitenciaria que sean, a su vez, resolutorias de un recurso de apelación [por alzada] contra una resolución administrativa” (STC 169/1996, de 29 de octubre, FJ 2).</w:t>
      </w:r>
    </w:p>
    <w:p w:rsidR="00DE14C9" w:rsidRDefault="00DE14C9" w:rsidP="00DE14C9">
      <w:pPr>
        <w:pStyle w:val="TextoNormal"/>
      </w:pPr>
      <w:r>
        <w:t>Por tanto, dada la redacción de la norma legal aplicada, este Tribunal no puede afirmar que fuera errónea la indicación de recursos cuestionada por el demandante, pues sólo a la jurisdicción ordinaria corresponde efectuar dicho pronunciamiento.  Y, en tal medida, no puede compartirse la apreciación según la cual en el presente caso el órgano judicial había inducido al recurrente a un error que le ocasiona un perjuicio procesal, como lo sería la pérdida de un recurso manifiestamente procedente.  Más sencillamente, le ha indicado al litigante una de las posibles soluciones de una controversia jurídica que no rebasa el marco de la razonable aplicación de la Ley, que constitucionalmente le corresponde efectuar y que puede ser combatida ante el propio órgano judicial o, desoyendo la indicación, ante el Tribunal ad quem responsable de la resolución del recurso de apelación que se considera legalmente previsto, cuyas competencias no resultan cercenadas por la indicación de recursos (SSTC 222/2000, de 18 de septiembre, y 57/2001, de 26 de febrero). Lo que justifica la desestimación de la pretensión de amparo en ese aspecto.</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Si, con carácter general, nuestra doctrina ha reiterado en multiplicidad de ocasiones que el derecho reconocido en el art. 24.1 CE incluye entre sus contenidos el que sus titulares puedan obtener de los órganos judiciales una respuesta razonada, motivada y congruente con las pretensiones oportunamente deducidas en el proceso (por todas, STC 108/2001, de 23 de abril, FJ 2), más específicamente, con relación a la jurisdicción de vigilancia penitenciaria (STC 73/1983, de 30 de julio, hasta las más cercanas SSTC 69/1998, de 30 de marzo; 181/1999, de 11 de octubre, 236/2002, de 9 de diciembre, 9/2003, de 20 de enero, 128/2003 o 268/206, de 11 de septiembre, FJ 2), hemos destacado el relevante papel que ocupa en nuestro sistema penitenciario, pues a la jurisdicción corresponde, no sólo resolver por vía de recurso las reclamaciones que formulen los internos frente a sanciones disciplinarias [art. 76.2 e) de la Ley Orgánica general penitenciaria (LOGP) y art. 94 de la Ley Orgánica del Poder Judicial], sino, en general, salvaguardar los derechos de los internos y corregir los </w:t>
      </w:r>
      <w:r>
        <w:lastRenderedPageBreak/>
        <w:t>abusos y desviaciones que en el cumplimiento de los preceptos del régimen penitenciario puedan producirse (art. 76.1 LOGP). En la misma línea dijimos en la STC 153/1998, de 13 de julio, FJ 4, que, precisamente, por el fundamental papel de los Juzgados de Vigilancia Penitenciaria en la preservación y salvaguarda de los derechos fundamentales de los reclusos, y teniendo en cuenta la particular intensidad de las garantías exigibles en el ámbito de la potestad disciplinaria sobre los internos penitenciarios —por cuanto cualquier sanción en este ámbito supone de por sí una grave limitación a la ya restringida libertad inherente al cumplimiento de una pena—, la exigencia de una respuesta judicial a cuantas pretensiones se formulen en este ámbito fundadas en una eventual lesión de derechos fundamentales cobra particular intensidad.</w:t>
      </w:r>
    </w:p>
    <w:p w:rsidR="00DE14C9" w:rsidRDefault="00DE14C9" w:rsidP="00DE14C9">
      <w:pPr>
        <w:pStyle w:val="TextoNormal"/>
      </w:pPr>
      <w:r>
        <w:t>Nuestra indagación, por tanto, deberá encaminarse a comprobar si las resoluciones judiciales que se impugnan dieron una respuesta suficientemente fundada, desde las exigencias constitucionales del art. 24.1 CE, a las pretensiones oportunamente deducidas por el recurrente en amparo en sus recursos de alzada y reforma promovidos frente a la sanción disciplinaria.</w:t>
      </w:r>
    </w:p>
    <w:p w:rsidR="00DE14C9" w:rsidRDefault="00DE14C9" w:rsidP="00DE14C9">
      <w:pPr>
        <w:pStyle w:val="TextoNormal"/>
      </w:pPr>
      <w:r>
        <w:t>Consta en las actuaciones que, frente a la sanción impuesta por la Comisión Disciplinaria del centro penitenciario de Barcelona, por “desobedecer las órdenes recibidas o resistirse a su cumplimiento en manifiesta actitud de rebeldía o insubordinación”, el interno interpuso recurso de alzada ante la Juez de Vigilancia Penitenciaria. En el recurso, no sólo niega la realidad de los hechos imputados, sino que, a la vez expresa dos pretensiones relacionadas con el ejercicio de derechos fundamentales (art.  24.2 CE), pues denuncia no haber obtenido respuesta alguna del instructor del expediente disciplinario a su petición de asistencia letrada y haber visto injustificadamente denegada la práctica de un medio de prueba que propuso, referido a una solicitud o instancia presentada poco antes de los hechos sancionados en la que expresaba las razones por las que, según entendía, no debía ser trasladado de galería.</w:t>
      </w:r>
    </w:p>
    <w:p w:rsidR="00DE14C9" w:rsidRDefault="00DE14C9" w:rsidP="00DE14C9">
      <w:pPr>
        <w:pStyle w:val="TextoNormal"/>
      </w:pPr>
      <w:r>
        <w:t>El Auto de 1 de abril de 2003, del Juzgado de Vigilancia Penitenciaria, que resuelve el recurso de alzada, no se refiere a ninguna de las dos quejas y se limita a decir, en su fundamento jurídico único, que “de la detenida lectura del expediente se deduce que los hechos se desarrollaron en la forma que en el apartado anterior se relata, sin que la resultancia de los mismos haya sido desvirtuada por la alegación del recurrente, y hechos que constituyen la falta por la que se sanciona al interno ; y apareciendo que la sanción impuesta está dentro de los límites establecidos por los arts.  ... y es adecuada a la infracción cometida, procede confirmarla en su integridad”.</w:t>
      </w:r>
    </w:p>
    <w:p w:rsidR="00DE14C9" w:rsidRDefault="00DE14C9" w:rsidP="00DE14C9">
      <w:pPr>
        <w:pStyle w:val="TextoNormal"/>
      </w:pPr>
      <w:r>
        <w:t>Con posterioridad el demandante impugnó en reforma el Auto resolutorio del recurso de alzada, denunciando su falta de motivación. Al mismo tiempo reiteró las dos quejas ya expuestas, poniendo el acento en que la práctica de la prueba propuesta habría tenido incidencia en el relato fáctico de la sanción, y en que la falta de asesoramiento jurídico había limitado su posibilidad de defensa, razón ésta por la que, de nuevo, volvió a reiterar la solicitud de designación de Letrado, esta vez para que participara en el proceso judicial. La Juez de Vigilancia Penitenciaria dictó Auto el siguiente 2 de junio, confirmando el impugnado con un fundamento único, según el cual “[e]l impugnante ni amplia lo ya alegado ni prueba sus alegaciones; las que, por otro lado resultan contradictorias con los informes y declaraciones obrantes en el expediente, limitándose el recurrente a demostrar su desacuerdo con la resolución, sin expresar razón alguna que fundamente su derecho pretendidamente violado”.</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Como se ha expuesto la respuesta judicial dada en todo momento al recurrente reviste un carácter indudablemente estereotipado. A tal respecto este Tribunal, en varias ocasiones (SSTC 67/2000, de 13 de marzo, FJ 3; 8/2002, de 14 de enero, FJ 5; y 236/2002, de 9 de </w:t>
      </w:r>
      <w:r>
        <w:lastRenderedPageBreak/>
        <w:t>diciembre, FJ 5, entre otras), ha manifestado sus reservas sobre las respuestas judiciales estereotipadas, aunque de por sí tales fórmulas no impliquen una lesión constitucional del derecho a la tutela judicial efectiva, pues lo relevante es la existencia en la decisión de una motivación bastante para conocer los criterios jurídicos que fundamenten la parte dispositiva. De lo expuesto se deriva que las respuestas ofrecidas en las resoluciones impugnadas se refieren exclusivamente, y aun así de forma abstracta y genérica, a los hechos y a su calificación jurídica, sin que, ni de forma implícita ni explícita, se encuentre alusión motivada alguna a las irregularidades presuntamente cometidas en el procedimiento sancionador o a la supuesta falta de respuesta a las alegaciones planteadas en el recurso de alzada. Estas y no otras eran las auténticas causas de pedir del recurso de reforma, es decir, el fundamento de su pretensión de anulación del acuerdo sancionador, sobre las cuales, al resolver los recursos, los Autos del Juzgado guardaron completo silencio.</w:t>
      </w:r>
    </w:p>
    <w:p w:rsidR="00DE14C9" w:rsidRDefault="00DE14C9" w:rsidP="00DE14C9">
      <w:pPr>
        <w:pStyle w:val="TextoNormal"/>
      </w:pPr>
      <w:r>
        <w:t>La vulneración del derecho a la tutela judicial efectiva es tanto más relevante cuanto que dos de los motivos del recurso de alzada tenían por objeto la supuesta vulneración de derechos fundamentales del interno: en particular, del derecho de defensa, al que hemos vinculado la posibilidad de asesorarse durante la tramitación del expediente sancionador (así, STC 143/1995, de 3 de octubre, FJ 4) y del derecho a utilizar los medios de prueba pertinentes para la defensa (cuya aplicabilidad ex art. 24.2 CE a los procedimientos sancionatorios en el ámbito penitenciario hemos reiterado, entre otras, en las SSTC 27/2001, de 29 de enero, FJ 8; y 128/2003, de 30 de junio, FJ 4).</w:t>
      </w:r>
    </w:p>
    <w:p w:rsidR="00DE14C9" w:rsidRDefault="00DE14C9" w:rsidP="00DE14C9">
      <w:pPr>
        <w:pStyle w:val="TextoNormal"/>
      </w:pPr>
      <w:r>
        <w:t>Las circunstancias expuestas ponen, en fin, de manifiesto que las resoluciones del Juzgado de Vigilancia Penitenciaria núm. 4 de Barcelona no salvaguardaron los derechos del interno recurrente al no dar respuesta motivada sobre las posibles vulneraciones de derechos fundamentales que planteó, lesionando así el derecho que el art.  24.1 CE reconoce. Como en los casos similares de las SSTC 83/1998, de 20 de abril (FJ 3), 153/1998, de 13 de julio (FJ 5), 268/2006, de 11 de septiembre (FJ 5) y 124/2007, de 21 de mayo (FFJJ 5 y 6), la queja debe estimarse en el extremo analizado y nuestro examen detenerse en este punto, ya que el efecto del amparo que se otorga comporta la declaración de nulidad de las resoluciones judiciales impugnadas con retroacción de las actuaciones a fin de que el Juzgado de Vigilancia Penitenciaria resuelva el recurso de alzada formulado por el interno, dando respuesta fundadamente sobre las pretensiones relativas a las aducidas lesiones de sus derechos fundamentales y demás cuestiones planteadas en el mencionado recurso.</w:t>
      </w:r>
    </w:p>
    <w:p w:rsidR="00DE14C9" w:rsidRDefault="00DE14C9" w:rsidP="00DE14C9">
      <w:pPr>
        <w:pStyle w:val="TextoNormal"/>
      </w:pPr>
      <w:r>
        <w:t>Procede, por ello, otorgar el amparo solicitado con el alcance que se deja expuesto.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Estimar la demanda de amparo formulada por don Alejandro José Zapata Palacios y, en consecuencia:</w:t>
      </w:r>
    </w:p>
    <w:p w:rsidR="00DE14C9" w:rsidRDefault="00DE14C9" w:rsidP="00DE14C9">
      <w:pPr>
        <w:pStyle w:val="TextoNormal"/>
      </w:pPr>
      <w:r>
        <w:t>1º Declarar que se ha vulnerado el derecho a la tutela judicial efectiva (art. 24.1 CE), del demandante de amparo.</w:t>
      </w:r>
    </w:p>
    <w:p w:rsidR="00DE14C9" w:rsidRDefault="00DE14C9" w:rsidP="00DE14C9">
      <w:pPr>
        <w:pStyle w:val="TextoNormal"/>
      </w:pPr>
      <w:r>
        <w:t xml:space="preserve">2º Restablecerlo en la integridad de su derecho y, a tal fin, declarar la nulidad de los Autos del Juzgado de Vigilancia Penitenciaria núm. 4 de Barcelona de 1 de abril y 2 de </w:t>
      </w:r>
      <w:r>
        <w:lastRenderedPageBreak/>
        <w:t>junio de 2003, dictados en el expediente personal núm. 11.832, retrotrayendo las actuaciones judiciales al momento anterior al dictado del primero de dichos Autos, a fin de que se dicte nueva resolución respetuosa con el derecho fundamental reconocido.</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dos de julio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69" w:name="SENTENCIA_2007_156"/>
      <w:r>
        <w:lastRenderedPageBreak/>
        <w:t>SENTENCIA 156/2007, de 2 de julio de 2007</w:t>
      </w:r>
    </w:p>
    <w:bookmarkEnd w:id="69"/>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185, de 3 de agosto de 2007)</w:t>
      </w:r>
    </w:p>
    <w:p w:rsidR="00DE14C9" w:rsidRDefault="00DE14C9" w:rsidP="00DE14C9">
      <w:pPr>
        <w:pStyle w:val="TtuloBOE"/>
      </w:pPr>
    </w:p>
    <w:p w:rsidR="00DE14C9" w:rsidRDefault="00DE14C9" w:rsidP="00DE14C9">
      <w:pPr>
        <w:pStyle w:val="SntesisDescriptiva"/>
      </w:pPr>
      <w:r>
        <w:t>ECLI:ES:TC:2007:156</w:t>
      </w:r>
    </w:p>
    <w:p w:rsidR="00DE14C9" w:rsidRDefault="00DE14C9" w:rsidP="00DE14C9">
      <w:pPr>
        <w:pStyle w:val="SntesisDescriptiva"/>
      </w:pPr>
    </w:p>
    <w:p w:rsidR="00DE14C9" w:rsidRDefault="00DE14C9" w:rsidP="00DE14C9">
      <w:pPr>
        <w:pStyle w:val="SntesisDescriptiva"/>
      </w:pPr>
      <w:r>
        <w:t>Recurso de amparo 3128-2004. Promovido por don Manuel Constantino Cives Tomé respecto a las Sentencias de la Sala de lo Penal del Tribunal Supremo y de la Audiencia Provincial de A Coruña que le condenaron por delitos de homicidio, profanación de cadáver y otros.</w:t>
      </w:r>
    </w:p>
    <w:p w:rsidR="00DE14C9" w:rsidRDefault="00DE14C9" w:rsidP="00DE14C9">
      <w:pPr>
        <w:pStyle w:val="SntesisDescriptiva"/>
      </w:pPr>
    </w:p>
    <w:p w:rsidR="00DE14C9" w:rsidRDefault="00DE14C9" w:rsidP="00DE14C9">
      <w:pPr>
        <w:pStyle w:val="SntesisAnaltica"/>
      </w:pPr>
      <w:r>
        <w:t>Supuesta vulneración del derecho al juez legal y vulneración del derecho al juez imparcial: causa penal que por razones de conexión no es competencia del tribunal del jurado; sala de enjuiciamiento formada por un magistrado que había confirmado el procesamiento del reo, mediante auto que prejuzgaba su culpabilidad.</w:t>
      </w:r>
    </w:p>
    <w:p w:rsidR="00DE14C9" w:rsidRDefault="00DE14C9" w:rsidP="00DE14C9">
      <w:pPr>
        <w:pStyle w:val="SntesisAnaltica"/>
      </w:pPr>
    </w:p>
    <w:p w:rsidR="00DE14C9" w:rsidRDefault="00DE14C9" w:rsidP="00DE14C9">
      <w:pPr>
        <w:pStyle w:val="Extracto"/>
      </w:pPr>
      <w:r>
        <w:t>1.</w:t>
      </w:r>
      <w:r>
        <w:tab/>
        <w:t>Pese a que la resolución impugnada muestra una apariencia formal de imparcialidad en tanto refleja varias remisiones al futuro juicio oral, materialmente contraría dicho principio, por cuanto las afirmaciones vertidas en ella denotan un verdadero prejuicio acerca de elementos tan esenciales como la participación de los procesados en los hechos cuya comisión se les atribuye [FJ 7].</w:t>
      </w:r>
    </w:p>
    <w:p w:rsidR="00DE14C9" w:rsidRDefault="00DE14C9" w:rsidP="00DE14C9">
      <w:pPr>
        <w:pStyle w:val="Extracto"/>
      </w:pPr>
    </w:p>
    <w:p w:rsidR="00DE14C9" w:rsidRDefault="00DE14C9" w:rsidP="00DE14C9">
      <w:pPr>
        <w:pStyle w:val="Extracto"/>
      </w:pPr>
      <w:r>
        <w:t>2.</w:t>
      </w:r>
      <w:r>
        <w:tab/>
        <w:t>El Magistrado ponente de la Sentencia condenatoria ya se había pronunciado anticipadamente, también como ponente en el Auto que ratificó el procesamiento, acerca de la intervención de los procesados en los hechos y la forma en que se concibió y desarrolló dicha participación, exteriorizando así los presupuestos de su responsabilidad penal [FJ 7].</w:t>
      </w:r>
    </w:p>
    <w:p w:rsidR="00DE14C9" w:rsidRDefault="00DE14C9" w:rsidP="00DE14C9">
      <w:pPr>
        <w:pStyle w:val="Extracto"/>
      </w:pPr>
    </w:p>
    <w:p w:rsidR="00DE14C9" w:rsidRDefault="00DE14C9" w:rsidP="00DE14C9">
      <w:pPr>
        <w:pStyle w:val="Extracto"/>
      </w:pPr>
      <w:r>
        <w:t>3.</w:t>
      </w:r>
      <w:r>
        <w:tab/>
        <w:t>Reitera la doctrina constitucional sobre el juez predeterminado por la ley (SSTC 102/2000, 37/2003) [FJ 3].</w:t>
      </w:r>
    </w:p>
    <w:p w:rsidR="00DE14C9" w:rsidRDefault="00DE14C9" w:rsidP="00DE14C9">
      <w:pPr>
        <w:pStyle w:val="Extracto"/>
      </w:pPr>
    </w:p>
    <w:p w:rsidR="00DE14C9" w:rsidRDefault="00DE14C9" w:rsidP="00DE14C9">
      <w:pPr>
        <w:pStyle w:val="Extracto"/>
      </w:pPr>
      <w:r>
        <w:t>4.</w:t>
      </w:r>
      <w:r>
        <w:tab/>
        <w:t>La cuestión relativa a la atribución de la competencia para el enjuiciamiento a la Audiencia Provincial frente al Tribunal del Jurado se resolvió motivadamente y de forma no arbitraria ni irrazonable, de suerte que no se aprecia vulneración alguna de derechos fundamentales [FJ 3].</w:t>
      </w:r>
    </w:p>
    <w:p w:rsidR="00DE14C9" w:rsidRDefault="00DE14C9" w:rsidP="00DE14C9">
      <w:pPr>
        <w:pStyle w:val="Extracto"/>
      </w:pPr>
    </w:p>
    <w:p w:rsidR="00DE14C9" w:rsidRDefault="00DE14C9" w:rsidP="00DE14C9">
      <w:pPr>
        <w:pStyle w:val="Extracto"/>
      </w:pPr>
      <w:r>
        <w:t>5.</w:t>
      </w:r>
      <w:r>
        <w:tab/>
        <w:t>No se ha producido una indefensión material del recurrente, ya que el demandante ya había expuesto sus argumentos de defensa sobre la materia objeto del Auto que resolvió el recurso en su comparecencia ante el Juzgado de Instrucción, pues pudo alegar lo que estimó procedente, como efectivamente lo hizo, en la tramitación ulterior [FJ 4].</w:t>
      </w:r>
    </w:p>
    <w:p w:rsidR="00DE14C9" w:rsidRDefault="00DE14C9" w:rsidP="00DE14C9">
      <w:pPr>
        <w:pStyle w:val="Extracto"/>
      </w:pPr>
    </w:p>
    <w:p w:rsidR="00DE14C9" w:rsidRDefault="00DE14C9" w:rsidP="00DE14C9">
      <w:pPr>
        <w:pStyle w:val="Extracto"/>
      </w:pPr>
      <w:r>
        <w:t>6.</w:t>
      </w:r>
      <w:r>
        <w:tab/>
        <w:t>Se da cumplimiento a las exigencias del principio de subsidiariedad cuando la posible vulneración del derecho al juez imparcial ha sido objeto de enjuiciamiento, de oficio o a instancia de otras partes, existiendo, por tanto, un previo pronunciamiento judicial al respecto (STC 310/2000; STEDH caso Castillo Algar c. España de 1998) [FJ 5].</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3128-2004, promovido por don Manuel Constantino Cives Tomé, representado por la Procuradora de los Tribunales doña Beatriz González Rivero y asistido por el Letrado don Álvaro García Guerrero, contra la Sentencia de la Sala de lo Penal del Tribunal Supremo de 20 de enero de 2004, recaída en recurso de casación núm. 346-2002, que declara no haber lugar al recurso de casación formulado contra la Sentencia de la Sección Quinta de la Audiencia Provincial de A Coruña de 15 de diciembre de 2001 dictada en rollo 3-2000, que condenó al demandante de amparo como autor de los delitos de homicidio, robo con violencia e intimidación, conspiración para la comisión de un delito de tráfico de drogas que causan grave daño a la salud, profanación de cadáver y daños. Ha intervenido el Ministerio Fiscal. Ha sido Ponente el Magistrado don Javier Delgado Barrio,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Por escrito registrado en este Tribunal el 17 de mayo de 2004 doña Beatriz González Rivero, Procuradora de los Tribunales, en nombre y representación de don Manuel Constantino Cives Tomé, interpuso recurso de amparo contra la Sentencia de la Sala de lo Penal del Tribunal Supremo citada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más relevantes de los que trae causa la demanda de amparo son, concisamente expuestos, los siguientes: </w:t>
      </w:r>
    </w:p>
    <w:p w:rsidR="00DE14C9" w:rsidRDefault="00DE14C9" w:rsidP="00DE14C9">
      <w:pPr>
        <w:pStyle w:val="TextoNormal"/>
      </w:pPr>
      <w:r>
        <w:t xml:space="preserve">a) En el Juzgado de Instrucción núm. 2 de Corcubión se instruyó el sumario núm. 3-1999 contra el recurrente en amparo y los coimputados don Pedro Leis Castiñeira y don Jesús Romero Sendón por los delitos de homicidio, robo con violencia e intimidación, contra la salud pública, daños y profanación de cadáveres. </w:t>
      </w:r>
    </w:p>
    <w:p w:rsidR="00DE14C9" w:rsidRDefault="00DE14C9" w:rsidP="00DE14C9">
      <w:pPr>
        <w:pStyle w:val="TextoNormal"/>
      </w:pPr>
      <w:r>
        <w:t xml:space="preserve">b) Celebrado el juicio oral ante la Sección Quinta de la Audiencia Provincial de A Coruña, se dictó Sentencia el día 15 de diciembre de 2001, en la que se declaran como hechos probados que los acusados viajaron a Vitoria, donde tuvieron contacto con don Juan Freire Lema que les ofreció una cantidad de cocaína para que la pusieran a la venta. Tal oferta hizo concebir inicialmente a los acusados don Pedro Leis Castiñeira y don Jesús Romero Sendón la idea de apoderarse de la droga sin pagar su importe a aquél, así como de acabar con su </w:t>
      </w:r>
      <w:r>
        <w:lastRenderedPageBreak/>
        <w:t xml:space="preserve">vida, plan del que dieron cuenta al demandante de amparo, quien, conocedor, por consiguiente, de tales circunstancias, se prestó a ayudarlos trasladándolos en su automóvil desde Vitoria a su lugar de origen, la localidad de Cee (A Coruña), para acudir a la cita en el lugar y a la hora convenidos. Una vez allí, don Pedro Leis Castiñeira salió el primero al encuentro de don Juan Freire Lema y, tras una pequeña discusión sobre la poca cantidad de cocaína que éste les traía, le atacaron conjuntamente los tres acusados a golpes y patadas, después de haberle desarmado de un cuchillo de cocina que quiso blandir en vano, propinándole numerosos golpes don Jesús Romero Sendón y don Pedro Leis Castiñeira hasta que en un momento determinado este último, por lo menos mientras el primero lo sujetaba, le dio a don Juan Freire Lema dos puñaladas en el pecho con el arma blanca que llevaba, la primera de ella mortal de necesidad, que le provocó la muerte en un corto espacio de tiempo. Por todo ello, los tres acusados se apropiaron de la pequeña cantidad de cocaína que la víctima portaba (3 gramos) dada su desconfianza hacia aquéllos (puesto que guardaba en una caja fuerte de su casa 218 gramos), y que éstos utilizaron para su propio consumo. </w:t>
      </w:r>
    </w:p>
    <w:p w:rsidR="00DE14C9" w:rsidRDefault="00DE14C9" w:rsidP="00DE14C9">
      <w:pPr>
        <w:pStyle w:val="TextoNormal"/>
      </w:pPr>
      <w:r>
        <w:t xml:space="preserve">Una vez realizados estos hechos se marcharon del lugar y posteriormente, ante la sospecha que podría levantar su estancia en Cee a aquellas horas (puesto que habían sido vistos en un bar), don Pedro Ceis Castiñeira propuso regresar allí para eliminar cualquier huella de los hechos quemando a la víctima en el interior de su automóvil, aceptando los otros dos acusados su propuesta, por lo que se dirigieron nuevamente al lugar en el coche de y conducido por don Manuel Constantino Cives Tomé, y tras bajarse, arrastraron todos el cadáver, lo introdujeron en el asiento trasero del vehículo de la víctima y, tras cerrarlo con llave, le prendieron fuego cada uno en zonas distintas utilizando varios mecheros, provocando así la total destrucción del coche y que el cadáver quedara totalmente carbonizado. Después, nuevamente don Manuel Constantino Cives Tomé trasladó en su automóvil a los otros dos acusados a la estación de autobuses de Santiago de Compostela, desde donde se desplazaron hasta Vitoria en otro vehículo, quedándose aquél en su pueblo. </w:t>
      </w:r>
    </w:p>
    <w:p w:rsidR="00DE14C9" w:rsidRDefault="00DE14C9" w:rsidP="00DE14C9">
      <w:pPr>
        <w:pStyle w:val="TextoNormal"/>
      </w:pPr>
      <w:r>
        <w:t xml:space="preserve">c) Por los citados hechos el recurrente fue condenado como autor responsable de un delito de homicidio con la agravante de superioridad, otro de robo con violencia e intimidación, otro de conspiración para la comisión de un delito de tráfico de drogas que causan grave daño a la salud, otro de profanación de cadáver y otro de daños, a la pena de prisión de doce años y seis meses, con la accesoria de inhabilitación absoluta durante el tiempo de la condena por el delito de homicidio; prisión de tres años y seis meses con la accesoria de inhabilitación especial para el derecho de sufragio pasivo durante el tiempo de la condena por el delito de robo con violencia e intimidación en las personas; prisión de un año con igual inhabilitación especial por el delito de conspiración para la comisión de un delito de tráfico de drogas que causan grave daño a la salud; arresto de doce fines de semana y multa de tres meses, a razón de doscientas pesetas diarias, por el delito de profanación de cadáver; y multa de seis meses, a razón de doscientas pesetas diarias, por el delito de daños. Asimismo, fue condenado junto con los otros dos acusados, al pago, por partes iguales, de las costas procesales y, conjunta y solidariamente, al pago de una serie de indemnizaciones. </w:t>
      </w:r>
    </w:p>
    <w:p w:rsidR="00DE14C9" w:rsidRDefault="00DE14C9" w:rsidP="00DE14C9">
      <w:pPr>
        <w:pStyle w:val="TextoNormal"/>
      </w:pPr>
      <w:r>
        <w:t xml:space="preserve">d) El solicitante de amparo interpuso recurso de casación contra la mencionada resolución, en el que alegó, al amparo del art. 849.1 LECrim, la infracción del derecho al Juez ordinario predeterminado por la ley, a un proceso con todas las garantías, a un Juez imparcial, a la asistencia letrada, a la presunción de inocencia (art. 24.2 CE), así como la indebida aplicación del art. 526 CP. </w:t>
      </w:r>
    </w:p>
    <w:p w:rsidR="00DE14C9" w:rsidRDefault="00DE14C9" w:rsidP="00DE14C9">
      <w:pPr>
        <w:pStyle w:val="TextoNormal"/>
      </w:pPr>
      <w:r>
        <w:t xml:space="preserve">La Sala de lo Penal del Tribunal Supremo estima que no existe vulneración del derecho al Juez ordinario predeterminado por la ley (art. 24.2 CE), pues se siguieron los trámites del </w:t>
      </w:r>
      <w:r>
        <w:lastRenderedPageBreak/>
        <w:t>procedimiento ordinario por la complejidad del asunto así como para no romper la continencia de la causa, criterios que tuvo en cuenta el legislador al regular el procedimiento ante el Tribunal del Jurado. En relación con el derecho al Juez imparcial (art. 24.2 CE), la Sentencia de casación indica que de la lectura de las resoluciones en las que participó durante la instrucción el Magistrado que luego fue Ponente de la Sentencia condenatoria no se deduce en modo alguno que hubiera prejuzgado el asunto. Y en lo tocante a la supuesta vulneración del derecho a un proceso con todas las garantías (art. 24.2 CE) por haberse tramitado un recurso de queja sin audiencia de la parte, señala que no ha existido tal vulneración dado el tema de fondo que se decidió en el mismo, esto es, cuál era el procedimiento adecuado para enjuiciar los hechos. Finalmente, sobre el derecho a la asistencia letrada (art. 17.3 CE) estima la Sala de lo Penal del Tribunal Supremo que no existieron contradicciones en las declaraciones prestadas por los tres coimputados ante la policía y el Juzgado de Instrucción, de modo que la defensa común no vulneró el mencionado derecho, y por lo mismo, tampoco el derecho a la presunción de inocencia, al resultar aquellas declaraciones válidas como prueba de cargo para fundamentar la condena.</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La demanda de amparo invoca la vulneración de los siguientes derechos fundamentales: 1) al Juez ordinario predeterminado por la ley (art. 24.2 CE), por no haberse seguido el enjuiciamiento ante el Tribunal del Jurado al que correspondían todos los delitos enjuiciados, salvo el relativo a la salud pública, que podría haberse juzgado en otro procedimiento distinto, sin ruptura de la continencia de la causa; 2) a un proceso con todas las garantías (art. 24.2 CE), por haberse tramitado el recurso de queja que interpuso el Ministerio Fiscal contra el Auto de 26 de agosto de 1999 sin intervención del demandante, pese a que se debatía si era o no procedente el procedimiento del Jurado, lo que le habría producido indefensión; 3) a un proceso con todas las garantías, en su vertiente de derecho a un Juez imparcial (art. 24.2 CE), por haber actuado como miembro de la Sala sentenciadora y Ponente de la Sentencia un Magistrado que fue también Ponente en el recurso de apelación interpuesto contra el Auto de procesamiento dictado por el Juzgado de Instrucción, lo que le habría hecho perder su imparcialidad objetiva; 4) a la asistencia letrada (art. 17.3 CE), por haber estado asistidos el recurrente y los otros dos coimputados en sus primeras declaraciones ante la policía y ante el Juzgado de Instrucción por un único Letrado, pese a tener intereses contrapuestos; 5) a la presunción de inocencia (art. 24.2 CE), por no existir prueba de cargo suficiente en que basar la Sentencia condenatoria, ya que se habrían tenido en cuenta las primeras declaraciones prestadas ante el Juzgado con vulneración del derecho a la asistencia letrada anteriormente mencionado y, por tanto, no podrían sustentar la condena. </w:t>
      </w:r>
    </w:p>
    <w:p w:rsidR="00DE14C9" w:rsidRDefault="00DE14C9" w:rsidP="00DE14C9">
      <w:pPr>
        <w:pStyle w:val="TextoNormal"/>
      </w:pPr>
      <w:r>
        <w:t xml:space="preserve">En virtud de ello, se solicita la declaración de nulidad de la Sentencia de la Sala de lo Penal del Tribunal Supremo de 20 de enero de 2004. </w:t>
      </w:r>
    </w:p>
    <w:p w:rsidR="00DE14C9" w:rsidRDefault="00DE14C9" w:rsidP="00DE14C9">
      <w:pPr>
        <w:pStyle w:val="TextoNormal"/>
      </w:pPr>
      <w:r>
        <w:t>Asimismo, mediante otrosí, se interesó la suspensión de la ejecución de la Sentencia recurrida, al amparo del art. 56 LOTC.</w:t>
      </w:r>
    </w:p>
    <w:p w:rsidR="00DE14C9" w:rsidRDefault="00DE14C9" w:rsidP="00DE14C9">
      <w:pPr>
        <w:pStyle w:val="TextoNormal"/>
      </w:pPr>
    </w:p>
    <w:p w:rsidR="00DE14C9" w:rsidRDefault="00DE14C9" w:rsidP="00DE14C9">
      <w:pPr>
        <w:pStyle w:val="TextoNormal"/>
      </w:pPr>
      <w:r w:rsidRPr="00DE14C9">
        <w:rPr>
          <w:rStyle w:val="NumeroAFNegritaCaracter"/>
        </w:rPr>
        <w:t>4</w:t>
      </w:r>
      <w:r>
        <w:t>. Por providencia de 1 de octubre de 2004 la Sección Primera del Tribunal Constitucional acordó, conforme al art. 50.3 LOTC, conferir un plazo común de diez días al solicitante de amparo y al Ministerio Fiscal, para formular las alegaciones que estimaran pertinentes en relación con la carencia manifiesta de contenido constitucional de la demanda —art. 50.1 c) LOTC.</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5</w:t>
      </w:r>
      <w:r>
        <w:t>. El día 22 de octubre de 2004 tuvo entrada en este Tribunal el escrito de alegaciones del Ministerio Fiscal, interesando la admisión a trámite de la demanda por entender que la queja relativa a la vulneración del derecho a un proceso con todas las garantías por la falta de imparcialidad de uno de los miembros del Tribunal que dictó la Sentencia condenatoria requiere llevar cabo un análisis pormenorizado de las actuaciones en las que se fundamenta la falta de imparcialidad, “lo que por sí mismo justifica la admisión de la demanda”, con independencia de su estimación o desestimación una vez conocidas las mencionadas actuaciones.</w:t>
      </w:r>
    </w:p>
    <w:p w:rsidR="00DE14C9" w:rsidRDefault="00DE14C9" w:rsidP="00DE14C9">
      <w:pPr>
        <w:pStyle w:val="TextoNormal"/>
      </w:pPr>
    </w:p>
    <w:p w:rsidR="00DE14C9" w:rsidRDefault="00DE14C9" w:rsidP="00DE14C9">
      <w:pPr>
        <w:pStyle w:val="TextoNormal"/>
      </w:pPr>
      <w:r w:rsidRPr="00DE14C9">
        <w:rPr>
          <w:rStyle w:val="NumeroAFNegritaCaracter"/>
        </w:rPr>
        <w:t>6</w:t>
      </w:r>
      <w:r>
        <w:t>. En el escrito de alegaciones del recurrente, registrado el 25 de octubre de 2004, se solicita la admisión a trámite de la demanda por no carecer ninguno de los motivos de contenido constitucional.</w:t>
      </w:r>
    </w:p>
    <w:p w:rsidR="00DE14C9" w:rsidRDefault="00DE14C9" w:rsidP="00DE14C9">
      <w:pPr>
        <w:pStyle w:val="TextoNormal"/>
      </w:pPr>
    </w:p>
    <w:p w:rsidR="00DE14C9" w:rsidRDefault="00DE14C9" w:rsidP="00DE14C9">
      <w:pPr>
        <w:pStyle w:val="TextoNormal"/>
      </w:pPr>
      <w:r w:rsidRPr="00DE14C9">
        <w:rPr>
          <w:rStyle w:val="NumeroAFNegritaCaracter"/>
        </w:rPr>
        <w:t>7</w:t>
      </w:r>
      <w:r>
        <w:t xml:space="preserve">. Por providencia de 11 de noviembre de 2004, la Sección Primera del Tribunal Constitucional acordó admitir a trámite la demanda de amparo, así como, en aplicación de lo dispuesto en el art. 51 LOTC, requerir a los órganos judiciales para que remitieran testimonio de las actuaciones, interesando igualmente el emplazamiento de quienes hubieran sido parte en el procedimiento, con la excepción del recurrente en amparo, para que pudieran comparecer en este proceso constitucional. </w:t>
      </w:r>
    </w:p>
    <w:p w:rsidR="00DE14C9" w:rsidRDefault="00DE14C9" w:rsidP="00DE14C9">
      <w:pPr>
        <w:pStyle w:val="TextoNormal"/>
      </w:pPr>
      <w:r>
        <w:t>Asimismo, mediante providencia de igual fecha, de conformidad con lo instado por el recurrente se acordó formar la correspondiente pieza separada de suspensión y, tras atender las alegaciones pertinentes, se denegó la suspensión solicitada por ATC 529/2004, de 20 de diciembre.</w:t>
      </w:r>
    </w:p>
    <w:p w:rsidR="00DE14C9" w:rsidRDefault="00DE14C9" w:rsidP="00DE14C9">
      <w:pPr>
        <w:pStyle w:val="TextoNormal"/>
      </w:pPr>
    </w:p>
    <w:p w:rsidR="00DE14C9" w:rsidRDefault="00DE14C9" w:rsidP="00DE14C9">
      <w:pPr>
        <w:pStyle w:val="TextoNormal"/>
      </w:pPr>
      <w:r w:rsidRPr="00DE14C9">
        <w:rPr>
          <w:rStyle w:val="NumeroAFNegritaCaracter"/>
        </w:rPr>
        <w:t>8</w:t>
      </w:r>
      <w:r>
        <w:t>. Recibidas las actuaciones, y según lo previsto en el art. 52 LOTC, por diligencia de ordenación de 12 de enero de 2005 se acordó dar vista de las mismas por un plazo común de veinte días al Ministerio Fiscal y a las partes personadas, para que dentro de dicho período presentaran las alegaciones procedentes.</w:t>
      </w:r>
    </w:p>
    <w:p w:rsidR="00DE14C9" w:rsidRDefault="00DE14C9" w:rsidP="00DE14C9">
      <w:pPr>
        <w:pStyle w:val="TextoNormal"/>
      </w:pPr>
    </w:p>
    <w:p w:rsidR="00DE14C9" w:rsidRDefault="00DE14C9" w:rsidP="00DE14C9">
      <w:pPr>
        <w:pStyle w:val="TextoNormal"/>
      </w:pPr>
      <w:r w:rsidRPr="00DE14C9">
        <w:rPr>
          <w:rStyle w:val="NumeroAFNegritaCaracter"/>
        </w:rPr>
        <w:t>9</w:t>
      </w:r>
      <w:r>
        <w:t xml:space="preserve">. El Ministerio Fiscal presentó sus alegaciones el día 8 de febrero de 2005, interesando la denegación del amparo solicitado. </w:t>
      </w:r>
    </w:p>
    <w:p w:rsidR="00DE14C9" w:rsidRDefault="00DE14C9" w:rsidP="00DE14C9">
      <w:pPr>
        <w:pStyle w:val="TextoNormal"/>
      </w:pPr>
      <w:r>
        <w:t xml:space="preserve">Inicialmente, observa el Ministerio Fiscal que debe encuadrarse adecuadamente la queja relativa a la supuesta vulneración del derecho a un proceso con todas las garantías por la tramitación del recurso de queja sin audiencia de la parte, puesto que, pese a que el de ser oído sea uno de los elementos esenciales que integran la noción de proceso equitativo del art. 24.2 CE, el demandante en realidad denuncia la indefensión sufrida por la inobservancia del principio de contradicción proclamado en nuestra Constitución en el art. 24.1 CE. Desde esta perspectiva, y teniendo en cuenta que aquél ha podido alegar y probar cuanto tuvo por oportuno, la vulneración aducida carece de contenido constitucional. </w:t>
      </w:r>
    </w:p>
    <w:p w:rsidR="00DE14C9" w:rsidRDefault="00DE14C9" w:rsidP="00DE14C9">
      <w:pPr>
        <w:pStyle w:val="TextoNormal"/>
      </w:pPr>
      <w:r>
        <w:t xml:space="preserve">En relación con la infracción del derecho al Juez ordinario predeterminado por la ley (art. 24.2 CE), señala el Ministerio Fiscal, tras recordar el contenido del mismo, que la problemática acerca de si el conocimiento del asunto se atribuye a la Audiencia Provincial o al Tribunal del Jurado es una cuestión perteneciente a la legalidad ordinaria y ajena, por tanto, a la decisión de este Tribunal, máxime cuando la interpretación de la norma de atribución de la competencia no puede en absoluto calificarse como una sustracción indebida del proceso al ámbito propio del conocimiento del Tribunal del Jurado. </w:t>
      </w:r>
    </w:p>
    <w:p w:rsidR="00DE14C9" w:rsidRDefault="00DE14C9" w:rsidP="00DE14C9">
      <w:pPr>
        <w:pStyle w:val="TextoNormal"/>
      </w:pPr>
      <w:r>
        <w:lastRenderedPageBreak/>
        <w:t xml:space="preserve">Respecto a la denuncia sobre la infracción del derecho a un Juez imparcial (art. 24.2 CE), indica en primer término el Ministerio Fiscal que al referirse de forma expresa la Sentencia de casación al resolver dicho motivo únicamente a la persona del otro recurrente, cabría entender que la Sentencia incurrió en incongruencia omisiva respecto del aquí demandante, sin que éste, ante ello, impugnara tal evento ante la jurisdicción ordinaria, por lo que podría entenderse que no se ha agotado la vía judicial y, en consecuencia, la demanda sería inadmisible en cuanto a este extremo. Sin embargo, puede también considerarse que la pretensión fue resuelta de forma tácita, aunque la falta de agotamiento vendría dada porque el recurrente, pese a conocer desde el comienzo de la tramitación de la fase intermedia cuál era la composición del Tribunal que lo iba a juzgar, en ningún momento intentó su recusación. No obstante, aun analizando el fondo del asunto, el motivo carece de contenido constitucional, ya que, atendiendo al caso concreto como se señala en la STC 39/2004, de 22 de marzo, en la intervención previa el Magistrado que fue ponente en el Auto que desestimó el recurso de apelación interpuesto contra el procesamiento, se limitó a constatar en dicho Auto la existencia de indicios de criminalidad, dejando expresamente para el juicio oral la valoración de los elementos probatorios de los que tales indicios se deducen, de modo que, aunque dicho Magistrado estuvo en contacto con el material probatorio, y “aunque los razonamientos contenidos en el Auto no sean tan escuetos como se propugna” en la Sentencia del Tribunal Supremo, ha de concluirse que aquél no realizó ninguna valoración del mismo que hubiera podido contaminarle. </w:t>
      </w:r>
    </w:p>
    <w:p w:rsidR="00DE14C9" w:rsidRDefault="00DE14C9" w:rsidP="00DE14C9">
      <w:pPr>
        <w:pStyle w:val="TextoNormal"/>
      </w:pPr>
      <w:r>
        <w:t xml:space="preserve">En lo tocante a la pretensión de amparo del derecho a la asistencia letrada (art. 17.3 CE), carece de la mínima consistencia requerida para el análisis de su contenido, ya que el recurrente ha incumplido la carga de articular los fundamentos de las pretensiones que formula en la demanda (art. 49.1 LOTC), de modo que no procede entrar a examinarla. </w:t>
      </w:r>
    </w:p>
    <w:p w:rsidR="00DE14C9" w:rsidRDefault="00DE14C9" w:rsidP="00DE14C9">
      <w:pPr>
        <w:pStyle w:val="TextoNormal"/>
      </w:pPr>
      <w:r>
        <w:t xml:space="preserve">Finalmente, en referencia a la supuesta infracción del derecho a la presunción de inocencia (art. 24.2 CE), estima el Ministerio Fiscal que el recurrente, más que denunciar la inexistencia de actividad probatoria, propone que se realice una nueva valoración de la prueba practicada, lo que no es función del Tribunal Constitucional. </w:t>
      </w:r>
    </w:p>
    <w:p w:rsidR="00DE14C9" w:rsidRDefault="00DE14C9" w:rsidP="00DE14C9">
      <w:pPr>
        <w:pStyle w:val="TextoNormal"/>
      </w:pPr>
      <w:r>
        <w:t>Por todo lo expuesto, y de conformidad con los arts. 86.1, 52.3 y 53 LOTC, el Fiscal interesa que se dicte Sentencia en la que se deniegue el amparo solicitado.</w:t>
      </w:r>
    </w:p>
    <w:p w:rsidR="00DE14C9" w:rsidRDefault="00DE14C9" w:rsidP="00DE14C9">
      <w:pPr>
        <w:pStyle w:val="TextoNormal"/>
      </w:pPr>
    </w:p>
    <w:p w:rsidR="00DE14C9" w:rsidRDefault="00DE14C9" w:rsidP="00DE14C9">
      <w:pPr>
        <w:pStyle w:val="TextoNormal"/>
      </w:pPr>
      <w:r w:rsidRPr="00DE14C9">
        <w:rPr>
          <w:rStyle w:val="NumeroAFNegritaCaracter"/>
        </w:rPr>
        <w:t>10</w:t>
      </w:r>
      <w:r>
        <w:t>. El día 8 de febrero de 2005 se registró la entrada del escrito de alegaciones del recurrente, en el que reproduce esencialmente lo expuesto en la demanda.</w:t>
      </w:r>
    </w:p>
    <w:p w:rsidR="00DE14C9" w:rsidRDefault="00DE14C9" w:rsidP="00DE14C9">
      <w:pPr>
        <w:pStyle w:val="TextoNormal"/>
      </w:pPr>
    </w:p>
    <w:p w:rsidR="00DE14C9" w:rsidRDefault="00DE14C9" w:rsidP="00DE14C9">
      <w:pPr>
        <w:pStyle w:val="TextoNormal"/>
      </w:pPr>
      <w:r w:rsidRPr="00DE14C9">
        <w:rPr>
          <w:rStyle w:val="NumeroAFNegritaCaracter"/>
        </w:rPr>
        <w:t>11</w:t>
      </w:r>
      <w:r>
        <w:t>. Por providencia de 29 de junio de 2007, se señaló para la deliberación y votación de la presente Sentencia el día 2 de julio del mismo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Se recurre en esta vía de amparo la Sentencia de la Sala de lo Penal del Tribunal Supremo de 20 de enero de 2004 que declara no haber lugar al recurso de casación formulado contra la Sentencia de la Sección Quinta de la Audiencia Provincial de A Coruña de 15 de diciembre de 2001 que, como antecedente lógico y cronológico, resulta también impugnada (SSTC 40/2002, de 14 de febrero, FJ 2; 115/2003, de 16 de junio, FJ 1, y 326/2005, de 12 de diciembre, FJ 2).</w:t>
      </w:r>
    </w:p>
    <w:p w:rsidR="00DE14C9" w:rsidRDefault="00DE14C9" w:rsidP="00DE14C9">
      <w:pPr>
        <w:pStyle w:val="TextoNormal"/>
      </w:pPr>
      <w:r>
        <w:t xml:space="preserve">El demandante de amparo denuncia la vulneración de los siguientes derechos fundamentales: al Juez ordinario predeterminado por la ley (art. 24.2 CE), al no haberse enjuiciado </w:t>
      </w:r>
      <w:r>
        <w:lastRenderedPageBreak/>
        <w:t>los hechos por el Tribunal del Jurado; a un proceso con todas las garantías (art. 24.2 CE) por la indefensión sufrida al tramitarse un recurso de queja sin su audiencia; a un proceso con todas las garantías desde la perspectiva del derecho a un Juez imparcial (art. 24.2 CE), ya que actuó como componente de la Sala sentenciadora y Ponente de la Sentencia un Magistrado que resolvió el recurso de apelación contra el Auto de procesamiento; a la asistencia letrada (art. 17.3 CE), por haber contado los tres imputados en sus primeras declaraciones ante la policía y ante el Juzgado de Instrucción con la asistencia de un único Letrado pese a tener intereses contrapuestos; y, finalmente, a la presunción de inocencia (art. 24.2 CE), en tanto que no existiría prueba de cargo suficiente para fundamentar la Sentencia condenatoria.</w:t>
      </w:r>
    </w:p>
    <w:p w:rsidR="00DE14C9" w:rsidRDefault="00DE14C9" w:rsidP="00DE14C9">
      <w:pPr>
        <w:pStyle w:val="TextoNormal"/>
      </w:pPr>
      <w:r>
        <w:t>El Ministerio Fiscal interesa la desestimación del amparo solicitado, indicando, en primer término, que la queja atinente a la vulneración del derecho a un proceso con todas las garantías (art. 24.2 CE) por la tramitación del recuso de queja sin audiencia de la parte, que ha de encuadrarse en la prohibición de indefensión (art. 24.1 CE), carece de contenido constitucional, ya que el recurrente pudo alegar y probar todo cuanto consideró conveniente. En relación con la vulneración del derecho al Juez ordinario predeterminado por la ley (art. 24.2 CE), señala el Ministerio Fiscal que la atribución del conocimiento de un asunto a la Audiencia Provincial o al Tribunal del Jurado es una materia de legalidad ordinaria y extraña, por tanto, a la jurisdicción constitucional. Respecto a la queja sobre la violación del derecho a un Juez imparcial (art. 24.2 CE) estima que, aun analizando el fondo del asunto porque pudieran entenderse superados los obstáculos procesales, carece asimismo de contenido constitucional ya que el Magistrado ponente del Auto que desestimó el recurso de apelación interpuesto contra el Auto de procesamiento, ponente también en la Sentencia condenatoria de la instancia, se limitó a tomar en consideración indicios, dejando a salvo la valoración de las pruebas para el juicio oral. Asimismo, subraya que carece de consistencia la pretensión relativa a la vulneración del derecho a la asistencia letrada (art. 17.3 CE) por cuanto el demandante no la fundamenta en modo alguno y, por último, considera el Ministerio Fiscal que el derecho a la presunción de inocencia (art. 24.2 CE) no ha resultado infringido, pretendiendo aquí el recurrente que se realice una nueva valoración probatoria, lo que no es tarea de este Tribunal.</w:t>
      </w:r>
    </w:p>
    <w:p w:rsidR="00DE14C9" w:rsidRDefault="00DE14C9" w:rsidP="00DE14C9">
      <w:pPr>
        <w:pStyle w:val="TextoNormal"/>
      </w:pPr>
    </w:p>
    <w:p w:rsidR="00DE14C9" w:rsidRDefault="00DE14C9" w:rsidP="00DE14C9">
      <w:pPr>
        <w:pStyle w:val="TextoNormal"/>
      </w:pPr>
      <w:r w:rsidRPr="00DE14C9">
        <w:rPr>
          <w:rStyle w:val="NumeroAFNegritaCaracter"/>
        </w:rPr>
        <w:t>2</w:t>
      </w:r>
      <w:r>
        <w:t>. Ante todo, ha de señalarse que no procede el examen de la pretensión de amparo relativa a la vulneración del derecho a la asistencia letrada (art. 17.3 CE) que, por otra parte, no se estima que concurra en el presente caso, ya que el recurrente no ofrece fundamentación alguna al respecto y no es tarea de este Tribunal reconstruir de oficio las demandas ni suplir las razones de las partes cuando aquél ha descuidado la carga de argumentación que pesa sobre él (entre otras muchas, SSTC 21/2001, de 29 de enero, FJ 3; 226/2002, de 9 de diciembre, FJ 2; 57/2003, de 24 de marzo, FJ 3; 99/2004, de 27 de mayo, FJ 3; y 23/2005, de 14 de febrero, FJ 2). En efecto, como subraya el Ministerio Fiscal, el recurrente se limita a señalar, frente a las afirmaciones contenidas en la Sentencia recurrida acerca de la inexistencia de intereses contrapuestos entre los tres imputados, que del análisis de las declaraciones pueden extraerse tales contradicciones que, a su juicio, hubieran exigido la designación de Abogados defensores distintos, pero sin especificar mínimamente en qué consistían las afirmaciones opuestas ni precisar cuál fue la actitud de su Letrado, careciendo, pues, la pretensión formulada de la consistencia necesaria para desvirtuar los detenidos razonamientos que al respecto se hacen en el fundamento jurídico sexto de la Sentencia impugnada.</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3</w:t>
      </w:r>
      <w:r>
        <w:t>. En cuanto al orden de examen del resto de alegaciones, atendiendo a las circunstancias de este caso concreto, habremos de dar preferencia a aquéllas de las que podría derivarse una retroacción de actuaciones y, dentro de ellas, a las que, por determinar la retroacción a un momento anterior, hagan innecesario un pronunciamiento sobre las restantes (SSTC 229/2003, de 18 de diciembre, FJ 2; 247/2004, de 20 de diciembre, FJ 2; 308/2005, de 12 de diciembre, FJ 3, y 140/2006, de 8 de mayo, FJ 3).</w:t>
      </w:r>
    </w:p>
    <w:p w:rsidR="00DE14C9" w:rsidRDefault="00DE14C9" w:rsidP="00DE14C9">
      <w:pPr>
        <w:pStyle w:val="TextoNormal"/>
      </w:pPr>
      <w:r>
        <w:t>Siguiendo este orden de análisis, debe rechazarse, en primer lugar, la queja referida a la infracción del derecho al Juez ordinario predeterminado por la ley (art. 24.2 CE). En efecto, es doctrina constitucional reiterada que dicho derecho exige, de un lado, la preexistencia de unas pautas generales de atribución competencial que permitan determinar, en cada supuesto, cuál es el Juzgado o Tribunal que ha de conocer del litigio (SSTC 102/2000, de 10 de abril, FJ 3; 87/2000, de 27 de marzo, FJ 4; 68/2001, de 17 de marzo, FJ 2; 69/2001, de 17 de marzo, FJ 5; 37/2003, de 25 de febrero, FJ 4, y 115/2006, de 24 de abril, FJ 9), salvaguardando así la garantía de independencia e imparcialidad de los Jueces que conforma el interés directo preservado por aquel derecho y, de otra parte, que el órgano judicial llamado a conocer de un caso haya sido creado previamente por la norma jurídica, que ésta le haya dotado de jurisdicción y competencia con anterioridad al hecho que motiva su actuación y, finalmente, que por el régimen orgánico y procesal al que esté sometido no pueda calificarse como órgano especial o excepcional (SSTC 171/1999, de 27 de septiembre, FJ 2; 35/2000, de 14 de febrero, FJ 2; 102/2000, de 10 de abril, FJ 3; 68/2001, de 17 de marzo, FJ 2; 69/2001, de 17 de marzo, FJ 5; 170/2002, de 30 de septiembre, FJ 10; 37/2003, de 25 de febrero, FJ 4).</w:t>
      </w:r>
    </w:p>
    <w:p w:rsidR="00DE14C9" w:rsidRDefault="00DE14C9" w:rsidP="00DE14C9">
      <w:pPr>
        <w:pStyle w:val="TextoNormal"/>
      </w:pPr>
      <w:r>
        <w:t>Junto a ello, este Tribunal ha afirmado que las normas sobre competencia y, consecuentemente, la determinación del órgano judicial competente, son materias que conciernen exclusivamente a los Tribunales de la jurisdicción ordinaria (SSTC 171/1999, de 27 de septiembre, FJ 2; 35/2000, de 14 de febrero, FJ 2, y 126/2000, de 16 de mayo, FJ 4), de modo que al Tribunal Constitucional solamente le corresponde analizar si en el supuesto concreto la interpretación y aplicación de las normas competenciales se ha efectuado de un modo manifiestamente irrazonable o arbitrario (SSTC 136/1997, de 21 de julio, FJ 3; 183/1999, de 11 de octubre, FJ 2, y 35/2000, 14 de febrero, FJ 2). Pues bien, en el caso que aquí se examina, la Audiencia Provincial, tras una extensa y razonada argumentación contenida primero en Auto y reiterada después en la Sentencia de condena y que es asimismo confirmada por la Sala de lo Penal del Tribunal Supremo, concluye que en este caso es de aplicación, por la variedad y complejidad de las actuaciones delictivas imputadas al recurrente, el criterio, legal y jurisprudencial, de exclusión de la competencia del Tribunal del Jurado —arts. 5 de la Ley Orgánica 5/1995, de 22 de mayo, del Tribunal del Jurado, y 17.5 de la Ley de enjuiciamiento criminal (LECrim)— en los casos en que la conexión daría lugar “a someter al enjuiciamiento del Tribunal del Jurado cuestiones demasiado complejas” —Sentencia del Tribunal Supremo aquí impugnada, fundamento jurídico segundo—, habiéndose seguido, por ello, los trámites propios del procedimiento ordinario.</w:t>
      </w:r>
    </w:p>
    <w:p w:rsidR="00DE14C9" w:rsidRDefault="00DE14C9" w:rsidP="00DE14C9">
      <w:pPr>
        <w:pStyle w:val="TextoNormal"/>
      </w:pPr>
      <w:r>
        <w:t>En consecuencia, la cuestión relativa a la atribución de la competencia para el enjuiciamiento a la Audiencia Provincial frente al Tribunal del Jurado se resolvió motivadamente y de forma no arbitraria ni irrazonable, de suerte que no se aprecia vulneración alguna del derecho invocado.</w:t>
      </w:r>
    </w:p>
    <w:p w:rsidR="00DE14C9" w:rsidRDefault="00DE14C9" w:rsidP="00DE14C9">
      <w:pPr>
        <w:pStyle w:val="TextoNormal"/>
      </w:pPr>
    </w:p>
    <w:p w:rsidR="00DE14C9" w:rsidRDefault="00DE14C9" w:rsidP="00DE14C9">
      <w:pPr>
        <w:pStyle w:val="TextoNormal"/>
      </w:pPr>
      <w:r w:rsidRPr="00DE14C9">
        <w:rPr>
          <w:rStyle w:val="NumeroAFNegritaCaracter"/>
        </w:rPr>
        <w:t>4</w:t>
      </w:r>
      <w:r>
        <w:t>. Respecto del derecho a un proceso con todas las garantías (art. 24.2 CE), denuncia el demandante que el mismo se habría infringido por haberse resuelto el recurso de queja in</w:t>
      </w:r>
      <w:r>
        <w:lastRenderedPageBreak/>
        <w:t>terpuesto por el Ministerio público sobre la adecuación del procedimiento sin darle audiencia, recurso este cuya estimación dio lugar a la tramitación del proceso siguiendo las normas del procedimiento ordinario y no las del Tribunal del Jurado. En este punto hay que precisar que, como subraya el Fiscal ante el Tribunal Constitucional en sus alegaciones, esta queja encuentra su exacto encaje en la prohibición de indefensión establecida en el art. 24.1 CE, ya que, según se ha indicado, la lesión provendría de haberse resuelto un recurso inaudita parte. Ahora bien, hemos afirmado repetidamente que por indefensión constitucionalmente relevante sólo cabe entender la situación en que el órgano jurisdiccional imposibilita a una parte para alegar y argumentar o replicar lo que estime conveniente en defensa de sus derechos e intereses, con el consecuente menoscabo real para éstos; así pues, no toda irregularidad o infracción procesal implica una indefensión con trascendencia constitucional, sino sólo aquélla en la que el incumplimiento de la norma procesal impide al recurrente desplegar adecuadamente su defensa con la oportunidad, por tanto, de realizar las alegaciones que a su derecho convengan, y suponiendo, en definitiva, una merma real del derecho de defensa que comporta un perjuicio efectivo para el afectado (SSTC 210/1999, de 29 de noviembre, FJ 2; 109/2002, de 6 de mayo, FJ 2; 115/2005, de 9 de mayo, FJ 3, y 85/2006, de 27 de marzo, FJ 7).</w:t>
      </w:r>
    </w:p>
    <w:p w:rsidR="00DE14C9" w:rsidRDefault="00DE14C9" w:rsidP="00DE14C9">
      <w:pPr>
        <w:pStyle w:val="TextoNormal"/>
      </w:pPr>
      <w:r>
        <w:t>Pues bien, en el caso que aquí se examina, aun siendo cierto que el recurso de queja se resolvió sin previa audiencia del demandante y aun considerando que, pese a su regulación legal, desde la perspectiva constitucional tal audiencia sería preceptiva (SSTC 178/2001, de 17 de septiembre, FJ 4; 179/2002, de 14 de octubre, FJ 4, y 169/2005, de 20 de junio, FFJJ 3 y 4), ha de señalarse que no se ha producido una indefensión material del recurrente, ya que, de una parte, como se especifica en la Sentencia de instancia, el demandante ya había expuesto sus argumentos de defensa sobre la materia objeto del Auto que resolvió el recurso en su comparecencia ante el Juzgado de Instrucción, pues pudo alegar lo que estimó procedente, como efectivamente lo hizo, en la tramitación ulterior. Así, en las intervenciones previas del juicio oral tuvo oportunidad de manifestar lo procedente para su defensa, en cuanto a la cuestión relativa al procedimiento: el Letrado de otro procesado alegó, entre otras, la violación del derecho fundamental derivada de no ser juzgada la causa por el Tribunal del Jurado y la defensa del demandante de amparo se adhirió a tales alegaciones “excepto en lo que se refiere al Tribunal del Jurado, que le da igual”.  Tuvo, pues, la oportunidad de manifestar lo que estimó conveniente y la utilizó precisamente para no oponerse a la tramitación seguida. No se aprecia, así, indefensión material alguna.</w:t>
      </w:r>
    </w:p>
    <w:p w:rsidR="00DE14C9" w:rsidRDefault="00DE14C9" w:rsidP="00DE14C9">
      <w:pPr>
        <w:pStyle w:val="TextoNormal"/>
      </w:pPr>
    </w:p>
    <w:p w:rsidR="00DE14C9" w:rsidRDefault="00DE14C9" w:rsidP="00DE14C9">
      <w:pPr>
        <w:pStyle w:val="TextoNormal"/>
      </w:pPr>
      <w:r w:rsidRPr="00DE14C9">
        <w:rPr>
          <w:rStyle w:val="NumeroAFNegritaCaracter"/>
        </w:rPr>
        <w:t>5</w:t>
      </w:r>
      <w:r>
        <w:t>. Denuncia asimismo el recurrente la infracción del derecho a un proceso con todas las garantías (art. 24.2 CE), garantías entre las que se encuentra el derecho a un Juez imparcial, puesto que el Magistrado don Julio Cibeira Yebra-Pimentel, que fue miembro de la Sala sentenciadora y Ponente de la Sentencia condenatoria, habría perdido su imparcialidad objetiva por haber formado parte de la Sala que dictó el Auto, del que fue además Ponente, que resolvió el recurso de apelación contra el Auto de procesamiento.</w:t>
      </w:r>
    </w:p>
    <w:p w:rsidR="00DE14C9" w:rsidRDefault="00DE14C9" w:rsidP="00DE14C9">
      <w:pPr>
        <w:pStyle w:val="TextoNormal"/>
      </w:pPr>
      <w:r>
        <w:t xml:space="preserve">Antes de analizar el fondo de este motivo debe darse respuesta a la objeción planteada por el Ministerio Fiscal referida a la inadmisibilidad del mismo, puesto que no se habría cumplido por el recurrente el presupuesto procesal de agotamiento de la vía judicial [art. 44.1 a) LOTC]; así, señala el Fiscal que el demandante, pese a conocer desde el inicio de la fase intermedia cuál era la composición del Tribunal que iba a juzgarlo y, por tanto, que su Presidente era el mismo Magistrado que dictó el Auto desestimatorio del recurso contra su procesamiento, sin embargo en momento alguno intentó su recusación, “como lo hizo otro coacusado”, y al inicio de las sesiones del juicio oral, cuando este último planteó cuestiones </w:t>
      </w:r>
      <w:r>
        <w:lastRenderedPageBreak/>
        <w:t>previas en las que se denunciaba la vulneración de derechos fundamentales, aquél se limitó a adherirse a algunas de ellas que no guardaban relación con la infracción aquí denunciada.</w:t>
      </w:r>
    </w:p>
    <w:p w:rsidR="00DE14C9" w:rsidRDefault="00DE14C9" w:rsidP="00DE14C9">
      <w:pPr>
        <w:pStyle w:val="TextoNormal"/>
      </w:pPr>
      <w:r>
        <w:t>Ahora bien, “en relación con el examinado presupuesto procesal, es cierto que este Tribunal, a la hora de su interpretación conforme con la jurisprudencia dictada por el Tribunal Europeo de Derechos Humanos en materia de derechos fundamentales —art.  10.2 CE—, ha flexibilizado la vigencia del principio de subsidiariedad, al considerarlo cumplido cuando, al margen del necesario ejercicio de la recusación por parte del recurrente en amparo, los órganos judiciales ya se han pronunciado sobre la lesión del derecho fundamental. Si la posible vulneración del derecho al juez imparcial ha sido objeto de enjuiciamiento, de oficio o a instancia de otras partes, existiendo, por tanto, un previo pronunciamiento judicial al respecto, este Tribunal ha estimado cumplido el principio de subsidiariedad (SSTC 39/2004, de 22 de mayo, FJ 2; 310/2000, de 18 de diciembre, FJ 2; en ambas se cita el caso Castillo Algar c. España —§ 35 de la STEDH [de 28 de octubre de 1998]— y, en la segunda de ellas, además, los casos Van Oosterwijck c. Bélgica —Sentencia de 6 de noviembre 1980, §34 y ss.—, Gasus Dosier-und Fördertechnik Gmbh c. Países Bajos —Sentencia de 23 de febrero de 1995, §§48 y 49— y Botten c. Noruega —Sentencia de 19 de febrero de 1996, §36)” (STC 313/2005, de 12 de diciembre, FJ 2).</w:t>
      </w:r>
    </w:p>
    <w:p w:rsidR="00DE14C9" w:rsidRDefault="00DE14C9" w:rsidP="00DE14C9">
      <w:pPr>
        <w:pStyle w:val="TextoNormal"/>
      </w:pPr>
      <w:r>
        <w:t>En este caso, la recusación fue formulada por otro de los coimputados, aduciendo, entre otras, la misma causa que la que aquí se denuncia por el demandante, recusación que fue desestimada por el Tribunal Superior de Justicia de Galicia —art. 77 de la Ley Orgánica del Poder Judicial (LOPJ)— por Auto de 5 de marzo de 2001, planteándose después por el demandante ante el Tribunal Supremo —art. 228 LOPJ—, como motivo tercero de su recurso de casación, la cuestión relativa a la imparcialidad del Juez que fue efectivamente enjuiciada por dicho Tribunal —fundamento jurídico cuarto de la Sentencia impugnada. Es claro, por ello, que se ha dado cumplimiento a las exigencias del principio de subsidiariedad, lo que hace procedente el análisis del fondo de la invocación del derecho a la imparcialidad judicial.</w:t>
      </w:r>
    </w:p>
    <w:p w:rsidR="00DE14C9" w:rsidRDefault="00DE14C9" w:rsidP="00DE14C9">
      <w:pPr>
        <w:pStyle w:val="TextoNormal"/>
      </w:pPr>
    </w:p>
    <w:p w:rsidR="00DE14C9" w:rsidRDefault="00DE14C9" w:rsidP="00DE14C9">
      <w:pPr>
        <w:pStyle w:val="TextoNormal"/>
      </w:pPr>
      <w:r w:rsidRPr="00DE14C9">
        <w:rPr>
          <w:rStyle w:val="NumeroAFNegritaCaracter"/>
        </w:rPr>
        <w:t>6</w:t>
      </w:r>
      <w:r>
        <w:t xml:space="preserve">. La reiterada doctrina constitucional viene poniendo de relieve “que la imparcialidad del Tribunal forma parte de las garantías básicas del proceso (art. 24.2 CE), constituyendo incluso ‘la primera de ellas’ (SSTC 60/1995, de 16 de marzo, FJ 3; 162/1999, de 27 de septiembre, FJ 5): ‘Ser tercero entre partes, permanecer ajeno a los intereses en litigio y someterse exclusivamente al Ordenamiento jurídico como criterio de juicio, son notas esenciales que caracterizan la función jurisdiccional desempeñada por Jueces y Magistrados’ (STC 162/1999, FJ 5), de modo que ‘sin Juez imparcial no hay, propiamente, proceso jurisdiccional’ (STC 151/2000, de 12 de junio, FJ 3). Junto a la dimensión más evidente de la imparcialidad judicial, que es la que se refiere a la ausencia de una relación del Juez con las partes que pueda suscitar un interés previo en favorecerlas o perjudicarlas, convive su vertiente objetiva, que es la ahora discutida, que se ‘dirige a asegurar que los Jueces y Magistrados que intervengan en la resolución de una causa se acerquen a la misma sin prevenciones ni prejuicios que en su ánimo pudieran quizás existir a raíz de una relación o contacto previos con el objeto del proceso’ (SSTC 157/1993, de 6 de mayo, FJ 2; 47/1998, de 2 de marzo, FJ 4). Causas significativas de tal posible inclinación previa objetiva son la realización de actos de instrucción, que pueden suponer un contacto con el litigio que dificulte su correcto enjuiciamiento posterior; la adopción de decisiones previas que comporten un juicio anticipado de culpabilidad; o la intervención previa en una instancia anterior del mismo proceso (SSTC 157/1993, de 6 de mayo, FJ 3; 299/1994, de 14 de noviembre, FJ 3; 162/1999, de 27 de septiembre, FJ 5; 151/2000, de 12 de junio, FJ 3; STEDH de 23 de mayo </w:t>
      </w:r>
      <w:r>
        <w:lastRenderedPageBreak/>
        <w:t>de 1991, caso Oberschlick, §§ 48 a 52) o, más en general, el pronunciamiento sobre los hechos debatidos en un pleito anterior (SSTC 138/1994, de 9 de mayo, FJ 7; 47/1998, de 2 de marzo, FJ 4; y SSTEDH de 7 de julio de 1996, caso Ferrantelli y Santangelo, y de 26 de agosto de 1997, caso De Haan). Debemos subrayar en cualquier caso que ni esta relación de causas de parcialidad objetiva tiene el carácter de cerrada ni la concurrencia de tales  supuestos comporta necesariamente tal tacha, cuestión que habrá de analizarse en cada caso a la luz de sus concretas características (SSTC 170/1993, de 27 de mayo, FJ 3; 162/1999, de 27 de septiembre, FJ 5) y bajo los presupuestos de que ‘la imparcialidad del Juez ha de presumirse, y las sospechas sobre su idoneidad han de ser probadas’, por una parte, y de que, por razones obvias de estricta y peculiar vinculación del Juez a la ley, tal imparcialidad es especialmente exigible en el ámbito penal (STC 162/1999, de 27 de septiembre, FJ 5), por otra” (SSTC 240/2005, de 10 de octubre, FJ 3, y 143/2006, de 8 de mayo, FJ 3).</w:t>
      </w:r>
    </w:p>
    <w:p w:rsidR="00DE14C9" w:rsidRDefault="00DE14C9" w:rsidP="00DE14C9">
      <w:pPr>
        <w:pStyle w:val="TextoNormal"/>
      </w:pPr>
      <w:r>
        <w:t>Aproximando más la doctrina constitucional al caso concreto aquí examinado, ha de recordarse que hemos reiterado que no es dable apreciar vulneración en los casos de ratificación en segunda instancia de una resolución previa de imputación si la ratificación se fundamenta en que la atribución provisional de la responsabilidad está razonablemente fundada, ya que ello no significa anticipar un juicio sobre la responsabilidad penal del inculpado ni puede advertirse en el caso la presencia de un contacto directo con aquél o con los elementos de prueba. Así se ha pronunciado también el Tribunal Europeo de Derechos Humanos en la Resolución de inadmisión de 2 de marzo de 2000, caso Garrido Guerrero c. España, al razonar que aunque uno de los miembros del Tribunal sentenciador había formado también parte del órgano que confirmó en apelación el procesamiento, debía tenerse presente en ese supuesto de hecho los límites del acto de inculpación, su condición de decisión formal y provisional que no prejuzgaba la resolución final de la causa, ni respecto a la calificación de los hechos ni en cuanto a la participación en ellos del procesado. En sentido contrario, y de ahí que no quepa una solución unívoca sino que, como antes se ha indicado, sea preciso analizar caso por caso la existencia o no de la parcialidad denunciada, la STEDH de 28 de octubre de 1997, caso Castillo Algar c. España, estimó que se había lesionado el derecho al Juez imparcial porque en aquel supuesto dos componentes del órgano de enjuiciamiento habían confirmado el Auto de procesamiento en fase de apelación en términos que permitían inferir que hacían suyo el criterio adoptado previamente por el Tribunal Supremo, que revocó la decisión anterior de sobreseimiento, en el sentido de que constaban indicios suficientes para concluir que se había cometido un delito (STC 39/2004, de 22 de marzo, FJ 4).</w:t>
      </w:r>
    </w:p>
    <w:p w:rsidR="00DE14C9" w:rsidRDefault="00DE14C9" w:rsidP="00DE14C9">
      <w:pPr>
        <w:pStyle w:val="TextoNormal"/>
      </w:pPr>
    </w:p>
    <w:p w:rsidR="00DE14C9" w:rsidRDefault="00DE14C9" w:rsidP="00DE14C9">
      <w:pPr>
        <w:pStyle w:val="TextoNormal"/>
      </w:pPr>
      <w:r w:rsidRPr="00DE14C9">
        <w:rPr>
          <w:rStyle w:val="NumeroAFNegritaCaracter"/>
        </w:rPr>
        <w:t>7</w:t>
      </w:r>
      <w:r>
        <w:t>. A la luz de la doctrina expuesta, pues, debe valorarse ahora, atendiendo a las particulares circunstancias del caso, si la intervención de un Magistrado en el órgano jurisdiccional que confirmó en apelación el Auto de procesamiento y que más tarde formó parte de la Sala enjuiciadora, permite afirmar que están justificadas las dudas sobre su imparcialidad por haber exteriorizado en aquella resolución un juicio anticipado sobre la responsabilidad penal del demandante.</w:t>
      </w:r>
    </w:p>
    <w:p w:rsidR="00DE14C9" w:rsidRDefault="00DE14C9" w:rsidP="00DE14C9">
      <w:pPr>
        <w:pStyle w:val="TextoNormal"/>
      </w:pPr>
      <w:r>
        <w:t>La señalada confirmación del procesamiento se realiza sobre la base de la argumentación jurídica —razonamiento jurídico segundo— que se reproduce seguidamente:</w:t>
      </w:r>
    </w:p>
    <w:p w:rsidR="00DE14C9" w:rsidRDefault="00DE14C9" w:rsidP="00DE14C9">
      <w:pPr>
        <w:pStyle w:val="TextoNormal"/>
      </w:pPr>
      <w:r>
        <w:t xml:space="preserve">“Y en este sentido, sólo cabría significar que los indicios racionales de criminalidad contra Manuel Constantino Cives Tomé y Jesús Romero Sendón siguen incólumes por todos los delitos derivados de los hechos por los que han sido procesados, sin que puedan influir para nada en ello las retractaciones posteriores en que cualquiera de los procesados pudiera haber incurrido, que, en todo caso, habrán de ser debidamente valoradas en el juicio oral, de </w:t>
      </w:r>
      <w:r>
        <w:lastRenderedPageBreak/>
        <w:t>acuerdo con el principio de valoración libre y en conciencia de todas las pruebas practicadas, según resulten del juicio y de la investigación judicial, ya que, desde un primer momento se dispuso de esclarecedores elementos de juicio reveladores de la participación conjunta, con unidad de voluntades, ideación y acción de los tres procesados en los tres delitos a los que se refiere el auto recurrido, referido, lógicamente, el delito contra la salud pública incluido en tal resolución, lo que, de esta manera, perfila con acierto el ámbito de la declaración formal de inculpación —previa a la acusación y al juicio— relativa a los delitos cometidos y a la participación de las concretas personas que, presuntamente, pudieran haberlos perpetrado. De esta manera queda acertadamente definido el objeto del proceso y las personas presuntamente responsables, según los indicios racionales de criminalidad que contra ellos existen, quedando para la fase de juicio oral la valoración última y definitiva de todo ello”.</w:t>
      </w:r>
    </w:p>
    <w:p w:rsidR="00DE14C9" w:rsidRDefault="00DE14C9" w:rsidP="00DE14C9">
      <w:pPr>
        <w:pStyle w:val="TextoNormal"/>
      </w:pPr>
      <w:r>
        <w:t>Del inicio de la fundamentación (“sin que puedan influir para nada en ello las retractaciones posteriores en que cualquiera de los procesados pudiera haber incurrido”), deduce el demandante que el Magistrado ha estado en contacto con las actuaciones y valora las diferentes declaraciones, quedando afectada su imparcialidad. Debe señalarse, no obstante, que si bien aquella manifestación aparentemente pudiera ser reveladora de un juicio de valor acerca de la mayor credibilidad concedida a las declaraciones incriminatorias —las anteriores— frente a las exculpatorias —cuando se desdice de aquéllas—, lo cierto es que partiendo, como se ha indicado más arriba, de la presunción de imparcialidad del órgano judicial, la proposición puede ciertamente considerarse referida al propio juicio de atribución provisional de la responsabilidad que efectuó el Juez de Instrucción en el sentido de que, existiendo ambos tipos de declaraciones, deberá ser en el juicio oral donde habrán de valorarse, lo cual no obstaría para entender suficientemente justificado en ese momento el procesamiento.</w:t>
      </w:r>
    </w:p>
    <w:p w:rsidR="00DE14C9" w:rsidRDefault="00DE14C9" w:rsidP="00DE14C9">
      <w:pPr>
        <w:pStyle w:val="TextoNormal"/>
      </w:pPr>
      <w:r>
        <w:t>Ahora bien, una conclusión totalmente diversa se deriva de la continuación de la argumentación jurídica expuesta en el Auto, pues a través de ella el órgano judicial emite, manifiestamente, un juicio —prejuicio— acerca no sólo de la efectiva participación de los procesados en los hechos que se les imputan (“desde un primer momento se dispuso de esclarecedores elementos de juicio reveladores de la participación … de los tres procesados en los tres delitos a los que se refiere el auto recurrido”), sino, incluso, muy detalladamente, de los términos en que tal participación se desarrolló (“participación conjunta, con unidad de voluntades, ideación y acción”), de modo que se han realizado valoraciones que, aunque responden a un juicio provisional, son esencialmente equivalentes a las provenientes de un juicio de fondo sobre la responsabilidad penal, expresando, de tal forma, un pronunciamiento anticipado al respecto.</w:t>
      </w:r>
    </w:p>
    <w:p w:rsidR="00DE14C9" w:rsidRDefault="00DE14C9" w:rsidP="00DE14C9">
      <w:pPr>
        <w:pStyle w:val="TextoNormal"/>
      </w:pPr>
      <w:r>
        <w:t xml:space="preserve">De este modo, pese a que la resolución muestra una apariencia formal de imparcialidad en tanto refleja varias remisiones al futuro juicio oral, materialmente contraría dicho principio, por cuanto las afirmaciones vertidas en ella denotan un verdadero prejuicio acerca de elementos tan esenciales como la participación, y su forma, de los procesados en los hechos cuya comisión se les atribuye. En definitiva, uno de los Magistrados que formó parte del órgano enjuiciador, el Ponente de la Sentencia condenatoria, ya se había pronunciado anticipadamente, también como Ponente, en el Auto que ratificó el procesamiento, acerca de la intervención de los procesados en los hechos y la forma en que se concibió y desarrolló dicha participación, exteriorizando así los presupuestos de su responsabilidad penal y emitiendo, por tanto, un juicio sobre la responsabilidad de aquéllos que excede de la atribución formal y provisional de criminalidad que constituye el Auto de procesamiento. Así pues, al </w:t>
      </w:r>
      <w:r>
        <w:lastRenderedPageBreak/>
        <w:t>adelantar la conclusión acerca de tan fundamental cuestión que debía ser objeto de enjuiciamiento, aparecen objetivamente justificadas las dudas del recurrente sobre la imparcialidad con que aquel Magistrado desarrolló dicha función.</w:t>
      </w:r>
    </w:p>
    <w:p w:rsidR="00DE14C9" w:rsidRDefault="00DE14C9" w:rsidP="00DE14C9">
      <w:pPr>
        <w:pStyle w:val="TextoNormal"/>
      </w:pPr>
      <w:r>
        <w:t>Así pues, se ha lesionado el derecho a un proceso con todas las garantías (art. 24.2 CE) en su vertiente de derecho a un Juez imparcial, por lo que será procedente el pronunciamiento estimatorio del amparo previsto en el art. 53 a) LOTC.</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parcialmente el amparo solicitado por don Manuel Constantino Cives Tomé y, en su virtud:</w:t>
      </w:r>
    </w:p>
    <w:p w:rsidR="00DE14C9" w:rsidRDefault="00DE14C9" w:rsidP="00DE14C9">
      <w:pPr>
        <w:pStyle w:val="TextoNormal"/>
      </w:pPr>
      <w:r>
        <w:t>1º Reconocer su derecho a un proceso con todas las garantías (art. 24.2 CE), en la vertiente del derecho al Juez imparcial.</w:t>
      </w:r>
    </w:p>
    <w:p w:rsidR="00DE14C9" w:rsidRDefault="00DE14C9" w:rsidP="00DE14C9">
      <w:pPr>
        <w:pStyle w:val="TextoNormal"/>
      </w:pPr>
      <w:r>
        <w:t>2º Anular la Sentencia de la Sala de lo Penal del Tribunal Supremo de 20 de enero de 2004 recaída en recurso de casación núm. 346-2002, y la Sentencia de la Sección Quinta de la Audiencia Provincial de A Coruña de 15 de diciembre de 2001 dictada en rollo 3-2000, exclusivamente en lo que se refiere al demandante de amparo.</w:t>
      </w:r>
    </w:p>
    <w:p w:rsidR="00DE14C9" w:rsidRDefault="00DE14C9" w:rsidP="00DE14C9">
      <w:pPr>
        <w:pStyle w:val="TextoNormal"/>
      </w:pPr>
      <w:r>
        <w:t>3º Retrotraer las actuaciones respecto del recurrente al momento inmediatamente anterior a la celebración del juicio oral, para su conocimiento y fallo por un Tribunal en cuya composición se respete el derecho fundamental reconocido.</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dos de julio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70" w:name="SENTENCIA_2007_157"/>
      <w:r>
        <w:lastRenderedPageBreak/>
        <w:t>SENTENCIA 157/2007, de 2 de julio de 2007</w:t>
      </w:r>
    </w:p>
    <w:bookmarkEnd w:id="70"/>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185, de 3 de agosto de 2007)</w:t>
      </w:r>
    </w:p>
    <w:p w:rsidR="00DE14C9" w:rsidRDefault="00DE14C9" w:rsidP="00DE14C9">
      <w:pPr>
        <w:pStyle w:val="TtuloBOE"/>
      </w:pPr>
    </w:p>
    <w:p w:rsidR="00DE14C9" w:rsidRDefault="00DE14C9" w:rsidP="00DE14C9">
      <w:pPr>
        <w:pStyle w:val="SntesisDescriptiva"/>
      </w:pPr>
      <w:r>
        <w:t>ECLI:ES:TC:2007:157</w:t>
      </w:r>
    </w:p>
    <w:p w:rsidR="00DE14C9" w:rsidRDefault="00DE14C9" w:rsidP="00DE14C9">
      <w:pPr>
        <w:pStyle w:val="SntesisDescriptiva"/>
      </w:pPr>
    </w:p>
    <w:p w:rsidR="00DE14C9" w:rsidRDefault="00DE14C9" w:rsidP="00DE14C9">
      <w:pPr>
        <w:pStyle w:val="SntesisDescriptiva"/>
      </w:pPr>
      <w:r>
        <w:t>Recurso de amparo 4059-2004. Promovido por don Juan Antonio Casado Garrido frente a la Sentencia de un Juzgado de lo Contencioso-Administrativo de Granada que desestimó su demanda contra el Ayuntamiento de Granada sobre providencia de apremio derivada de sanción de tráfico.</w:t>
      </w:r>
    </w:p>
    <w:p w:rsidR="00DE14C9" w:rsidRDefault="00DE14C9" w:rsidP="00DE14C9">
      <w:pPr>
        <w:pStyle w:val="SntesisDescriptiva"/>
      </w:pPr>
    </w:p>
    <w:p w:rsidR="00DE14C9" w:rsidRDefault="00DE14C9" w:rsidP="00DE14C9">
      <w:pPr>
        <w:pStyle w:val="SntesisAnaltica"/>
      </w:pPr>
      <w:r>
        <w:t>Vulneración del derecho de defensa en el procedimiento administrativo sancionador: emplazamiento edictal de la empresa titular del vehículo infractor (STC 54/2003).</w:t>
      </w:r>
    </w:p>
    <w:p w:rsidR="00DE14C9" w:rsidRDefault="00DE14C9" w:rsidP="00DE14C9">
      <w:pPr>
        <w:pStyle w:val="SntesisAnaltica"/>
      </w:pPr>
    </w:p>
    <w:p w:rsidR="00DE14C9" w:rsidRDefault="00DE14C9" w:rsidP="00DE14C9">
      <w:pPr>
        <w:pStyle w:val="Extracto"/>
      </w:pPr>
      <w:r>
        <w:t>1.</w:t>
      </w:r>
      <w:r>
        <w:tab/>
        <w:t>La Administración, al no haber emplazado personalmente al demandante de amparo en el procedimiento administrativo sancionador, pese a tener la evidente posibilidad de conocer su verdadero domicilio, no ha actuado con la diligencia que le era exigible, y ha generado al recurrente en amparo una situación de indefensión constitucionalmente relevante [FJ 4].</w:t>
      </w:r>
    </w:p>
    <w:p w:rsidR="00DE14C9" w:rsidRDefault="00DE14C9" w:rsidP="00DE14C9">
      <w:pPr>
        <w:pStyle w:val="Extracto"/>
      </w:pPr>
    </w:p>
    <w:p w:rsidR="00DE14C9" w:rsidRDefault="00DE14C9" w:rsidP="00DE14C9">
      <w:pPr>
        <w:pStyle w:val="Extracto"/>
      </w:pPr>
      <w:r>
        <w:t>2.</w:t>
      </w:r>
      <w:r>
        <w:tab/>
        <w:t>No cabe apreciar en el recurrente en amparo una falta de diligencia determinante de la situación de indefensión padecida, pues ningún dato existe en las actuaciones que permita afirmar que tuvo conocimiento del procedimiento administrativo sancionador antes de que hubiera concluido, al serle notificada la providencia de apremio [FJ 4].</w:t>
      </w:r>
    </w:p>
    <w:p w:rsidR="00DE14C9" w:rsidRDefault="00DE14C9" w:rsidP="00DE14C9">
      <w:pPr>
        <w:pStyle w:val="Extracto"/>
      </w:pPr>
    </w:p>
    <w:p w:rsidR="00DE14C9" w:rsidRDefault="00DE14C9" w:rsidP="00DE14C9">
      <w:pPr>
        <w:pStyle w:val="Extracto"/>
      </w:pPr>
      <w:r>
        <w:t>3.</w:t>
      </w:r>
      <w:r>
        <w:tab/>
        <w:t>Reitera la doctrina sobre notificación en procedimiento administrativo sancionador (SSTC 54/2003, 143/2004) [FFJJ 3, 4].</w:t>
      </w:r>
    </w:p>
    <w:p w:rsidR="00DE14C9" w:rsidRDefault="00DE14C9" w:rsidP="00DE14C9">
      <w:pPr>
        <w:pStyle w:val="Extracto"/>
      </w:pPr>
    </w:p>
    <w:p w:rsidR="00DE14C9" w:rsidRDefault="00DE14C9" w:rsidP="00DE14C9">
      <w:pPr>
        <w:pStyle w:val="Extracto"/>
      </w:pPr>
      <w:r>
        <w:t>4.</w:t>
      </w:r>
      <w:r>
        <w:tab/>
        <w:t>Al no haber sido reparada la lesión de falta de emplazamiento por el Juzgado de lo Contencioso-Administrativo, cuya sentencia desestimó la pretensión del recurrente en amparo, el restablecimiento a éste en sus derechos fundamentales ha de conducir a extender también la declaración de nulidad a la mencionada Sentencia [FJ 4].</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lastRenderedPageBreak/>
        <w:t>SENTENCIA</w:t>
      </w:r>
    </w:p>
    <w:p w:rsidR="00DE14C9" w:rsidRDefault="00DE14C9" w:rsidP="00DE14C9">
      <w:pPr>
        <w:pStyle w:val="TextoNormalCentrado"/>
        <w:keepNext/>
      </w:pPr>
    </w:p>
    <w:p w:rsidR="00DE14C9" w:rsidRDefault="00DE14C9" w:rsidP="00DE14C9">
      <w:pPr>
        <w:pStyle w:val="TextoNormal"/>
      </w:pPr>
      <w:r>
        <w:t>En el recurso de amparo núm. 4059-2004, promovido por don Juan Antonio Casado Garrido, representado por el Procurador de los Tribunales don Alberto Hidalgo Martínez y asistido por el Letrado don Juan Carlos Gutiérrez Ibáñez, contra la Sentencia núm. 104/2004, de 21 de mayo, del Juzgado de lo Contencioso-Administrativo núm. 2 de Granada, recaída en el procedimiento abreviado núm. 70-2004, contra el Decreto del Teniente Alcalde Delegado de Protección Ciudadana, Tráfico y Transportes del Excmo. Ayuntamiento de Granada de 18 de diciembre de 2003, desestimatorio del recurso de alzada interpuesto contra providencia de apremio de 8 de mayo de 2003 derivada de resolución sancionadora en materia de tráfico. Han comparecido y formulado alegaciones el Excmo. Ayuntamiento de Granada, representado por el Procurador de los Tribunales don José María Martín Rodríguez y asistido por el Letrado don José Pérez Gómez, y el Ministerio Fiscal. Ha actuado como Ponente el Magistrado don Vicente Conde Martín de Hijas,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el Registro General de este Tribunal el día 23 de junio de 2004 don Alberto Hidalgo Martínez, Procurador de los Tribunales, en nombre y representación de don Juan Antonio Casado Garrido, interpuso recurso de amparo contra las resoluciones judicial y administrativas de las que se ha dejado constancia en el encabezamiento de esta Sentencia.</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En la demanda de amparo se recoge la relación de antecedentes fácticos que a continuación sucintamente se extracta: </w:t>
      </w:r>
    </w:p>
    <w:p w:rsidR="00DE14C9" w:rsidRDefault="00DE14C9" w:rsidP="00DE14C9">
      <w:pPr>
        <w:pStyle w:val="TextoNormal"/>
      </w:pPr>
      <w:r>
        <w:t xml:space="preserve">a) Por una supuesta infracción de aparcamiento de un vehículo propiedad del demandante de amparo se le requirió para que identificara al conductor responsable. El requerimiento de identificación se le intentó notificar por correo certificado con acuse de recibo en fecha 24 de abril de 2002 en el domicilio que figuraba en el registro de conductores e infractores, c/Arabial, núm. 117, Granada, con resultado negativo. Seguidamente se procedió a su notificación mediante edictos publicados en el “Boletín Oficial de la Provincia de Granada” (núm. 121, de 29 de mayo de 2002) y expuestos en el tablón de anuncios del Excmo. Ayuntamiento de Granada. </w:t>
      </w:r>
    </w:p>
    <w:p w:rsidR="00DE14C9" w:rsidRDefault="00DE14C9" w:rsidP="00DE14C9">
      <w:pPr>
        <w:pStyle w:val="TextoNormal"/>
      </w:pPr>
      <w:r>
        <w:t xml:space="preserve">b) Con fecha 12 de agosto de 2002 se incoó al demandante el expediente sancionador núm. 19264 para imposición de multa de 301 € por falta de identificación del conductor responsable de la infracción, que se le intentó notificar por correo certificado con acuse de recibo en el domicilio antes señalado los días 12 y 20 de agosto con resultado negativo, procediéndose seguidamente a la notificación mediante edictos publicados en el “Boletín Oficial de la Provincia de Granada” (núm. 227, de 2 de octubre de 2002). </w:t>
      </w:r>
    </w:p>
    <w:p w:rsidR="00DE14C9" w:rsidRDefault="00DE14C9" w:rsidP="00DE14C9">
      <w:pPr>
        <w:pStyle w:val="TextoNormal"/>
      </w:pPr>
      <w:r>
        <w:t xml:space="preserve">c) El Excmo. Sr. Alcalde de Granada dictó resolución sancionadora con fecha 4 de noviembre de 2002, que se intentó notificar al demandante de amparo por correo certificado con acuse de recibo en el domicilio ya referido y con el mismo resultado, procediéndose seguidamente a su notificación mediante edictos publicados en el “Boletín Oficial de la Provincia de Granada” (núm. 283, de 11 de diciembre de 2002). </w:t>
      </w:r>
    </w:p>
    <w:p w:rsidR="00DE14C9" w:rsidRDefault="00DE14C9" w:rsidP="00DE14C9">
      <w:pPr>
        <w:pStyle w:val="TextoNormal"/>
      </w:pPr>
      <w:r>
        <w:lastRenderedPageBreak/>
        <w:t xml:space="preserve">d) El demandante de amparo en el año 2000 había cambiado de domicilio, sito desde entonces en c/Rosa Chacel, Granada, habiendo comunicado la correspondiente modificación en el padrón municipal. </w:t>
      </w:r>
    </w:p>
    <w:p w:rsidR="00DE14C9" w:rsidRDefault="00DE14C9" w:rsidP="00DE14C9">
      <w:pPr>
        <w:pStyle w:val="TextoNormal"/>
      </w:pPr>
      <w:r>
        <w:t xml:space="preserve">e) El demandante de amparo tuvo conocimiento en el mes de mayo de 2003, al recoger su correspondencia, de un requerimiento de pago y de la providencia de apremio de fecha 8 de mayo de 2003, derivados de una multa del área de tráfico del Excmo. Ayuntamiento de Granada por incumplir el deber de identificar al conductor de un vehículo mal aparcado del que es titular, cuyo importe con los recargos e intereses ascendía a 363,84 €. </w:t>
      </w:r>
    </w:p>
    <w:p w:rsidR="00DE14C9" w:rsidRDefault="00DE14C9" w:rsidP="00DE14C9">
      <w:pPr>
        <w:pStyle w:val="TextoNormal"/>
      </w:pPr>
      <w:r>
        <w:t xml:space="preserve">El citado requerimiento de pago, que incluye la providencia de apremio, fue notificado al actual domicilio del demandante de amparo, c/Rosa Chacel, Granada, en tanto que las notificaciones referidas a todo el procedimiento sancionador se efectuaron en el domicilio que figuraba en el registro de conductores e infractores y, ante el resultado infructuoso de éstas, mediante edictos. </w:t>
      </w:r>
    </w:p>
    <w:p w:rsidR="00DE14C9" w:rsidRDefault="00DE14C9" w:rsidP="00DE14C9">
      <w:pPr>
        <w:pStyle w:val="TextoNormal"/>
      </w:pPr>
      <w:r>
        <w:t xml:space="preserve">f) El demandante de amparo en fecha 17 de junio de 2003 interpuso recurso de alzada contra el requerimiento de pago y la providencia de apremio de fecha 8 de mayo de 2003, recurso que fue desestimado por Decreto del Teniente Alcalde Delegado de Protección Ciudadana, Tráfico y Transportes del Excmo. Ayuntamiento de Granada de 18 de diciembre de 2003. </w:t>
      </w:r>
    </w:p>
    <w:p w:rsidR="00DE14C9" w:rsidRDefault="00DE14C9" w:rsidP="00DE14C9">
      <w:pPr>
        <w:pStyle w:val="TextoNormal"/>
      </w:pPr>
      <w:r>
        <w:t>g) El demandante de amparo interpuso recurso contencioso-administrativo contra el anterior Decreto, que fue desestimado por la Sentencia núm. 140/2004, de 21 de mayo, del Juzgado de lo Contencioso-Administrativo núm. 2 de Granada.</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En la fundamentación jurídica de la demanda de amparo se invoca, frente a las resoluciones recurridas, la vulneración de los derechos a la tutela judicial efectiva (art. 24.1 CE) y a ser informado de la acusación (art. 24.2 CE). </w:t>
      </w:r>
    </w:p>
    <w:p w:rsidR="00DE14C9" w:rsidRDefault="00DE14C9" w:rsidP="00DE14C9">
      <w:pPr>
        <w:pStyle w:val="TextoNormal"/>
      </w:pPr>
      <w:r>
        <w:t xml:space="preserve">El recurrente argumenta al respecto que no ha tenido oportunidad de conocer que había sido requerido para identificar al conductor autor de la presunta infracción de tráfico, ya que las resoluciones y los requerimientos del procedimiento administrativo sancionador se notificaron en el domicilio que constaba en el registro de conductores e infractores, en el que hacía más de dos años que no residía, y, ante el resultado negativo de los intentos de notificación, mediante edictos publicados en el Boletín Oficial de la Provincia. Con este modo de proceder se le ha privado de la posibilidad de tener conocimiento de la infracción que se le imputaba, así como de utilizar los trámites propios del procedimiento administrativo sancionador. </w:t>
      </w:r>
    </w:p>
    <w:p w:rsidR="00DE14C9" w:rsidRDefault="00DE14C9" w:rsidP="00DE14C9">
      <w:pPr>
        <w:pStyle w:val="TextoNormal"/>
      </w:pPr>
      <w:r>
        <w:t xml:space="preserve">Como resulta acreditado, en el padrón municipal consta que desde el año 2000 el recurrente había cambiado de domicilio, de manera que al Ayuntamiento, cuando resultó infructuoso el primer intento de notificación, le habría bastado con consultar los datos del padrón municipal para realizar las notificaciones en el domicilio actual del recurrente en amparo, en vez de enviárselas a su anterior domicilio y publicarlas mediante edictos en el Boletín Oficial de la Provincia. En este sentido no deja de resultar sorprendente que durante el procedimiento sancionador las notificaciones se intentaron en un domicilio en el que no vivía nadie, en tanto que para el cobro de la sanción impuesta, en fase de apremio, la notificación se llevó a cabo en el actual domicilio del recurrente en amparo. Este dato no hace sino acrecentar la certeza de que el Ayuntamiento tenía conocimiento del nuevo domicilio del demandante, puesto que la providencia de apremio, frente a lo que se afirma en la Sentencia del Juzgado de lo Contencioso-Administrativo, se notificó antes de que se interpusiera el recurso de alzada y se dejara en él constancia del domicilio del actor. En definitiva, hasta </w:t>
      </w:r>
      <w:r>
        <w:lastRenderedPageBreak/>
        <w:t xml:space="preserve">que el demandante de amparo no recibió el requerimiento de pago y la providencia de apremio no ha tenido conocimiento de la existencia del procedimiento sancionador. </w:t>
      </w:r>
    </w:p>
    <w:p w:rsidR="00DE14C9" w:rsidRDefault="00DE14C9" w:rsidP="00DE14C9">
      <w:pPr>
        <w:pStyle w:val="TextoNormal"/>
      </w:pPr>
      <w:r>
        <w:t>Tras dar por reproducidos los fundamentos jurídicos de la STC 54/2003, de 24 de marzo, concluye su escrito suplicando de este Tribunal que, tras los trámites oportunos, dicte Sentencia en la que se otorgue el amparo solicitado y se declare la nulidad de la Sentencia núm. 140/2004, de 21 de mayo, del Juzgado de lo Contencioso-Administrativo núm. 2 de Granada, así como la de la resolución del procedimiento sancionador núm. 19264-2002 del Excmo. Ayuntamiento de Granada.</w:t>
      </w:r>
    </w:p>
    <w:p w:rsidR="00DE14C9" w:rsidRDefault="00DE14C9" w:rsidP="00DE14C9">
      <w:pPr>
        <w:pStyle w:val="TextoNormal"/>
      </w:pPr>
    </w:p>
    <w:p w:rsidR="00DE14C9" w:rsidRDefault="00DE14C9" w:rsidP="00DE14C9">
      <w:pPr>
        <w:pStyle w:val="TextoNormal"/>
      </w:pPr>
      <w:r w:rsidRPr="00DE14C9">
        <w:rPr>
          <w:rStyle w:val="NumeroAFNegritaCaracter"/>
        </w:rPr>
        <w:t>4</w:t>
      </w:r>
      <w:r>
        <w:t>. La Sala Segunda del Tribunal Constitucional, por providencia de 13 de junio de 2006, acordó admitir a trámite la demanda y, en aplicación de lo dispuesto en el art. 51 LOTC, dirigir sendas comunicaciones al Excmo. Ayuntamiento de Granada y al Juzgado de lo Contencioso-Administrativo núm. 2 de Granada, a fin de que, en plazo que no excediera de diez días, remitiesen, respectivamente, certificación o fotocopia adverada de las actuaciones correspondientes al expediente núm. 710.377 y al procedimiento abreviado núm. 70-2004, debiendo el órgano judicial emplazar previamente a quienes hubieran sido parte en el procedimiento, a excepción del demandante de amparo, para que si así lo deseasen en el plazo de diez días pudieran comparecer en este recurso de amparo.</w:t>
      </w:r>
    </w:p>
    <w:p w:rsidR="00DE14C9" w:rsidRDefault="00DE14C9" w:rsidP="00DE14C9">
      <w:pPr>
        <w:pStyle w:val="TextoNormal"/>
      </w:pPr>
    </w:p>
    <w:p w:rsidR="00DE14C9" w:rsidRDefault="00DE14C9" w:rsidP="00DE14C9">
      <w:pPr>
        <w:pStyle w:val="TextoNormal"/>
      </w:pPr>
      <w:r w:rsidRPr="00DE14C9">
        <w:rPr>
          <w:rStyle w:val="NumeroAFNegritaCaracter"/>
        </w:rPr>
        <w:t>5</w:t>
      </w:r>
      <w:r>
        <w:t>. Por diligencia de ordenación de la Secretaría de la Sala Segunda del Tribunal Constitucional, de 12 de diciembre de 2006, se acordó tener por personado y parte en el procedimiento al Procurador de los Tribunales don José María Martín Rodríguez, en nombre y representación del Excmo. Ayuntamiento de Granada, así como, de conformidad con lo dispuesto en el art. 52.1 LOTC, dar vista de las actuaciones recibidas a las partes personadas y al Ministerio Fiscal, por plazo común de vente días, dentro del cual pudieron efectuar las alegaciones que tuvieron por conveniente.</w:t>
      </w:r>
    </w:p>
    <w:p w:rsidR="00DE14C9" w:rsidRDefault="00DE14C9" w:rsidP="00DE14C9">
      <w:pPr>
        <w:pStyle w:val="TextoNormal"/>
      </w:pPr>
    </w:p>
    <w:p w:rsidR="00DE14C9" w:rsidRDefault="00DE14C9" w:rsidP="00DE14C9">
      <w:pPr>
        <w:pStyle w:val="TextoNormal"/>
      </w:pPr>
      <w:r w:rsidRPr="00DE14C9">
        <w:rPr>
          <w:rStyle w:val="NumeroAFNegritaCaracter"/>
        </w:rPr>
        <w:t>6</w:t>
      </w:r>
      <w:r>
        <w:t>. La representación procesal del recurrente en amparo evacuó el trámite de alegaciones conferido mediante escrito registrado en fecha 26 de diciembre de 2006, en el que se ratificó en las efectuadas en el escrito de demanda, que dio por reproducidas.</w:t>
      </w:r>
    </w:p>
    <w:p w:rsidR="00DE14C9" w:rsidRDefault="00DE14C9" w:rsidP="00DE14C9">
      <w:pPr>
        <w:pStyle w:val="TextoNormal"/>
      </w:pPr>
    </w:p>
    <w:p w:rsidR="00DE14C9" w:rsidRDefault="00DE14C9" w:rsidP="00DE14C9">
      <w:pPr>
        <w:pStyle w:val="TextoNormal"/>
      </w:pPr>
      <w:r w:rsidRPr="00DE14C9">
        <w:rPr>
          <w:rStyle w:val="NumeroAFNegritaCaracter"/>
        </w:rPr>
        <w:t>7</w:t>
      </w:r>
      <w:r>
        <w:t xml:space="preserve">. La representación procesal del Excmo. Ayuntamiento de Granda evacuó el trámite de alegaciones conferido mediante escrito registrado en fecha 15 de enero de 2007 que, en lo sustancial, a continuación se resume. </w:t>
      </w:r>
    </w:p>
    <w:p w:rsidR="00DE14C9" w:rsidRDefault="00DE14C9" w:rsidP="00DE14C9">
      <w:pPr>
        <w:pStyle w:val="TextoNormal"/>
      </w:pPr>
      <w:r>
        <w:t xml:space="preserve">Las providencias de apremio por imperativo del entonces vigente art. 137 de la Ley 230/1963, de 28 de diciembre, general tributaria sólo pueden ser impugnadas por motivos tasados, entre ellos la indebida notificación del acto del que deriven. Ahora bien, en este caso la notificación de la sanción se efectuó de manera correcta, como consta en las actuaciones (folios 17, 18 y 19). Es evidente, por tanto, que el acto impugnado, esto es, la desestimación de un recurso de alzada contra una providencia de apremio, no adolece de vicio alguno susceptible de amparo constitucional, al igual que la Sentencia del Juzgado de lo Contencioso-Administrativo. </w:t>
      </w:r>
    </w:p>
    <w:p w:rsidR="00DE14C9" w:rsidRDefault="00DE14C9" w:rsidP="00DE14C9">
      <w:pPr>
        <w:pStyle w:val="TextoNormal"/>
      </w:pPr>
      <w:r>
        <w:t xml:space="preserve">En realidad el recurrente en amparo plantea una cuestión distinta a lo que constituyó objeto del recurso contencioso-administrativo, que a continuación examina la representación procesal del Ayuntamiento de Granada. En este sentido afirma que las notificaciones de los procedimientos sancionadores en materia de tráfico deben llevarse a cabo en el lugar en que esté domiciliado el vehículo, y para mayor garantía en cualquier otro que pueda </w:t>
      </w:r>
      <w:r>
        <w:lastRenderedPageBreak/>
        <w:t xml:space="preserve">aparecer en el expediente administrativo (art. 78.1 Real Decreto-Legislativo 339/1990, de 2 de marzo, por el que se aprueba el texto refundido de la Ley sobre tráfico, circulación de vehículos a motor y seguridad vial). </w:t>
      </w:r>
    </w:p>
    <w:p w:rsidR="00DE14C9" w:rsidRDefault="00DE14C9" w:rsidP="00DE14C9">
      <w:pPr>
        <w:pStyle w:val="TextoNormal"/>
      </w:pPr>
      <w:r>
        <w:t xml:space="preserve">En este caso ambos domicilios —el del vehículo y el del propietario— aparecen en el folio 1 vuelto del expediente, sito en la c/Arabial, núm. 117, 2º D, Granada, en el que se intentaron las notificaciones en el expediente administrativo sancionador antes de proceder a la notificación por edictos. Así pues, de conformidad con la doctrina de la STC 54/2003, de 24 de marzo, se intentó la notificación en el domicilio que se conocía en el momento de practicar las notificaciones. </w:t>
      </w:r>
    </w:p>
    <w:p w:rsidR="00DE14C9" w:rsidRDefault="00DE14C9" w:rsidP="00DE14C9">
      <w:pPr>
        <w:pStyle w:val="TextoNormal"/>
      </w:pPr>
      <w:r>
        <w:t xml:space="preserve">La razón por la que en el procedimiento de apremio la notificación se llevó a cabo en un lugar diferente es precisamente porque se trata de un procedimiento distinto del sancionador en materia de tráfico, con una normativa distinta también en lo que se refiere al lugar de efectuar las notificaciones. </w:t>
      </w:r>
    </w:p>
    <w:p w:rsidR="00DE14C9" w:rsidRDefault="00DE14C9" w:rsidP="00DE14C9">
      <w:pPr>
        <w:pStyle w:val="TextoNormal"/>
      </w:pPr>
      <w:r>
        <w:t xml:space="preserve">Pretender que un Ayuntamiento busque cualquier domicilio en sus archivos, más allá de los obrantes en el propio expediente, supone, además de una inseguridad jurídica, toda vez que el domicilio está fijado por la ley, un camino indubitado hacia la caducidad de cualquier expediente sancionador. Ello sin considerar los inconvenientes que suscita la medida. Es responsabilidad del ciudadano comunicar sus cambios de domicilio (art. 78.1 Real Decreto Legislativo 339/1990), cuya falta de diligencia no puede ser utilizada después en su propio beneficio. </w:t>
      </w:r>
    </w:p>
    <w:p w:rsidR="00DE14C9" w:rsidRDefault="00DE14C9" w:rsidP="00DE14C9">
      <w:pPr>
        <w:pStyle w:val="TextoNormal"/>
      </w:pPr>
      <w:r>
        <w:t>La representación procesal del Excmo. Ayuntamiento de Granada concluye su escrito de alegaciones suplicando la denegación del amparo solicitado.</w:t>
      </w:r>
    </w:p>
    <w:p w:rsidR="00DE14C9" w:rsidRDefault="00DE14C9" w:rsidP="00DE14C9">
      <w:pPr>
        <w:pStyle w:val="TextoNormal"/>
      </w:pPr>
    </w:p>
    <w:p w:rsidR="00DE14C9" w:rsidRDefault="00DE14C9" w:rsidP="00DE14C9">
      <w:pPr>
        <w:pStyle w:val="TextoNormal"/>
      </w:pPr>
      <w:r w:rsidRPr="00DE14C9">
        <w:rPr>
          <w:rStyle w:val="NumeroAFNegritaCaracter"/>
        </w:rPr>
        <w:t>8</w:t>
      </w:r>
      <w:r>
        <w:t xml:space="preserve">. El Ministerio Fiscal mediante escrito de fecha 19 de enero de 2007, al amparo de los arts. 88 y 89 LOTC, solicitó, por considerarlo imprescindible para evacuar el trámite de alegaciones conferido, que el Tribunal interesase del Excmo. Ayuntamiento de Granada que remitiera el expediente de ejecución de la sanción impuesta al demandante que dimana del expediente sancionador núm. 19264-2002. </w:t>
      </w:r>
    </w:p>
    <w:p w:rsidR="00DE14C9" w:rsidRDefault="00DE14C9" w:rsidP="00DE14C9">
      <w:pPr>
        <w:pStyle w:val="TextoNormal"/>
      </w:pPr>
      <w:r>
        <w:t xml:space="preserve">Por diligencia de ordenación de la Secretaría de la Sala Segunda del Tribunal Constitucional, de 30 de enero de 2007, se acordó dirigir atenta comunicación al Excmo. Ayuntamiento de Granada a fin de que, a la mayor brevedad posible, remitiese certificación o fotocopia adverada de las actuaciones correspondientes al expediente de ejecución de sanción núm. 710.377, dimanante del expediente núm. 19264-2002. </w:t>
      </w:r>
    </w:p>
    <w:p w:rsidR="00DE14C9" w:rsidRDefault="00DE14C9" w:rsidP="00DE14C9">
      <w:pPr>
        <w:pStyle w:val="TextoNormal"/>
      </w:pPr>
      <w:r>
        <w:t>Recibidas las actuaciones interesadas, por diligencia de ordenación de la Secretaría de la Sala Segunda del Tribunal Constitucional, de 8 de marzo de 2007, se acordó dar vista de las actuaciones recibidas a las partes y al Ministerio Fiscal, por plazo común de veinte días, dentro del cual pudieron presentar las alegaciones que tuvieron por conveniente, de conformidad con lo dispuesto en el art. 52.1 LOTC.</w:t>
      </w:r>
    </w:p>
    <w:p w:rsidR="00DE14C9" w:rsidRDefault="00DE14C9" w:rsidP="00DE14C9">
      <w:pPr>
        <w:pStyle w:val="TextoNormal"/>
      </w:pPr>
    </w:p>
    <w:p w:rsidR="00DE14C9" w:rsidRDefault="00DE14C9" w:rsidP="00DE14C9">
      <w:pPr>
        <w:pStyle w:val="TextoNormal"/>
      </w:pPr>
      <w:r w:rsidRPr="00DE14C9">
        <w:rPr>
          <w:rStyle w:val="NumeroAFNegritaCaracter"/>
        </w:rPr>
        <w:t>9</w:t>
      </w:r>
      <w:r>
        <w:t xml:space="preserve">. El Ministerio Fiscal evacuó el trámite de alegaciones conferido mediante escrito registrado en fecha 16 de abril de 2007, que, en lo sustancial, a continuación se resume: </w:t>
      </w:r>
    </w:p>
    <w:p w:rsidR="00DE14C9" w:rsidRDefault="00DE14C9" w:rsidP="00DE14C9">
      <w:pPr>
        <w:pStyle w:val="TextoNormal"/>
      </w:pPr>
      <w:r>
        <w:t xml:space="preserve">Tras referirse a los antecedentes fácticos del presente recurso de amparo y precisar que es la actuación de la Administración en el expediente sancionador el acto de los poderes públicos al que serían imputables en su origen las vulneraciones de derechos fundamentales invocadas en la demanda, el Ministerio Fiscal señala que la cuestión a resolver consiste en determinar si en el procedimiento administrativo sancionador se practicaron las notificaciones sin cumplir los estándares constitucionales, ya que se llevaron a efecto por medio de </w:t>
      </w:r>
      <w:r>
        <w:lastRenderedPageBreak/>
        <w:t xml:space="preserve">edictos sin haber agotado las posibilidades de notificación personal a la que está obligada la Administración. </w:t>
      </w:r>
    </w:p>
    <w:p w:rsidR="00DE14C9" w:rsidRDefault="00DE14C9" w:rsidP="00DE14C9">
      <w:pPr>
        <w:pStyle w:val="TextoNormal"/>
      </w:pPr>
      <w:r>
        <w:t xml:space="preserve">Reproduce a continuación la doctrina de la STC 225/2004, de 29 de noviembre, para afirmar la preferencia en el procedimiento administrativo sancionador de los actos de comunicación personales a los que se realizan por edictos, y la necesidad de que la oficina administrativa agote las gestiones a su alcance para averiguar el paradero del destinatario de la notificación, lo que no se hizo en el supuesto que nos ocupa tras los intentos de notificación en el domicilio que inicialmente constaba a la Administración. En cuanto a las actuaciones que la Administración debe llevar a cabo en orden a averiguar el domicilio del destinatario de la notificación se mencionan en la referida Sentencia el examen de los autos y la documentación aportada por las partes. Sin embargo el Ministerio Fiscal considera que esta cita ad exemplum no agota todas las obligaciones de la Administración, resultando también imprescindible, a su juicio, acudir a los archivos o registros que estén en su mano y, en concreto, al padrón municipal que gestiona directamente el Ayuntamiento, advirtiendo que en este caso hubiera bastado una consulta a dicho registro para comprobar el cambio de domicilio del sujeto a expediente. </w:t>
      </w:r>
    </w:p>
    <w:p w:rsidR="00DE14C9" w:rsidRDefault="00DE14C9" w:rsidP="00DE14C9">
      <w:pPr>
        <w:pStyle w:val="TextoNormal"/>
      </w:pPr>
      <w:r>
        <w:t xml:space="preserve">A lo que ha de añadirse en este supuesto que, cuando se acordó en la vía de apremio requerir de pago al demandante, el Ayuntamiento se dirigió a su actual domicilio —c/Rosa Chacel—, lo que lleva a pensar que en ese momento el Ayuntamiento debió consultar el padrón municipal, aunque no se especifique en el expediente, no pudiendo compartirse la afirmación de la Sentencia del Juzgado de lo Contencioso-Administrativo de que fue el propio recurrente quien aportó al expediente por primera vez su propio domicilio, ya que el recurso de alzada —en el que aquél identifica su domicilio— es de fecha 17 de junio de 2003 y quince días antes, es decir, el día 2 de junio se había llevado a efecto la notificación de la providencia de apremio en dicho domicilio. Precisamente esa constatación de fechas lo que demuestra es que el recurrente sólo conoció el expediente cuando se produjo la notificación en su domicilio actual, despejando cualquier posible sospecha sobre una posible actuación de mala fe por su parte. </w:t>
      </w:r>
    </w:p>
    <w:p w:rsidR="00DE14C9" w:rsidRDefault="00DE14C9" w:rsidP="00DE14C9">
      <w:pPr>
        <w:pStyle w:val="TextoNormal"/>
      </w:pPr>
      <w:r>
        <w:t xml:space="preserve">Tras reproducir el fundamento jurídico 4 de la STC 54/2003, de 24 de marzo, el Ministerio Fiscal sostiene que en este caso el expediente administrativo sancionador se desarrolló inaudita parte para el demandante de amparo por el hecho de que la Administración no extremó mínimamente la diligencia para conocer su verdadero domicilio, lo que le era de fácil comprobación, con lo que le impidió a aquél acceder al procedimiento sancionador, conocer la acusación que se le dirigía, proponer y practicar pruebas y hacer alegaciones, en definitiva, el ejercicio de su derecho de defensa. Una segunda posibilidad es que el Ayuntamiento no tomara la iniciativa de buscar el domicilio del recurrente en amparo hasta encontrarse en la fase de ejecución, con lo cual hacía imposible el ejercicio de aquel derecho. Todavía cabe la hipótesis más grave de que el Ayuntamiento conociera el domicilio del demandante de amparo tras consultar el padrón y no hubiera hecho uso de él de forma voluntaria hasta llegar a la fase de ejecución. </w:t>
      </w:r>
    </w:p>
    <w:p w:rsidR="00DE14C9" w:rsidRDefault="00DE14C9" w:rsidP="00DE14C9">
      <w:pPr>
        <w:pStyle w:val="TextoNormal"/>
      </w:pPr>
      <w:r>
        <w:t>El Ministerio Fiscal concluye su escrito de alegaciones interesando de este Tribunal que dicte Sentencia estimatoria de la demanda de amparo, anulando la Sentencia recurrida y el expediente administrativo sancionador del Excmo. Ayuntamiento de Granada núm. 19264-2002, reponiendo al recurrente en su derecho a ser parte del mismo tras la notificación de su incoación.</w:t>
      </w:r>
    </w:p>
    <w:p w:rsidR="00DE14C9" w:rsidRDefault="00DE14C9" w:rsidP="00DE14C9">
      <w:pPr>
        <w:pStyle w:val="TextoNormal"/>
      </w:pPr>
    </w:p>
    <w:p w:rsidR="00DE14C9" w:rsidRDefault="00DE14C9" w:rsidP="00DE14C9">
      <w:pPr>
        <w:pStyle w:val="TextoNormal"/>
      </w:pPr>
      <w:r w:rsidRPr="00DE14C9">
        <w:rPr>
          <w:rStyle w:val="NumeroAFNegritaCaracter"/>
        </w:rPr>
        <w:t>10</w:t>
      </w:r>
      <w:r>
        <w:t>. Por providencia de 28 de junio de 2007, se señaló para la deliberación y votación de la presente Sentencia el día 2 de julio siguiente.</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 presente demanda de amparo se dirige formalmente contra la Sentencia núm. 140/2004, de 21 de mayo, del Juzgado de lo Contencioso-Administrativo núm. 2 de Granada, que desestimó el recurso contencioso-administrativo interpuesto por el recurrente en amparo contra el Decreto del Teniente Alcalde Delegado de Protección Ciudadana, Tráfico y Transportes del Ayuntamiento de Granada de 18 de diciembre de 2003, desestimatorio, a su vez, del recurso de alzada que promovió contra la providencia de apremio de 8 de mayo de 2003, por la que se le requirió el pago de una multa de 363,84 €, impuesta como sanción, por haber incumplido el deber de identificar al conductor de un vehículo de su propiedad responsable de una infracción de tráfico.</w:t>
      </w:r>
    </w:p>
    <w:p w:rsidR="00DE14C9" w:rsidRDefault="00DE14C9" w:rsidP="00DE14C9">
      <w:pPr>
        <w:pStyle w:val="TextoNormal"/>
      </w:pPr>
      <w:r>
        <w:t>Debe señalarse, sin embargo, que la lectura de la fundamentación jurídica de la demanda permite constatar, como el Ministerio Fiscal pone de manifiesto, que en realidad el recurso de amparo debe entenderse formulado por el cauce del art. 43 LOTC, y no por el previsto en el art. 44 LOTC, ya que las infracciones constitucionales que se denuncian se imputan directamente a las resoluciones recaídas en el procedimiento administrativo sancionador, y sólo indirectamente a la Sentencia del Juzgado de lo Contencioso-Administrativo, en la medida en que no las ha reparado, al no haber anulado la actuación administrativa.</w:t>
      </w:r>
    </w:p>
    <w:p w:rsidR="00DE14C9" w:rsidRDefault="00DE14C9" w:rsidP="00DE14C9">
      <w:pPr>
        <w:pStyle w:val="TextoNormal"/>
      </w:pPr>
    </w:p>
    <w:p w:rsidR="00DE14C9" w:rsidRDefault="00DE14C9" w:rsidP="00DE14C9">
      <w:pPr>
        <w:pStyle w:val="TextoNormal"/>
      </w:pPr>
      <w:r w:rsidRPr="00DE14C9">
        <w:rPr>
          <w:rStyle w:val="NumeroAFNegritaCaracter"/>
        </w:rPr>
        <w:t>2</w:t>
      </w:r>
      <w:r>
        <w:t>. El demandante de amparo considera que han resultado vulnerados sus derechos a la tutela judicial efectiva, sin que, en ningún caso, pueda producirse indefensión (art. 24.1 CE) y a ser informado de la acusación (art. 24.2 CE), por no haber sido emplazado personalmente en el procedimiento administrativo sancionador, sino mediante edictos una vez que resultaron infructuosas las notificaciones intentadas en su anterior domicilio que era el que figuraba en el registro de conductores e infractores, a pesar de que su actual domicilio constaba en el padrón municipal y era o pudo haber sido conocido por el Ayuntamiento, como pone de relieve que se dirigiera a dicho domicilio la providencia de apremio, momento en el que por primera vez tuvo conocimiento del expediente sancionador que le había sido incoado. Sostiene que tal actuación administrativa le ha privado de la posibilidad de tener conocimiento de la infracción que se le imputaba, así como la utilización de los trámites propios del procedimiento administrativo sancionador.</w:t>
      </w:r>
    </w:p>
    <w:p w:rsidR="00DE14C9" w:rsidRDefault="00DE14C9" w:rsidP="00DE14C9">
      <w:pPr>
        <w:pStyle w:val="TextoNormal"/>
      </w:pPr>
      <w:r>
        <w:t>La representación procesal del Ayuntamiento de Granada se opone a la estimación de la demanda, al considerar, en síntesis, que, antes de proceder a la notificación por edictos, las resoluciones del procedimiento administrativo sancionador se intentaron notificar al demandante de amparo en el domicilio que figuraba en el registro de conductores e infractores (art. 78.1 del Real Decreto Legislativo 339/1990, de 2 de marzo, por el que se aprueba el texto refundido de la Ley sobre tráfico, circulación de vehículos a motor y seguridad vial) y que constaba en el expediente administrativo, en tanto que la notificación de la providencia de apremio se llevó a cabo en un domicilio diferente, de acuerdo con la normativa que regula la notificación de este tipo de resoluciones.</w:t>
      </w:r>
    </w:p>
    <w:p w:rsidR="00DE14C9" w:rsidRDefault="00DE14C9" w:rsidP="00DE14C9">
      <w:pPr>
        <w:pStyle w:val="TextoNormal"/>
      </w:pPr>
      <w:r>
        <w:t xml:space="preserve">El Ministerio Fiscal se pronuncia a favor de la estimación de la demanda de amparo tras destacar la semejanza entre este caso y el que ha sido objeto de la STC 54/2003, de 24 de marzo, en aplicación de cuya doctrina concluye que el expediente administrativo sancionador se desarrolló inaudita parte para el demandante de amparo al no haber extremado la Administración la diligencia que mínimamente le era exigible para conocer su verdadero </w:t>
      </w:r>
      <w:r>
        <w:lastRenderedPageBreak/>
        <w:t>domicilio, lo que era fácilmente comprobable como pone de relieve el hecho de que en dicho domicilio se le notificó la providencia de apremio.</w:t>
      </w:r>
    </w:p>
    <w:p w:rsidR="00DE14C9" w:rsidRDefault="00DE14C9" w:rsidP="00DE14C9">
      <w:pPr>
        <w:pStyle w:val="TextoNormal"/>
      </w:pPr>
    </w:p>
    <w:p w:rsidR="00DE14C9" w:rsidRDefault="00DE14C9" w:rsidP="00DE14C9">
      <w:pPr>
        <w:pStyle w:val="TextoNormal"/>
      </w:pPr>
      <w:r w:rsidRPr="00DE14C9">
        <w:rPr>
          <w:rStyle w:val="NumeroAFNegritaCaracter"/>
        </w:rPr>
        <w:t>3</w:t>
      </w:r>
      <w:r>
        <w:t>. Es palmaria la extraordinaria semejanza que existe, como advierten el recurrente y el Ministerio Fiscal, entre este caso y el que ha sido objeto de la STC 54/2003, de 24 de marzo, así como también, hay que añadir, con el resuelto en la STC 145/2004, de 13 de septiembre, por lo que procede reproducir a continuación la doctrina de aquella primera Sentencia, que se reitera en esta última, al resultar de igual modo plenamente aplicable al supuesto ahora enjuiciado:</w:t>
      </w:r>
    </w:p>
    <w:p w:rsidR="00DE14C9" w:rsidRDefault="00DE14C9" w:rsidP="00DE14C9">
      <w:pPr>
        <w:pStyle w:val="TextoNormal"/>
      </w:pPr>
      <w:r>
        <w:t>“Una adecuada respuesta a la queja expuesta por la entidad demandante de amparo ha de partir de la reiterada doctrina de este Tribunal, desde la STC 18/1981, de 8 de junio (FJ 2), que ha declarado, no sólo la aplicabilidad a las sanciones administrativas de los principios sustantivos derivados del art. 25.1 CE, considerando que los principios inspiradores del orden penal son de aplicación con ciertos matices al derecho administrativo sancionador, dado que ambos son manifestaciones del ordenamiento punitivo del Estado, sino que también ha proyectado sobre las actuaciones dirigidas a ejercer las potestades sancionadoras de la Administración las garantías procedimentales insitas en el art. 24.2 CE, no mediante su aplicación literal, sino en la medida necesaria para preservar los valores esenciales que se encuentran en la base del precepto. Ello, como se ha afirmado en la STC 120/1996, de 8 de julio (FJ 5), ‘constituye una inveterada doctrina jurisprudencial de este Tribunal y, ya, postulado básico de la actividad sancionadora de la Administración en el Estado social y democrático de Derecho’.</w:t>
      </w:r>
    </w:p>
    <w:p w:rsidR="00DE14C9" w:rsidRDefault="00DE14C9" w:rsidP="00DE14C9">
      <w:pPr>
        <w:pStyle w:val="TextoNormal"/>
      </w:pPr>
      <w:r>
        <w:t>Acerca de esta traslación, por otra parte condicionada a que se trate de garantías que resulten compatibles con la naturaleza del procedimiento administrativo sancionador, existen reiterados pronunciamientos de este Tribunal. Así, partiendo del inicial reproche a la imposición de sanciones sin observar procedimiento alguno, se ha ido elaborando progresivamente una doctrina que asume la vigencia en el seno del procedimiento administrativo sancionador de un amplio abanico de garantías del art. 24 CE.  Sin ánimo de exhaustividad, se pueden citar el derecho a la defensa, que proscribe cualquier indefensión; el derecho a la asistencia letrada, trasladable con ciertas condiciones; el derecho a ser informado de la acusación, con la ineludible consecuencia de la inalterabilidad de los hechos imputados; el derecho a la presunción de inocencia, que implica que la carga de la prueba de los hechos constitutivos de la infracción recaiga sobre la Administración, con la prohibición de la utilización de pruebas obtenidas con vulneración de derechos fundamentales; el derecho a no declarar contra sí mismo; y, en fin, el derecho a utilizar los medios de prueba adecuados para la defensa, del que se deriva que vulnera el art. 24.2 CE la denegación inmotivada de medios de prueba (por todas, SSTC 7/1998, de 13 de enero, FJ 5; 3/1999, de 25 de enero, FJ 4; 14/1999, de 22 de febrero, FJ 3.a; 276/2000, de 16 de noviembre, FJ 7; 117/2002, de 20 de mayo, FJ 5).</w:t>
      </w:r>
    </w:p>
    <w:p w:rsidR="00DE14C9" w:rsidRDefault="00DE14C9" w:rsidP="00DE14C9">
      <w:pPr>
        <w:pStyle w:val="TextoNormal"/>
      </w:pPr>
      <w:r>
        <w:t xml:space="preserve">El ejercicio de los derechos de defensa y a ser informado de la acusación en el seno de un procedimiento administrativo sancionador presupone, obviamente, que el implicado sea emplazado o le sea notificada debidamente la incoación del procedimiento, pues sólo así podrá disfrutar de una efectiva posibilidad de defensa frente a la infracción que se le imputa previa a la toma de decisión y, por ende, que la Administración siga un procedimiento en el que el denunciado tenga oportunidad de aportar y proponer las pruebas que estime pertinentes y de alegar lo que a su derecho convenga. En este sentido, el Pleno de este Tribunal en la STC 291/2000, de 30 de abril, ha declarado, con base en la referida doctrina constitucional </w:t>
      </w:r>
      <w:r>
        <w:lastRenderedPageBreak/>
        <w:t>sobre la extensión de las garantías del art. 24 CE al procedimiento administrativo sancionador, que los posibles defectos en la notificación o emplazamiento administrativo, cuando se trate, como en este supuesto acontece, de un acto administrativo sancionador, revisten relevancia constitucional desde la perspectiva del art. 24 CE (FJ 4). Y la citada Sentencia, en relación con un acto administrativo carente de carácter sancionador, resultando dicha doctrina aplicable a los actos administrativos sancionadores, se ha referido a la necesidad de que la Administración emplace a todos los interesados siempre que ello sea factible, por ser conocidos e identificables a partir de los datos que se deduzcan u obren en el expediente administrativo, debiendo concurrir los siguientes requisitos para que revista relevancia constitucional la falta de emplazamiento personal: en primer lugar, que el no emplazado tenga un derecho subjetivo o interés legítimo que pueda verse afectado por la resolución que se adopte; en segundo lugar, que el no emplazado personalmente haya padecido una situación de indefensión a pesar de haber mantenido una actitud diligente; y, por último, que el interesado pueda ser identificado a partir de los datos que obren en el expediente (FFJJ 5 y 13)” [FJ 3].</w:t>
      </w:r>
    </w:p>
    <w:p w:rsidR="00DE14C9" w:rsidRDefault="00DE14C9" w:rsidP="00DE14C9">
      <w:pPr>
        <w:pStyle w:val="TextoNormal"/>
      </w:pPr>
    </w:p>
    <w:p w:rsidR="00DE14C9" w:rsidRDefault="00DE14C9" w:rsidP="00DE14C9">
      <w:pPr>
        <w:pStyle w:val="TextoNormal"/>
      </w:pPr>
      <w:r w:rsidRPr="00DE14C9">
        <w:rPr>
          <w:rStyle w:val="NumeroAFNegritaCaracter"/>
        </w:rPr>
        <w:t>4</w:t>
      </w:r>
      <w:r>
        <w:t>. La aplicación de la doctrina constitucional expuesta ha de conducir también en este caso al otorgamiento del amparo solicitado.</w:t>
      </w:r>
    </w:p>
    <w:p w:rsidR="00DE14C9" w:rsidRDefault="00DE14C9" w:rsidP="00DE14C9">
      <w:pPr>
        <w:pStyle w:val="TextoNormal"/>
      </w:pPr>
      <w:r>
        <w:t>Es evidente que se cumplen los requisitos a los que nos hemos referido para considerar que la falta de emplazamiento personal del demandante de amparo tiene relevancia constitucional. Así es patente, en primer término, que la resolución sancionadora recaída en el procedimiento administrativo sancionador afecta a sus derechos e intereses legítimos; y, en segundo término, que no cabe apreciar en el recurrente en amparo una falta de diligencia determinante de la situación de indefensión padecida, pues ningún dato existe en las actuaciones que permita afirmar que tuvo conocimiento del procedimiento administrativo sancionador antes de que hubiera concluido, al serle notificada la providencia de apremio.</w:t>
      </w:r>
    </w:p>
    <w:p w:rsidR="00DE14C9" w:rsidRDefault="00DE14C9" w:rsidP="00DE14C9">
      <w:pPr>
        <w:pStyle w:val="TextoNormal"/>
      </w:pPr>
      <w:r>
        <w:t xml:space="preserve">Y por lo que se refiere al tercero de los requisitos aludidos, también debe entenderse cumplido. En efecto, el examen de las actuaciones permite constatar que el requerimiento para identificar al conductor infractor del vehículo propiedad del demandante de amparo, la incoación del expediente administrativo sancionador por incumplir dicha obligación legal y la sanción impuesta se intentaron notificar al recurrente en amparo a su anterior domicilio, que era el que figuraba en el registro de conductores e infractores, procediéndose después seguidamente, al resultar infructuosas dichas notificaciones, a su notificación mediante edictos publicados en el “Boletín Oficial de la Provincia de Granada” y expuestos en el tablón de anuncios del Ayuntamiento de Granada. Consta también en las actuaciones que el cambio de domicilio del demandante de amparo se había producido más de un año y medio antes de aquel primer intento de notificación, y que figuraba en el padrón municipal como nuevo domicilio del demandante desde diciembre de año 2000, siendo precisamente a este último domicilio al que el Ayuntamiento dirigió la notificación de la providencia de apremio, momento a partir del cual consta que el demandante de amparo ha tenido conocimiento del expediente administrativo sancionador que se había tramitado contra él. En este sentido, como pone de manifiesto el Ministerio Fiscal en su escrito de alegaciones, no puede compartirse la afirmación de la Sentencia del Juzgado de lo Contencioso-Administrativo de que fue el propio recurrente quien aportó al Ayuntamiento el dato de su nuevo domicilio, pues, como resulta de las actuaciones, el escrito interponiendo recurso de alzada contra la providencia de apremio, en el que el demandante identificó su domicilio, tuvo entrada en el Registro del Ayuntamiento el día 17 de junio de 2003, en tanto que la providencia de apremio </w:t>
      </w:r>
      <w:r>
        <w:lastRenderedPageBreak/>
        <w:t>fue notificada en el actual domicilio del solicitante de amparo el día 2 de junio de 2003, esto es, quince días antes de que se interpusiera el recurso de alzada.</w:t>
      </w:r>
    </w:p>
    <w:p w:rsidR="00DE14C9" w:rsidRDefault="00DE14C9" w:rsidP="00DE14C9">
      <w:pPr>
        <w:pStyle w:val="TextoNormal"/>
      </w:pPr>
      <w:r>
        <w:t>Ha de concluirse, pues, que la Administración, al no haber emplazado personalmente al demandante de amparo en el procedimiento administrativo sancionador pese a tener conocimiento, o, al menos, evidente posibilidad de adquirirlo, del verdadero domicilio de aquél, no ha actuado con la diligencia que le era exigible, y ha generado al recurrente en amparo, al impedirle ejercer su derecho de defensa en el procedimiento administrativo sancionador, una situación de indefensión constitucionalmente relevante.</w:t>
      </w:r>
    </w:p>
    <w:p w:rsidR="00DE14C9" w:rsidRDefault="00DE14C9" w:rsidP="00DE14C9">
      <w:pPr>
        <w:pStyle w:val="TextoNormal"/>
      </w:pPr>
      <w:r>
        <w:t>En este caso, como ya hemos declarado en la STC 145/2004, de 13 de septiembre, reiterando la doctrina de la STC 54/2003, de 24 de marzo, “‘la sanción se ha impuesto de plano [al] demandante de amparo, esto es, sin respetar procedimiento contradictorio alguno y, por tanto, privándole de toda posibilidad de defensa durante la tramitación del procedimiento administrativo sancionador (STC 291/2000, de 30 de noviembre, FJ 12)’, siendo reiterada doctrina de este Tribunal desde la STC 18/1981, de 8 de junio, que ‘los valores esenciales que se encuentran en la base del art. 24 CE ‘no quedarían salvaguardados si se admitiera que la Administración ... pueda inferir en la esfera jurídica de los ciudadanos imponiéndoles una sanción sin observar procedimiento alguno y, por tanto, sin posibilidad de defensa previa a la toma de decisión’, pues ‘la garantía del orden constitucional exige que el acuerdo se adopte a través de un procedimiento en el que el presunto implicado tenga oportunidad de aportar y proponer las pruebas que estime pertinentes y alegar lo que a su derecho convenga’ (FJ 3)’. Por lo que ha de concluirse que, al haberse impuesto [al] demandante de amparo una sanción sin procedimiento contradictorio alguno, ‘la Administración ha vulnerado el art.  24 CE, por no respetar el derecho fundamental [del] demandante de amparo a no ser sancionad[o] si no es a través del correspondiente procedimiento en el que, con las modulaciones que procedan, se respeten las garantías que se deducen del mencionado precepto constitucional (STC 291/2000, de 30 de noviembre, FJ 12)’” (FJ 4).</w:t>
      </w:r>
    </w:p>
    <w:p w:rsidR="00DE14C9" w:rsidRDefault="00DE14C9" w:rsidP="00DE14C9">
      <w:pPr>
        <w:pStyle w:val="TextoNormal"/>
      </w:pPr>
      <w:r>
        <w:t>Al no haber sido reparada dicha lesión por el Juzgado de lo Contencioso-Administrativo, cuya Sentencia desestimó la pretensión del recurrente en amparo, el restablecimiento a éste en sus derechos fundamentales ha de conducir a extender también la declaración de nulidad a la mencionada Sentencia.</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Estimar la demanda de amparo promovida por don Juan Antonio Casado Garrido y, en su virtud:</w:t>
      </w:r>
    </w:p>
    <w:p w:rsidR="00DE14C9" w:rsidRDefault="00DE14C9" w:rsidP="00DE14C9">
      <w:pPr>
        <w:pStyle w:val="TextoNormal"/>
      </w:pPr>
      <w:r>
        <w:t>1º Declarar vulnerados los derechos del recurrente en amparo a la tutela judicial efectiva, sin que, en ningún caso, pueda producirse indefensión (art. 24.1 CE), y a ser informado de la acusación (art. 24.2 CE).</w:t>
      </w:r>
    </w:p>
    <w:p w:rsidR="00DE14C9" w:rsidRDefault="00DE14C9" w:rsidP="00DE14C9">
      <w:pPr>
        <w:pStyle w:val="TextoNormal"/>
      </w:pPr>
      <w:r>
        <w:t xml:space="preserve">2º Restablecerlo en sus derechos y, a tal fin, declarar la nulidad de las resoluciones dictadas en el expediente administrativo sancionador núm. 19264-2002 del Área de Tráfico y Transportes del Excmo. Ayuntamiento de Granada, así como la del expediente individual de apremio núm. 710377 de la Recaudación Ejecutiva Municipal, y la de la Sentencia núm. </w:t>
      </w:r>
      <w:r>
        <w:lastRenderedPageBreak/>
        <w:t>140/2004, de 21 de mayo, del Juzgado de lo Contencioso-Administrativo núm. 2 de Granada, recaída en el procedimiento abreviado núm. 70-2004.</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dos de julio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71" w:name="SENTENCIA_2007_158"/>
      <w:r>
        <w:lastRenderedPageBreak/>
        <w:t>SENTENCIA 158/2007, de 2 de julio de 2007</w:t>
      </w:r>
    </w:p>
    <w:bookmarkEnd w:id="71"/>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185, de 3 de agosto de 2007)</w:t>
      </w:r>
    </w:p>
    <w:p w:rsidR="00DE14C9" w:rsidRDefault="00DE14C9" w:rsidP="00DE14C9">
      <w:pPr>
        <w:pStyle w:val="TtuloBOE"/>
      </w:pPr>
    </w:p>
    <w:p w:rsidR="00DE14C9" w:rsidRDefault="00DE14C9" w:rsidP="00DE14C9">
      <w:pPr>
        <w:pStyle w:val="SntesisDescriptiva"/>
      </w:pPr>
      <w:r>
        <w:t>ECLI:ES:TC:2007:158</w:t>
      </w:r>
    </w:p>
    <w:p w:rsidR="00DE14C9" w:rsidRDefault="00DE14C9" w:rsidP="00DE14C9">
      <w:pPr>
        <w:pStyle w:val="SntesisDescriptiva"/>
      </w:pPr>
    </w:p>
    <w:p w:rsidR="00DE14C9" w:rsidRDefault="00DE14C9" w:rsidP="00DE14C9">
      <w:pPr>
        <w:pStyle w:val="SntesisDescriptiva"/>
      </w:pPr>
      <w:r>
        <w:t>Recurso de amparo 6223-2004. Interpuesto por don Ángel Ramírez Notario respecto a la Sentencia y al Auto de nulidad de un Juzgado de lo Social de Barcelona que fallaron un pleito por incumplimiento de la obligación de cotizar.</w:t>
      </w:r>
    </w:p>
    <w:p w:rsidR="00DE14C9" w:rsidRDefault="00DE14C9" w:rsidP="00DE14C9">
      <w:pPr>
        <w:pStyle w:val="SntesisDescriptiva"/>
      </w:pPr>
    </w:p>
    <w:p w:rsidR="00DE14C9" w:rsidRDefault="00DE14C9" w:rsidP="00DE14C9">
      <w:pPr>
        <w:pStyle w:val="SntesisAnaltica"/>
      </w:pPr>
      <w:r>
        <w:t>Vulneración del derecho a la tutela judicial sin indefensión: emplazamiento edictal sin agotar los medios de comunicación efectiva con uno de los demandados, quien no actuó con negligencia.</w:t>
      </w:r>
    </w:p>
    <w:p w:rsidR="00DE14C9" w:rsidRDefault="00DE14C9" w:rsidP="00DE14C9">
      <w:pPr>
        <w:pStyle w:val="SntesisAnaltica"/>
      </w:pPr>
    </w:p>
    <w:p w:rsidR="00DE14C9" w:rsidRDefault="00DE14C9" w:rsidP="00DE14C9">
      <w:pPr>
        <w:pStyle w:val="Extracto"/>
      </w:pPr>
      <w:r>
        <w:t>1.</w:t>
      </w:r>
      <w:r>
        <w:tab/>
        <w:t>Constatado que el órgano judicial se limitó a autorizar el emplazamiento edictal del recurrente sin desplegar actividad indagatoria alguna en oficinas y registros públicos para intentar determinar un domicilio de notificaciones en que pudiera ser emplazado personalmente, como así hizo el Juzgado de ejecuciones a través del padrón municipal, se evidencia que el órgano judicial no actuó con la diligencia que constitucionalmente le es exigible [FJ 3].</w:t>
      </w:r>
    </w:p>
    <w:p w:rsidR="00DE14C9" w:rsidRDefault="00DE14C9" w:rsidP="00DE14C9">
      <w:pPr>
        <w:pStyle w:val="Extracto"/>
      </w:pPr>
    </w:p>
    <w:p w:rsidR="00DE14C9" w:rsidRDefault="00DE14C9" w:rsidP="00DE14C9">
      <w:pPr>
        <w:pStyle w:val="Extracto"/>
      </w:pPr>
      <w:r>
        <w:t>2.</w:t>
      </w:r>
      <w:r>
        <w:tab/>
        <w:t>Aunque el recurrente no actuó con la diligencia que le era exigible para posibilitar su localización, la enorme distancia temporal entre el momento de la prestación de servicios y el de la interposición de la demanda atenúan de tal manera la influencia de dicha falta de diligencia, que la única actuación que puede considerarse determinante de la indefensión del recurrente sea la del órgano judicial [FJ 3].</w:t>
      </w:r>
    </w:p>
    <w:p w:rsidR="00DE14C9" w:rsidRDefault="00DE14C9" w:rsidP="00DE14C9">
      <w:pPr>
        <w:pStyle w:val="Extracto"/>
      </w:pPr>
    </w:p>
    <w:p w:rsidR="00DE14C9" w:rsidRDefault="00DE14C9" w:rsidP="00DE14C9">
      <w:pPr>
        <w:pStyle w:val="Extracto"/>
      </w:pPr>
      <w:r>
        <w:t>3.</w:t>
      </w:r>
      <w:r>
        <w:tab/>
        <w:t>Procede otorgar el amparo solicitado y anularse el Auto impugnado y todas las actuaciones llevadas a cabo en relación con el recurrente desde el defectuoso emplazamiento en dicho procedimiento y en el de ejecución a que dio lugar, con retroacción de actuaciones a dicho momento procesal para que se practique el emplazamiento con respeto a su derecho a la tutela judicial efectiva [FJ 3].</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lastRenderedPageBreak/>
        <w:t>SENTENCIA</w:t>
      </w:r>
    </w:p>
    <w:p w:rsidR="00DE14C9" w:rsidRDefault="00DE14C9" w:rsidP="00DE14C9">
      <w:pPr>
        <w:pStyle w:val="TextoNormalCentrado"/>
        <w:keepNext/>
      </w:pPr>
    </w:p>
    <w:p w:rsidR="00DE14C9" w:rsidRDefault="00DE14C9" w:rsidP="00DE14C9">
      <w:pPr>
        <w:pStyle w:val="TextoNormal"/>
      </w:pPr>
      <w:r>
        <w:t>En el recurso de amparo núm. 6223-2004, interpuesto por don Ángel Ramírez Notario, representado por el Procurador de los Tribunales don Domingo Collado Molinero y bajo la dirección de la Letrada doña Ana García Rueda, contra el Auto del Juzgado de lo Social núm. 2 de Barcelona de 14 de septiembre de 2004, dictado en el procedimiento núm. 1317-1999. Han comparecido el Instituto Nacional de la Seguridad Social (INSS) y la Tesorería General de la Seguridad Social (TGSS), representados por el Letrado de la Administración de la Seguridad Social. Ha intervenido el Ministerio Fiscal. Ha sido Ponente el Magistrado don Pablo Pérez Tremps,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registrado en este Tribunal el 19 de octubre de 2004, el Procurador de los Tribunales don Domingo Collado Molinero, en nombre y representación de don Ángel Ramírez Notario, y bajo la dirección de la Letrada doña Ana García Rueda, interpuso recurso de amparo contra la resolución judicial que se menciona en el encabezamiento de esta Sentencia, por la que se desestimó la nulidad de actuaciones por defectuoso emplazamiento.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El recurso tiene su origen en los siguientes antecedentes: </w:t>
      </w:r>
    </w:p>
    <w:p w:rsidR="00DE14C9" w:rsidRDefault="00DE14C9" w:rsidP="00DE14C9">
      <w:pPr>
        <w:pStyle w:val="TextoNormal"/>
      </w:pPr>
      <w:r>
        <w:t xml:space="preserve">a) El 3 de enero de 2000, como consecuencia de la Resolución del INSS de 4 de octubre de 1999, dictada en expediente sobre incapacidad permanente, se formuló demanda laboral contra el INSS y el “Restaurante Manigua de don Domingo Bresco Porta y don Ángel Ramírez Notario”, dando lugar al procedimiento núm. 1317-1999, que fue tramitado por el Juzgado de lo Social núm. 2 de Barcelona. </w:t>
      </w:r>
    </w:p>
    <w:p w:rsidR="00DE14C9" w:rsidRDefault="00DE14C9" w:rsidP="00DE14C9">
      <w:pPr>
        <w:pStyle w:val="TextoNormal"/>
      </w:pPr>
      <w:r>
        <w:t xml:space="preserve">b) En la demanda se fijó como domicilio de los empleadores un inmueble de Barcelona, donde fue intentado su emplazamiento por correo certificado. Por diligencia de ordenación de 11 de febrero de 2000 se hizo constar que, habiendo sido devuelto el sobre dirigido al recurrente con la indicación de desconocido y no constando otro domicilio, se requería al actor para que designara nuevo domicilio, acordándose, asimismo, la notificación personal por medio de agente judicial y a través de edictos en el boletín oficial de la provincia. La parte actora, por escrito de 18 de febrero de 2000, manifestó desconocer otro domicilio y solicitó que se realizase la citación por edicto, lo que se llevó a efecto con su publicación en el “Boletín Oficial de la Provincia de Barcelona” de 9 de marzo de 2000. Intentado el emplazamiento personal por agente judicial, se levantó diligencia negativa el 25 de mayo de 2000, en la que se hizo constar la imposibilidad de entrega ya que en el domicilio fijado había un solar en construcción. </w:t>
      </w:r>
    </w:p>
    <w:p w:rsidR="00DE14C9" w:rsidRDefault="00DE14C9" w:rsidP="00DE14C9">
      <w:pPr>
        <w:pStyle w:val="TextoNormal"/>
      </w:pPr>
      <w:r>
        <w:t xml:space="preserve">c) El 7 de junio de 2000 se celebró juicio al que sólo compareció como parte demandada el INSS, dictándose Sentencia de 13 de junio de 2000, desestimando la demanda, que fue notificada por edicto publicado en el “Boletín Oficial de la Provincia de Barcelona” de 5 de agosto de 2000. La Sentencia fue recurrida en suplicación, lo que fue notificado al recurrente en amparo por edicto publicado el 14 de noviembre de 2000. El recurso fue estimado por Sentencia de la Sala de lo Social del Tribunal Superior de Justicia de Cataluña de 12 de julio de 2001, ordenando la reposición de los autos para que se dictase nueva resolución. Por Sentencia del Juzgado de lo Social núm. 2 de Barcelona de 19 de diciembre de 2001 se </w:t>
      </w:r>
      <w:r>
        <w:lastRenderedPageBreak/>
        <w:t xml:space="preserve">estimó la demanda del actor, condenándose al recurrente por el incumplimiento de la obligación de cotizar, siendo notificada por edicto publicado en el “Boletín Oficial de la Provincia de Barcelona” de 23 de enero de 2002. </w:t>
      </w:r>
    </w:p>
    <w:p w:rsidR="00DE14C9" w:rsidRDefault="00DE14C9" w:rsidP="00DE14C9">
      <w:pPr>
        <w:pStyle w:val="TextoNormal"/>
      </w:pPr>
      <w:r>
        <w:t xml:space="preserve">d) El INSS y la TGSS, por escrito de 25 de septiembre de 2003, instaron la ejecución de la Sentencia, dando lugar al procedimiento de ejecución núm. 1762-2003 que tramitó el Juzgado de lo Social núm. 30 de Barcelona. En el marco de dicho procedimiento se dictó resolución acordando el embargo de los bienes del recurrente en amparo, lo que le fue notificado en su domicilio particular, a cuyos datos tuvo acceso el Juzgado de ejecuciones mediante labores de averiguación a través del padrón municipal. </w:t>
      </w:r>
    </w:p>
    <w:p w:rsidR="00DE14C9" w:rsidRDefault="00DE14C9" w:rsidP="00DE14C9">
      <w:pPr>
        <w:pStyle w:val="TextoNormal"/>
      </w:pPr>
      <w:r>
        <w:t>e) El recurrente en amparo, por escrito de 30 de marzo de 2004, promovió incidente de nulidad de actuaciones, argumentando que los actos de comunicación de los diversos actos procesales en el procedimiento principal no se había efectuado conforme a las exigencias legales. La nulidad fue desestimada por Auto del Juzgado de lo Social núm. 2 de Barcelona de 14 de septiembre de 2004, argumentando que los emplazamientos se habían llevado a cabo de acuerdo con lo previsto legalmente, ya que se intentó la notificación en el domicilio de la empresa que era contra quien se dirigía la demanda.</w:t>
      </w:r>
    </w:p>
    <w:p w:rsidR="00DE14C9" w:rsidRDefault="00DE14C9" w:rsidP="00DE14C9">
      <w:pPr>
        <w:pStyle w:val="TextoNormal"/>
      </w:pPr>
    </w:p>
    <w:p w:rsidR="00DE14C9" w:rsidRDefault="00DE14C9" w:rsidP="00DE14C9">
      <w:pPr>
        <w:pStyle w:val="TextoNormal"/>
      </w:pPr>
      <w:r w:rsidRPr="00DE14C9">
        <w:rPr>
          <w:rStyle w:val="NumeroAFNegritaCaracter"/>
        </w:rPr>
        <w:t>3</w:t>
      </w:r>
      <w:r>
        <w:t>. El recurrente aduce en la demanda de amparo que se ha vulnerado su derecho a la tutela judicial efectiva (art. 24.1 CE), ya que no ha podido defenderse en el procedimiento al haberse tramitado en rebeldía porque el órgano judicial no desarrolló la mínima diligencia que le era exigible para la averiguación de su domicilio personal hasta que se inició el procedimiento de ejecución; destacando que en el procedimiento declarativo se intentó la citación exclusivamente en el domicilio en el que tenía su ubicación la empresa, pese a constar desde el primer intento que ese local ya no existía.</w:t>
      </w:r>
    </w:p>
    <w:p w:rsidR="00DE14C9" w:rsidRDefault="00DE14C9" w:rsidP="00DE14C9">
      <w:pPr>
        <w:pStyle w:val="TextoNormal"/>
      </w:pPr>
    </w:p>
    <w:p w:rsidR="00DE14C9" w:rsidRDefault="00DE14C9" w:rsidP="00DE14C9">
      <w:pPr>
        <w:pStyle w:val="TextoNormal"/>
      </w:pPr>
      <w:r w:rsidRPr="00DE14C9">
        <w:rPr>
          <w:rStyle w:val="NumeroAFNegritaCaracter"/>
        </w:rPr>
        <w:t>4</w:t>
      </w:r>
      <w:r>
        <w:t>. La Secretaría de Justicia de la Sala Primera de este Tribunal, por diligencia de ordenación de 7 de marzo de 2005, de conformidad al art. 88 LOTC, requirió al Juzgado de lo Social núm. 2 de Barcelona para que remitiera testimonio de las actuaciones judiciales.</w:t>
      </w:r>
    </w:p>
    <w:p w:rsidR="00DE14C9" w:rsidRDefault="00DE14C9" w:rsidP="00DE14C9">
      <w:pPr>
        <w:pStyle w:val="TextoNormal"/>
      </w:pPr>
    </w:p>
    <w:p w:rsidR="00DE14C9" w:rsidRDefault="00DE14C9" w:rsidP="00DE14C9">
      <w:pPr>
        <w:pStyle w:val="TextoNormal"/>
      </w:pPr>
      <w:r w:rsidRPr="00DE14C9">
        <w:rPr>
          <w:rStyle w:val="NumeroAFNegritaCaracter"/>
        </w:rPr>
        <w:t>5</w:t>
      </w:r>
      <w:r>
        <w:t>. La Sección Segunda de este Tribunal, por providencia de 31 de mayo de 2005, acordó admitir a trámite la demanda de amparo y, en aplicación de lo dispuesto en el art. 51 LOTC, requerir atentamente del órgano judicial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trámites oportunos, se dictó por la Sala Primera de este Tribunal el ATC 323/2005, de 12 de septiembre, acordando denegar la suspensión solicitada.</w:t>
      </w:r>
    </w:p>
    <w:p w:rsidR="00DE14C9" w:rsidRDefault="00DE14C9" w:rsidP="00DE14C9">
      <w:pPr>
        <w:pStyle w:val="TextoNormal"/>
      </w:pPr>
    </w:p>
    <w:p w:rsidR="00DE14C9" w:rsidRDefault="00DE14C9" w:rsidP="00DE14C9">
      <w:pPr>
        <w:pStyle w:val="TextoNormal"/>
      </w:pPr>
      <w:r w:rsidRPr="00DE14C9">
        <w:rPr>
          <w:rStyle w:val="NumeroAFNegritaCaracter"/>
        </w:rPr>
        <w:t>6</w:t>
      </w:r>
      <w:r>
        <w:t>. La Secretaría de Justicia de la Sala Primera de este Tribunal, por diligencia de ordenación de 11 de julio de 2005, tuvo por personado y parte al Letrado de la Administración de la Seguridad Social, en nombre y representación del INSS y de la TGSS, y por diligencia de 29 de noviembre de 2005, de conformidad con el art. 52 LOTC, acordó dar vista de las actuaciones al Ministerio Fiscal y a las partes personadas por plazo común de veinte días para que presentaran las alegaciones que estimasen pertinentes.</w:t>
      </w:r>
    </w:p>
    <w:p w:rsidR="00DE14C9" w:rsidRDefault="00DE14C9" w:rsidP="00DE14C9">
      <w:pPr>
        <w:pStyle w:val="TextoNormal"/>
      </w:pPr>
    </w:p>
    <w:p w:rsidR="00DE14C9" w:rsidRDefault="00DE14C9" w:rsidP="00DE14C9">
      <w:pPr>
        <w:pStyle w:val="TextoNormal"/>
      </w:pPr>
      <w:r w:rsidRPr="00DE14C9">
        <w:rPr>
          <w:rStyle w:val="NumeroAFNegritaCaracter"/>
        </w:rPr>
        <w:t>7</w:t>
      </w:r>
      <w:r>
        <w:t xml:space="preserve">. El INSS y la TGSS, en escrito registrado el 17 de enero de 2006, presentaron sus alegaciones solicitando la denegación del amparo, argumentando que el órgano judicial </w:t>
      </w:r>
      <w:r>
        <w:lastRenderedPageBreak/>
        <w:t>llevó a cabo una razonable actuación para intentar notificar al recurrente la demanda origen de las actuaciones en el domicilio que constaba en los autos, haciéndolo mediante edictos sólo una vez intentada sin éxito la comunicación personal por correo certificado y a través de agente judicial.</w:t>
      </w:r>
    </w:p>
    <w:p w:rsidR="00DE14C9" w:rsidRDefault="00DE14C9" w:rsidP="00DE14C9">
      <w:pPr>
        <w:pStyle w:val="TextoNormal"/>
      </w:pPr>
    </w:p>
    <w:p w:rsidR="00DE14C9" w:rsidRDefault="00DE14C9" w:rsidP="00DE14C9">
      <w:pPr>
        <w:pStyle w:val="TextoNormal"/>
      </w:pPr>
      <w:r w:rsidRPr="00DE14C9">
        <w:rPr>
          <w:rStyle w:val="NumeroAFNegritaCaracter"/>
        </w:rPr>
        <w:t>8</w:t>
      </w:r>
      <w:r>
        <w:t>. El Ministerio Fiscal, en escrito registrado el 13 de enero de 2006, interesó que se otorgara el amparo por vulneración del derecho a la tutela judicial efectiva (art. 24.1 CE) y se anularan todas actuaciones desde el momento inmediatamente anterior a aquél en que fue emplazado por edictos para que fuera citado personalmente. A esos efectos, argumenta que el proceso se había iniciado por demanda referida a una relación laboral que se había extinguido muchos años antes, habiendo señalado el trabajador el domicilio de la empresa demandada, y no así el de los sucesivos titulares de la misma, que dicho trabajador desconocía, lo que no es puesto en duda por el demandante de amparo. Esta enorme distancia temporal entre el momento de la prestación de servicios y el de la interposición de la demanda motivó que, cuando ésta se presentó, la empresa en la que el trabajador había desempeñado sus funciones hubiese cesado en sus actividades, dándose la circunstancia de que incluso el inmueble en que radicaba había sido demolido, encontrándose en fase de construcción un nuevo edificio. Todo esto le constaba al órgano judicial cuando decidió la citación edictal, sin que ello le llevara a realizar gestión de ninguna índole para tratar de averiguar el domicilio de los titulares del establecimiento, a partir de los datos que constaban en el procedimiento, recabando de cualquier organismo público o registro los datos que le hubiesen permitido la localización y citación personal, como luego acaeció en el procedimiento de ejecución. Así, el Ministerio Fiscal concluye que, dadas las circunstancias del caso, el presupuesto necesario para acudir a la citación edictal no existía, esto es, la convicción razonable o la certeza de no ser localizables los demandados, pues no se realizó gestión alguna para la averiguación de su domicilio.</w:t>
      </w:r>
    </w:p>
    <w:p w:rsidR="00DE14C9" w:rsidRDefault="00DE14C9" w:rsidP="00DE14C9">
      <w:pPr>
        <w:pStyle w:val="TextoNormal"/>
      </w:pPr>
    </w:p>
    <w:p w:rsidR="00DE14C9" w:rsidRDefault="00DE14C9" w:rsidP="00DE14C9">
      <w:pPr>
        <w:pStyle w:val="TextoNormal"/>
      </w:pPr>
      <w:r w:rsidRPr="00DE14C9">
        <w:rPr>
          <w:rStyle w:val="NumeroAFNegritaCaracter"/>
        </w:rPr>
        <w:t>9</w:t>
      </w:r>
      <w:r>
        <w:t>. El recurrente, en escrito registrado el 16 de enero de 2006, presentó sus alegaciones reiterando, en esencia, las expuestas en la demanda de amparo.</w:t>
      </w:r>
    </w:p>
    <w:p w:rsidR="00DE14C9" w:rsidRDefault="00DE14C9" w:rsidP="00DE14C9">
      <w:pPr>
        <w:pStyle w:val="TextoNormal"/>
      </w:pPr>
    </w:p>
    <w:p w:rsidR="00DE14C9" w:rsidRDefault="00DE14C9" w:rsidP="00DE14C9">
      <w:pPr>
        <w:pStyle w:val="TextoNormal"/>
      </w:pPr>
      <w:r w:rsidRPr="00DE14C9">
        <w:rPr>
          <w:rStyle w:val="NumeroAFNegritaCaracter"/>
        </w:rPr>
        <w:t>10</w:t>
      </w:r>
      <w:r>
        <w:t>. Por providencia de 29 de junio de 2007 se señaló para deliberación y votación de la presente Sentencia el día 2 de julio siguiente.</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El objeto de este recurso es determinar si el emplazamiento edictal del que fue objeto el recurrente ha vulnerado su derecho a la tutela judicial efectiva (art. 24.1 CE).</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Este Tribunal ha reiterado que es una garantía contenida en el art. 24.1 CE la necesidad de que los actos de comunicación de los órganos judiciales con las partes se realicen de forma correcta y con la diligencia debida, toda vez que ello es presupuesto para que puedan adoptar la postura que estimen pertinente en defensa de sus intereses (por todas, STC 255/2006, de 11 de septiembre, FJ 2). A esos efectos, este Tribunal ha destacado que pesa sobre los órganos judiciales la responsabilidad de procurar el emplazamiento o citación personal de los demandados, siempre que sea factible, por lo que el emplazamiento edictal </w:t>
      </w:r>
      <w:r>
        <w:lastRenderedPageBreak/>
        <w:t>constituye un remedio último de carácter supletorio y excepcional, que requiere el agotamiento previo por el órgano judicial de las modalidades aptas para asegurar en el mayor grado posible la recepción de la notificación por el destinatario de la misma, a cuyo fin aquél ha de extremar las gestiones en averiguación del paradero de sus destinatarios por los medios normales a su alcance, de manera que el acuerdo o resolución judicial que lleve a tener a la parte en un proceso como persona en ignorado paradero debe fundarse en criterios de razonabilidad que conduzcan a la certeza, o cuando menos a una convicción razonable, de la inutilidad de los medios normales de citación (por todas, STC 306/2006, de 23 de octubre, FJ 2).</w:t>
      </w:r>
    </w:p>
    <w:p w:rsidR="00DE14C9" w:rsidRDefault="00DE14C9" w:rsidP="00DE14C9">
      <w:pPr>
        <w:pStyle w:val="TextoNormal"/>
      </w:pPr>
      <w:r>
        <w:t>En el presente caso, como ha quedado acreditado en las actuaciones y se ha expuesto con más detalle en los antecedentes, el recurrente fue demandado laboralmente, junto con otra persona, en su condición de dueño de un restaurante, intentándose la notificación de la interposición de la demanda en el domicilio en que se desarrolló esta actividad empresarial tanto por correo certificado como mediante agente judicial. El resultado fue en ambos casos negativo, haciéndose constar, en el intento por correo, que el destinatario era desconocido y, en el practicado por agente judicial, que en dicho dirección sólo existía un solar en construcción. También se pone de manifiesto en las actuaciones que al ignorarse el paradero del recurrente la parte actora solicitó su emplazamiento edictal, lo que fue acordado por el órgano judicial sin desarrollar ninguna actuación tendente a la averiguación de un domicilio en que resultara posible la notificación personal al recurrente y que, a partir de ello, ante su incomparecencia, se tramitó el procedimiento en su ausencia hasta que recayó Sentencia, que también le fue notificada por edicto, en la que se le condenaba personalmente. Igualmente se ha puesto de relieve, por un lado, que en el procedimiento de ejecución de esta Sentencia la resolución acordando el embargo de bienes fue notificada personalmente al recurrente en su domicilio, a cuyos datos tuvo acceso el Juzgado de ejecuciones mediante labores de averiguación a través del padrón municipal y, por otro, que el recurrente interpuso incidente de nulidad de actuaciones alegando su defectuosa notificación edictal, siendo rechazado por Auto de 14 de septiembre de 2004 argumentando que los emplazamientos edictales se habían llevado a cabo legalmente tras intentar la notificación en el domicilio de la empresa demandada.</w:t>
      </w:r>
    </w:p>
    <w:p w:rsidR="00DE14C9" w:rsidRDefault="00DE14C9" w:rsidP="00DE14C9">
      <w:pPr>
        <w:pStyle w:val="TextoNormal"/>
      </w:pPr>
    </w:p>
    <w:p w:rsidR="00DE14C9" w:rsidRDefault="00DE14C9" w:rsidP="00DE14C9">
      <w:pPr>
        <w:pStyle w:val="TextoNormal"/>
      </w:pPr>
      <w:r w:rsidRPr="00DE14C9">
        <w:rPr>
          <w:rStyle w:val="NumeroAFNegritaCaracter"/>
        </w:rPr>
        <w:t>3</w:t>
      </w:r>
      <w:r>
        <w:t>. En atención a lo expuesto hay que concluir, conforme también interesa el Ministerio Fiscal, que se ha vulnerado al recurrente su derecho a la tutela judicial efectiva (art. 24.1 CE). En efecto, constatado que el órgano judicial se limitó a autorizar el emplazamiento edictal del recurrente por ser ignorado su paradero, pero sin desplegar actividad indagatoria alguna en oficinas y registros públicos para intentar determinar un domicilio de notificaciones en que pudiera ser emplazado personalmente, se evidencia que el órgano judicial no actuó con la diligencia que constitucionalmente le es exigible. Especialmente, debe tenerse en cuenta en este caso que, con independencia de si el recurrente era demandando como persona física o como representante de una persona jurídica, lo cierto es que el recurrente fue condenado personalmente y el órgano judicial no desplegó ninguna actividad para la averiguación del domicilio ni de la persona jurídica ni de la persona física una vez que tuvo conocimiento que el único domicilio aportado por el actor se correspondía con un solar en construcción. La falta de diligencia del órgano judicial de enjuiciamiento de acudir al emplazamiento edictal del recurrente, sin practicar actuación alguna de averiguación de su domicilio resulta mas patente teniendo en cuenta la aparente facilidad con la que posteriormente el órgano judicial de ejecución accedió a los datos de su domicilio particular, en el que le fue notificada la resolución de embargo.</w:t>
      </w:r>
    </w:p>
    <w:p w:rsidR="00DE14C9" w:rsidRDefault="00DE14C9" w:rsidP="00DE14C9">
      <w:pPr>
        <w:pStyle w:val="TextoNormal"/>
      </w:pPr>
      <w:r>
        <w:lastRenderedPageBreak/>
        <w:t>En contraposición con ello no se cabe afirmar que en este caso la indefensión generada al recurrente fuera causada de manera relevante por su propia actuación. En efecto, este Tribunal ha reiterado que no puede resultar acreedor de la protección del amparo constitucional quien contribuyó de manera activa o negligente a causar la indefensión de la que se queja, lo que determina que también haya de ser objeto de valoración el especial deber de diligencia que pesa sobre el comerciante o empresario que cesa en su actividad profesional de facilitar cauces de comunicación a los efectos de permitir su localización por quienes hasta entonces hubieran mantenido con él negocios y actos relacionados con su giro o tráfico (por todas, STC 76/2006, de 13 de marzo, FJ 3). Sin embargo, en el presente caso, si bien es posible constatar que en cierta medida el recurrente no actuó con la diligencia que le era exigible para posibilitar su localización una vez cesada su actividad empresarial, no lo es menos que, como destaca el Ministerio Fiscal, la enorme distancia temporal entre el momento de la prestación de servicios y el de la interposición de la demanda atenúan de tal manera la influencia que dicha falta de diligencia ha tenido sobre la indefensión provocada, que la única actuación que puede considerarse determinante de la indefensión del recurrente sea la del órgano judicial.</w:t>
      </w:r>
    </w:p>
    <w:p w:rsidR="00DE14C9" w:rsidRDefault="00DE14C9" w:rsidP="00DE14C9">
      <w:pPr>
        <w:pStyle w:val="TextoNormal"/>
      </w:pPr>
      <w:r>
        <w:t>En conclusión, la falta de diligencia del órgano judicial en la averiguación del domicilio de notificaciones que derivó en la tramitación en rebeldía del procedimiento en que resultó condenado el recurrente, unida al hecho de que no existan datos o circunstancias de los que pueda inferirse que éste hubiera tenido un conocimiento extrajudicial del mismo antes de que le fuera notificada la resolución de embargo ni de un actuar especialmente falto de diligencia a los efectos de que se posibilitara su localización, determinan que deba otorgarse el amparo solicitado, a cuyos efectos debe anularse el Auto impugnado y todas las actuaciones llevadas a cabo en relación con el recurrente desde el defectuoso emplazamiento en dicho procedimiento y en el de ejecución a que dio lugar, con retroacción de actuaciones a dicho momento procesal para que se practique el emplazamiento con respeto a su derecho a la tutela judicial efectiva.</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a don Ángel Ramírez Notario el amparo solicitado y, en consecuencia:</w:t>
      </w:r>
    </w:p>
    <w:p w:rsidR="00DE14C9" w:rsidRDefault="00DE14C9" w:rsidP="00DE14C9">
      <w:pPr>
        <w:pStyle w:val="TextoNormal"/>
      </w:pPr>
      <w:r>
        <w:t>1º Reconocer su derecho a la tutela judicial efectiva sin indefensión (art. 24.1 CE).</w:t>
      </w:r>
    </w:p>
    <w:p w:rsidR="00DE14C9" w:rsidRDefault="00DE14C9" w:rsidP="00DE14C9">
      <w:pPr>
        <w:pStyle w:val="TextoNormal"/>
      </w:pPr>
      <w:r>
        <w:t>2º Declarar la nulidad del Auto del Juzgado de lo Social núm. 2 de Barcelona de 14 de septiembre de 2004, dictado en el procedimiento núm. 1317-1999, así como anular las actuaciones practicadas a partir del momento del emplazamiento en dicho procedimiento y en el de ejecución que trae causa del mismo, exclusivamente en lo que se refiere al recurrente.</w:t>
      </w:r>
    </w:p>
    <w:p w:rsidR="00DE14C9" w:rsidRDefault="00DE14C9" w:rsidP="00DE14C9">
      <w:pPr>
        <w:pStyle w:val="TextoNormal"/>
      </w:pPr>
      <w:r>
        <w:t>3º Retrotraer las actuaciones, exclusivamente en lo que se refiere al recurrente, a dicho momento procesal para que se practique el emplazamiento con respeto al derecho fundamental reconocido.</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dos de julio de dos mil siete.</w:t>
      </w:r>
    </w:p>
    <w:p w:rsidR="00DE14C9" w:rsidRDefault="00DE14C9">
      <w:pPr>
        <w:spacing w:after="160" w:line="259" w:lineRule="auto"/>
        <w:rPr>
          <w:rFonts w:ascii="Times New Roman" w:eastAsia="Times New Roman" w:hAnsi="Times New Roman" w:cs="Times New Roman"/>
          <w:sz w:val="24"/>
          <w:szCs w:val="24"/>
          <w:lang w:eastAsia="es-ES"/>
        </w:rPr>
      </w:pPr>
      <w:r>
        <w:lastRenderedPageBreak/>
        <w:br w:type="page"/>
      </w:r>
    </w:p>
    <w:p w:rsidR="00DE14C9" w:rsidRDefault="00DE14C9" w:rsidP="00DE14C9">
      <w:pPr>
        <w:pStyle w:val="TtuloResolucin"/>
      </w:pPr>
      <w:bookmarkStart w:id="72" w:name="SENTENCIA_2007_159"/>
      <w:r>
        <w:lastRenderedPageBreak/>
        <w:t>SENTENCIA 159/2007, de 2 de julio de 2007</w:t>
      </w:r>
    </w:p>
    <w:bookmarkEnd w:id="72"/>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185, de 3 de agosto de 2007)</w:t>
      </w:r>
    </w:p>
    <w:p w:rsidR="00DE14C9" w:rsidRDefault="00DE14C9" w:rsidP="00DE14C9">
      <w:pPr>
        <w:pStyle w:val="TtuloBOE"/>
      </w:pPr>
    </w:p>
    <w:p w:rsidR="00DE14C9" w:rsidRDefault="00DE14C9" w:rsidP="00DE14C9">
      <w:pPr>
        <w:pStyle w:val="SntesisDescriptiva"/>
      </w:pPr>
      <w:r>
        <w:t>ECLI:ES:TC:2007:159</w:t>
      </w:r>
    </w:p>
    <w:p w:rsidR="00DE14C9" w:rsidRDefault="00DE14C9" w:rsidP="00DE14C9">
      <w:pPr>
        <w:pStyle w:val="SntesisDescriptiva"/>
      </w:pPr>
    </w:p>
    <w:p w:rsidR="00DE14C9" w:rsidRDefault="00DE14C9" w:rsidP="00DE14C9">
      <w:pPr>
        <w:pStyle w:val="SntesisDescriptiva"/>
      </w:pPr>
      <w:r>
        <w:t>Recurso de amparo 6465-2004. Promovido por Triturados Reylo, S.A., frente a las resoluciones de la Sala de lo Contencioso-Administrativo del Tribunal Superior de Justicia de Murcia que no admitieron su escrito de demanda en litigio con la Región de Murcia por sanción de prevención de riesgos laborales.</w:t>
      </w:r>
    </w:p>
    <w:p w:rsidR="00DE14C9" w:rsidRDefault="00DE14C9" w:rsidP="00DE14C9">
      <w:pPr>
        <w:pStyle w:val="SntesisDescriptiva"/>
      </w:pPr>
    </w:p>
    <w:p w:rsidR="00DE14C9" w:rsidRDefault="00DE14C9" w:rsidP="00DE14C9">
      <w:pPr>
        <w:pStyle w:val="SntesisAnaltica"/>
      </w:pPr>
      <w:r>
        <w:t>Vulneración del derecho a la tutela judicial efectiva (acceso a la justicia): inadmisión de demanda contencioso-administrativa por extemporánea, presentada en la mañana siguiente al día en que fue notificada la caducidad del recurso, a tenor de la nueva Ley de enjuiciamiento civil (STC 64/2005).</w:t>
      </w:r>
    </w:p>
    <w:p w:rsidR="00DE14C9" w:rsidRDefault="00DE14C9" w:rsidP="00DE14C9">
      <w:pPr>
        <w:pStyle w:val="SntesisAnaltica"/>
      </w:pPr>
    </w:p>
    <w:p w:rsidR="00DE14C9" w:rsidRDefault="00DE14C9" w:rsidP="00DE14C9">
      <w:pPr>
        <w:pStyle w:val="Extracto"/>
      </w:pPr>
      <w:r>
        <w:t>1.</w:t>
      </w:r>
      <w:r>
        <w:tab/>
        <w:t>Mediante una argumentación que no supera el canon de razonabilidad, el órgano judicial ha impedido a la demandante de amparo disponer de la integridad del plazo establecido legalmente para presentar su demanda en el procedimiento contencioso, vulnerándose así el derecho fundamental a la tutela judicial efectiva (STC 348/2006) [FJ 3].</w:t>
      </w:r>
    </w:p>
    <w:p w:rsidR="00DE14C9" w:rsidRDefault="00DE14C9" w:rsidP="00DE14C9">
      <w:pPr>
        <w:pStyle w:val="Extracto"/>
      </w:pPr>
    </w:p>
    <w:p w:rsidR="00DE14C9" w:rsidRDefault="00DE14C9" w:rsidP="00DE14C9">
      <w:pPr>
        <w:pStyle w:val="Extracto"/>
      </w:pPr>
      <w:r>
        <w:t>2.</w:t>
      </w:r>
      <w:r>
        <w:tab/>
        <w:t>Constituye una interpretación vedada en materia de acceso a la jurisdicción, por el desproporcionado sacrificio de intereses que comporta, la que produce como resultado final un acortamiento del plazo para dicho acceso, haciendo impracticable el derecho al disfrute del plazo para interponer el recurso en su totalidad (SSTC 64/2005, 239/2005) [FJ 2].</w:t>
      </w:r>
    </w:p>
    <w:p w:rsidR="00DE14C9" w:rsidRDefault="00DE14C9" w:rsidP="00DE14C9">
      <w:pPr>
        <w:pStyle w:val="Extracto"/>
      </w:pPr>
    </w:p>
    <w:p w:rsidR="00DE14C9" w:rsidRDefault="00DE14C9" w:rsidP="00DE14C9">
      <w:pPr>
        <w:pStyle w:val="Extracto"/>
      </w:pPr>
      <w:r>
        <w:t>3.</w:t>
      </w:r>
      <w:r>
        <w:tab/>
        <w:t>La interpretación y aplicación que el órgano judicial ha realizado de los arts. 52.2 y 128.1 LJCA y 135 LEC ha supuesto una vulneración del derecho a la tutela judicial efectiva de la actora [FJ 2].</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lastRenderedPageBreak/>
        <w:t>SENTENCIA</w:t>
      </w:r>
    </w:p>
    <w:p w:rsidR="00DE14C9" w:rsidRDefault="00DE14C9" w:rsidP="00DE14C9">
      <w:pPr>
        <w:pStyle w:val="TextoNormalCentrado"/>
        <w:keepNext/>
      </w:pPr>
    </w:p>
    <w:p w:rsidR="00DE14C9" w:rsidRDefault="00DE14C9" w:rsidP="00DE14C9">
      <w:pPr>
        <w:pStyle w:val="TextoNormal"/>
      </w:pPr>
      <w:r>
        <w:t>En el recurso de amparo núm. 6465-2004, promovido por Triturados Reylo, S.A., representada por el Procurador de los Tribunales don Manuel Infante Sánchez y asistida por el Letrado don Manuel Martínez Garrido, contra la providencia de la Sección Primera de la Sala de lo Contencioso-Administrativo del Tribunal Superior de Justicia de Murcia, de 10 de diciembre de 2003, que no admitió el escrito de demanda presentado al amparo del art. 135.1 de la Ley de enjuiciamiento civil en el procedimiento ordinario 1940-2003, así como contra el Auto de 9 de febrero de 2004, que desestimó el recurso de súplica interpuesto frente a dicha providencia, y el Auto de 29 de julio de 2004, que desestimó el incidente de nulidad de actuaciones promovido frente a las anteriores resoluciones. Ha sido parte la Letrada de la Comunidad Autónoma de la Región de Murcia y ha intervenido el Ministerio Fiscal. Ha sido Ponente la Magistrada doña Elisa Pérez Vera,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el Registro General de este Tribunal el 29 de octubre de 2004, el Procurador de los Tribunales don Manuel Infante Sánchez, en representación de la recurrente, formuló demanda de amparo, impugnando las resoluciones mencionadas en el encabezamiento de esta Sentencia.</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de los que trae causa la demanda de amparo son, en síntesis, los siguientes: </w:t>
      </w:r>
    </w:p>
    <w:p w:rsidR="00DE14C9" w:rsidRDefault="00DE14C9" w:rsidP="00DE14C9">
      <w:pPr>
        <w:pStyle w:val="TextoNormal"/>
      </w:pPr>
      <w:r>
        <w:t xml:space="preserve">a) Mediante Resolución de 21 de agosto de 2002, el Director General de Industria, Energía y Minas de la Comunidad Autónoma de la Región de Murcia impuso a la actora una sanción de 27.210 euros, por infracción de normas referidas a la prevención de riesgos laborales. Frente a dicha resolución presentó la demandante recurso de alzada, que fue desestimado por Orden del Consejero de Ciencia, Tecnología, Industria y Comercio de 28 de marzo de 2003, que le fue notificada el 3 de abril siguiente. </w:t>
      </w:r>
    </w:p>
    <w:p w:rsidR="00DE14C9" w:rsidRDefault="00DE14C9" w:rsidP="00DE14C9">
      <w:pPr>
        <w:pStyle w:val="TextoNormal"/>
      </w:pPr>
      <w:r>
        <w:t xml:space="preserve">b) El 3 de junio de 2003 la actora presentó escrito promoviendo recurso contencioso-administrativo contra las resoluciones sancionadoras. </w:t>
      </w:r>
    </w:p>
    <w:p w:rsidR="00DE14C9" w:rsidRDefault="00DE14C9" w:rsidP="00DE14C9">
      <w:pPr>
        <w:pStyle w:val="TextoNormal"/>
      </w:pPr>
      <w:r>
        <w:t xml:space="preserve">c) Mediante diligencia de ordenación de 10 de octubre de 2003 (notificada el día 17 siguiente), la Sección Primera de la Sala de lo Contencioso-Administrativo de la Región de Murcia dio traslado a la recurrente para que en el plazo de veinte días formalizara la demanda. El 27 de noviembre de 2003 la Sala dictó Auto declarando caducado el recurso al no haberse presentado la demanda dentro del plazo concedido al efecto. La anterior resolución fue notificada a la recurrente con fecha 3 de diciembre de 2003, presentando ésta su demanda al día siguiente antes de las 15 horas. Mediante providencia de 10 de diciembre de 2003 el órgano judicial acordó devolver el escrito y estar a lo acordado en el Auto referido, conforme a lo dispuesto en el art. 128 LJCA. </w:t>
      </w:r>
    </w:p>
    <w:p w:rsidR="00DE14C9" w:rsidRDefault="00DE14C9" w:rsidP="00DE14C9">
      <w:pPr>
        <w:pStyle w:val="TextoNormal"/>
      </w:pPr>
      <w:r>
        <w:t xml:space="preserve">d) Frente a esta resolución formuló la actora recurso de súplica, en el que invocó la aplicabilidad del art. 135.1 LEC, alegando en síntesis que, de no admitirse esa opción, se le privaría de la posibilidad de presentación de la demanda dentro de las 24 horas del mismo día en el que se le notificó el Auto de caducidad. El recurso fue desestimado por Auto de 9 de febrero de 2004, en el que se invocó lo dispuesto en el ultimo inciso del art. 52.2 LJCA que, a juicio de la Sala, excluía la aplicación del precepto invocado por la actora, ya que la supletoriedad que contemplan tanto la LEC como la LJCA solamente juega en defecto de </w:t>
      </w:r>
      <w:r>
        <w:lastRenderedPageBreak/>
        <w:t xml:space="preserve">disposiciones al respecto, “por lo que regulándose específicamente en la LJCA la presentación fuera de plazo de la demanda ha de estarse a sus concretas disposiciones”. </w:t>
      </w:r>
    </w:p>
    <w:p w:rsidR="00DE14C9" w:rsidRDefault="00DE14C9" w:rsidP="00DE14C9">
      <w:pPr>
        <w:pStyle w:val="TextoNormal"/>
      </w:pPr>
      <w:r>
        <w:t xml:space="preserve">e) La actora presentó escrito promoviendo incidente de nulidad de actuaciones frente a la providencia de 10 de diciembre de 2003 y al Auto de 9 de febrero de 2004, alegando, entre otros razonamientos, que la Sala Tercera del Tribunal Supremo había admitido la aplicación del art. 135.1 LEC a supuestos similares. Al mismo tiempo, la actora interpuso recurso de amparo (seguido ante la Sala Segunda de este Tribunal con el núm. 1595-2004). </w:t>
      </w:r>
    </w:p>
    <w:p w:rsidR="00DE14C9" w:rsidRDefault="00DE14C9" w:rsidP="00DE14C9">
      <w:pPr>
        <w:pStyle w:val="TextoNormal"/>
      </w:pPr>
      <w:r>
        <w:t xml:space="preserve">f) El incidente de nulidad fue desestimado por Auto de 29 de julio de 2004, en el que, en apoyo de la tesis sustentada por el órgano judicial, se invocaba la Sentencia de la Sala Tercera del Tribunal Supremo de 2 de diciembre de 2002, dictada en unificación de doctrina, según la cual no resultaría de aplicación el art. 135 LEC al inciso primero del párrafo segundo del art. 128.1 LJCA por contener éste una regulación completa de la cuestión. </w:t>
      </w:r>
    </w:p>
    <w:p w:rsidR="00DE14C9" w:rsidRDefault="00DE14C9" w:rsidP="00DE14C9">
      <w:pPr>
        <w:pStyle w:val="TextoNormal"/>
      </w:pPr>
      <w:r>
        <w:t>Por su parte, el recurso de amparo fue inadmitido por providencia de la Sección Tercera de este Tribunal de 23 de octubre de 2006, al considerarlo prematuro por no haberse concluido aún la vía judicial previa.</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La demandante de amparo alega la vulneración de sus derechos a la tutela judicial efectiva y a un proceso con todas las garantías (art. 24 CE) como consecuencia de no habérsele admitido la presentación de la demanda al amparo del art. 135.1 LEC. Afirma que se debe reconocer la aplicación supletoria, en el procedimiento contencioso-administrativo, del art. 135.1 LEC que “permite”, a juicio de la recurrente, presentar el recurso hasta las quince horas del día hábil siguiente al de finalización del plazo legal otorgado por la ley, porque es la única forma de garantizar que pueda cumplirse la regla del art. 52.2 LJCA en cuanto a la posibilidad de presentar la demanda dentro del día en que se notifique el auto de caducidad del recurso, de manera que se pueda disponer del día completo, ya que ésta es la interpretación que impone el art. 24 CE. En suma, entiende que la presentación de su demanda fue realizada dentro de plazo y debió entrarse a conocer del fondo del asunto. </w:t>
      </w:r>
    </w:p>
    <w:p w:rsidR="00DE14C9" w:rsidRDefault="00DE14C9" w:rsidP="00DE14C9">
      <w:pPr>
        <w:pStyle w:val="TextoNormal"/>
      </w:pPr>
      <w:r>
        <w:t>Además, como la Sala de lo Contencioso-Administrativo del Tribunal Supremo dictó Sentencia para unificación de doctrina por la que entendía suficiente para enervar la caducidad la presentación de la demanda hasta las quince horas del día siguiente a aquel en que fue notificado el Auto de caducidad, la no aplicación en la litis que nos ocupa de dicha regla implicaría la vulneración del derecho a obtener un tratamiento igual por parte de los Tribunales de Justicia.</w:t>
      </w:r>
    </w:p>
    <w:p w:rsidR="00DE14C9" w:rsidRDefault="00DE14C9" w:rsidP="00DE14C9">
      <w:pPr>
        <w:pStyle w:val="TextoNormal"/>
      </w:pPr>
    </w:p>
    <w:p w:rsidR="00DE14C9" w:rsidRDefault="00DE14C9" w:rsidP="00DE14C9">
      <w:pPr>
        <w:pStyle w:val="TextoNormal"/>
      </w:pPr>
      <w:r w:rsidRPr="00DE14C9">
        <w:rPr>
          <w:rStyle w:val="NumeroAFNegritaCaracter"/>
        </w:rPr>
        <w:t>4</w:t>
      </w:r>
      <w:r>
        <w:t>. Por resolución de 20 de noviembre de 2006 la Sala Segunda, de conformidad con lo dispuesto en el art. 11.2 LOTC, acordó conocer del recurso de amparo, admitir a trámite la demanda, y, a tenor del art. 51 LOTC, librar atenta comunicación a la Sala de lo Contencioso-Administrativo del Tribunal Superior de Justicia de Murcia, Sección Primera, para que en un plazo que no excediera de diez días remitiese certificación o fotocopia adverada de las actuaciones correspondientes al procedimiento ordinario núm. 1940-2003, con emplazamiento previo de quienes hubieran sido parte en el procedimiento, excepto la parte recurrente en amparo, para que, en el término de diez días, pudieran comparecer en el presente proceso constitucional. Igual comunicación se dirigió a la Consejería de Ciencia, Tecnología, Industria y Comercio de la Región de Murcia, a fin de que en plazo que no excediera de diez días, remitiera certificación o fotocopia adverada del expediente sancionador núm. 3CO2PS0135.</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5</w:t>
      </w:r>
      <w:r>
        <w:t>. El 3 de enero de 2007 tuvo entrada en el Registro General de este Tribunal escrito de la Letrada de la Comunidad Autónoma de la Región de Murcia, personándose en el presente recurso de amparo.</w:t>
      </w:r>
    </w:p>
    <w:p w:rsidR="00DE14C9" w:rsidRDefault="00DE14C9" w:rsidP="00DE14C9">
      <w:pPr>
        <w:pStyle w:val="TextoNormal"/>
      </w:pPr>
    </w:p>
    <w:p w:rsidR="00DE14C9" w:rsidRDefault="00DE14C9" w:rsidP="00DE14C9">
      <w:pPr>
        <w:pStyle w:val="TextoNormal"/>
      </w:pPr>
      <w:r w:rsidRPr="00DE14C9">
        <w:rPr>
          <w:rStyle w:val="NumeroAFNegritaCaracter"/>
        </w:rPr>
        <w:t>6</w:t>
      </w:r>
      <w:r>
        <w:t>. Mediante diligencia de ordenación de 30 de enero de 2007 se tuvo por personada y parte a la Letrada de la Comunidad Autónoma de la Región de Murcia, en la representación que ostenta, decidiéndose que se entenderían con ella las sucesivas actuaciones. Asimismo, se acordó dar vista de las actuaciones recibidas a las partes personadas y al Ministerio Fiscal, por plazo común de veinte días, para que pudieran formular las alegaciones que estimaran pertinentes, de conformidad con lo dispuesto en el art. 52.1 LOTC.</w:t>
      </w:r>
    </w:p>
    <w:p w:rsidR="00DE14C9" w:rsidRDefault="00DE14C9" w:rsidP="00DE14C9">
      <w:pPr>
        <w:pStyle w:val="TextoNormal"/>
      </w:pPr>
    </w:p>
    <w:p w:rsidR="00DE14C9" w:rsidRDefault="00DE14C9" w:rsidP="00DE14C9">
      <w:pPr>
        <w:pStyle w:val="TextoNormal"/>
      </w:pPr>
      <w:r w:rsidRPr="00DE14C9">
        <w:rPr>
          <w:rStyle w:val="NumeroAFNegritaCaracter"/>
        </w:rPr>
        <w:t>7</w:t>
      </w:r>
      <w:r>
        <w:t xml:space="preserve">. La Letrada de la Comunidad Autónoma de la Región de Murcia presentó escrito de alegaciones el 22 de febrero de 2007, mostrando su oposición al otorgamiento del amparo. Tras exponer las quejas de la recurrente, se refiere al art. 52.2 LJCA, señalando que no puede entenderse, sin más, como referido al término de las 24 horas siguientes a aquella en que se notificó el Auto, y tampoco cabe entender que resulte aplicable, sin ningún otro requisito procesal, el art. 135.1 LEC a los supuestos de cumplimentación de trámites dentro del día en que se notifica el Auto de caducidad del trámite de que se trate. En este sentido, señala que, aunque la entrada en vigor de la LEC supuso una alteración en el régimen de presentación de escritos, el Consejo General del Poder Judicial, en el Acuerdo reglamentario 3-2001 estableció las cautelas necesarias para no convertir el art. 135.1 LEC en una consagración de la falta de diligencia de la parte llamada a cumplimentar un trámite (art. 41). </w:t>
      </w:r>
    </w:p>
    <w:p w:rsidR="00DE14C9" w:rsidRDefault="00DE14C9" w:rsidP="00DE14C9">
      <w:pPr>
        <w:pStyle w:val="TextoNormal"/>
      </w:pPr>
      <w:r>
        <w:t xml:space="preserve">Atendiendo a los distintos criterios hermenéuticos que ofrece el Código civil, sostiene la Letrada de la Comunidad Autónoma de la Región de Murcia que a la presentación extemporánea de la demanda es aplicable el art. 52.2 LJCA, y que no cabe considerar extensible el término fijado por la norma aplicable, sino que, para que el trámite se considere válido y produzca sus efectos legales, debe cumplimentarse dentro del día en que se notifica el auto de caducidad. A su juicio, tampoco resulta aplicable la excepción contenida en el art. 135 LEC para la presentación de escritos, puesto que la LJCA “ya otorga a las partes implicadas en el proceso un plazo mucho mayor que el que concede el referido artículo 135, al prescribir que los escritos producirán sus efectos legales si se presentan el día en que se notifique el auto de caducidad”. La LEC sólo es norma supletoria de la LJCA para cuando ésta contenga lagunas, situación que no cabe afirmar en cuanto a este supuesto. En suma, la única forma de respetar las disposiciones contenidas en el art. 52.2 LJCA, el equilibrio de las partes, el principio pro actione, la supletoriedad de la LEC y la interpretación de las normas establecida en el art. 3 CC es entender que la dicción del referido art. 52.2 es la que es, y que la parte que haya sido notificada de la caducidad del trámite de formalización de demanda y no pueda cumplimentarlo antes del cierre del Registro correspondiente, pero que, sin embargo, sí lo haga en el plazo establecido por la LJCA, ha de acreditar su presentación en tiempo y forma mediante la aportación del correspondiente certificado emitido por el Juzgado de guardia. </w:t>
      </w:r>
    </w:p>
    <w:p w:rsidR="00DE14C9" w:rsidRDefault="00DE14C9" w:rsidP="00DE14C9">
      <w:pPr>
        <w:pStyle w:val="TextoNormal"/>
      </w:pPr>
      <w:r>
        <w:t xml:space="preserve">Por otra parte, sostiene la Letrada de la Comunidad Autónoma de la Región de Murcia que no existe laguna alguna en relación con los plazos para la presentación de la demanda en la LJCA, porque ésta ha previsto un régimen específico para su formulación, estableciendo una clara distinción entre “plazo” y “término”. Así, el art. 52.1 otorga un plazo de veinte días para la formalización de la demanda, cuyo transcurso produce ope legis la caducidad. Este es el único plazo que, para formalizar la demanda, concede la Ley, mientras que </w:t>
      </w:r>
      <w:r>
        <w:lastRenderedPageBreak/>
        <w:t xml:space="preserve">lo que establece el último punto del art. 52.2 es un término, que es el del día en que se notifique el auto de caducidad, pero no se otorga un nuevo plazo para la cumplimentación del trámite, sino que se establece una regla que consagra el principio pro actione y trata de garantizar el acceso a la jurisdicción, otorgando efectos legales a una actuación efectuada fuera de plazo. A diferencia de este régimen, el art. 135 LEC se refiere expresamente a los escritos “sujetos a plazo” y no cabe pensar que la prórroga que para su presentación se contiene pueda ser extensible a los términos. Por tanto, esta previsión únicamente podría aplicarse al plazo que para formalizar la demanda se establece en la LJCA, permitiendo su presentación hasta las 15 horas del siguiente día hábil. En cualquier caso, señala la representante de la Administración que el régimen instituido por la LJCA resulta extremadamente más favorable que el previsto en la LEC, ya que supone la posibilidad de ampliación del plazo inicialmente concedido en ocasiones por meses, por virtud de la dicción del art. 52.2, y no sólo hasta las 15:00 horas del día siguiente a aquél en que expira el plazo. </w:t>
      </w:r>
    </w:p>
    <w:p w:rsidR="00DE14C9" w:rsidRDefault="00DE14C9" w:rsidP="00DE14C9">
      <w:pPr>
        <w:pStyle w:val="TextoNormal"/>
      </w:pPr>
      <w:r>
        <w:t>Finalmente, se aduce en el escrito de alegaciones que no puede hablarse de quiebra o vulneración del principio de igualdad, pues no nos encontramos en presencia de resoluciones judiciales discriminatorias, sino que en las mismas se motiva, justifica y razona la decisión adoptada por la Sala juzgadora sin perjuicio de que en otros casos que guarden una cierta similitud con el que nos ocupa, otros Tribunales diferentes hayan efectuado otra interpretación de las normas aplicables; pero la diferente interpretación de unas determinadas normas por distintos Tribunales no supone vulneración del principio de igualdad, siempre que las resoluciones de que se trate no puedan ser tachadas de arbitrarias, ilógicas o irracionales, o bien justifiquen, expliquen y razonen los motivos de separación de criterios anteriormente sostenidos.</w:t>
      </w:r>
    </w:p>
    <w:p w:rsidR="00DE14C9" w:rsidRDefault="00DE14C9" w:rsidP="00DE14C9">
      <w:pPr>
        <w:pStyle w:val="TextoNormal"/>
      </w:pPr>
    </w:p>
    <w:p w:rsidR="00DE14C9" w:rsidRDefault="00DE14C9" w:rsidP="00DE14C9">
      <w:pPr>
        <w:pStyle w:val="TextoNormal"/>
      </w:pPr>
      <w:r w:rsidRPr="00DE14C9">
        <w:rPr>
          <w:rStyle w:val="NumeroAFNegritaCaracter"/>
        </w:rPr>
        <w:t>8</w:t>
      </w:r>
      <w:r>
        <w:t>. La representación de la demandante de amparo presentó su escrito de alegaciones con fecha 6 de marzo de 2007, reproduciendo las formuladas en la demanda, a las que añadió la cita de Sentencias recientes del Tribunal Supremo que avalan la aplicación del art. 135.1 LEC al presente supuesto, recaídas, incluso, en recursos para unificación de doctrina, y la de la STC 239/2005, de 26 de septiembre, dictada en un asunto similar. De otro lado, recuerda que se aportó con la demanda el Acuerdo por el que se fija el horario de recepción de escritos y documentos en el Tribunal Superior de Justicia de Murcia, en el que no existe previsión alguna para la recepción de escritos o documentos desde las 15 horas hasta las 24 horas del día, por lo que resulta de todo punto imposible presentar el escrito de demanda dentro de las 24 horas del día en que se notifica el Auto de caducidad.</w:t>
      </w:r>
    </w:p>
    <w:p w:rsidR="00DE14C9" w:rsidRDefault="00DE14C9" w:rsidP="00DE14C9">
      <w:pPr>
        <w:pStyle w:val="TextoNormal"/>
      </w:pPr>
    </w:p>
    <w:p w:rsidR="00DE14C9" w:rsidRDefault="00DE14C9" w:rsidP="00DE14C9">
      <w:pPr>
        <w:pStyle w:val="TextoNormal"/>
      </w:pPr>
      <w:r w:rsidRPr="00DE14C9">
        <w:rPr>
          <w:rStyle w:val="NumeroAFNegritaCaracter"/>
        </w:rPr>
        <w:t>9</w:t>
      </w:r>
      <w:r>
        <w:t xml:space="preserve">. El Ministerio Fiscal, en escrito de alegaciones registrado el 7 de marzo de 2007, interesó que se dicte Sentencia otorgando el amparo solicitado, con declaración de nulidad de la resoluciones impugnadas y retroacción de las actuaciones al momento inmediatamente anterior a la providencia de 10 de diciembre de 2003, para que se dicte otra resolución respetuosa con los derechos que se declaran vulnerados. Una vez expuestos los antecedentes del caso y las quejas de la demandante, señala el Fiscal que la cuestión debe ser resuelta conforme a la doctrina constitucional general sobre el derecho a la tutela judicial efectiva en su vertiente de acceso a la jurisdicción y el juego del principio pro actione, así como los específicos pronunciamientos sobre esta cuestión en el procedimiento contencioso-administrativo, especialmente, las SSTC 64/2005, de 14 de marzo, y 335/2006, de 20 de noviembre, dictadas con ocasión de sendos casos de derecho de acceso a la jurisdicción contencioso-administrativa, con aplicación del art. 135.1 LEC. En dichas resoluciones, el Tribunal determina que la clave del planteamiento se refiere a un problema relativo a la posibilidad de </w:t>
      </w:r>
      <w:r>
        <w:lastRenderedPageBreak/>
        <w:t xml:space="preserve">disponer en su integridad del plazo legalmente establecido, que es, básicamente y en términos esenciales, el aspecto en el que ha de centrarse el análisis del presente supuesto; esto es, si se ha privado o no a la demandante de amparo de la posibilidad de disponer de la integridad del plazo que tenía conforme a las previsiones legales, habida cuenta del sistema de presentación de escritos vigente al tiempo de plantearse el problema. </w:t>
      </w:r>
    </w:p>
    <w:p w:rsidR="00DE14C9" w:rsidRDefault="00DE14C9" w:rsidP="00DE14C9">
      <w:pPr>
        <w:pStyle w:val="TextoNormal"/>
      </w:pPr>
      <w:r>
        <w:t>Afirma el Ministerio Fiscal que la interpretación que efectúa la Sección Primera de la Sala de lo Contencioso-Administrativo del Tribunal Superior de Justicia de Murcia parte de una exégesis rigorista del art. 128.1 LJCA, que podría vaciar de contenido el propio art. 52.2 de la misma Ley, ante la imposibilidad acreditada en autos de presentar escritos en el orden Contencioso-Administrativo a partir de las 15 horas. La argumentación de la Sala no da respuesta a la cuestión capital, conforme a la doctrina de este Tribunal, de cómo y dónde el recurrente, en aplicación de esa pretendidamente completa regulación de la materia, debería haber presentado la demanda fuera del horario ordinario en el que permanece abierto el Registro para preservar su derecho a disponer del plazo en su integridad. En tal medida, no supera el canon de razonabilidad exigible desde la perspectiva constitucional. En definitiva, la posición del órgano judicial conduce a hacer impracticable el derecho a disponer del plazo legalmente previsto en su integridad y cierra el paso al procedimiento contencioso-administrativo y a la obtención de una resolución de fondo sobre el asunto de modo insalvable, haciendo prevalecer una interpretación de carácter formalista y de un rigor desproporcionado en relación con los fines que se tratan de proteger con el establecimiento legal de la causa de inadmisión aplicada, en exégesis que resulta ser la menos favorable a la efectividad del derecho fundamental en juego, y, por ende, contraria al principio pro actione. Por tales razones, debe entenderse existente una vulneración del derecho a la tutela judicial efectiva del art. 24.1 CE.</w:t>
      </w:r>
    </w:p>
    <w:p w:rsidR="00DE14C9" w:rsidRDefault="00DE14C9" w:rsidP="00DE14C9">
      <w:pPr>
        <w:pStyle w:val="TextoNormal"/>
      </w:pPr>
    </w:p>
    <w:p w:rsidR="00DE14C9" w:rsidRDefault="00DE14C9" w:rsidP="00DE14C9">
      <w:pPr>
        <w:pStyle w:val="TextoNormal"/>
      </w:pPr>
      <w:r w:rsidRPr="00DE14C9">
        <w:rPr>
          <w:rStyle w:val="NumeroAFNegritaCaracter"/>
        </w:rPr>
        <w:t>10</w:t>
      </w:r>
      <w:r>
        <w:t>. Por providencia de 28 de junio de 2007 se señaló para deliberación y fallo de la presente Sentencia el día 2 de julio del mismo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xml:space="preserve">. La recurrente en el presente recurso de amparo dirige su impugnación contra la providencia de la Sección Primera de la Sala de lo Contencioso-Administrativo del Tribunal Superior de Justicia de Murcia, de 10 de diciembre de 2003, que no admitió el escrito de demanda presentado al amparo del art. 135.1 de la Ley de enjuiciamiento civil (LEC) en el procedimiento ordinario núm. 1940-2003, así como contra el Auto de 9 de febrero de 2004, que desestimó el recurso de súplica interpuesto frente a dicha providencia. Asimismo, impugna el Auto de 29 de julio de 2004, que desestimó el incidente de nulidad de actuaciones promovido contra las anteriores resoluciones. La demandante aduce, en síntesis, que las resoluciones impugnadas han vulnerado sus derechos a la tutela judicial efectiva y a un proceso con todas las garantías, por no haber aplicado supletoriamente la previsión del art. 135 LEC a la demanda presentada en el procedimiento contencioso-administrativo, lo que le habría impedido disponer de la totalidad del plazo legalmente establecido para presentarla de conformidad con la regla del art. 52.2 de la Ley de la jurisdicción contencioso-administrativa (LJCA), cuyo cumplimiento no queda garantizado. También alega la vulneración del derecho a obtener igual tratamiento por parte de los Tribunales de Justicia, ya que existen resoluciones de la Sala de lo Contencioso-Administrativo del Tribunal Supremo, dictadas </w:t>
      </w:r>
      <w:r>
        <w:lastRenderedPageBreak/>
        <w:t>para unificación de doctrina, que consideran suficiente para enervar la caducidad la presentación de la demanda hasta las quince horas del día siguiente a aquél en que fue notificado el Auto de caducidad.</w:t>
      </w:r>
    </w:p>
    <w:p w:rsidR="00DE14C9" w:rsidRDefault="00DE14C9" w:rsidP="00DE14C9">
      <w:pPr>
        <w:pStyle w:val="TextoNormal"/>
      </w:pPr>
      <w:r>
        <w:t>También ha interesado el otorgamiento del amparo el Ministerio Fiscal, por entender que se ha vulnerado el derecho a la tutela judicial efectiva de la actora, al hacer impracticable su derecho a disponer del plazo legalmente previsto en su integridad.</w:t>
      </w:r>
    </w:p>
    <w:p w:rsidR="00DE14C9" w:rsidRDefault="00DE14C9" w:rsidP="00DE14C9">
      <w:pPr>
        <w:pStyle w:val="TextoNormal"/>
      </w:pPr>
      <w:r>
        <w:t>Por su parte, la Letrada de la Comunidad Autónoma de la Región de Murcia se ha opuesto al otorgamiento del amparo, por considerar que la argumentación empleada por el órgano judicial para no admitir la presentación de la demanda se fundamenta en una interpretación de los preceptos de la Ley de la jurisdicción contencioso-administrativa conforme con los criterios hermenéuticos que ofrece nuestro Ordenamiento.</w:t>
      </w:r>
    </w:p>
    <w:p w:rsidR="00DE14C9" w:rsidRDefault="00DE14C9" w:rsidP="00DE14C9">
      <w:pPr>
        <w:pStyle w:val="TextoNormal"/>
      </w:pPr>
    </w:p>
    <w:p w:rsidR="00DE14C9" w:rsidRDefault="00DE14C9" w:rsidP="00DE14C9">
      <w:pPr>
        <w:pStyle w:val="TextoNormal"/>
      </w:pPr>
      <w:r w:rsidRPr="00DE14C9">
        <w:rPr>
          <w:rStyle w:val="NumeroAFNegritaCaracter"/>
        </w:rPr>
        <w:t>2</w:t>
      </w:r>
      <w:r>
        <w:t>. Siguiendo los criterios establecidos por este Tribunal para determinar la prioridad en el examen de las quejas planteadas, que otorgan preferencia a aquellas de las que pudiera derivarse la retroacción de actuaciones (SSTC 19/2000, de 31 de enero, FJ 2; 70/2002, de 3 de abril, FJ 2; y 100/2004, de 2 de junio, FJ 4, entre otras), debemos comenzar por examinar la que la actora refiere a la vulneración del derecho a la tutela judicial efectiva y a un proceso con todas las garantías.</w:t>
      </w:r>
    </w:p>
    <w:p w:rsidR="00DE14C9" w:rsidRDefault="00DE14C9" w:rsidP="00DE14C9">
      <w:pPr>
        <w:pStyle w:val="TextoNormal"/>
      </w:pPr>
      <w:r>
        <w:t>La cuestión que aquí se nos plantea, ha sido ya abordada y resuelta por este Tribunal tanto, de una parte, en relación con supuestos de acceso a los recursos (SSTC 222/2003, de 15 de diciembre; y 162/2005, de 20 de junio), como, de otra, más específicamente a los efectos que al presente recurso interesan, en casos de acceso a la jurisdicción en el procedimiento contencioso-administrativo (SSTC 64/2005, de 14 de marzo; 239/2005, de 26 de septiembre; 335/2006, de 20 de noviembre; 343/2006, de 11 de diciembre; 348/2006, de 11 de diciembre; y 25/2007, de 12 de febrero). Concretamente, las SSTC 239/2005, 343/2006 y 25/2007 trataron asuntos coincidentes en lo sustancial con el que es ahora objeto de nuestra consideración, ya que se trataba, también, de la impugnación de decisiones judiciales que inadmitieron, por extemporánea, una demanda presentadas en procedimientos contencioso-administrativos antes de las quince horas del día siguiente hábil al de la notificación de los autos de caducidad de los recursos, al amparo de las previsiones de los arts. 52.2 LJCA y 135.1 LEC.</w:t>
      </w:r>
    </w:p>
    <w:p w:rsidR="00DE14C9" w:rsidRDefault="00DE14C9" w:rsidP="00DE14C9">
      <w:pPr>
        <w:pStyle w:val="TextoNormal"/>
      </w:pPr>
      <w:r>
        <w:t>En el presente caso, la Sección Primera de la Sala de lo Contencioso-Administrativo del Tribunal Superior de Justicia de Murcia se acogió a lo dispuesto en el ultimo inciso del art. 52.2 LJCA para entender excluida la aplicación del art. 135.1 LEC, ya que la supletoriedad que contemplan tanto la Ley de enjuiciamiento civil como la Ley de la jurisdicción contencioso-administrativa solamente juega en defecto de disposiciones al respecto, “por lo que regulándose específicamente en la LJCA la presentación fuera de plazo de la demanda ha de estarse a sus concretas disposiciones”. Además, la Sala consideró que no era de aplicación el art. 135 LEC al supuesto de rehabilitación de plazos contemplado en el inciso primero del párrafo segundo del art. 128.1 LJCA, por contener este precepto una regulación completa de la cuestión. De esta forma, no se admitió la demanda presentada por la recurrente antes de las quince horas del día siguiente hábil a aquél en el que le fue notificado el Auto por el que se declaraba la caducidad del recurso.</w:t>
      </w:r>
    </w:p>
    <w:p w:rsidR="00DE14C9" w:rsidRDefault="00DE14C9" w:rsidP="00DE14C9">
      <w:pPr>
        <w:pStyle w:val="TextoNormal"/>
      </w:pPr>
      <w:r>
        <w:t>Pues bien, ateniéndonos a la doctrina sentada en los pronunciamientos de que se ha hecho mérito, podemos avanzar ya que la interpretación y aplicación que el órgano judicial ha realizado de los arts. 52.2 y 128.1 LJCA y 135 LEC ha supuesto una vulneración del derecho a la tutela judicial efectiva de la actora, al impedirle disponer en su integridad del plazo legalmente establecido para presentar la demanda en el procedimiento contencioso.</w:t>
      </w:r>
    </w:p>
    <w:p w:rsidR="00DE14C9" w:rsidRDefault="00DE14C9" w:rsidP="00DE14C9">
      <w:pPr>
        <w:pStyle w:val="TextoNormal"/>
      </w:pPr>
      <w:r>
        <w:lastRenderedPageBreak/>
        <w:t>En efecto, hemos de recordar ante todo que nos hallamos en la vertiente del acceso a la jurisdicción, en la que el juzgador se encuentra vinculado por el principio pro actione, que despliega respecto de él su máxima eficacia, exigiendo que los órganos judiciales, al interpretar los requisitos procesales legalmente previstos, tengan presente la ratio de la norma, con el fin de evitar que los meros formalismos o entendimientos no razonables de las normas procesales impidan un enjuiciamiento de fondo del asunto, vulnerando las exigencias del principio de proporcionalidad (por todas, STC 188/2003, de 27 de octubre, FJ 4). Como consecuencia de la mayor intensidad con la que, en estos casos, se proyecta dicho principio cuando se trata del acceso a la jurisdicción, los cánones de control de constitucionalidad se amplían, frente a los supuestos en los que se ha obtenido una primera respuesta judicial (STC 256/2006, de 11 de septiembre, FJ 5), lo que impide aquellas interpretaciones y aplicaciones de los requisitos legales caracterizadas por el rigorismo, el formalismo excesivo, o la desproporción entre los fines que preservan y la consecuencia del cierre del proceso que conllevan, con eliminación u obstaculización injustificada del derecho a que un órgano judicial resuelva sobre el fondo de la pretensión a él sometida (entre otras muchas, STC 63/2006, de 27 de febrero, FJ 2). En este sentido y dado que, como se recuerda en la STC 25/2007, de 12 de febrero, FJ 2, las normas que establecen plazos para la evacuación de trámites procesales suponen “el reconocimiento del derecho a disponer del plazo en su totalidad (SSTC 269/2000, de 30 de octubre, FJ 5; 38/2001, de 12 de febrero, FJ 2; 54/2001, de 26 de febrero, FJ 2; y 222/2003, de 15 de diciembre, FJ 4)”, constituye una interpretación de las reseñadas como vedadas en materia de acceso a la jurisdicción, por el desproporcionado sacrificio de intereses que comporta, la que produce como resultado final un acortamiento del plazo para dicho acceso, haciendo “impracticable el derecho al disfrute del plazo para interponer el recurso en su totalidad” (SSTC 64/2005, de 14 de marzo, FJ 3; 239/2005, de 26 de septiembre, FJ 2).</w:t>
      </w:r>
    </w:p>
    <w:p w:rsidR="00DE14C9" w:rsidRDefault="00DE14C9" w:rsidP="00DE14C9">
      <w:pPr>
        <w:pStyle w:val="TextoNormal"/>
      </w:pPr>
    </w:p>
    <w:p w:rsidR="00DE14C9" w:rsidRDefault="00DE14C9" w:rsidP="00DE14C9">
      <w:pPr>
        <w:pStyle w:val="TextoNormal"/>
      </w:pPr>
      <w:r w:rsidRPr="00DE14C9">
        <w:rPr>
          <w:rStyle w:val="NumeroAFNegritaCaracter"/>
        </w:rPr>
        <w:t>3</w:t>
      </w:r>
      <w:r>
        <w:t>. A la vista de la previsión del art. 52.2 LJCA, la demandante de amparo, una vez que le fue notificado el Auto declarando la caducidad del recurso, se acogió a lo dispuesto en el art. 135.1 LEC y presentó su demanda antes de las quince horas del día hábil siguiente, dado que el horario de presentación de escritos en el Registro General del Tribunal Superior de Justicia de Murcia es —según consta en los documentos aportados con la demanda de amparo— desde las 9 hasta las 14 horas, permitiéndose la presentación desde las 14 hasta las 15 horas mediante el sistema de dos valijas. Esto es, a partir de las 15 horas no había posibilidad de presentar los escritos en el citado Registro General. Y, como ha quedado dicho, la presentación efectuada por la actora al día siguiente fue considerada extemporánea por la Sala, lo que determinó la inadmisión de la demanda y el archivo del recurso.</w:t>
      </w:r>
    </w:p>
    <w:p w:rsidR="00DE14C9" w:rsidRDefault="00DE14C9" w:rsidP="00DE14C9">
      <w:pPr>
        <w:pStyle w:val="TextoNormal"/>
      </w:pPr>
      <w:r>
        <w:t>No nos corresponde a nosotros, sino a la jurisdicción ordinaria, “efectuar un pronunciamiento general acerca de si el art. 135.1 LEC es o no aplicable con carácter supletorio en el ámbito de la jurisdicción contencioso-administrativa, y mucho menos compete al ámbito propio de la jurisdicción constitucional establecer un catálogo de los distintos supuestos de escritos sujetos a plazo contemplados en la Ley de la jurisdicción contencioso-administrativa cuya presentación puede ampararse en el indicado precepto”. Nuestra labor, en supuestos como el actual, queda reducida a “decidir si la interpretación y la aplicación de las normas reguladoras de la causa de inadmisión aplicada por los órganos judiciales fueron respetuosas con el derecho a la tutela judicial efectiva del demandante de amparo o si, por el contrario, fueron efectuadas de manera formalista y con un rigor desproporcionado en relación con los fines que se tratan de proteger con el establecimiento legal de la causa de inadmisión aplicada” (STC 64/2005, de 14 de marzo, FJ 3).</w:t>
      </w:r>
    </w:p>
    <w:p w:rsidR="00DE14C9" w:rsidRDefault="00DE14C9" w:rsidP="00DE14C9">
      <w:pPr>
        <w:pStyle w:val="TextoNormal"/>
      </w:pPr>
      <w:r>
        <w:lastRenderedPageBreak/>
        <w:t>Pues bien, en el presente caso, al igual que en los resueltos por las Sentencias antes mencionadas, la cuestión suscitada se concreta, en puridad, en un problema relativo a la posibilidad de disponer en su integridad del plazo legalmente establecido; cuestión sobre la que la interpretación que realiza el órgano judicial de los preceptos aplicables produjo una restricción del plazo legal de acceso a la jurisdicción incompatible con la vigencia del derecho a la tutela judicial efectiva.  Al igual que hemos afirmado ya en varios pronunciamientos emitidos ante supuestos análogos, las resoluciones ahora impugnadas no ofrecieron respuesta a la cuestión capital de “cómo y dónde el demandante, en aplicación de esa pretendidamente completa regulación de la materia, debería haber presentado la demanda fuera del horario ordinario en el que permanece abierto el Registro para preservar su derecho a disponer del plazo en su integridad” o, en relación con ello, cómo se coordinan para tal preservación lo dispuesto en los arts. 133.1, final del inciso primero, LEC (el día del vencimiento expirará a las veinticuatro horas), 135.1 LEC (los escritos sujetos a plazo pueden presentarse en el órgano judicial al que se dirigen hasta las quince horas del día siguiente al del vencimiento), 135.2 LEC (en las actuaciones ante los Tribunales civiles no se admitirá la presentación de escritos en el Juzgado de guardia) y 41 del Reglamento 5/1995, de 7 de junio, de los aspectos accesorios de las actuaciones judiciales (“Los Juzgados de Instrucción en funciones de guardia, cuando en cumplimiento de lo dispuesto en el art. 135.2 de la Ley de Enjuiciamiento Civil no admitan la presentación de un escrito, vendrán obligados a entregar al presentador del mismo, a solicitud de éste, una certificación acreditativa del intento de presentación, con mención del escrito, del órgano y del procedimiento a que se refiere y de la no admisión del mismo en el Juzgado de guardia en aplicación del citado precepto legal”) según la redacción dada por el Acuerdo reglamentario 3/2001, de 21 de marzo, del Consejo General del Poder Judicial (por todas, STC 335/2006, de 20 de noviembre, FJ 4) que es la aplicable al caso que nos ocupa. Como concluimos en la STC 348/2006, de 11 de diciembre, FJ 3, esta carencia marca el límite de nuestro enjuiciamiento, pues hemos de detenernos en la constatación de que, mediante una argumentación que no supera el canon de razonabilidad, el órgano judicial ha impedido a la demandante de amparo disponer de la integridad del plazo establecido legalmente para presentar su demanda, vulnerándose así el derecho fundamental a la tutela judicial efectiva (FJ 3).</w:t>
      </w:r>
    </w:p>
    <w:p w:rsidR="00DE14C9" w:rsidRDefault="00DE14C9" w:rsidP="00DE14C9">
      <w:pPr>
        <w:pStyle w:val="TextoNormal"/>
      </w:pPr>
      <w:r>
        <w:t>En consecuencia, procede el otorgamiento del amparo, con la consiguiente declaración de nulidad de las resoluciones impugnadas y la retroacción de actuaciones al momento inmediatamente anterior al dictado de la primera de ellas, para que la Sala pronuncie una nueva resolución que resulte respetuosa con el derecho a la tutela judicial efectiva de la recurrente.</w:t>
      </w:r>
    </w:p>
    <w:p w:rsidR="00DE14C9" w:rsidRDefault="00DE14C9" w:rsidP="00DE14C9">
      <w:pPr>
        <w:pStyle w:val="TextoNormal"/>
      </w:pPr>
      <w:r>
        <w:t>Por lo demás, la estimación del recurso con fundamento en esta queja nos exime de la necesidad de analizar la otra queja planteada en la demanda de amparo.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Estimar el recurso de amparo interpuesto por Triturados Reylo, S.A. y, en su virtud:</w:t>
      </w:r>
    </w:p>
    <w:p w:rsidR="00DE14C9" w:rsidRDefault="00DE14C9" w:rsidP="00DE14C9">
      <w:pPr>
        <w:pStyle w:val="TextoNormal"/>
      </w:pPr>
      <w:r>
        <w:lastRenderedPageBreak/>
        <w:t>1º Declarar que ha sido vulnerado el derecho fundamental a la tutela judicial efectiva sin indefensión (art. 24.1 CE) de la entidad recurrente.</w:t>
      </w:r>
    </w:p>
    <w:p w:rsidR="00DE14C9" w:rsidRDefault="00DE14C9" w:rsidP="00DE14C9">
      <w:pPr>
        <w:pStyle w:val="TextoNormal"/>
      </w:pPr>
      <w:r>
        <w:t>2º Restablecerla en su derecho y, a tal fin, declarar la nulidad de la providencia de 10 de diciembre de 2003 y de los Autos de 9 de febrero y 29 de julio de 2004, de la Sección Primera de la Sala de lo Contencioso-Administrativo del Tribunal Superior de Justicia de Murcia, recaídos en el procedimiento ordinario núm. 1940-2003, con retroacción de las actuaciones al momento inmediatamente anterior al dictado de la primera de dichas resoluciones, para que se pronuncie una nueva que sea respetuosa con el derecho a la tutela judicial efectiva de la actora.</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dos de julio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73" w:name="SENTENCIA_2007_160"/>
      <w:r>
        <w:lastRenderedPageBreak/>
        <w:t>SENTENCIA 160/2007, de 2 de julio de 2007</w:t>
      </w:r>
    </w:p>
    <w:bookmarkEnd w:id="73"/>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185, de 3 de agosto de 2007)</w:t>
      </w:r>
    </w:p>
    <w:p w:rsidR="00DE14C9" w:rsidRDefault="00DE14C9" w:rsidP="00DE14C9">
      <w:pPr>
        <w:pStyle w:val="TtuloBOE"/>
      </w:pPr>
    </w:p>
    <w:p w:rsidR="00DE14C9" w:rsidRDefault="00DE14C9" w:rsidP="00DE14C9">
      <w:pPr>
        <w:pStyle w:val="SntesisDescriptiva"/>
      </w:pPr>
      <w:r>
        <w:t>ECLI:ES:TC:2007:160</w:t>
      </w:r>
    </w:p>
    <w:p w:rsidR="00DE14C9" w:rsidRDefault="00DE14C9" w:rsidP="00DE14C9">
      <w:pPr>
        <w:pStyle w:val="SntesisDescriptiva"/>
      </w:pPr>
    </w:p>
    <w:p w:rsidR="00DE14C9" w:rsidRDefault="00DE14C9" w:rsidP="00DE14C9">
      <w:pPr>
        <w:pStyle w:val="SntesisDescriptiva"/>
      </w:pPr>
      <w:r>
        <w:t>Recurso de amparo 7142-2004. Promovido por doña Carmen Moyano Ayuso frente a la Sentencia de la Sala de lo Social del Tribunal Superior de Justicia de Madrid que, en grado de suplicación, desestimó su demanda contra el Instituto Madrileño de Salud sobre tutela de derechos fundamentales.</w:t>
      </w:r>
    </w:p>
    <w:p w:rsidR="00DE14C9" w:rsidRDefault="00DE14C9" w:rsidP="00DE14C9">
      <w:pPr>
        <w:pStyle w:val="SntesisDescriptiva"/>
      </w:pPr>
    </w:p>
    <w:p w:rsidR="00DE14C9" w:rsidRDefault="00DE14C9" w:rsidP="00DE14C9">
      <w:pPr>
        <w:pStyle w:val="SntesisAnaltica"/>
      </w:pPr>
      <w:r>
        <w:t>Vulneración del derecho a la integridad física: orden de reincorporación a puesto de trabajo bajo la dirección inmediata de un jefe sujeto a procedimientos penales y disciplinarios por denuncia de la funcionaria afectada que causa un grave riesgo a su salud (STC 62/2007). Voto particular.</w:t>
      </w:r>
    </w:p>
    <w:p w:rsidR="00DE14C9" w:rsidRDefault="00DE14C9" w:rsidP="00DE14C9">
      <w:pPr>
        <w:pStyle w:val="SntesisAnaltica"/>
      </w:pPr>
    </w:p>
    <w:p w:rsidR="00DE14C9" w:rsidRDefault="00DE14C9" w:rsidP="00DE14C9">
      <w:pPr>
        <w:pStyle w:val="Extracto"/>
      </w:pPr>
      <w:r>
        <w:t>1.</w:t>
      </w:r>
      <w:r>
        <w:tab/>
        <w:t>Una medida que obligue a una trabajadora con depresión a trabajar para una persona a la que denunció constituye un riesgo para su salud cuando exista una relación directa entre su estado físico y la decisión del traslado [FJ 4].</w:t>
      </w:r>
    </w:p>
    <w:p w:rsidR="00DE14C9" w:rsidRDefault="00DE14C9" w:rsidP="00DE14C9">
      <w:pPr>
        <w:pStyle w:val="Extracto"/>
      </w:pPr>
    </w:p>
    <w:p w:rsidR="00DE14C9" w:rsidRDefault="00DE14C9" w:rsidP="00DE14C9">
      <w:pPr>
        <w:pStyle w:val="Extracto"/>
      </w:pPr>
      <w:r>
        <w:t>2.</w:t>
      </w:r>
      <w:r>
        <w:tab/>
        <w:t>No es posible oponer a la protección que dispensa el art. 15 CE una exigencia de previa exposición al riesgo, ya que equivaldría a hacer depender la efectividad de la tutela constitucional a la previa puesta en peligro de los factores protegidos o a la consumación de su lesión, lo que sería tanto como aceptar la negación de la tutela que la Constitución garantiza (STC 62/2007) [FJ 5].</w:t>
      </w:r>
    </w:p>
    <w:p w:rsidR="00DE14C9" w:rsidRDefault="00DE14C9" w:rsidP="00DE14C9">
      <w:pPr>
        <w:pStyle w:val="Extracto"/>
      </w:pPr>
    </w:p>
    <w:p w:rsidR="00DE14C9" w:rsidRDefault="00DE14C9" w:rsidP="00DE14C9">
      <w:pPr>
        <w:pStyle w:val="Extracto"/>
      </w:pPr>
      <w:r>
        <w:t>3.</w:t>
      </w:r>
      <w:r>
        <w:tab/>
        <w:t>Dentro del derecho a la integridad física se encuentran los supuestos de riesgo para la salud cuando se acredite la relación de causalidad entre ciertos antecedentes y un cuadro psicopatológico y, con ello, la previsibilidad del riesgo [FJ 4].</w:t>
      </w:r>
    </w:p>
    <w:p w:rsidR="00DE14C9" w:rsidRDefault="00DE14C9" w:rsidP="00DE14C9">
      <w:pPr>
        <w:pStyle w:val="Extracto"/>
      </w:pPr>
    </w:p>
    <w:p w:rsidR="00DE14C9" w:rsidRDefault="00DE14C9" w:rsidP="00DE14C9">
      <w:pPr>
        <w:pStyle w:val="Extracto"/>
      </w:pPr>
      <w:r>
        <w:t>4.</w:t>
      </w:r>
      <w:r>
        <w:tab/>
        <w:t>Aplica la doctrina sobre el derecho fundamental a la integridad física y moral en el ámbito de la relación laboral (SSTC 62/2007, 35/1996, 220/2005) [FJ 2].</w:t>
      </w:r>
    </w:p>
    <w:p w:rsidR="00DE14C9" w:rsidRDefault="00DE14C9" w:rsidP="00DE14C9">
      <w:pPr>
        <w:pStyle w:val="Extracto"/>
      </w:pPr>
    </w:p>
    <w:p w:rsidR="00DE14C9" w:rsidRDefault="00DE14C9" w:rsidP="00DE14C9">
      <w:pPr>
        <w:pStyle w:val="Extracto"/>
      </w:pPr>
      <w:r>
        <w:t>5.</w:t>
      </w:r>
      <w:r>
        <w:tab/>
        <w:t>Procede la anulación de la Sentencia recurrida y la retroacción de las actuaciones para que el órgano judicial resuelva el motivo del recurso de suplicación relativo a la indemnización establecida por la Sentencia de instancia [FJ 6].</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7142-2004, interpuesto por doña Carmen Moyano Ayuso, representada por el Procurador de los Tribunales don Juan Antonio Escrivá de Romaní y Vereterra y asistida por la Abogada doña Rosa María Guardiola Sanz, contra la Sentencia de la Sección Primera de la Sala de lo Social del Tribunal Superior de Justicia de Madrid, de fecha 11 de octubre de 2004, que estimó el recurso de suplicación núm. 4579-2004 formalizado por el Instituto Madrileño de Salud contra la Sentencia de 24 de abril de 2004 del Juzgado de lo Social núm. 16 de Madrid, dictada en el procedimiento núm. 191-2004 de tutela de derechos fundamentales. Ha intervenido el Ministerio Fiscal. Ha sido Ponente la Presidenta doña María Emilia Casas Baamonde,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demanda que tuvo entrada en el Registro General de este Tribunal el día 26 de noviembre de 2004, el Procurador de los Tribunales don Juan Antonio Escrivá de Romaní y Vereterra interpuso recurso de amparo en nombre y representación de doña Carmen Moyano Ayuso contra la Sentencia de la Sección Primera de la Sala de lo Social del Tribunal Superior de Justicia de Madrid, de fecha 11 de octubre de 2004.</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de los que trae causa la demanda de amparo son, en síntesis, los siguientes: </w:t>
      </w:r>
    </w:p>
    <w:p w:rsidR="00DE14C9" w:rsidRDefault="00DE14C9" w:rsidP="00DE14C9">
      <w:pPr>
        <w:pStyle w:val="TextoNormal"/>
      </w:pPr>
      <w:r>
        <w:t xml:space="preserve">a) Doña Carmen Moyano Ayuso presta sus servicios para el Instituto Madrileño de la Salud (Imsalud) en virtud de nombramiento de 1 de enero de 1990 como facultativo interino para plaza vacante de F.E.A., análisis clínicos, en el Ambulatorio Hermanos Miralles de Pontones, correspondiente al Área XI de atención especializada. El día 3 de abril de 2000 dirigió escrito a la Subdirección Médica de Servicios Centrales sobre el gasto en el laboratorio de C.E.P. Pontones. Constan posteriores escritos de la trabajadora a dicha Subdirección fechados el 4 de abril de 2000, 4 de julio de 2000, 7 de julio de 2000, 26 de octubre de 2000 y 2 de marzo de 2001 sobre la desaparición de material en el centro. </w:t>
      </w:r>
    </w:p>
    <w:p w:rsidR="00DE14C9" w:rsidRDefault="00DE14C9" w:rsidP="00DE14C9">
      <w:pPr>
        <w:pStyle w:val="TextoNormal"/>
      </w:pPr>
      <w:r>
        <w:t xml:space="preserve">b) El 6 de abril de 2001 el Imsalud acordó incoar expediente disciplinario al Jefe del servicio de análisis clínicos de C.E.P. Pontones, constando declaración de la Sra. Moyano de 14 de abril de 2000. En dicho expediente se tomó también declaración a los jefes de sección, a los F.E.A., a una supervisora, una enfermera, tres T.E.L., un auxiliar de enfermería, un auxiliar administrativo y un celador. Igualmente, en el Juzgado de Instrucción núm. 8 de Madrid se siguieron diligencias previas contra el Jefe de servicio de análisis clínicos de C.E.P. Pontones y otros, por malversación de fondos públicos. </w:t>
      </w:r>
    </w:p>
    <w:p w:rsidR="00DE14C9" w:rsidRDefault="00DE14C9" w:rsidP="00DE14C9">
      <w:pPr>
        <w:pStyle w:val="TextoNormal"/>
      </w:pPr>
      <w:r>
        <w:t xml:space="preserve">c) En el periodo comprendido entre el día 6 y el 16 de noviembre de 2000 la Sra. Moyano permaneció en situación de incapacidad temporal. </w:t>
      </w:r>
    </w:p>
    <w:p w:rsidR="00DE14C9" w:rsidRDefault="00DE14C9" w:rsidP="00DE14C9">
      <w:pPr>
        <w:pStyle w:val="TextoNormal"/>
      </w:pPr>
      <w:r>
        <w:t xml:space="preserve">d) El día 18 de mayo de 2001 fue autorizado su traslado provisional al Laboratorio de Carabanchel. </w:t>
      </w:r>
    </w:p>
    <w:p w:rsidR="00DE14C9" w:rsidRDefault="00DE14C9" w:rsidP="00DE14C9">
      <w:pPr>
        <w:pStyle w:val="TextoNormal"/>
      </w:pPr>
      <w:r>
        <w:t xml:space="preserve">e) Por Resolución de 8 de abril de 2003 el Imsalud acordó levantar la medida provisional de suspensión de empleo y sueldo del Jefe del servicio de análisis clínicos de C.E.P. Pontones, que había sido decretada por Resolución de 25 de mayo de 2000, con la consiguiente reincorporación del interesado y sin perjuicio de los pronunciamientos que correspondieran </w:t>
      </w:r>
      <w:r>
        <w:lastRenderedPageBreak/>
        <w:t xml:space="preserve">en la resolución del expediente antes mencionado. La medida se tomó con fundamento en la pendencia de las diligencias penales instruidas por la misma causa. </w:t>
      </w:r>
    </w:p>
    <w:p w:rsidR="00DE14C9" w:rsidRDefault="00DE14C9" w:rsidP="00DE14C9">
      <w:pPr>
        <w:pStyle w:val="TextoNormal"/>
      </w:pPr>
      <w:r>
        <w:t xml:space="preserve">f) Por Resolución de 4 de diciembre de 2003 se comunicó a la Sra. Moyano su reincorporación en turno de mañana en el Laboratorio de Análisis Clínicos del C.E.P. de Pontones, a solicitud del Jefe del servicio reiteradamente aludido. La trabajadora, por escrito de 18 de diciembre siguiente, manifestó su disconformidad con tal decisión, que fue sin embargo confirmada con fecha de 22 de diciembre de 2002, frente a la cual formuló la preceptiva reclamación previa. </w:t>
      </w:r>
    </w:p>
    <w:p w:rsidR="00DE14C9" w:rsidRDefault="00DE14C9" w:rsidP="00DE14C9">
      <w:pPr>
        <w:pStyle w:val="TextoNormal"/>
      </w:pPr>
      <w:r>
        <w:t xml:space="preserve">g) La trabajadora recibió nueva baja médica el día 2 de enero de 2004 con el diagnóstico de depresión mayor, continuando en dicha situación. Fue también evaluada por el Servicio de Psiquiatría del Hospital Universitario 12 de octubre a petición de Prevención de Riesgos Laborales. </w:t>
      </w:r>
    </w:p>
    <w:p w:rsidR="00DE14C9" w:rsidRDefault="00DE14C9" w:rsidP="00DE14C9">
      <w:pPr>
        <w:pStyle w:val="TextoNormal"/>
      </w:pPr>
      <w:r>
        <w:t xml:space="preserve">h) El día 26 de febrero de 2004 la recurrente en amparo presentó contra el Imsalud demanda sobre tutela de derechos fundamentales, autos núm. 159-2004 del Juzgado de lo Social núm. 16 de Madrid, al considerar que la decisión empresarial de cambiarla de puesto de trabajo suponía la lesión del derecho a la dignidad de la persona, el derecho a la integridad física y moral y el derecho al honor (arts. 10, 15 y 18 CE). </w:t>
      </w:r>
    </w:p>
    <w:p w:rsidR="00DE14C9" w:rsidRDefault="00DE14C9" w:rsidP="00DE14C9">
      <w:pPr>
        <w:pStyle w:val="TextoNormal"/>
      </w:pPr>
      <w:r>
        <w:t xml:space="preserve">La demanda fue estimada por Sentencia de 24 de abril de 2004, que declaró la nulidad de la orden de traslado por vulnerar el derecho a la integridad física de la trabajadora. Razonaba la resolución judicial que la trabajadora había probado la existencia de indicios de discriminación al constar, de una parte, su participación activa en la denuncia de unos hechos ocurridos en su ambulatorio, lo que dio lugar a la incoación de diligencias previas ante el Juzgado de Instrucción frente al Jefe de servicio de análisis clínicos, así como a un expediente disciplinario que motivó la suspensión de empleo y sueldo de éste. De otra parte que, tras solicitarlo, fue trasladada del centro donde ocurrieron los hechos, habiendo sido el mencionado Jefe de servicio quien pidió su reincorporación al puesto de origen. E, igualmente, que su situación clínica actual tiene por diagnóstico el de depresión mayor, derivada o consecuencia de la experiencia vivida en el ambulatorio. En este punto, decía la Sentencia, “existe una relación directa entre el estado físico de la actora y la decisión de traslado de la demandada, relación directa que está justificada, aunque, en la realidad, pudiera no tener lugar la aparición de roces o dificultades en el trabajo. Pero lo cierto es que la actora sufre una depresión, y ésta tiene su causa en el traslado ordenado, por volver a coincidir con el Jefe de servicio al que en su día denunció”. A la vista de todo ello, señalaba la resolución judicial, la decisión de reincorporación al puesto de trabajo para el que fue contratada vulneró el derecho “a la integridad física —en este caso, psicológica— de la demandante”, toda vez que el Instituto demandado debía probar, conforme al art. 179.2 LPL, que su decisión era totalmente ajena a cualquier propósito atentatorio del derecho fundamental, lo que no hizo, pues no acreditó que el retorno de la actora a su anterior puesto obedeciera, como aducía, a necesidades del servicio (en concreto, no habría respaldado con prueba alguna el pretendido incremento de la actividad en la consulta de coagulación y la supuesta baja de una microbióloga, en los que decía fundar su decisión). </w:t>
      </w:r>
    </w:p>
    <w:p w:rsidR="00DE14C9" w:rsidRDefault="00DE14C9" w:rsidP="00DE14C9">
      <w:pPr>
        <w:pStyle w:val="TextoNormal"/>
      </w:pPr>
      <w:r>
        <w:t xml:space="preserve">Por todo lo cual, el Juzgado de lo Social núm. 16 de Madrid estimó la demanda, declarando la nulidad del traslado de la Sra. Moyano al C.E.P. de Pontones como facultativo especialista de análisis clínicos, al vulnerar su derecho fundamental a la integridad física (art. 15 CE), condenando a la demandada a estar y pasar por tal declaración, así como a abonar en concepto de indemnización por daños y perjuicios la cantidad de 6.000 euros. </w:t>
      </w:r>
    </w:p>
    <w:p w:rsidR="00DE14C9" w:rsidRDefault="00DE14C9" w:rsidP="00DE14C9">
      <w:pPr>
        <w:pStyle w:val="TextoNormal"/>
      </w:pPr>
      <w:r>
        <w:lastRenderedPageBreak/>
        <w:t xml:space="preserve">i) Contra la anterior Sentencia, el Imsalud interpuso recurso de suplicación. Además de solicitar una revisión de los hechos probados, denunciaba, entre otros motivos, la interpretación errónea del art. 15 CE. A su juicio, no cabe configurar como una lesión intencionada por parte del empleador del derecho a la integridad física o moral de la trabajadora el hecho de que ésta sufra una depresión por tener que trabajar nuevamente con un jefe al que denunció por unos hechos relacionados con una supuesta malversación de caudales públicos. </w:t>
      </w:r>
    </w:p>
    <w:p w:rsidR="00DE14C9" w:rsidRDefault="00DE14C9" w:rsidP="00DE14C9">
      <w:pPr>
        <w:pStyle w:val="TextoNormal"/>
      </w:pPr>
      <w:r>
        <w:t xml:space="preserve">El recurso de suplicación fue estimado por Sentencia de la Sala de lo Social del Tribunal Superior de Justicia de Madrid, de 11 de octubre de 2004. La Sala procedió a modificar el hecho probado octavo en los términos que ya han sido recogidos en letras anteriores, y en cuanto a la cuestión sustantiva referida a la lesión del art. 15 CE estimó el recurso con el siguiente razonamiento: </w:t>
      </w:r>
    </w:p>
    <w:p w:rsidR="00DE14C9" w:rsidRDefault="00DE14C9" w:rsidP="00DE14C9">
      <w:pPr>
        <w:pStyle w:val="TextoNormal"/>
      </w:pPr>
      <w:r>
        <w:t>“En el supuesto de autos lo que, en definitiva, se alega por la trabajadora es que, desde que se le ordenó reincorporarse a su destino de origen, en el que ha de estar bajo las órdenes del Jefe de Equipo al que denunció, sufre un cuadro depresivo importante, pero esto no acredita que se deba a causas objetivas, originadas por una conducta hostil de su superior jerárquico, que no solo no ha sido alegada, sino que, como hemos visto, la propia sentencia admite que tras esa reincorporación a su destino pudiera no tener lugar la aparición de roces o dificultades en el trabajo. El art. 15 CE dispone que todos tienen derecho a la vida y a la integridad física y moral, sin que, en ningún caso, puedan ser sometidos a tortura ni a penas o tratos inhumanos o degradantes. De la lectura del texto constitucional se infiere que lo que el reconocimiento del derecho a la integridad física y moral comporta en su vertiente activa es el derecho a no sufrir tortura ni tratos inhumanos o degradantes. Es por tanto el trato inhumano, vejatorio o degradante lo que se prohíbe constitucionalmente, no la impresión o sensación subjetiva de estar recibiendo un trato de esta clase o, menos aún, el temor más o menos fundado a ser objeto del mismo, aunque de este temor o inquietud subjetiva puedan derivarse perturbaciones psíquicas, en cuya aparición podrían confluir circunstancias de carácter estrictamente personal, ajenas al entorno laboral”.</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Aduce la recurrente que la interpretación del art. 15 CE que realiza la resolución impugnada es errónea y restrictiva. Según ese pronunciamiento, el derecho fundamental protegería exclusivamente frente a las torturas, tratos vejatorios o degradantes, concibiéndose además el derecho sólo en su “vertiente activa”, es decir, excluyendo los posibles temores o inquietudes, aunque de ellos se deriven perturbaciones psíquicas. Oponiéndose a esa interpretación, sostiene la demandante de amparo que alegó la vulneración del art. 15 CE no para exigir la protección ante un posible trato vejatorio o tortura, sino en relación con el art. 43.1 CE (derecho a la salud), acreditando que el simple pensamiento de contacto con el denunciado le provocaba una alteración psíquica que se evidenciaba en un daño real que vulneraba su derecho a la integridad física. Obligarle a trabajar bajo las órdenes de la persona a la que en su día denunció constituye una situación de denigración laboral, entendida como el comportamiento que se lleva a cabo en el trabajo sin respetar la integridad moral y crea en las víctimas sentimientos de terror, de angustia y de inferioridad susceptibles de humillarles y de quebrar su resistencia física o moral, con un evidente riesgo para su salud. Esa relación entre el art. 15 CE y el derecho a la protección de la salud, que no ha sido aceptada por el Tribunal Superior de Justicia de Madrid, resulta por el contrario plenamente reconocida por el Tribunal Constitucional, que tiene establecido que aquel derecho fundamental protege frente a acciones que “puedan determinar un riesgo inmediato o futuro para la salud, puesto que también el derecho a la salud, o mejor aún, a que no se dañe o perjudique </w:t>
      </w:r>
      <w:r>
        <w:lastRenderedPageBreak/>
        <w:t xml:space="preserve">la salud personal, queda comprendido en el derecho a la integridad personal” (STC 35/1996, de 11 de marzo, FJ 3). </w:t>
      </w:r>
    </w:p>
    <w:p w:rsidR="00DE14C9" w:rsidRDefault="00DE14C9" w:rsidP="00DE14C9">
      <w:pPr>
        <w:pStyle w:val="TextoNormal"/>
      </w:pPr>
      <w:r>
        <w:t xml:space="preserve">Y en el presente caso, afirma la demanda de amparo, el riesgo no era meramente teórico, sino efectivo y real para la salud de la Sra. Moyano, como resulta del informe médico aportado en autos y emitido por un especialista en psiquiatría, donde se constata el diagnóstico alcanzado (episodio depresivo mayor) y la relación directa entre el padecimiento psíquico y la orden de traslado impuesta a la Sra. Moyano. A tal fin, del citado informe recoge la recurrente los siguientes párrafos: “La estrecha relación temporal entre la aparición dramática e inmediata de los síntomas descritos en el párrafo II del presente informe y la notificación del traslado constituyen un argumento de peso para el establecimiento de una más que probable relación causa y efecto entre los factores mencionados y el cuadro psicopatológico”; y después: “La ausencia de rasgos de la personalidad que indiquen una predisposición a la patología mental, el carácter psicológico claramente estresante de las circunstancias y la aparición de un trastorno relacionado en el tiempo y desde el punto de vista del contenido con las mismas, indica una relación de causa y efecto entre acontecimientos y trastorno”. </w:t>
      </w:r>
    </w:p>
    <w:p w:rsidR="00DE14C9" w:rsidRDefault="00DE14C9" w:rsidP="00DE14C9">
      <w:pPr>
        <w:pStyle w:val="TextoNormal"/>
      </w:pPr>
      <w:r>
        <w:t xml:space="preserve">En definitiva, puede afirmarse que existía aquel peligro para la salud y la integridad física y que anular la orden de traslado equivale a romper el nexo causal que provoca el trastorno psíquico, garantizando el derecho fundamental invocado. Al no concluirlo de esa manera, la resolución recurrida incurre en una interpretación errónea del derecho fundamental, restringiendo su protección. Por ello, solicita la anulación de la Sentencia de la Sala de lo Social del Tribunal Superior de Justicia de Madrid, por violación del art. 15 CE, restituyéndola en su derecho a no incorporarse al C.E.P. de Pontones en las condiciones descritas. </w:t>
      </w:r>
    </w:p>
    <w:p w:rsidR="00DE14C9" w:rsidRDefault="00DE14C9" w:rsidP="00DE14C9">
      <w:pPr>
        <w:pStyle w:val="TextoNormal"/>
      </w:pPr>
      <w:r>
        <w:t>Solicitaba, asimismo, a tenor del art. 56 LOTC, la suspensión de la ejecución de la sentencia recurrida, de lo que más tarde desistió, dando lugar al ATC 397/2006, de 8 de noviembre.</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Por providencia de 5 de abril de 2006, la Sección Primera de este Tribunal acordó, de conformidad con lo dispuesto en el art. 50.3 LOTC, conceder a la demandante de amparo y al Ministerio Fiscal el plazo común de diez días para que formularan, con las aportaciones documentales que procedieran, las alegaciones que estimaran oportunas en relación con la carencia manifiesta de contenido constitucional de la demanda [art. 50.1 c) LOTC]. </w:t>
      </w:r>
    </w:p>
    <w:p w:rsidR="00DE14C9" w:rsidRDefault="00DE14C9" w:rsidP="00DE14C9">
      <w:pPr>
        <w:pStyle w:val="TextoNormal"/>
      </w:pPr>
      <w:r>
        <w:t xml:space="preserve">La representación procesal de la demandante de amparo presentó sus alegaciones mediante escrito registrado en este Tribunal el día 26 de abril de 2006, reiterando su solicitud de admisión a trámite de la demanda e insistiendo en que en la Sentencia recurrida no se niega el nexo causal entre la actuación del Imsalud y la situación médica de la Sra. Moyano, sino que, tan sólo, con base en una interpretación incorrecta, se rechaza que el precepto constitucional invocado proteja frente a situaciones como la expuesta. </w:t>
      </w:r>
    </w:p>
    <w:p w:rsidR="00DE14C9" w:rsidRDefault="00DE14C9" w:rsidP="00DE14C9">
      <w:pPr>
        <w:pStyle w:val="TextoNormal"/>
      </w:pPr>
      <w:r>
        <w:t xml:space="preserve">Por su parte, mediante escrito registrado en este Tribunal el día 28 de abril de 2006, el Ministerio Fiscal presentó sus alegaciones en el trámite conferido, interesando la admisión a trámite de la demanda de amparo. Afirma que la Sentencia impugnada no puso en duda que a partir de la orden de traslado recibida por la trabajadora se derivaran graves perturbaciones psíquicas, esto es, que hubiese una relación causa-efecto entre la decisión de la empleadora, la inquietud que la misma produjo en la trabajadora y la perturbación psíquica que se le ocasionó. Antes bien, la razón para no estimar vulnerado el derecho a la integridad de la trabajadora estriba en que, para el órgano judicial sentenciador, el derecho fundamental de que se trata comporta el derecho a no sufrir torturas ni tratos inhumanos o degradantes, que en el caso de autos no se habrían acreditado. </w:t>
      </w:r>
    </w:p>
    <w:p w:rsidR="00DE14C9" w:rsidRDefault="00DE14C9" w:rsidP="00DE14C9">
      <w:pPr>
        <w:pStyle w:val="TextoNormal"/>
      </w:pPr>
      <w:r>
        <w:lastRenderedPageBreak/>
        <w:t>Sin embargo, además de que el riesgo relevante para la salud psíquica sí puede entrañar la lesión del derecho a la integridad moral en contra de lo afirmado por la Sala de lo Social, es lo cierto que dicho órgano judicial no valoró en toda su amplitud las circunstancias fácticas concurrentes ni ponderó adecuadamente el derecho fundamental afectado para otorgarle la máxima eficacia posible. En efecto, obligar a una persona, sin que concurriera causa objetiva alguna, a que se trasladase de puesto de trabajo a fin de que prestara sus servicios a las órdenes de la persona a la que previamente había denunciado y a raíz de cuya denuncia se le había abierto causa criminal por graves delitos, atendiendo para ello al mero deseo del superior de exigir que esa empleada trabajase a sus órdenes, ocasiona a cualquier persona una situación de desasosiego, intranquilidad y estrés, por lo que la orden recibida en tales circunstancias, cuando sobre el empleador pesa un deber de salvaguarda de la salud de los trabajadores y tratándose además dicho empleador de un organismo público, no puede estimarse respetuosa con el derecho a la integridad de la demandante. Si además de ello, añade después, se constata que a raíz de la denuncia la trabajadora había solicitado el traslado provisional, que le había sido concedido y que tras la orden de reincorporación a su anterior puesto de trabajo se ha visto afectada de una depresión mayor anudada de forma incuestionable por los especialistas de psiquiatría a la susodicha orden de reincorporación, no parece razonable desestimar la pretensión de la trabajadora contra la misma.</w:t>
      </w:r>
    </w:p>
    <w:p w:rsidR="00DE14C9" w:rsidRDefault="00DE14C9" w:rsidP="00DE14C9">
      <w:pPr>
        <w:pStyle w:val="TextoNormal"/>
      </w:pPr>
    </w:p>
    <w:p w:rsidR="00DE14C9" w:rsidRDefault="00DE14C9" w:rsidP="00DE14C9">
      <w:pPr>
        <w:pStyle w:val="TextoNormal"/>
      </w:pPr>
      <w:r w:rsidRPr="00DE14C9">
        <w:rPr>
          <w:rStyle w:val="NumeroAFNegritaCaracter"/>
        </w:rPr>
        <w:t>5</w:t>
      </w:r>
      <w:r>
        <w:t>. Por providencia de 21 de junio de 2006, la Sección Primera de este Tribunal admitió a trámite el recurso de amparo y, en aplicación del art. 51 LOTC, acordó requerir el testimonio de las actuaciones al Tribunal Superior de Justicia y Juzgado de lo Social núm. 16 de Madrid, interesándose al propio tiempo el emplazamiento de quienes fueron parte en el procedimiento, con excepción de la recurrente en amparo, para que en el plazo de diez días pudieran comparecer en este proceso constitucional, con traslado a dichos efectos de copia de la demanda presentada.</w:t>
      </w:r>
    </w:p>
    <w:p w:rsidR="00DE14C9" w:rsidRDefault="00DE14C9" w:rsidP="00DE14C9">
      <w:pPr>
        <w:pStyle w:val="TextoNormal"/>
      </w:pPr>
    </w:p>
    <w:p w:rsidR="00DE14C9" w:rsidRDefault="00DE14C9" w:rsidP="00DE14C9">
      <w:pPr>
        <w:pStyle w:val="TextoNormal"/>
      </w:pPr>
      <w:r w:rsidRPr="00DE14C9">
        <w:rPr>
          <w:rStyle w:val="NumeroAFNegritaCaracter"/>
        </w:rPr>
        <w:t>6</w:t>
      </w:r>
      <w:r>
        <w:t>. La posterior diligencia de ordenación, de 20 de septiembre de 2006, tuvo por recibidos los testimonios de las actuaciones, concediendo un plazo de veinte días a las partes personadas y al Ministerio Fiscal para que presentaran las alegaciones que estimaran pertinentes (art. 52.1 LOTC).</w:t>
      </w:r>
    </w:p>
    <w:p w:rsidR="00DE14C9" w:rsidRDefault="00DE14C9" w:rsidP="00DE14C9">
      <w:pPr>
        <w:pStyle w:val="TextoNormal"/>
      </w:pPr>
    </w:p>
    <w:p w:rsidR="00DE14C9" w:rsidRDefault="00DE14C9" w:rsidP="00DE14C9">
      <w:pPr>
        <w:pStyle w:val="TextoNormal"/>
      </w:pPr>
      <w:r w:rsidRPr="00DE14C9">
        <w:rPr>
          <w:rStyle w:val="NumeroAFNegritaCaracter"/>
        </w:rPr>
        <w:t>7</w:t>
      </w:r>
      <w:r>
        <w:t>. El día 24 de octubre de 2006 la representación de la recurrente de amparo presentó escrito remitiéndose a los hechos y argumentos jurídicos contenidos en su demanda.</w:t>
      </w:r>
    </w:p>
    <w:p w:rsidR="00DE14C9" w:rsidRDefault="00DE14C9" w:rsidP="00DE14C9">
      <w:pPr>
        <w:pStyle w:val="TextoNormal"/>
      </w:pPr>
    </w:p>
    <w:p w:rsidR="00DE14C9" w:rsidRDefault="00DE14C9" w:rsidP="00DE14C9">
      <w:pPr>
        <w:pStyle w:val="TextoNormal"/>
      </w:pPr>
      <w:r w:rsidRPr="00DE14C9">
        <w:rPr>
          <w:rStyle w:val="NumeroAFNegritaCaracter"/>
        </w:rPr>
        <w:t>8</w:t>
      </w:r>
      <w:r>
        <w:t xml:space="preserve">. El Ministerio Fiscal evacuó el trámite de alegaciones el día 16 de octubre de 2006, interesando el otorgamiento del amparo. Con carácter previo indica que el traslado a otro hospital —que se habría producido en un momento posterior en el tiempo— no impide que el recurso de amparo mantenga su razón de ser, pues en el escrito en el que desistió de la inicial solicitud de suspensión de la ejecución de la Sentencia la demandante solicitó, en cambió, la continuación del procedimiento, no habiendo considerado satisfecha extraprocesalmente su pretensión. Ese planteamiento parece razonable dado que la orden de traslado no ha sido dejada sin efecto por las causas aducidas por la demandante, y que causó perjuicios en su salud, habiéndose suprimido además por la Sentencia recurrida la indemnización por daños y perjuicios que la juzgadora de instancia había concedido a la trabajadora. </w:t>
      </w:r>
    </w:p>
    <w:p w:rsidR="00DE14C9" w:rsidRDefault="00DE14C9" w:rsidP="00DE14C9">
      <w:pPr>
        <w:pStyle w:val="TextoNormal"/>
      </w:pPr>
      <w:r>
        <w:t xml:space="preserve">Entrando en el problema de fondo, dice el Ministerio Fiscal que el objeto del proceso consistía en determinar si era lícito situar a la trabajadora, sin necesidad alguna de ello, en </w:t>
      </w:r>
      <w:r>
        <w:lastRenderedPageBreak/>
        <w:t xml:space="preserve">un puesto de trabajo que la incomodaba por la situación que en él había vivido, y si, tras constatarse el grave quebranto en la salud ligado al traslado acordado, era lícito mantener la citada orden. La Sentencia debería haber ponderado esos elementos pues la trabajadora había aportado no ya indicios, sino prueba plena del quebranto en su salud, así como de que la empleadora no tenía ninguna razón objetiva para la decisión adoptada, más allá de la intención de la persona que la trabajadora había denunciado. Por ese motivo, la Sentencia recurrida no respetó el derecho fundamental que la recurrente invoca. </w:t>
      </w:r>
    </w:p>
    <w:p w:rsidR="00DE14C9" w:rsidRDefault="00DE14C9" w:rsidP="00DE14C9">
      <w:pPr>
        <w:pStyle w:val="TextoNormal"/>
      </w:pPr>
      <w:r>
        <w:t>Ahora bien, dado que la empleadora había cuestionado en su recurso de suplicación la indemnización otorgada por la Sentencia de instancia y que tal motivo no fue examinado por la Sentencia ahora impugnada, el alcance del amparo debe tener en cuenta tal circunstancia, razón por la que interesa el Ministerio Fiscal la estimación del recurso, por vulneración del derecho a la integridad de la demandante (art. 15 CE), la anulación de la Sentencia de la Sección Primera de la Sala de lo Social del Tribunal Superior de Justicia de Madrid, de 11 de octubre de 2004, y la retroacción de las actuaciones al momento inmediatamente anterior a ésta para que se dicte nueva resolución respetuosa con el derecho fundamental vulnerado.</w:t>
      </w:r>
    </w:p>
    <w:p w:rsidR="00DE14C9" w:rsidRDefault="00DE14C9" w:rsidP="00DE14C9">
      <w:pPr>
        <w:pStyle w:val="TextoNormal"/>
      </w:pPr>
    </w:p>
    <w:p w:rsidR="00DE14C9" w:rsidRDefault="00DE14C9" w:rsidP="00DE14C9">
      <w:pPr>
        <w:pStyle w:val="TextoNormal"/>
      </w:pPr>
      <w:r w:rsidRPr="00DE14C9">
        <w:rPr>
          <w:rStyle w:val="NumeroAFNegritaCaracter"/>
        </w:rPr>
        <w:t>9</w:t>
      </w:r>
      <w:r>
        <w:t>. Por providencia de 29 de junio de 2007, se señaló para deliberación y votación de la presente Sentencia el día 2 de julio del mismo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 presente demanda de amparo se dirige contra la Sentencia de la Sección Primera de la Sala de lo Social del Tribunal Superior de Justicia de Madrid, de fecha 11 de octubre de 2004, que estimó el recurso de suplicación núm. 4579-2004 formalizado por el Instituto Madrileño de Salud (Imsalud) contra la Sentencia de 24 de abril de 2004 del Juzgado de lo Social núm. 16 de Madrid, dictada en el procedimiento núm. 191-2004 de tutela de derechos fundamentales. La demandante pretende el amparo de su derecho fundamental a la integridad física y moral (art. 15 CE), denunciando que la Sentencia recurrida interpretó de manera errónea y restrictiva la protección que ese derecho fundamental comporta, y afirmando, frente a los razonamientos del pronunciamiento judicial, que obligarla a trabajar bajo las órdenes de la persona a quien en su día denunció, como acordó el Imsalud, constituía un evidente riesgo para su salud. La cobertura que a la demanda de amparo brinda el art. 15 CE en relación con el art. 43 CE no ha sido aceptada por el Tribunal Superior de Justicia de Madrid, relación que, por el contrario, resulta plenamente reconocida por la jurisprudencia del Tribunal Constitucional. En el caso, aduce, ese riesgo para la salud no era meramente teórico, sino efectivo y real, como resulta de los hechos probados y de los informes médicos aportados en autos.</w:t>
      </w:r>
    </w:p>
    <w:p w:rsidR="00DE14C9" w:rsidRDefault="00DE14C9" w:rsidP="00DE14C9">
      <w:pPr>
        <w:pStyle w:val="TextoNormal"/>
      </w:pPr>
      <w:r>
        <w:t>El Ministerio Fiscal solicita el otorgamiento del amparo exponiendo razones similares a las de la recurrente, destacando particularmente que la trabajadora aportó prueba plena del quebranto de la salud que le había ocasionado la orden empresarial de retornar al puesto de trabajo de origen, así como de que la empleadora no tenía razón objetiva alguna para adoptarla, más allá de la voluntad de la persona que la trabajadora había denunciado, lo que revelaría que la Sentencia impugnada no ponderó debidamente las circunstancias del caso y no respetó, en suma, el derecho fundamental que se invoca en este proceso constitucional.</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2</w:t>
      </w:r>
      <w:r>
        <w:t>. No resultará necesario detenerse en la eventual pérdida de objeto del recurso de amparo. Con independencia de que nadie ha hecho defensa de su concurrencia, aunque ponga de manifiesto la cuestión el Ministerio Fiscal, bastará decir que los argumentos que éste emplea en sus alegaciones sobre el particular son plenamente conformes con la doctrina constitucional en la materia. Nos centraremos, por tanto, en el fondo del asunto, analizando la alegada lesión del art. 15 CE atribuida en el recurso a la Sentencia impugnada en amparo.</w:t>
      </w:r>
    </w:p>
    <w:p w:rsidR="00DE14C9" w:rsidRDefault="00DE14C9" w:rsidP="00DE14C9">
      <w:pPr>
        <w:pStyle w:val="TextoNormal"/>
      </w:pPr>
      <w:r>
        <w:t>Para responder a dicha alegación, debemos examinar si la orden de traslado a la que se opone la demandante puede ser incluida en el ámbito de protección del derecho fundamental invocado. La Sala de lo Social del Tribunal Superior de Justicia de Madrid ha entendido que es el trato inhumano, vejatorio o degradante en sentido estricto el que resulta constitucionalmente prohibido, y no, como a su juicio ocurre en el caso de autos, la impresión o sensación subjetiva de estar recibiendo un trato de esta clase, ni tampoco el temor más o menos fundado a ser objeto del mismo, rechazando por ello la queja de la demandante de amparo. Ésta, por su parte, insiste en que también está concernido aquel derecho fundamental cuando se constatan acciones que pueden determinar un riesgo inmediato o futuro para la salud.</w:t>
      </w:r>
    </w:p>
    <w:p w:rsidR="00DE14C9" w:rsidRDefault="00DE14C9" w:rsidP="00DE14C9">
      <w:pPr>
        <w:pStyle w:val="TextoNormal"/>
      </w:pPr>
      <w:r>
        <w:t>Hemos recordado recientemente en nuestra STC 62/2007, de 27 de marzo, que el art. 15 CE ampara de forma autónoma el derecho fundamental a “la integridad física y moral”, y que, en relación con tal derecho, este Tribunal ha tenido ocasión de señalar que su ámbito constitucionalmente garantizado protege “la inviolabilidad de la persona, no sólo contra ataques dirigidos a lesionar su cuerpo o espíritu, sino también contra toda clase de intervención en esos bienes que carezca del consentimiento de su titular” (SSTC 120/1990, de 27 de junio, FJ 8, y 119/2001, de 24 de mayo, FJ 5); que estos derechos, destinados a proteger la “incolumidad corporal” (STC 207/1996, de 16 de diciembre, FJ 2), han adquirido también una dimensión positiva en relación con el libre desarrollo de la personalidad, orientada a su plena efectividad, razón por la que se hace imprescindible asegurar su protección no sólo frente a las injerencias ya mencionadas, sino también frente a los riesgos que puedan surgir en una sociedad tecnológicamente avanzada (STC 119/2001, de 24 de mayo, FJ 5); y que además de ello, en efecto, el derecho a que no se dañe o perjudique la salud personal queda también comprendido en el derecho a la integridad personal (STC 35/1996, de 11 de marzo, FJ 3), aunque no todo supuesto de riesgo o daño para la salud implique una vulneración del derecho fundamental, sino tan sólo aquél que genere un peligro grave y cierto para la misma (SSTC 5/2002, de 14 de enero, FJ 4, y 119/2001, de 24 de mayo, FJ 6).</w:t>
      </w:r>
    </w:p>
    <w:p w:rsidR="00DE14C9" w:rsidRDefault="00DE14C9" w:rsidP="00DE14C9">
      <w:pPr>
        <w:pStyle w:val="TextoNormal"/>
      </w:pPr>
      <w:r>
        <w:t>Esta última concreción de la tutela propia de la integridad personal, en consecuencia, no implica situar en el ámbito del art. 15 CE una suerte de cobertura constitucional frente a cualquier orden de trabajo que en abstracto, apriorística o hipotéticamente pudiera estar contraindicada para la salud; supone únicamente admitir que una determinada actuación u omisión de la empleadora en aplicación de su facultades de especificación de la actividad laboral podría comportar, en ciertas circunstancias, un riesgo o daño para la salud de la persona trabajadora cuya desatención conllevara la vulneración del derecho fundamental citado. En concreto, como precisó la propia STC 62/2007, de 27 de marzo, tal actuación u omisión podría afectar al ámbito protegido por el art. 15 CE cuando tuviera lugar existiendo un riesgo constatado de producción cierta, o potencial pero justificado ad casum, de la causación de un perjuicio para la salud, es decir, cuando se genere con la orden de trabajo un riesgo o peligro grave para ésta.</w:t>
      </w:r>
    </w:p>
    <w:p w:rsidR="00DE14C9" w:rsidRDefault="00DE14C9" w:rsidP="00DE14C9">
      <w:pPr>
        <w:pStyle w:val="TextoNormal"/>
      </w:pPr>
      <w:r>
        <w:t xml:space="preserve">Precisamente por esa razón añadíamos aún que “para apreciar la vulneración del art. 15 CE en esos casos no será preciso que la lesión de la integridad se haya consumado, lo que convertiría la tutela constitucional en una protección ineficaz ex post, bastando por el contrario que se acredite un riesgo relevante de que la lesión pueda llegar a producirse (en este </w:t>
      </w:r>
      <w:r>
        <w:lastRenderedPageBreak/>
        <w:t>sentido, SSTC 221/2002, de 25 noviembre, FJ 4, y 220/2005, de 12 de septiembre, FJ 4, entre otras)”.</w:t>
      </w:r>
    </w:p>
    <w:p w:rsidR="00DE14C9" w:rsidRDefault="00DE14C9" w:rsidP="00DE14C9">
      <w:pPr>
        <w:pStyle w:val="TextoNormal"/>
      </w:pPr>
      <w:r>
        <w:t>La doctrina expuesta despeja la primera cuestión planteada, relativa a la delimitación de la tutela constitucional comprometida en esta tipología de casos, que se extiende potencialmente, por tanto, frente a actos como los que denuncia la recurrente, siempre que se compruebe la existencia de un daño o perjuicio de la salud personal consumado o un riesgo de causación en los términos descritos.</w:t>
      </w:r>
    </w:p>
    <w:p w:rsidR="00DE14C9" w:rsidRDefault="00DE14C9" w:rsidP="00DE14C9">
      <w:pPr>
        <w:pStyle w:val="TextoNormal"/>
      </w:pPr>
    </w:p>
    <w:p w:rsidR="00DE14C9" w:rsidRDefault="00DE14C9" w:rsidP="00DE14C9">
      <w:pPr>
        <w:pStyle w:val="TextoNormal"/>
      </w:pPr>
      <w:r w:rsidRPr="00DE14C9">
        <w:rPr>
          <w:rStyle w:val="NumeroAFNegritaCaracter"/>
        </w:rPr>
        <w:t>3</w:t>
      </w:r>
      <w:r>
        <w:t>. El argumento que ofrece la Sentencia recurrida para negar la lesión denunciada, como se dijo, descansa en la falta de acreditación de que el cuadro depresivo que sufre la trabajadora esté motivado por causas objetivas originadas por una conducta hostil de su superior jerárquico. Esa pauta de imputación del daño a la salud —cuya concurrencia, sin embargo, no se discute— conduce al Tribunal a calificar la queja de la trabajadora como la expresión de una sensación subjetiva o de un temor que el art. 15 CE no ampara y en cuya aparición pueden confluir circunstancias de carácter estrictamente personal, ajenas al entorno laboral.</w:t>
      </w:r>
    </w:p>
    <w:p w:rsidR="00DE14C9" w:rsidRDefault="00DE14C9" w:rsidP="00DE14C9">
      <w:pPr>
        <w:pStyle w:val="TextoNormal"/>
      </w:pPr>
      <w:r>
        <w:t>Según expusimos con detalle en los antecedentes de esta resolución, la demandante de amparo prestaba sus servicios para el Imsalud como facultativa interina en el Ambulatorio Hermanos Miralles, de Pontones; en abril de 2000 dirigió escrito a la Subdirección Médica de Servicios Centrales sobre el gasto en el laboratorio del Centro de especialidades periférico (C.E.P.)  Pontones, así como varios escritos posteriores poniendo de manifiesto la desaparición de material en el centro, lo que dio lugar a la incoación de un expediente disciplinario al Jefe del servicio de análisis clínicos del Centro de Pontones, en el que la trabajadora declaró contra su superior jerárquico, y a la apertura de diligencias previas por el Juzgado de Instrucción núm. 8 de Madrid por malversación de fondos públicos.</w:t>
      </w:r>
    </w:p>
    <w:p w:rsidR="00DE14C9" w:rsidRDefault="00DE14C9" w:rsidP="00DE14C9">
      <w:pPr>
        <w:pStyle w:val="TextoNormal"/>
      </w:pPr>
      <w:r>
        <w:t>Tras la reincorporación del denunciado al servicio, una vez levantada por el Imsalud la medida provisional de suspensión de empleo y sueldo que había sido decretada en mayo de 2000, y encontrándose la trabajadora desde mayo de 2001 prestando su actividad, tras un periodo de baja por incapacidad temporal en el mes de noviembre de 2000, en un centro de trabajo distinto a aquél en el que se produjo la denuncia (tras la aceptación por el Imsalud de su petición en tal sentido, según consta al folio 90 de las actuaciones), recibió en diciembre de 2003 orden de reincorporación al puesto de origen motivada por la solicitud del Jefe del servicio reiteradamente aludido y, según afirmaba el Imsalud, por incremento en la actividad asistencial de ese centro. La trabajadora se opuso haciendo referencia a su participación en la denuncia reseñada y al riesgo que la prestación de servicios en el Centro de Pontones tendría para su salud psíquica. De hecho, recibió nueva baja médica el día 2 de enero de 2004, con el diagnóstico de depresión; diagnóstico ansiodepresivo que queda vinculado a su situación laboral en los informes médicos emitidos por los facultativos de la Seguridad Social, lo mismo que ocurre con la incapacidad temporal de noviembre de 2000, señalándose en esos documentos que se produjo una agravación con ocasión de la reincorporación a su puesto de trabajo de origen y haciéndose referencia, incluso, al carácter contraindicado del traslado (en ese sentido, informe de psiquiatría del facultativo del Servicio Madrileño de Salud que consta al folio 126 de las actuaciones; términos parecidos se contienen en el dictamen emitido por un especialista en psiquiatría aportado a los autos, folio 20 de las actuaciones).</w:t>
      </w:r>
    </w:p>
    <w:p w:rsidR="00DE14C9" w:rsidRDefault="00DE14C9" w:rsidP="00DE14C9">
      <w:pPr>
        <w:pStyle w:val="TextoNormal"/>
      </w:pPr>
      <w:r>
        <w:t xml:space="preserve">La Sentencia de 24 de abril de 2004, dictada por el Juzgado de lo Social núm. 16 de Madrid, declaró la nulidad de la orden de traslado al entender que vulneraba el derecho a la integridad física de la trabajadora argumentando al respecto que la trabajadora había participado activamente en la denuncia; que la solicitud de reincorporación al puesto de origen </w:t>
      </w:r>
      <w:r>
        <w:lastRenderedPageBreak/>
        <w:t>la había realizado el denunciado y que la situación clínica de aquélla era consecuencia de la experiencia vivida en el ambulatorio. Por ello, concluía la Sentencia de instancia, “existe una relación directa entre el estado físico de la actora y la decisión de traslado de la demandada, relación directa que está justificada, aunque, en la realidad, pudiera no tener lugar la aparición de roces o dificultades en el trabajo. Pero lo cierto es que la actora sufre una depresión, y ésta tiene su causa en el traslado ordenado, por volver a coincidir con el Jefe de servicio al que en su día denunció”. Añadía la Sentencia que el Instituto demandado no probó que su decisión fuera ajena a cualquier propósito atentatorio del derecho a la integridad física de la trabajadora, por cuanto no acreditó que el retorno al anterior puesto obedeciera, como aducía, a necesidades del servicio.</w:t>
      </w:r>
    </w:p>
    <w:p w:rsidR="00DE14C9" w:rsidRDefault="00DE14C9" w:rsidP="00DE14C9">
      <w:pPr>
        <w:pStyle w:val="TextoNormal"/>
      </w:pPr>
      <w:r>
        <w:t>Por el contrario, la Sentencia de suplicación recurrida en amparo no estima probado que el cuadro depresivo sufrido por la recurrente se deba a causas objetivas originadas por una conducta hostil de su superior jerárquico tras su reincorporación al puesto de origen, roces o dificultades en el trabajo que podrían no llegar a tener lugar. Por esa razón entiende que el derecho fundamental consagrado en el art. 15 CE no queda concernido, ya que no protege de “la impresión o sensación subjetiva de estar recibiendo un trato de esta clase o, menos aún, el temor más o menos fundado a ser objeto del mismo, aunque de este temor o inquietud subjetiva puedan derivarse perturbaciones psíquicas, en cuya aparición podrían confluir circunstancias de carácter estrictamente personal, ajenas al entorno laboral”.</w:t>
      </w:r>
    </w:p>
    <w:p w:rsidR="00DE14C9" w:rsidRDefault="00DE14C9" w:rsidP="00DE14C9">
      <w:pPr>
        <w:pStyle w:val="TextoNormal"/>
      </w:pPr>
    </w:p>
    <w:p w:rsidR="00DE14C9" w:rsidRDefault="00DE14C9" w:rsidP="00DE14C9">
      <w:pPr>
        <w:pStyle w:val="TextoNormal"/>
      </w:pPr>
      <w:r w:rsidRPr="00DE14C9">
        <w:rPr>
          <w:rStyle w:val="NumeroAFNegritaCaracter"/>
        </w:rPr>
        <w:t>4</w:t>
      </w:r>
      <w:r>
        <w:t>. La aplicación de la doctrina anteriormente recogida nos permite resolver el problema central que se plantea en este recurso, a saber: la cuestión sustantiva de la concurrencia del riesgo para la salud y la calificación consiguiente, desde la perspectiva constitucional que nos corresponde, de la orden de traslado objeto del litigio, que ha sido declarada conforme al art. 15 CE por la Sala de lo Social del Tribunal Superior de Justicia de Madrid.</w:t>
      </w:r>
    </w:p>
    <w:p w:rsidR="00DE14C9" w:rsidRDefault="00DE14C9" w:rsidP="00DE14C9">
      <w:pPr>
        <w:pStyle w:val="TextoNormal"/>
      </w:pPr>
      <w:r>
        <w:t>Pues bien, es patente que una orden de prestación de servicios bajo la dirección de una persona a la que se denunció no puede calificarse, apriorísticamente, como perjudicial o dañosa en todo caso para la salud. El art. 15 CE, en relación con el derecho de protección de la salud (art. 43.1 CE), no otorga, pues, un derecho incondicionado a que se evite una circunstancia semejante. O expresada la idea en otros términos, no cabe presumir iuris et de iure que cause irremediablemente un menoscabo en la salud de quien realizó la acusación el hecho de volver a coincidir en el lugar de trabajo o la reproducción tras la denuncia de las previas posiciones directivas y de dependencia de las partes del conflicto.</w:t>
      </w:r>
    </w:p>
    <w:p w:rsidR="00DE14C9" w:rsidRDefault="00DE14C9" w:rsidP="00DE14C9">
      <w:pPr>
        <w:pStyle w:val="TextoNormal"/>
      </w:pPr>
      <w:r>
        <w:t>Es obvio, no obstante, que las dificultades serán previsibles en un ambiente laboral semejante, al igual que los riesgos potenciales de perjuicio a la salud aparejados. Esa previsibilidad es un factor decisivo y hace decaer la lógica que explicita la Sentencia recurrida en amparo, pues constituye en sí misma considerada un indicio de la objetividad del riesgo. En efecto, en ese tipo de situaciones no cabe rechazar el riesgo para la salud en abstracto, excluyendo la lesión denunciada sobre la base de que el daño o peligro para la salud podría responder a impresiones o sensaciones subjetivas de la denunciante, inferior jerárquico en el organigrama laboral. Antes bien, aunque esa última hipótesis puede ciertamente llegar a darse, deben enjuiciarse estos casos analizando si existe relación de causalidad entre los antecedentes y el cuadro psicopatológico, partiendo de la previsibilidad del riesgo en una situación como la descrita.</w:t>
      </w:r>
    </w:p>
    <w:p w:rsidR="00DE14C9" w:rsidRDefault="00DE14C9" w:rsidP="00DE14C9">
      <w:pPr>
        <w:pStyle w:val="TextoNormal"/>
      </w:pPr>
      <w:r>
        <w:t xml:space="preserve">Esa pauta de aproximación constitucional determinará la suficiencia de la justificación del riesgo, peligro o daño grave para la salud, con el desencadenamiento consiguiente de la protección propia del art. 15 CE, tanto cuando se demuestren problemas sucesivos a la denuncia entre el denunciante y el denunciado, relacionados con los hechos previos, y que </w:t>
      </w:r>
      <w:r>
        <w:lastRenderedPageBreak/>
        <w:t>menoscaben o puedan llegar a menoscabar psicológicamente al denunciante por derivarse de ellos un riesgo de producción cierta, o incluso potencial, de la causación de un perjuicio para su salud; como también, lo que conecta directamente con el caso de autos, cuando exista una acreditación de la misma relación de causalidad entre los antecedentes y el cuadro psicopatológico motivada por una vivencia anticipada de lo que será el nuevo ambiente laboral posterior a la denuncia, con estados de ansiedad, grave inquietud, terror, angustia, sentimiento de inferioridad u otras perturbaciones psíquicas y trastornos similares que impliquen un menoscabo o riesgo grave para la salud. Es obvio que las circunstancias no afectan a cualquier persona por igual, pero también lo es que la previsibilidad del riesgo en estos casos resulta fuertemente indiciaria, actualizando la necesidad de la tutela del art. 15 CE si el problema grave de salud aparece unido a datos fácticos que revelen una conexión directa con los hechos previos. Los criterios decisivos son, por tanto, la relación de causalidad indicada y la constatación del riesgo o daño para la salud, de suerte que una medida del empleador que provoque éstos en una situación como la enjuiciada deberá calificarse como contraria a aquel derecho fundamental.</w:t>
      </w:r>
    </w:p>
    <w:p w:rsidR="00DE14C9" w:rsidRDefault="00DE14C9" w:rsidP="00DE14C9">
      <w:pPr>
        <w:pStyle w:val="TextoNormal"/>
      </w:pPr>
    </w:p>
    <w:p w:rsidR="00DE14C9" w:rsidRDefault="00DE14C9" w:rsidP="00DE14C9">
      <w:pPr>
        <w:pStyle w:val="TextoNormal"/>
      </w:pPr>
      <w:r w:rsidRPr="00DE14C9">
        <w:rPr>
          <w:rStyle w:val="NumeroAFNegritaCaracter"/>
        </w:rPr>
        <w:t>5</w:t>
      </w:r>
      <w:r>
        <w:t>. En el presente caso la trabajadora no sólo participó decisivamente en el esclarecimiento de unos hechos que afectaban a su superior, y que dieron lugar a actuaciones disciplinarias y penales contra él, sino que puso de manifiesto el riesgo para su salud en diversos momentos, señaladamente cuando tuvo conocimiento de la reincorporación al servicio del denunciado y cuando recibió la notificación de la orden de su reincorporación al puesto de origen. Esa sucesión de escritos y reclamaciones que revelan la advertencia del riesgo (folios núms. 91, 93, 111 y 114 de las actuaciones remitidas por el Juzgado de lo Social núm. 16 de Madrid) tiene un efecto incuestionable: el conocimiento por parte del Imsalud de que estaba comprometido un factor protegido (la salud psíquica de la trabajadora) y que, por consiguiente, de producirse, en su caso, o de mantenerse, cuando se produjo, la orden de traslado al ambulatorio de Pontones tras la reincorporación del denunciado podían ponerse en peligro derechos consagrados en el art. 15 CE.</w:t>
      </w:r>
    </w:p>
    <w:p w:rsidR="00DE14C9" w:rsidRDefault="00DE14C9" w:rsidP="00DE14C9">
      <w:pPr>
        <w:pStyle w:val="TextoNormal"/>
      </w:pPr>
      <w:r>
        <w:t xml:space="preserve">Sin embargo, la actuación administrativa se limitó a invocar razones de servicio, desatendiendo aquel riesgo previsible y advertido por la propia interesada; y soslayando los derechos y deberes de protección y prevención legalmente contemplados, que nacen en la relación de trabajo y que reclaman su entendimiento a la luz de la Constitución (STC 62/2007, de 27 de marzo, FJ 5). En efecto, la Ley 31/1995, de 8 de noviembre, de prevención de riesgos laborales, concreta, en el ámbito de la prestación de trabajo, la protección constitucional que impone esa tutela del trabajador por virtud de las exigencias de diversos derechos constitucionales, entre ellos de los consagrados en el art. 15 CE. Dicha Ley, como se sabe, es una norma de aplicación tanto en el ámbito de las relaciones laborales reguladas en el texto refundido de la Ley del estatuto de los trabajadores, como en el de las relaciones de carácter administrativo o estatutario del personal al servicio de las Administraciones públicas, con las peculiaridades que, en este caso, se contemplan en la propia Ley o en sus normas de desarrollo (art. 3 de la Ley 31/1995, de prevención de riesgos laborales, tanto en su redacción originaria, como en la dada por la disposición final segunda de la Ley 31/2006, de 18 de octubre). Pues bien, su art. 14 dispone que los trabajadores tienen derecho a una protección eficaz en materia de seguridad y salud en el trabajo, y que el citado derecho supone la existencia de un correlativo deber del empresario de protección de los trabajadores frente a los riesgos laborales, señalándose expresamente que este deber de protección constituye, igualmente, un deber de las Administraciones públicas respecto del personal a su servicio. En cumplimiento del deber de protección, decía la misma Ley en la redacción vigente en el </w:t>
      </w:r>
      <w:r>
        <w:lastRenderedPageBreak/>
        <w:t>momento en que se produjo la orden de traslado (luego parcialmente modificada por el art. 2.1 de la Ley 54/2003, de 12 diciembre, de reforma del marco normativo de la prevención de riesgos laborales), el empresario (la Administración empleadora, en esta ocasión) deberá garantizar la seguridad y la salud de los trabajadores a su servicio en todos los aspectos relacionados con el trabajo, imponiéndole, en relación con ello y en el marco de sus responsabilidades, la prevención de los riesgos laborales mediante la adopción de cuantas medidas sean necesarias para la protección de la seguridad y la salud de los trabajadores. Y esa obligación, como se ha dicho, no fue atendida por el Imsalud, pese a la advertencia de la trabajadora y la previsibilidad del riesgo, incumpliendo de ese modo diversos principios de la acción preventiva como el de evitar los riesgos o el de combatirlos en su origen, según establece el art. 15 de la misma Ley citada.</w:t>
      </w:r>
    </w:p>
    <w:p w:rsidR="00DE14C9" w:rsidRDefault="00DE14C9" w:rsidP="00DE14C9">
      <w:pPr>
        <w:pStyle w:val="TextoNormal"/>
      </w:pPr>
      <w:r>
        <w:t>Pero más allá de la advertencia del riesgo y de la pasividad y desinterés del Imsalud ante el mismo, constatamos adicionalmente que los informes médicos establecían la conexión directa entre los hechos acaecidos y la salud de la trabajadora. Esa circunstancia en una situación como la descrita, caracterizada por la previsibilidad del riesgo, bastaría por sí misma para excluir que las razones de servicio, aunque hubieran existido, pudieran ser suficientes para justificar la medida de traslado, con independencia de que, además, ni siquiera resultaron acreditadas en el proceso, como afirma la Sentencia del Juzgado de lo Social núm. 16 de Madrid, única que se ocupó de analizar materialmente el alegato empresarial en ese punto. El riesgo apuntado, en suma, se había actualizado, sin que el mismo hubiera quedado en ningún caso asociado a una predisposición patológica de la afectada, resultando por el contrario abiertamente vinculados su cuadro médico, la denuncia previa y la orden de reincorporación al puesto de origen, confirmándose de ese modo el razonamiento de la resolución mencionada en el sentido de que existía “una relación directa entre el estado físico de la actora y la decisión de traslado de la demandada”.</w:t>
      </w:r>
    </w:p>
    <w:p w:rsidR="00DE14C9" w:rsidRDefault="00DE14C9" w:rsidP="00DE14C9">
      <w:pPr>
        <w:pStyle w:val="TextoNormal"/>
      </w:pPr>
      <w:r>
        <w:t>Tal conclusión no ha sido contrarrestada por el Imsalud en el proceso, ni tampoco por la Sentencia recurrida, que sin argumentar la quiebra de la relación de causalidad que afirma la juzgadora a quo y demuestran los hechos probados y los documentos obrantes en las actuaciones, excluyó de entrada la hipótesis de la lesión al no constar actos hostiles sucesivos del denunciado, dando valor al hecho de que podrían no llegar a producirse, y negando, de modo derivado, la hipótesis del riesgo potencial o daño cierto a la salud por la vivencia anticipada de una situación laboral de ese estilo. Sin embargo, como se dijo anteriormente, ni cabe aceptar esa limitación de la tutela constitucional, ni es posible oponer a la protección que dispensa el art. 15 CE una exigencia de previa exposición al riesgo, como se derivaría de tal argumentación. Ese planteamiento, además de excluir indebidamente del derecho la protección frente situaciones dañosas como la que aquí se ha dado, anteriores a la reincorporación misma al puesto de trabajo capaz de generarlas, equivaldría a hacer depender la efectividad de la tutela constitucional de la previa puesta en peligro de los factores protegidos, o de la consumación de su lesión, lo que sería tanto como aceptar la negación de la tutela que la Constitución garantiza en el art. 15 CE (STC 62/2007, de 27 de marzo).</w:t>
      </w:r>
    </w:p>
    <w:p w:rsidR="00DE14C9" w:rsidRDefault="00DE14C9" w:rsidP="00DE14C9">
      <w:pPr>
        <w:pStyle w:val="TextoNormal"/>
      </w:pPr>
      <w:r>
        <w:t xml:space="preserve">La Sentencia de suplicación recurrida, en definitiva, prescindió de valorar el daño constatado en la salud, y tampoco justificó que el mismo fuera una sensación subjetiva o un temor de la trabajadora que careciera de relación con los hechos previos.  Omitió, así, los informes médicos y algunas indicaciones relevantes de los mismos, como las relativas a la contraindicación del traslado, la vinculación entre los hechos previos y el estado patológico o la ausencia de predisposición de la trabajadora a la patología mental, entre otras. Y rechazó la lesión, en suma, con base en una aproximación al caso y a la cobertura constitucional que </w:t>
      </w:r>
      <w:r>
        <w:lastRenderedPageBreak/>
        <w:t>ofrece el art. 15 CE que resulta errónea y restrictiva de la tutela propia del derecho fundamental citado.</w:t>
      </w:r>
    </w:p>
    <w:p w:rsidR="00DE14C9" w:rsidRDefault="00DE14C9" w:rsidP="00DE14C9">
      <w:pPr>
        <w:pStyle w:val="TextoNormal"/>
      </w:pPr>
    </w:p>
    <w:p w:rsidR="00DE14C9" w:rsidRDefault="00DE14C9" w:rsidP="00DE14C9">
      <w:pPr>
        <w:pStyle w:val="TextoNormal"/>
      </w:pPr>
      <w:r w:rsidRPr="00DE14C9">
        <w:rPr>
          <w:rStyle w:val="NumeroAFNegritaCaracter"/>
        </w:rPr>
        <w:t>6</w:t>
      </w:r>
      <w:r>
        <w:t>. Las consideraciones que anteceden determinan la procedencia del pronunciamiento previsto en el art. 53 a) LOTC y sólo queda por determinar el alcance de las previsiones del art. 55 LOTC. En este sentido, procederá la declaración de la vulneración del derecho, la anulación de la Sentencia recurrida y la retroacción de las actuaciones para que, como afirma el Ministerio Fiscal en sus alegaciones, el Tribunal Superior de Justicia de Madrid resuelva el motivo del recurso de suplicación relativo a la indemnización establecida por la Sentencia de instancia.</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doña Carmen Moyano Ayuso y, en su virtud:</w:t>
      </w:r>
    </w:p>
    <w:p w:rsidR="00DE14C9" w:rsidRDefault="00DE14C9" w:rsidP="00DE14C9">
      <w:pPr>
        <w:pStyle w:val="TextoNormal"/>
      </w:pPr>
      <w:r>
        <w:t>1º Reconocer su derecho a la integridad física (art. 15 CE).</w:t>
      </w:r>
    </w:p>
    <w:p w:rsidR="00DE14C9" w:rsidRDefault="00DE14C9" w:rsidP="00DE14C9">
      <w:pPr>
        <w:pStyle w:val="TextoNormal"/>
      </w:pPr>
      <w:r>
        <w:t>2º Anular la Sentencia de la Sección Primera de la Sala de lo Social del Tribunal Superior de Justicia de Madrid, de 11 de octubre de 2004.</w:t>
      </w:r>
    </w:p>
    <w:p w:rsidR="00DE14C9" w:rsidRDefault="00DE14C9" w:rsidP="00DE14C9">
      <w:pPr>
        <w:pStyle w:val="TextoNormal"/>
      </w:pPr>
      <w:r>
        <w:t>3º Retrotraer las actuaciones al momento anterior al pronunciamiento de dicha resolución, a fin de que se dicte la procedente con respeto a los derechos fundamentales reconocidos, dando respuesta al motivo relativo a la indemnización que articuló el Imsalud en su recurso de suplicación.</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dos de julio de dos mil siete.</w:t>
      </w:r>
    </w:p>
    <w:p w:rsidR="00DE14C9" w:rsidRDefault="00DE14C9" w:rsidP="00DE14C9">
      <w:pPr>
        <w:pStyle w:val="ParrafoNormal"/>
      </w:pPr>
    </w:p>
    <w:p w:rsidR="00DE14C9" w:rsidRDefault="00DE14C9" w:rsidP="00DE14C9">
      <w:pPr>
        <w:pStyle w:val="TextoNormalNegritaCentrado"/>
        <w:keepNext/>
      </w:pPr>
      <w:r>
        <w:t>Voto particular que formula el Magistrado don Jorge Rodríguez-Zapata Pérez a la Sentencia dictada el 2 de julio de 2007, en el recurso de amparo 7142-2004.</w:t>
      </w:r>
    </w:p>
    <w:p w:rsidR="00DE14C9" w:rsidRDefault="00DE14C9" w:rsidP="00DE14C9">
      <w:pPr>
        <w:pStyle w:val="TextoNormalNegritaCentrado"/>
        <w:keepNext/>
      </w:pPr>
    </w:p>
    <w:p w:rsidR="00DE14C9" w:rsidRDefault="00DE14C9" w:rsidP="00DE14C9">
      <w:pPr>
        <w:pStyle w:val="TextoNormal"/>
      </w:pPr>
      <w:r>
        <w:t>1. El artículo 15 CE es el primero de los que integran la sección primera del capítulo segundo del título primero de la Constitución. Garantiza la libertad de existencia, al proclamar que “todos tienen derecho a la vida y a la integridad física y moral, sin que, en ningún caso, puedan ser sometidos a tortura ni a penas o tratos inhumanos y degradantes”.</w:t>
      </w:r>
    </w:p>
    <w:p w:rsidR="00DE14C9" w:rsidRDefault="00DE14C9" w:rsidP="00DE14C9">
      <w:pPr>
        <w:pStyle w:val="TextoNormal"/>
      </w:pPr>
      <w:r>
        <w:t>En este artículo se reconocen derechos fundamentales que integran el denominado trípode vital que está formado por la vida (el ser) la integridad física (la existencia) y la integridad moral (la existencia humana digna). Se vincula al mismo, significativamente, la abolición de la pena de muerte junto a la prohibición de la tortura y de las penas o tratos inhumanos y degradantes.</w:t>
      </w:r>
    </w:p>
    <w:p w:rsidR="00DE14C9" w:rsidRDefault="00DE14C9" w:rsidP="00DE14C9">
      <w:pPr>
        <w:pStyle w:val="TextoNormal"/>
      </w:pPr>
      <w:r>
        <w:t xml:space="preserve">2. La Sentencia de la mayoría insiste en una doctrina que se inició en la STC 62/2007, de 27 de marzo, frente a la que ya formulé un Voto particular en el que me ahora me ratifico. Los FFJJ 1 y 4 de la Sentencia relacionan el derecho fundamental a la integridad física y </w:t>
      </w:r>
      <w:r>
        <w:lastRenderedPageBreak/>
        <w:t>moral (del citado art. 15 CE) con el derecho a la protección de la salud (art. 43.1 CE). Conviene reparar en que este último es un simple principio rector de la política social y económica, reconocido en el capítulo tercero del título primero de nuestra Constitución. En cuanto tal puede ser alegado ante los Jueces y Tribunales de la jurisdicción ordinaria de acuerdo con lo que dispongan las leyes que lo desarrollen (art. 53.3 CE), sin que, desde luego, pueda ser objeto de la tutela extraordinaria que para determinados derechos fundamentales supone el amparo constitucional ante nosotros (art. 53.2 CE).</w:t>
      </w:r>
    </w:p>
    <w:p w:rsidR="00DE14C9" w:rsidRDefault="00DE14C9" w:rsidP="00DE14C9">
      <w:pPr>
        <w:pStyle w:val="TextoNormal"/>
      </w:pPr>
      <w:r>
        <w:t>3. Entre las leyes de desarrollo del art. 43.1 CE se encuentra la Ley 31/1995, de 8 de noviembre, de prevención de riesgos laborales. El fundamento jurídico 5 in fine de la STC 62/2007 llegó a afirmar que esa Ley de prevención de riesgos es “desarrollo de la tutela propia del derecho fundamental a la integridad física” de una trabajadora. El fallo del que disiento ahora insiste en este planteamiento, y lo desarrolla con una generosidad extrema. Aquí radica la razón esencial de mi discrepancia con la Sentencia de la mayoría. Valoro la trascendencia que en un Estado social y democrático de Derecho (art. 1.1 CE) tiene la conquista de la democracia en los puestos de trabajo (workplace democracy) pero me opongo dogmáticamente a que una Ley ordinaria de Derecho laboral que, como dije, desarrolla un simple principio rector de la política social y económica deba ser vinculada, como se hace en la Sentencia de la que me aparto, a uno de los derechos fundamentales más esenciales de nuestro entramado constitucional. No cabe deformar el ámbito de los derechos fundamentales a la vida y a la integridad física mediante el expediente de introducir en él la tutela del derecho a la protección de la salud.</w:t>
      </w:r>
    </w:p>
    <w:p w:rsidR="00DE14C9" w:rsidRDefault="00DE14C9" w:rsidP="00DE14C9">
      <w:pPr>
        <w:pStyle w:val="TextoNormal"/>
      </w:pPr>
      <w:r>
        <w:t>4. El derecho fundamental a la integridad física y moral es un derecho de todos los seres humanos que protege la inviolabilidad de la persona no sólo contra los ataques dirigidos a lesionar su cuerpo o espíritu, sino también contra toda clase de intervenciones que carezcan del consentimiento de su titular (STC 120/1990, de 27 de junio, FJ 8) Para que la afectación de la salud de una persona por una determinada actuación de los poderes públicos suponga la lesión de su derecho fundamental a la integridad física es requisito necesario que como consecuencia de aquélla se “ponga en peligro grave e inmediato la salud” (STC 119/2001, de 24 de mayo, FJ 6), o se produzca lo que la STC 220/2005, de 12 de septiembre, llamó “un riesgo relevante” que genere “un peligro grave y cierto para la salud del afectado” (FJ 4). En el mismo sentido, la STC 5/2002, de 14 de enero (FJ 4), declaró que “el derecho a que no se dañe o perjudique la salud personal, queda comprendido en el derecho a la integridad personal del artículo 15 CE, si bien no todo supuesto de riesgo o daño para la salud implica una vulneración del derecho fundamental a la integridad física y moral, sino tan sólo aquél que genere un peligro grave y cierto para la misma”. Hemos dicho, además, que la declaración de la lesión del derecho fundamental a la integridad física que se infiera el citado riesgo relevante “sólo podrá ser efectuada en esta sede cuando resulte palmaria y manifiesta, pues la relevancia del peligro debe apreciarse con inmediación” (STC 220/2005, de 12 de septiembre, citada, FJ 4).</w:t>
      </w:r>
    </w:p>
    <w:p w:rsidR="00DE14C9" w:rsidRDefault="00DE14C9" w:rsidP="00DE14C9">
      <w:pPr>
        <w:pStyle w:val="TextoNormal"/>
      </w:pPr>
      <w:r>
        <w:t xml:space="preserve">5. La Sentencia de la mayoría asevera que su doctrina “no implica situar en el ámbito del art. 15 CE una suerte de cobertura constitucional frente a cualquier orden de trabajo que en abstracto, apriorística o hipotéticamente pudiera estar contraindicada para la salud” (sic en FJ 2) pero sí se declara que el art. 15 CE protege contra “dificultades previsibles en un ambiente laboral” (FJ 4) o con el “riesgo de producción cierta, o incluso potencial, de la causación de un perjuicio para su salud” (ibidem) me parece que se extiende indebidamente el ámbito de protección propia del art. 15 CE. No me cabe duda alguna de que nuestro Derecho laboral ofrece garantías suficientes para la protección de los riesgos que preocupan </w:t>
      </w:r>
      <w:r>
        <w:lastRenderedPageBreak/>
        <w:t>a la Sentencia de la mayoría.  Cuando el Derecho laboral basta, no es pertinente trivializar categorías de Derecho constitucional plenamente consagradas.</w:t>
      </w:r>
    </w:p>
    <w:p w:rsidR="00DE14C9" w:rsidRDefault="00DE14C9" w:rsidP="00DE14C9">
      <w:pPr>
        <w:pStyle w:val="TextoNormal"/>
      </w:pPr>
      <w:r>
        <w:t>Por ello, disiento.</w:t>
      </w:r>
    </w:p>
    <w:p w:rsidR="00DE14C9" w:rsidRDefault="00DE14C9" w:rsidP="00DE14C9">
      <w:pPr>
        <w:pStyle w:val="TextoNormal"/>
      </w:pPr>
      <w:r>
        <w:t>Madrid, a dos de julio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74" w:name="SENTENCIA_2007_161"/>
      <w:r>
        <w:lastRenderedPageBreak/>
        <w:t>SENTENCIA 161/2007, de 2 de julio de 2007</w:t>
      </w:r>
    </w:p>
    <w:bookmarkEnd w:id="74"/>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185, de 3 de agosto de 2007)</w:t>
      </w:r>
    </w:p>
    <w:p w:rsidR="00DE14C9" w:rsidRDefault="00DE14C9" w:rsidP="00DE14C9">
      <w:pPr>
        <w:pStyle w:val="TtuloBOE"/>
      </w:pPr>
    </w:p>
    <w:p w:rsidR="00DE14C9" w:rsidRDefault="00DE14C9" w:rsidP="00DE14C9">
      <w:pPr>
        <w:pStyle w:val="SntesisDescriptiva"/>
      </w:pPr>
      <w:r>
        <w:t>ECLI:ES:TC:2007:161</w:t>
      </w:r>
    </w:p>
    <w:p w:rsidR="00DE14C9" w:rsidRDefault="00DE14C9" w:rsidP="00DE14C9">
      <w:pPr>
        <w:pStyle w:val="SntesisDescriptiva"/>
      </w:pPr>
    </w:p>
    <w:p w:rsidR="00DE14C9" w:rsidRDefault="00DE14C9" w:rsidP="00DE14C9">
      <w:pPr>
        <w:pStyle w:val="SntesisDescriptiva"/>
      </w:pPr>
      <w:r>
        <w:t>Recurso de amparo 182-2005. Promovido por don Juan Carlos Belinchón Villalba frente a la Sentencia de la Sala de lo Contencioso-Administrativo del Tribunal Superior de Justicia de Madrid que desestimó su demanda contra el Ministerio de Defensa sobre convocatoria de pruebas selectivas para el acceso a la escala de oficiales de la Guardia Civil.</w:t>
      </w:r>
    </w:p>
    <w:p w:rsidR="00DE14C9" w:rsidRDefault="00DE14C9" w:rsidP="00DE14C9">
      <w:pPr>
        <w:pStyle w:val="SntesisDescriptiva"/>
      </w:pPr>
    </w:p>
    <w:p w:rsidR="00DE14C9" w:rsidRDefault="00DE14C9" w:rsidP="00DE14C9">
      <w:pPr>
        <w:pStyle w:val="SntesisAnaltica"/>
      </w:pPr>
      <w:r>
        <w:t>Vulneración del derecho a la tutela judicial efectiva (sentencia fundada en Derecho): sentencia contencioso-administrativa que confunde el acto administrativo impugnado de 2000 con otro de 1997, aportado como contraste.</w:t>
      </w:r>
    </w:p>
    <w:p w:rsidR="00DE14C9" w:rsidRDefault="00DE14C9" w:rsidP="00DE14C9">
      <w:pPr>
        <w:pStyle w:val="SntesisAnaltica"/>
      </w:pPr>
    </w:p>
    <w:p w:rsidR="00DE14C9" w:rsidRDefault="00DE14C9" w:rsidP="00DE14C9">
      <w:pPr>
        <w:pStyle w:val="Extracto"/>
      </w:pPr>
      <w:r>
        <w:t>1.</w:t>
      </w:r>
      <w:r>
        <w:tab/>
        <w:t>Se estima el recurso porque el órgano judicial fundó la desestimación del recurso en un dato fáctico apreciado de forma notoriamente errónea, tal error se evidencia con la simple lectura de la resolución impugnada y fue determinante de la Sentencia dictada [FJ 4].</w:t>
      </w:r>
    </w:p>
    <w:p w:rsidR="00DE14C9" w:rsidRDefault="00DE14C9" w:rsidP="00DE14C9">
      <w:pPr>
        <w:pStyle w:val="Extracto"/>
      </w:pPr>
    </w:p>
    <w:p w:rsidR="00DE14C9" w:rsidRDefault="00DE14C9" w:rsidP="00DE14C9">
      <w:pPr>
        <w:pStyle w:val="Extracto"/>
      </w:pPr>
      <w:r>
        <w:t>2.</w:t>
      </w:r>
      <w:r>
        <w:tab/>
        <w:t>Se aplica la doctrina sobre el error patente en una sentencia contencioso-administrativa (STC 362/2006) [FJ 4].</w:t>
      </w:r>
    </w:p>
    <w:p w:rsidR="00DE14C9" w:rsidRDefault="00DE14C9" w:rsidP="00DE14C9">
      <w:pPr>
        <w:pStyle w:val="Extracto"/>
      </w:pPr>
    </w:p>
    <w:p w:rsidR="00DE14C9" w:rsidRDefault="00DE14C9" w:rsidP="00DE14C9">
      <w:pPr>
        <w:pStyle w:val="Extracto"/>
      </w:pPr>
      <w:r>
        <w:t>3.</w:t>
      </w:r>
      <w:r>
        <w:tab/>
        <w:t>Reitera la doctrina sobre la aplicación restrictiva del concepto de recursos improcedentes, en un caso en el que la queja se refiere primordialmente al contenido erróneo de la respuesta judicial, por lo que el recurso de aclaración no resulta manifiestamente improcedente (SSTC 37/2006, 6/2007) [FJ 3].</w:t>
      </w:r>
    </w:p>
    <w:p w:rsidR="00DE14C9" w:rsidRDefault="00DE14C9" w:rsidP="00DE14C9">
      <w:pPr>
        <w:pStyle w:val="Extracto"/>
      </w:pPr>
    </w:p>
    <w:p w:rsidR="00DE14C9" w:rsidRDefault="00DE14C9" w:rsidP="00DE14C9">
      <w:pPr>
        <w:pStyle w:val="Extracto"/>
      </w:pPr>
      <w:r>
        <w:t>4.</w:t>
      </w:r>
      <w:r>
        <w:tab/>
        <w:t>Procede la anulación de la Sentencia recurrida con retroacción de actuaciones a fin de que el órgano judicial dicte otra resolución respetuosa con el derecho fundamental lesionado, lo que hace innecesario el análisis de la queja relativa a la vulneración del derecho a la igualdad en el acceso a las funciones públicas [FJ 5].</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lastRenderedPageBreak/>
        <w:t>SENTENCIA</w:t>
      </w:r>
    </w:p>
    <w:p w:rsidR="00DE14C9" w:rsidRDefault="00DE14C9" w:rsidP="00DE14C9">
      <w:pPr>
        <w:pStyle w:val="TextoNormalCentrado"/>
        <w:keepNext/>
      </w:pPr>
    </w:p>
    <w:p w:rsidR="00DE14C9" w:rsidRDefault="00DE14C9" w:rsidP="00DE14C9">
      <w:pPr>
        <w:pStyle w:val="TextoNormal"/>
      </w:pPr>
      <w:r>
        <w:t>En el recurso de amparo núm. 182-2005, promovido por don Juan Carlos Belinchón Villalba, representado por el Procurador de los Tribunales don Álvaro García San Miguel Hoover y asistido por el Letrado don Joaquín Morey Navarro, contra la Sentencia de 11 de julio de 2004, dictada por la Sección Cuarta de la Sala de lo Contencioso-Administrativo del Tribunal Superior de Justicia de Madrid en el recurso núm. 1635-2000, así como contra la Resolución del Subsecretario del Ministerio de Defensa, de 4 de julio de 2000, cuya impugnación resultó desestimada por la indicada Sentencia. Han intervenido el Ministerio Fiscal y el Abogado del Estado. Ha sido Ponente el Magistrado don Guillermo Jiménez Sánchez,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el Registro General de este Tribunal el día 11 de enero de 2005, el Procurador de los Tribunales don Álvaro García San Miguel, en la representación indicada, formuló demanda de amparo contra las resoluciones judiciales y administrativas de las que se deja hecho mérito.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de los que esta demanda de amparo trae causa son, sucintamente expuestos, los siguientes: </w:t>
      </w:r>
    </w:p>
    <w:p w:rsidR="00DE14C9" w:rsidRDefault="00DE14C9" w:rsidP="00DE14C9">
      <w:pPr>
        <w:pStyle w:val="TextoNormal"/>
      </w:pPr>
      <w:r>
        <w:t xml:space="preserve">a) El demandante de amparo, sargento de la guardia civil, impugnó en vía administrativa la convocatoria de pruebas selectivas por promoción interna para el ingreso en el centro de formación de la guardia civil que capacita para el acceso a la escala de oficiales del Instituto aprobada por Resolución 64/2000, basando su impugnación en que dicha convocatoria no incluía específicamente ningún requisito de titulación para participar en el proceso selectivo. El recurso fue desestimado mediante Resolución de 4 de julio de 2000 dictada por el Subsecretario del Ministerio de Defensa, en la cual se razonaba al efecto que el art. 20.2 de la Ley 42/1999 establece que, quienes como consecuencia de la nueva ordenación de escalas definida en la Ley 28/1994 quedan integrados en una escala concreta, ostentan por disposición legal la titulación equivalente a la del sistema educativo general, de modo que “todo el personal, en este caso de la Escala de Suboficiales, tiene titulación suficiente para tomar parte en convocatorias por promoción interna para el acceso a Escala Superior”. De ahí que resultase innecesario concretar los requisitos académicos respecto de personal que cumple en su totalidad tales requisitos de titulación. </w:t>
      </w:r>
    </w:p>
    <w:p w:rsidR="00DE14C9" w:rsidRDefault="00DE14C9" w:rsidP="00DE14C9">
      <w:pPr>
        <w:pStyle w:val="TextoNormal"/>
      </w:pPr>
      <w:r>
        <w:t xml:space="preserve">b) El demandante de amparo dedujo recurso jurisdiccional, que fue desestimado por el Tribunal Superior de Justicia de Madrid, el cual, en la Sentencia impugnada en el presente recurso de amparo, rechaza la argumentación del recurrente y afirma que el requisito de que en la convocatoria se exprese la titulación precisa para participar en las pruebas a las que se refiere (exigido en el Reglamento de ingreso —Real Decreto 1951/1995) es de necesario cumplimiento, pero que, dado que en las bases de la convocatoria se establece “como condición relativa a las plazas a ocupar por el personal de la Escala de Suboficiales el que ostenten el título de bachiller, graduado escolar u otro equivalente o superior”, se cumple el requisito de especificar la titulación precisa para participar en el proceso selectivo, sin perjuicio de cuál sea la aplicación que haga luego la Administración, cuestión ésta que no se ventila en el proceso de impugnación de las bases, sino que habría de afrontarse, en su caso, con posterioridad. </w:t>
      </w:r>
    </w:p>
    <w:p w:rsidR="00DE14C9" w:rsidRDefault="00DE14C9" w:rsidP="00DE14C9">
      <w:pPr>
        <w:pStyle w:val="TextoNormal"/>
      </w:pPr>
      <w:r>
        <w:lastRenderedPageBreak/>
        <w:t>c) Con fecha 29 de septiembre de 2004 el demandante de amparo solicitó la rectificación del error padecido por la Sentencia al confundir la resolución impugnada ante el Tribunal Superior de Justicia con la aportada en unión a la demanda como demostrativa de que otras anteriores convocatorias sí contenían requisitos de titulación. Tal solicitud fue rechazada por Auto de 5 de noviembre de 2004 en razón a que pretendía la modificación de la fundamentación jurídica de la Sentencia.</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El demandante de amparo aduce vulneración del derecho a la tutela judicial efectiva (art. 24.1 CE) porque la Sentencia parte en su razonamiento de que la convocatoria objeto de impugnación en la vía jurisdiccional establece el requisito de titulación precisa para participar y ello no es cierto. Lo que ocurrió fue que con la demanda se aportó además, a título ilustrativo, una convocatoria anterior en la que, por el contrario, sí se hacía mención expresa de los requisitos de titulación exigidos. Lo sucedido fue que el Tribunal Superior de Justicia debió equivocarse al tomar en consideración uno y otro documento, y confundió la convocatoria aportada, junto con la demanda, en demostración de que en anteriores convocatorias sí se había detallado la titulación exigida con la convocatoria efectivamente impugnada en el proceso judicial, en la cual, se insiste, no se incluía ninguna referencia a la titulación necesaria para participar en el proceso selectivo. Tal error de apreciación fue determinante del fallo desestimatorio del recurso contencioso-administrativo, razón por la cual concurren todos los requisitos exigidos por la jurisprudencia constitucional para entender vulnerado el derecho a la tutela judicial efectiva. </w:t>
      </w:r>
    </w:p>
    <w:p w:rsidR="00DE14C9" w:rsidRDefault="00DE14C9" w:rsidP="00DE14C9">
      <w:pPr>
        <w:pStyle w:val="TextoNormal"/>
      </w:pPr>
      <w:r>
        <w:t>En segundo término se aduce vulneración del art. 23.2 CE porque, al no fijarse en la convocatoria la titulación que es necesario para presentarse al proceso selectivo, se está permitiendo que accedan a una escala asimilada al título universitario quienes no poseen la titulación necesaria, lo cual supone tratar igual a los desiguales en el acceso a la función pública. Seguidamente se combate la interpretación que del art. 20 de la Ley 24/1999 se efectúa por la Administración, pues una cosa es que ciertos guardias civiles hayan sido integrados en la nueva escala de suboficiales, para la que se requiere cierta titulación, y otra distinta que por ese sólo hecho éstos hayan adquirido la indicada titulación.</w:t>
      </w:r>
    </w:p>
    <w:p w:rsidR="00DE14C9" w:rsidRDefault="00DE14C9" w:rsidP="00DE14C9">
      <w:pPr>
        <w:pStyle w:val="TextoNormal"/>
      </w:pPr>
    </w:p>
    <w:p w:rsidR="00DE14C9" w:rsidRDefault="00DE14C9" w:rsidP="00DE14C9">
      <w:pPr>
        <w:pStyle w:val="TextoNormal"/>
      </w:pPr>
      <w:r w:rsidRPr="00DE14C9">
        <w:rPr>
          <w:rStyle w:val="NumeroAFNegritaCaracter"/>
        </w:rPr>
        <w:t>4</w:t>
      </w:r>
      <w:r>
        <w:t>. Mediante providencia de fecha 17 de octubre de 2006 la Sala Segunda del Tribunal Constitucional, de conformidad con lo dispuesto en el art. 11. 2 de la Ley Orgánica este Tribunal, acordó admitir a trámite la presente demanda de amparo y, de conformidad con lo dispuesto en el art. 51 LOTC, dirigir atenta comunicación al Ministerio de Defensa así como a la Sección Cuarta de la Sala de lo Contencioso-Administrativo del Tribunal Superior de Justicia a fin de que, en plazo no superior a diez días, remitiesen, respectivamente, certificación o copia adverada del expediente administrativo y de las actuaciones judiciales correspondientes al recurso 1635-2000, especificando que el órgano judicial habría de emplazar a quienes hubieran sido parte en el proceso judicial previo, salvo al demandante de amparo, a fin de que en término de diez días pudieran comparecer ante este Tribunal, si así lo deseasen.</w:t>
      </w:r>
    </w:p>
    <w:p w:rsidR="00DE14C9" w:rsidRDefault="00DE14C9" w:rsidP="00DE14C9">
      <w:pPr>
        <w:pStyle w:val="TextoNormal"/>
      </w:pPr>
    </w:p>
    <w:p w:rsidR="00DE14C9" w:rsidRDefault="00DE14C9" w:rsidP="00DE14C9">
      <w:pPr>
        <w:pStyle w:val="TextoNormal"/>
      </w:pPr>
      <w:r w:rsidRPr="00DE14C9">
        <w:rPr>
          <w:rStyle w:val="NumeroAFNegritaCaracter"/>
        </w:rPr>
        <w:t>5</w:t>
      </w:r>
      <w:r>
        <w:t>. Mediante providencia de 29 de marzo de 2007, la Sala Segunda de este Tribunal, acordó tener por personado y parte en el procedimiento al Abogado del Estado, atendiendo así a su solicitud, y, de conformidad con lo dispuesto en el art. 52.1 de la Ley Orgánica de este Tribunal, concedió a las partes y al Ministerio público un plazo común de veinte días, dentro de los cuales podrían formular las alegaciones que tuviesen por conveniente.</w:t>
      </w:r>
    </w:p>
    <w:p w:rsidR="00DE14C9" w:rsidRDefault="00DE14C9" w:rsidP="00DE14C9">
      <w:pPr>
        <w:pStyle w:val="TextoNormal"/>
      </w:pPr>
    </w:p>
    <w:p w:rsidR="00DE14C9" w:rsidRDefault="00DE14C9" w:rsidP="00DE14C9">
      <w:pPr>
        <w:pStyle w:val="TextoNormal"/>
      </w:pPr>
      <w:r w:rsidRPr="00DE14C9">
        <w:rPr>
          <w:rStyle w:val="NumeroAFNegritaCaracter"/>
        </w:rPr>
        <w:t>6</w:t>
      </w:r>
      <w:r>
        <w:t xml:space="preserve">. Mediante escrito presentado en el Registro General de este Tribunal el Abogado del Estado formuló alegaciones interesando la inadmisión del presente recurso de amparo o, subsidiariamente, su desestimación. </w:t>
      </w:r>
    </w:p>
    <w:p w:rsidR="00DE14C9" w:rsidRDefault="00DE14C9" w:rsidP="00DE14C9">
      <w:pPr>
        <w:pStyle w:val="TextoNormal"/>
      </w:pPr>
      <w:r>
        <w:t xml:space="preserve">Razona, en primer lugar, que el recurso de amparo resulta inadmisible por extemporáneo, pues la Sentencia que finalizó la vía judicial fue notificada a la parte el 21 de septiembre de 2004, mientras que la demanda de amparo fue registrada el 11 de enero de 2005, esto es, transcurrido en exceso el plazo de veinte días establecido por la ley, habida cuenta de que la solicitud de rectificación de un supuesto error material resultaba manifiestamente improcedente para reparar el error patente pretendidamente lesivo del derecho a la tutela judicial efectiva, tal como la propia Sentencia explica al afirmar que lo que se pretendía era discutir el fondo de la cuestión resuelta en la propia Sentencia. </w:t>
      </w:r>
    </w:p>
    <w:p w:rsidR="00DE14C9" w:rsidRDefault="00DE14C9" w:rsidP="00DE14C9">
      <w:pPr>
        <w:pStyle w:val="TextoNormal"/>
      </w:pPr>
      <w:r>
        <w:t xml:space="preserve">En segundo término rechaza que haya existido lesión del derecho a la igualdad reconocido en el art. 23.2 CE, pues este derecho no incluye la prescripción de la desigualdad por indiferenciación, entendida como el pretendido derecho a que quienes están en diferente situación sean tratados de modo igualmente diverso. Y es que, sigue razonando, lo que el demandante plantea es una cuestión de legalidad ordinaria, pues no otra calificación merece la cuestión suscitada en torno a si la convocatoria impugnada cumplía o no con el requisito de fijar una determinada titulación como necesaria para participar en las pruebas selectivas. </w:t>
      </w:r>
    </w:p>
    <w:p w:rsidR="00DE14C9" w:rsidRDefault="00DE14C9" w:rsidP="00DE14C9">
      <w:pPr>
        <w:pStyle w:val="TextoNormal"/>
      </w:pPr>
      <w:r>
        <w:t>Finalmente aborda la denunciada vulneración del derecho a la tutela judicial efectiva que, conforme al criterio del demandante de amparo, se habría producido por incurrir la Sentencia en un error patente. Según el Abogado del Estado tal error no existiría con el carácter de patente que requiere la jurisprudencia constitucional para que tal error conlleve la lesión del derecho fundamental invocado. La existencia de error es, según entiende, una simple hipótesis o conjetura formulada por el demandante, pero dista mucho de constituir un error patente, inmediatamente verificable de forma incontrovertible a partir de las resoluciones judiciales. A lo sumo cabría hablar de que la motivación de la resolución judicial es imperfecta, pero en ningún caso puede estimarse lesiva del derecho a la tutela judicial efectiva.</w:t>
      </w:r>
    </w:p>
    <w:p w:rsidR="00DE14C9" w:rsidRDefault="00DE14C9" w:rsidP="00DE14C9">
      <w:pPr>
        <w:pStyle w:val="TextoNormal"/>
      </w:pPr>
    </w:p>
    <w:p w:rsidR="00DE14C9" w:rsidRDefault="00DE14C9" w:rsidP="00DE14C9">
      <w:pPr>
        <w:pStyle w:val="TextoNormal"/>
      </w:pPr>
      <w:r w:rsidRPr="00DE14C9">
        <w:rPr>
          <w:rStyle w:val="NumeroAFNegritaCaracter"/>
        </w:rPr>
        <w:t>7</w:t>
      </w:r>
      <w:r>
        <w:t xml:space="preserve">. El Fiscal formuló alegaciones mediante escrito presentado en el Registro General del Tribunal el día 16 de mayo de 2007, interesando que se otorgue el amparo y, como forma de restablecimiento del derecho fundamental vulnerado, se anule la Sentencia recurrida con retroacción de actuaciones al momento inmediatamente anterior al de su pronunciamiento para que el órgano judicial dicte otra respetuosa con el derecho fundamental vulnerado. </w:t>
      </w:r>
    </w:p>
    <w:p w:rsidR="00DE14C9" w:rsidRDefault="00DE14C9" w:rsidP="00DE14C9">
      <w:pPr>
        <w:pStyle w:val="TextoNormal"/>
      </w:pPr>
      <w:r>
        <w:t xml:space="preserve">Tras extractar el iter procesal que condujo al dictado de la resolución administrativa y de la Sentencia impugnadas en el presente recurso, recuerda la doctrina de este Tribunal acerca de los requisitos exigibles para que pueda apreciarse la existencia de error patente. En opinión del Ministerio Público la aplicación de tal doctrina al presente caso conduce a la estimación de la demanda de amparo, pues la cuestión central planteada en el recurso contencioso-administrativo fue la de si la resolución impugnada omitía improcedentemente los requisitos académicos de titulación que debían exigirse en la convocatoria y, en consecuencia, habían de cumplir los aspirantes para el acceso a la escala de oficiales de la guardia civil. Pues bien, la propia Resolución administrativa afirmaba que era innecesario concretar los requisitos académicos respecto del personal que cumple en su totalidad con los mismos requisitos de titulación, pues, por imperativo del art. 20. 2 de la Ley 42/1999, el personal de la guardia civil que resultó integrado en las actuales escalas definidas en la Ley 28/1994 ostenta una titulación equivalente a la del sistema educativo general, de modo que el personal de la escala de suboficiales tiene titulación suficiente a efectos de tomar parte en las </w:t>
      </w:r>
      <w:r>
        <w:lastRenderedPageBreak/>
        <w:t xml:space="preserve">convocatorias de promoción interna para acceso a la escala superior. La Sentencia impugnada consideró que el art. 20.2 de la Ley 42/1999 no prestaba cobertura a la omisión de la titulación precisa en la convocatoria impugnada en el proceso judicial del que este recurso de amparo trae causa, pero consideró que, en contra de lo mantenido por el recurrente, se había incluido en la convocatoria la titulación necesaria para participar en ella. </w:t>
      </w:r>
    </w:p>
    <w:p w:rsidR="00DE14C9" w:rsidRDefault="00DE14C9" w:rsidP="00DE14C9">
      <w:pPr>
        <w:pStyle w:val="TextoNormal"/>
      </w:pPr>
      <w:r>
        <w:t xml:space="preserve">El examen directo de las actuaciones judiciales revela, según el Fiscal, que asiste la razón al demandante de amparo y que en la afirmación efectuada en la Sentencia impugnada, según la cual la convocatoria sí incluía la indicación de los requisitos de titulación precisos para participar en las pruebas enjuiciadas, descansa en un error del órgano judicial, consistente en confundir las bases de la convocatoria que era objeto de impugnación con las bases de la convocatoria de 10 de junio de 1997, que el demandante aportó como documento número 4 junto con su demanda para ilustrar que en anteriores ocasiones las convocatorias respectivas sí incluían la indicación de los requisitos de titulación precisos para concurrir a ellas. En dicha dirección, continúa observando el Ministerio público, apuntan los datos de que la Sentencia aluda a que el número de plazas convocadas era el de 145, cuando en realidad las plazas convocadas se reducían a 140, y de que la Sentencia se refiera a plazas de suboficiales y no a plazas correspondientes a la escala de oficiales, que eran las que en realidad fueron objeto de convocatoria. La única explicación que el Fiscal encuentra a una equivocada referencia al número y al nivel profesional de las plazas convocadas es que el órgano judicial confundió la convocatoria que efectivamente impugna el demandante de amparo con la que éste aportaba junto con su demanda contencioso-administrativa para ser comparada con la impugnada. </w:t>
      </w:r>
    </w:p>
    <w:p w:rsidR="00DE14C9" w:rsidRDefault="00DE14C9" w:rsidP="00DE14C9">
      <w:pPr>
        <w:pStyle w:val="TextoNormal"/>
      </w:pPr>
      <w:r>
        <w:t xml:space="preserve">Por lo demás el Fiscal entiende que resulta evidente que el error, plenamente atribuible al órgano judicial, fue determinante de la decisión adoptada y que produjo perjuicio para el demandante de amparo, toda vez que no fue seleccionado pese a haber aprobado con el número 154, mientras que 36 personas que obtuvieron una de las 140 plazas convocadas no reunían los requisitos de titulación que la propia Sentencia afirmó que era imprescindible. </w:t>
      </w:r>
    </w:p>
    <w:p w:rsidR="00DE14C9" w:rsidRDefault="00DE14C9" w:rsidP="00DE14C9">
      <w:pPr>
        <w:pStyle w:val="TextoNormal"/>
      </w:pPr>
      <w:r>
        <w:t xml:space="preserve">La constatación de la vulneración del derecho a la tutela judicial efectiva por parte de la Sentencia impugnada, hace innecesario, en opinión del Ministerio público, entrar a considerar si se produjo o no lesión del derecho a la igualdad en el acceso a los cargos y funciones públicas, (segunda de las quejas aducida por el demandante de amparo). </w:t>
      </w:r>
    </w:p>
    <w:p w:rsidR="00DE14C9" w:rsidRDefault="00DE14C9" w:rsidP="00DE14C9">
      <w:pPr>
        <w:pStyle w:val="TextoNormal"/>
      </w:pPr>
      <w:r>
        <w:t>De conformidad con lo expuesto el Fiscal interesa la anulación de la Sentencia impugnada y la retroacción de las actuaciones para que el órgano judicial dicte nueva Resolución con pleno respeto al derecho fundamental invocado.</w:t>
      </w:r>
    </w:p>
    <w:p w:rsidR="00DE14C9" w:rsidRDefault="00DE14C9" w:rsidP="00DE14C9">
      <w:pPr>
        <w:pStyle w:val="TextoNormal"/>
      </w:pPr>
    </w:p>
    <w:p w:rsidR="00DE14C9" w:rsidRDefault="00DE14C9" w:rsidP="00DE14C9">
      <w:pPr>
        <w:pStyle w:val="TextoNormal"/>
      </w:pPr>
      <w:r w:rsidRPr="00DE14C9">
        <w:rPr>
          <w:rStyle w:val="NumeroAFNegritaCaracter"/>
        </w:rPr>
        <w:t>8</w:t>
      </w:r>
      <w:r>
        <w:t>. El Procurador de los Tribunales don Álvaro García San Miguel, en la representación que ostenta, formuló alegaciones mediante escrito presentado en el Registro General de este Tribunal el día 9 de mayo de 2007, interesando el otorgamiento del amparo solicitado e insistiendo en la argumentación ya vertida en la demanda de amparo</w:t>
      </w:r>
    </w:p>
    <w:p w:rsidR="00DE14C9" w:rsidRDefault="00DE14C9" w:rsidP="00DE14C9">
      <w:pPr>
        <w:pStyle w:val="TextoNormal"/>
      </w:pPr>
    </w:p>
    <w:p w:rsidR="00DE14C9" w:rsidRDefault="00DE14C9" w:rsidP="00DE14C9">
      <w:pPr>
        <w:pStyle w:val="TextoNormal"/>
      </w:pPr>
      <w:r w:rsidRPr="00DE14C9">
        <w:rPr>
          <w:rStyle w:val="NumeroAFNegritaCaracter"/>
        </w:rPr>
        <w:t>9</w:t>
      </w:r>
      <w:r>
        <w:t>. Mediante providencia de 28 de junio de 2007 se señaló para votación y fallo de la presente Sentencia el día 2 de julio siguiente.</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xml:space="preserve">. En el presente recurso de amparo se aduce vulneración del derecho a la igualdad en el acceso a las funciones públicas (art. 23.2 CE) y a la tutela judicial efectiva (art. 24.1 CE). </w:t>
      </w:r>
      <w:r>
        <w:lastRenderedPageBreak/>
        <w:t>La primera de las vulneraciones tendría su origen en la Resolución 64/2000, de 29 de marzo, sobre convocatoria de pruebas selectivas de promoción interna para el ingreso en el centro de formación de la guardia civil, porque, al no establecerse la titulación que los aspirantes debían tener para participar en el proceso, se ha permitido el acceso a él a quienes no tenían la titulación normativamente exigida, de suerte que, según el demandante de amparo, los que sí disponen de ella habrían resultado discriminados. Tal vulneración no habría sido reparada por la Sentencia de 11 de julio de 2004, dictada por el Tribunal Superior de Justicia de Madrid en el proceso de impugnación de la mencionada resolución. Además esta Sentencia incurrió en error patente, lesivo del derecho a la tutela judicial efectiva (art.  24.2 CE), por cuanto fundó su razonamiento en la afirmación de que la convocatoria sí contenía los requisitos de titulación precisos para participar en ella, apreciación que se revela errónea con la simple lectura de la resolución administrativa impugnada y que sólo encuentra explicación en que el órgano judicial haya confundido la resolución impugnada con otra que el demandante aportó, junto con su demanda contencioso-administrativa, para evidenciar que en convocatorias anteriores sí se había explicitado cuál era la titulación precisa para tomar parte en el proceso selectivo.</w:t>
      </w:r>
    </w:p>
    <w:p w:rsidR="00DE14C9" w:rsidRDefault="00DE14C9" w:rsidP="00DE14C9">
      <w:pPr>
        <w:pStyle w:val="TextoNormal"/>
      </w:pPr>
    </w:p>
    <w:p w:rsidR="00DE14C9" w:rsidRDefault="00DE14C9" w:rsidP="00DE14C9">
      <w:pPr>
        <w:pStyle w:val="TextoNormal"/>
      </w:pPr>
      <w:r w:rsidRPr="00DE14C9">
        <w:rPr>
          <w:rStyle w:val="NumeroAFNegritaCaracter"/>
        </w:rPr>
        <w:t>2</w:t>
      </w:r>
      <w:r>
        <w:t>. El Abogado del Estado interesa la inadmisión del recurso por extemporaneidad, debida a la presentación por quien es ahora demandante de amparo de una solicitud de aclaración manifiestamente improcedente; subsidiariamente solicita la desestimación de la demanda por considerar que, ni existió vulneración del principio de igualdad en el acceso a las funciones públicas (queja que entiende ha de abordarse preferentemente), ni tampoco vulneración del derecho a la tutela judicial efectiva, pues a su juicio no existe ningún error patente, sino, a lo sumo, una motivación deficiente o incompleta (queja que considera no puede ser abordada sin previo planteamiento de la parte en tal sentido).</w:t>
      </w:r>
    </w:p>
    <w:p w:rsidR="00DE14C9" w:rsidRDefault="00DE14C9" w:rsidP="00DE14C9">
      <w:pPr>
        <w:pStyle w:val="TextoNormal"/>
      </w:pPr>
      <w:r>
        <w:t>El Ministerio público interesa el otorgamiento del amparo por vulneración del derecho a la tutela judicial efectiva (art. 24.1 CE), pues considera que la Sentencia incurrió en error patente al fundar su desestimación en un dato fáctico que no se ajusta a la realidad y que es directa e inmediatamente verificable, razón por la cual, al considerar preferente el estudio de las quejas que pueden determinar la retroacción de actuaciones, solicita la anulación de la Sentencia para que el órgano judicial pronuncie otra respetuosa con el derecho fundamental invocado.</w:t>
      </w:r>
    </w:p>
    <w:p w:rsidR="00DE14C9" w:rsidRDefault="00DE14C9" w:rsidP="00DE14C9">
      <w:pPr>
        <w:pStyle w:val="TextoNormal"/>
      </w:pPr>
    </w:p>
    <w:p w:rsidR="00DE14C9" w:rsidRDefault="00DE14C9" w:rsidP="00DE14C9">
      <w:pPr>
        <w:pStyle w:val="TextoNormal"/>
      </w:pPr>
      <w:r w:rsidRPr="00DE14C9">
        <w:rPr>
          <w:rStyle w:val="NumeroAFNegritaCaracter"/>
        </w:rPr>
        <w:t>3</w:t>
      </w:r>
      <w:r>
        <w:t>. En primer lugar hemos de abordar la objeción de extemporaneidad formulada por el Abogado del Estado, según la cual la interposición de una solicitud o recurso de aclaración por el demandante ante el propio órgano judicial, al resultar manifiestamente improcedente para reparar el pretendido error patente en que se habría incurrido en la Sentencia impugnada, habría producido la prolongación artificial del plazo de caducidad de veinte días legalmente establecido para la formulación de la demanda de amparo, lo que convierte a la presentada en extemporánea.</w:t>
      </w:r>
    </w:p>
    <w:p w:rsidR="00DE14C9" w:rsidRDefault="00DE14C9" w:rsidP="00DE14C9">
      <w:pPr>
        <w:pStyle w:val="TextoNormal"/>
      </w:pPr>
      <w:r>
        <w:t xml:space="preserve">Que la utilización de un recurso manifiestamente improcedente determina la extemporaneidad de la demanda es un extremo reiteradamente afirmado por este Tribunal, de modo que la cuestión a resolver en el caso es, simplemente, la de si la solicitud de rectificación presentada ante el Tribunal Superior de Justicia de Madrid era o no manifiestamente improcedente. Para responder a este interrogante conviene recordar que hemos declarado que la armonización del principio de seguridad jurídica con el derecho a la tutela judicial efectiva sin indefensión (art. 24.1 CE) exige una aplicación restrictiva del concepto de “recursos </w:t>
      </w:r>
      <w:r>
        <w:lastRenderedPageBreak/>
        <w:t>improcedentes”, considerando como tales sólo aquellos recursos “cuya improcedencia derive de forma evidente del propio texto legal, sin dudas interpretativas que sea necesario despejar por medio de criterios hermenéuticos no absolutamente discutibles” (por todas, STC 6/2007, de 15 de enero). Pues bien, en el presente supuesto, tal como sucediera en el caso resuelto en la STC 37/2006, de 13 de febrero, FJ 2, dado que el contenido de la queja se refiere primordialmente al contenido erróneo de la respuesta judicial, el recurso de aclaración efectivamente presentado no resultaba manifiestamente improcedente y, en consecuencia, la demanda ha sido tempestivamente presentada ante este Tribunal.</w:t>
      </w:r>
    </w:p>
    <w:p w:rsidR="00DE14C9" w:rsidRDefault="00DE14C9" w:rsidP="00DE14C9">
      <w:pPr>
        <w:pStyle w:val="TextoNormal"/>
      </w:pPr>
    </w:p>
    <w:p w:rsidR="00DE14C9" w:rsidRDefault="00DE14C9" w:rsidP="00DE14C9">
      <w:pPr>
        <w:pStyle w:val="TextoNormal"/>
      </w:pPr>
      <w:r w:rsidRPr="00DE14C9">
        <w:rPr>
          <w:rStyle w:val="NumeroAFNegritaCaracter"/>
        </w:rPr>
        <w:t>4</w:t>
      </w:r>
      <w:r>
        <w:t>. Superado el óbice procesal propuesto por el Abogado del Estado comenzaremos el estudio de las vulneraciones de derechos fundamentales que aduce el demandante por aquélla que, de estimarse, debiera conducir a la retroacción de las actuaciones.  La posibilidad de que, de acordarse ésta, el órgano judicial pudiera dictar una resolución distinta en cuanto al fondo de las pretensiones ante él deducidas, bien por apreciar vulneración del derecho fundamental del derecho de igualdad en el acceso a las funciones públicas, bien por cualquier otro motivo de legalidad ordinaria, imponen dicha forma de proceder de acuerdo con la naturaleza subsidiaria del recurso de amparo.</w:t>
      </w:r>
    </w:p>
    <w:p w:rsidR="00DE14C9" w:rsidRDefault="00DE14C9" w:rsidP="00DE14C9">
      <w:pPr>
        <w:pStyle w:val="TextoNormal"/>
      </w:pPr>
      <w:r>
        <w:t>Comenzando pues con la queja relativa a la existencia de un error patente en la Sentencia impugnada, que habría vulnerado el derecho del demandante de amparo a la tutela judicial efectiva (art. 24.1 CE), bueno será recordar que este Tribunal, en doctrina que se encuentra plenamente consolidada, ha venido declarando que el control externo que de las resoluciones judiciales se efectúa cuando se aduce vulneración del derecho a la tutela judicial efectiva comprende los supuestos en los cuales la resolución judicial es el resultado de un razonamiento que no se corresponde con la realidad, por haber incurrido el órgano judicial en un error patente en la determinación y selección del material de hecho o del presupuesto sobre el que se asienta su decisión, produciendo con ello efectos negativos en la esfera jurídica del ciudadano. Los requisitos necesarios para que dicho error alcance relevancia constitucional son: que no sea imputable a la negligencia de la parte, sino atribuible al órgano judicial; que pueda apreciarse inmediatamente de forma incontrovertible a partir de las actuaciones judiciales; y, finalmente, que resulte determinante de la decisión adoptada por constituir el soporte único o básico, la ratio decidendi de la resolución pronunciada (STC 362/2006, de 18 de diciembre).</w:t>
      </w:r>
    </w:p>
    <w:p w:rsidR="00DE14C9" w:rsidRDefault="00DE14C9" w:rsidP="00DE14C9">
      <w:pPr>
        <w:pStyle w:val="TextoNormal"/>
      </w:pPr>
      <w:r>
        <w:t>En el presente caso el demandante de amparo impugnó ante la jurisdicción contencioso-administrativa la convocatoria de un proceso selectivo, con fundamento en que la convocatoria, contrariamente a lo que en su opinión exigían las normas legales y reglamentarias que invocó al efecto, no señalaba expresamente qué titulación habían de ostentar quienes quisieran tomar parte en ella. Por el contrario la Administración entendió que tal requisito no era preciso, debido a que la pertenencia de la totalidad de los aspirantes a la escala de suboficiales de la guardia civil les confería, en aplicación del art. 20.2 de la Ley 42/1999, la titulación precisa para tomar parte en las convocatorias para acceder por promoción interna a la escala superior del Instituto.</w:t>
      </w:r>
    </w:p>
    <w:p w:rsidR="00DE14C9" w:rsidRDefault="00DE14C9" w:rsidP="00DE14C9">
      <w:pPr>
        <w:pStyle w:val="TextoNormal"/>
      </w:pPr>
      <w:r>
        <w:t xml:space="preserve">Al resolver la controversia así trabada el órgano judicial rechazó la argumentación de la Administración, concluyendo que la convocatoria debió establecer qué nivel de titulación era exigible para participar en ella. Pero seguidamente desestimó el recurso argumentando (último párrafo de la Sentencia impugnada) que el requisito reglamentario, consistente en que la convocatoria establezca el nivel de titulación exigible para participar, se puede entender cumplido al haberse establecido “como condición relativa a las plazas a ocupar por </w:t>
      </w:r>
      <w:r>
        <w:lastRenderedPageBreak/>
        <w:t>el personal de la escala de suboficiales el que ostenten el título de bachiller elemental, graduado escolar u otro equivalente o superior, y convocarse 145 plazas para dicha escala”, siendo cuestión distinta y no susceptible de resolver en el momento procesal en el que se dictaba la resolución judicial la de si la Administración aplicó o no correctamente la exigencia de titulación.</w:t>
      </w:r>
    </w:p>
    <w:p w:rsidR="00DE14C9" w:rsidRDefault="00DE14C9" w:rsidP="00DE14C9">
      <w:pPr>
        <w:pStyle w:val="TextoNormal"/>
      </w:pPr>
      <w:r>
        <w:t>Pues bien, la lectura de la Resolución 64/2000, del Subsecretario de Defensa, impugnada en la vía contencioso-administrativa, revela que en tal resolución no se contenían las previsiones a las que se acaba de hacer mención y sobre las cuales el órgano judicial basa su razonamiento, sino que estas determinaciones se contienen en la Resolución 11/1997, de 4 de junio, por la que se convocaban pruebas de promoción interna para el ingreso en el centro de formación que capacita para el ascenso a la escala ejecutiva de la guardia civil, resolución que el demandante de amparo aportó junto con su demanda, explicando que constituía un precedente que refrendaba la postura por él mantenida. Que el órgano judicial confundió la convocatoria sometida a su enjuiciamiento con la que se le aportaba como precedente para apoyar la argumentación de la demanda es un extremo que se ve avalado, además, por el hecho de que las plazas convocadas efectivamente en la resolución enjuiciada eran 140 y no 145, que era precisamente el número de las plazas reservadas para personal de la escala de Suboficiales en la convocatoria de contraste.</w:t>
      </w:r>
    </w:p>
    <w:p w:rsidR="00DE14C9" w:rsidRDefault="00DE14C9" w:rsidP="00DE14C9">
      <w:pPr>
        <w:pStyle w:val="TextoNormal"/>
      </w:pPr>
      <w:r>
        <w:t>Consecuentemente cabe afirmar que el Tribunal Superior de Justicia de Madrid fundó la desestimación del recurso en un dato fáctico apreciado de forma notoriamente errónea; que tal error se evidencia con la simple lectura de la resolución impugnada; y que, finalmente, tal error fue determinante de la Sentencia dictada, en la medida en que en ella se afirma la necesidad de que la convocatoria concrete los requisitos de titulación precisa para participar en las pruebas selectivas, pero a ello se añade que tal requisito podía entenderse cumplido a partir de una apreciación fáctica que se evidencia patentemente errónea.</w:t>
      </w:r>
    </w:p>
    <w:p w:rsidR="00DE14C9" w:rsidRDefault="00DE14C9" w:rsidP="00DE14C9">
      <w:pPr>
        <w:pStyle w:val="TextoNormal"/>
      </w:pPr>
    </w:p>
    <w:p w:rsidR="00DE14C9" w:rsidRDefault="00DE14C9" w:rsidP="00DE14C9">
      <w:pPr>
        <w:pStyle w:val="TextoNormal"/>
      </w:pPr>
      <w:r w:rsidRPr="00DE14C9">
        <w:rPr>
          <w:rStyle w:val="NumeroAFNegritaCaracter"/>
        </w:rPr>
        <w:t>5</w:t>
      </w:r>
      <w:r>
        <w:t>. La estimación del recurso de amparo por apreciarse la vulneración del derecho a la tutela judicial efectiva (art. 24.1 CE), lo que determina la anulación de la Sentencia recurrida con retroacción de actuaciones a fin de que el órgano judicial dicte otra resolución respetuosa con el derecho fundamental lesionado, convierte en innecesario el análisis de la queja relativa a la vulneración del derecho a la igualdad en el acceso a las funciones públicas (art. 23.2 CE).</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Estimar parcialmente la demanda de amparo formulada por don Juan Carlos Belinchón Villalba contra la Sentencia de 11 de julio de 2004, dictada por la Sección Cuarta de la Sala de lo Contencioso-Administrativo del Tribunal Superior de Justicia de Madrid en el recurso núm. 1635-2000, así como contra la Resolución del Subsecretario del Ministerio de Defensa, de 4 de julio de 2000, cuya impugnación resultó desestimada por la indicada Sentencia y, en consecuencia:</w:t>
      </w:r>
    </w:p>
    <w:p w:rsidR="00DE14C9" w:rsidRDefault="00DE14C9" w:rsidP="00DE14C9">
      <w:pPr>
        <w:pStyle w:val="TextoNormal"/>
      </w:pPr>
      <w:r>
        <w:lastRenderedPageBreak/>
        <w:t>1º Declarar que se ha vulnerado el derecho a la tutela judicial efectiva sin indefensión (art. 24.1 CE) del demandante.</w:t>
      </w:r>
    </w:p>
    <w:p w:rsidR="00DE14C9" w:rsidRDefault="00DE14C9" w:rsidP="00DE14C9">
      <w:pPr>
        <w:pStyle w:val="TextoNormal"/>
      </w:pPr>
      <w:r>
        <w:t>2º Restablecerlo en su derecho y, a tal fin, anular la Sentencia de 11 de julio de 2004 dictada por la Sección Cuarta de la Sala de lo Contencioso-Administrativo del Tribunal Superior de Justicia de Madrid en el recurso núm. 1635-2000, retrotrayendo las actuaciones al momento inmediatamente anterior a su dictado para que dicho órgano judicial pronuncie otra respetuosa con el derecho fundamental lesionado.</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dos de julio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75" w:name="SENTENCIA_2007_162"/>
      <w:r>
        <w:lastRenderedPageBreak/>
        <w:t>SENTENCIA 162/2007, de 2 de julio de 2007</w:t>
      </w:r>
    </w:p>
    <w:bookmarkEnd w:id="75"/>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185, de 3 de agosto de 2007)</w:t>
      </w:r>
    </w:p>
    <w:p w:rsidR="00DE14C9" w:rsidRDefault="00DE14C9" w:rsidP="00DE14C9">
      <w:pPr>
        <w:pStyle w:val="TtuloBOE"/>
      </w:pPr>
    </w:p>
    <w:p w:rsidR="00DE14C9" w:rsidRDefault="00DE14C9" w:rsidP="00DE14C9">
      <w:pPr>
        <w:pStyle w:val="SntesisDescriptiva"/>
      </w:pPr>
      <w:r>
        <w:t>ECLI:ES:TC:2007:162</w:t>
      </w:r>
    </w:p>
    <w:p w:rsidR="00DE14C9" w:rsidRDefault="00DE14C9" w:rsidP="00DE14C9">
      <w:pPr>
        <w:pStyle w:val="SntesisDescriptiva"/>
      </w:pPr>
    </w:p>
    <w:p w:rsidR="00DE14C9" w:rsidRDefault="00DE14C9" w:rsidP="00DE14C9">
      <w:pPr>
        <w:pStyle w:val="SntesisDescriptiva"/>
      </w:pPr>
      <w:r>
        <w:t>Recurso de amparo 752-2005. Promovido por don Juan Manuel Martín Espinosa frente a la Sentencia y al Auto de nulidad de un Juzgado de lo Social de Murcia en litigio por despido.</w:t>
      </w:r>
    </w:p>
    <w:p w:rsidR="00DE14C9" w:rsidRDefault="00DE14C9" w:rsidP="00DE14C9">
      <w:pPr>
        <w:pStyle w:val="SntesisDescriptiva"/>
      </w:pPr>
    </w:p>
    <w:p w:rsidR="00DE14C9" w:rsidRDefault="00DE14C9" w:rsidP="00DE14C9">
      <w:pPr>
        <w:pStyle w:val="SntesisAnaltica"/>
      </w:pPr>
      <w:r>
        <w:t>Vulneración del derecho a la tutela judicial sin indefensión: emplazamiento edictal sin agotar los medios de comunicación efectiva con uno de los demandados, quien no actuó con negligencia.</w:t>
      </w:r>
    </w:p>
    <w:p w:rsidR="00DE14C9" w:rsidRDefault="00DE14C9" w:rsidP="00DE14C9">
      <w:pPr>
        <w:pStyle w:val="SntesisAnaltica"/>
      </w:pPr>
    </w:p>
    <w:p w:rsidR="00DE14C9" w:rsidRDefault="00DE14C9" w:rsidP="00DE14C9">
      <w:pPr>
        <w:pStyle w:val="Extracto"/>
      </w:pPr>
      <w:r>
        <w:t>1.</w:t>
      </w:r>
      <w:r>
        <w:tab/>
        <w:t>No existiendo base alguna para considerar que el recurrente conociera del procedimiento, ni que realizase cualquier otra actuación con la voluntad de impedir o dificultar la recepción de las notificaciones, la no verificación de esas circunstancias infringe el especial deber de diligencia que pesa sobre los órganos judiciales a la hora de velar por la correcta realización de los actos de comunicación para la adecuada y regular constitución de la relación jurídico-procesal [FJ 4].</w:t>
      </w:r>
    </w:p>
    <w:p w:rsidR="00DE14C9" w:rsidRDefault="00DE14C9" w:rsidP="00DE14C9">
      <w:pPr>
        <w:pStyle w:val="Extracto"/>
      </w:pPr>
    </w:p>
    <w:p w:rsidR="00DE14C9" w:rsidRDefault="00DE14C9" w:rsidP="00DE14C9">
      <w:pPr>
        <w:pStyle w:val="Extracto"/>
      </w:pPr>
      <w:r>
        <w:t>2.</w:t>
      </w:r>
      <w:r>
        <w:tab/>
        <w:t>Confluyendo irregularidades en la práctica del emplazamiento cometidas por la oficina judicial y no existiendo base alguna para considerar la existencia de actos de falta de diligencia de quien formula la denuncia de indefensión, no cabe hablar de la existencia de un elemento invalidante de la tacha de indefensión (STC 161/2006) [FJ 4].</w:t>
      </w:r>
    </w:p>
    <w:p w:rsidR="00DE14C9" w:rsidRDefault="00DE14C9" w:rsidP="00DE14C9">
      <w:pPr>
        <w:pStyle w:val="Extracto"/>
      </w:pPr>
    </w:p>
    <w:p w:rsidR="00DE14C9" w:rsidRDefault="00DE14C9" w:rsidP="00DE14C9">
      <w:pPr>
        <w:pStyle w:val="Extracto"/>
      </w:pPr>
      <w:r>
        <w:t>3.</w:t>
      </w:r>
      <w:r>
        <w:tab/>
        <w:t>Habiendo sido el recurrente empresario del trabajador demandante en el proceso, quedaba sujeto al especial deber de diligencia que pesa sobre el que cesa en su actividad profesional de facilitar cauces de comunicación, a los efectos de permitir su localización por quienes hasta entonces hubieran mantenido con él negocios y actos relacionados con su giro o tráfico (SSTC 12/2000, 6/2003) [FJ 4].</w:t>
      </w:r>
    </w:p>
    <w:p w:rsidR="00DE14C9" w:rsidRDefault="00DE14C9" w:rsidP="00DE14C9">
      <w:pPr>
        <w:pStyle w:val="Extracto"/>
      </w:pPr>
    </w:p>
    <w:p w:rsidR="00DE14C9" w:rsidRDefault="00DE14C9" w:rsidP="00DE14C9">
      <w:pPr>
        <w:pStyle w:val="Extracto"/>
      </w:pPr>
      <w:r>
        <w:t>4.</w:t>
      </w:r>
      <w:r>
        <w:tab/>
        <w:t>Aplica la doctrina sobre la indefensión producida por la falta de diligencia en los actos de comunicación procesal y, en particular, sobre el emplazamiento edictal (STC 40/2005, 293/2005) [FJ 2].</w:t>
      </w:r>
    </w:p>
    <w:p w:rsidR="00DE14C9" w:rsidRDefault="00DE14C9" w:rsidP="00DE14C9">
      <w:pPr>
        <w:pStyle w:val="Extracto"/>
      </w:pPr>
    </w:p>
    <w:p w:rsidR="00DE14C9" w:rsidRDefault="00DE14C9" w:rsidP="00DE14C9">
      <w:pPr>
        <w:pStyle w:val="Extracto"/>
      </w:pPr>
      <w:r>
        <w:t>5.</w:t>
      </w:r>
      <w:r>
        <w:tab/>
        <w:t>Procede la nulidad del Auto impugnado y, en lo que afecta al propio recurrente, la nulidad de las actuaciones practicadas a partir del emplazamiento, retrotrayéndolas al momento en el que debió ser emplazado para comparecer en juicio [FJ 5].</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lastRenderedPageBreak/>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752-2005, interpuesto por don Juan Manuel Martín Espinosa, representado por la Procuradora de los Tribunales doña María del Ángel Sanz Amaro y asistido por el Abogado don José Ríos Bravo, contra el Auto del Juzgado de lo Social núm. 3 de Murcia, de 2 de diciembre de 2004, dictado en autos de despido núm. 177- 2004, ejecución núm. 164-2004. Ha intervenido el Ministerio Fiscal. Ha sido Ponente el Magistrado don Jorge Rodríguez-Zapata Pérez,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el Registro General de este Tribunal el día 3 de febrero de 2005, la Procuradora de los Tribunales doña María del Ángel Sanz Amaro, actuando en nombre y representación de don Juan Manuel Martín Espinosa, interpuso recurso de amparo contra la resolución citada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de los que trae causa la demanda de amparo son, en síntesis, los siguientes: </w:t>
      </w:r>
    </w:p>
    <w:p w:rsidR="00DE14C9" w:rsidRDefault="00DE14C9" w:rsidP="00DE14C9">
      <w:pPr>
        <w:pStyle w:val="TextoNormal"/>
      </w:pPr>
      <w:r>
        <w:t xml:space="preserve">a) En el Juzgado de lo Social núm. 3 de Murcia se sigue ejecución núm. 164-2004 dimanante del proceso de despido iniciado a instancia de un trabajador contra Ferrallas Carthago, S.L., don Juan Manuel Martín Espinosa y el Fondo de Garantía Salarial (Fogasa), que terminó con Sentencia estimatoria de 24 de mayo de 2004. </w:t>
      </w:r>
    </w:p>
    <w:p w:rsidR="00DE14C9" w:rsidRDefault="00DE14C9" w:rsidP="00DE14C9">
      <w:pPr>
        <w:pStyle w:val="TextoNormal"/>
      </w:pPr>
      <w:r>
        <w:t xml:space="preserve">La citación del Sr. Martín Espinosa al acto del juicio —lo mismo que la comunicación de otras actuaciones posteriores, señaladamente la realizada para la prueba de confesión judicial propuesta por el trabajador demandante— se efectuó en el domicilio indicado en la demanda, en la calle Santa Teresa, núm. 19, 2º c) de Murcia, tanto por correo certificado como por agente judicial, resultando todos los intentos infructuosos. La diligencia negativa del agente judicial, de fecha 21 de abril de 2004, detallaba que se intentó la notificación hasta en tres ocasiones, sin encontrarse a nadie en la vivienda. </w:t>
      </w:r>
    </w:p>
    <w:p w:rsidR="00DE14C9" w:rsidRDefault="00DE14C9" w:rsidP="00DE14C9">
      <w:pPr>
        <w:pStyle w:val="TextoNormal"/>
      </w:pPr>
      <w:r>
        <w:t xml:space="preserve">Esto así, el día previsto para la celebración del acto del juicio —26 de abril de 2004— el juzgador acordó su suspensión, con nuevo señalamiento, toda vez que no había podido ser citado el recurrente en amparo y que el actor decía no conocer otro domicilio en el que localizarlo. La citación al Sr. Martín Espinosa se realizó por edictos en el “Boletín Oficial de la Región de Murcia”, el día 12 de mayo de 2004. El acto del juicio se celebró en la nueva fecha señalada —el siguiente 24 de mayo— en ausencia del demandado, dictándose la Sentencia mencionada, de 24 de mayo de 2004, en la que se declara la improcedencia del despido con base en la documentación aportada por el actor y a tenor de lo dispuesto en el art. 91.2 LPL, según el cual si el llamado a confesar no comparece sin justa causa a la primera citación podrá ser tenido por confeso en la Sentencia. El pronunciamiento fue notificado al recurrente en amparo por edictos, con fecha de 29 de junio de 2004. </w:t>
      </w:r>
    </w:p>
    <w:p w:rsidR="00DE14C9" w:rsidRDefault="00DE14C9" w:rsidP="00DE14C9">
      <w:pPr>
        <w:pStyle w:val="TextoNormal"/>
      </w:pPr>
      <w:r>
        <w:t xml:space="preserve">b) Por Auto de 23 de julio de 2004 el Juzgado de lo Social núm. 3 de Murcia acordó despachar la ejecución, resolución que fue nuevamente publicada, el día 10 de agosto de </w:t>
      </w:r>
      <w:r>
        <w:lastRenderedPageBreak/>
        <w:t xml:space="preserve">2004, en el “Boletín Oficial de la Región de Murcia” y que, asimismo, fue remitida por correo certificado a una nueva dirección hasta entonces no utilizada por la oficina judicial, sita en la calle Julián Romea en El Puntal (Murcia; folio 75 de las actuaciones). Consta igualmente el intento de notificación de aquella resolución en una dirección de la localidad de Molina de Segura, aunque no se especifican las señas concretas en el certificado de correos que obra al folio 87, y que fue recibida el día 27 de septiembre de 2004 por una tercera persona, de nombre Esperanza, según acredita el mencionado documento. </w:t>
      </w:r>
    </w:p>
    <w:p w:rsidR="00DE14C9" w:rsidRDefault="00DE14C9" w:rsidP="00DE14C9">
      <w:pPr>
        <w:pStyle w:val="TextoNormal"/>
      </w:pPr>
      <w:r>
        <w:t xml:space="preserve">El Sr. Martín Espinosa se personó ante el Juzgado de lo Social núm. 3 de Murcia el día 7 de octubre de 2004, solicitando copia de los autos, y presentó incidente de nulidad de actuaciones el siguiente día 11. Denunciaba haber sufrido indefensión, argumentando que al trabajador demandante le constaba otro domicilio —el antes indicado de la calle Julián Romea, núm. 1, en El Puntal (Murcia)—, domicilio que, por lo demás, obraba en autos al aparecer en las nóminas aportadas por el propio actor, y en el que, de haber sido citado, podría haber tenido noticia del procedimiento al vivir en él sus hijos. Así ocurrió, precisamente, en ejecución de Sentencia, como probaría —afirmaba— que la notificación del Auto de 23 de julio de 2004 en ese domicilio permitió su conocimiento de las actuaciones, al ser informado el día 21 de septiembre por un hijo de la recepción de aquella resolución que despachaba la ejecución. </w:t>
      </w:r>
    </w:p>
    <w:p w:rsidR="00DE14C9" w:rsidRDefault="00DE14C9" w:rsidP="00DE14C9">
      <w:pPr>
        <w:pStyle w:val="TextoNormal"/>
      </w:pPr>
      <w:r>
        <w:t>c) El Auto recurrido en amparo, de 2 de diciembre de 2004, reconoce que en la documental obrante en autos, aportada por el actor en el acto del juicio, figuraba el mencionado domicilio de El Puntal (Murcia). Sin embargo, mantiene que no se produjo quebrantamiento de ninguna norma, pues a la fecha de celebración del juicio no le constaba al juzgador el domicilio controvertido, de manera que, en su caso, la circunstancia le sería imputable al trabajador demandante y no al órgano judicial, sin que fuera procedente por ello la nulidad de lo actuado, sino, eventualmente, una reclamación contra la parte actora por ocultación intencionada del domicilio en el que podrían haberse practicado los actos de comunicación procesal.</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El recurrente en amparo denuncia que la resolución impugnada ha vulnerado su derecho a la tutela judicial efectiva sin indefensión (art. 24.1 CE), citando diversas vertientes del referido derecho fundamental y, asimismo, el art. 6.1 del convenio europeo de derechos humanos. Reitera a tal fin las alegaciones que realizó en el incidente de nulidad de actuaciones, estimando en esencia que debió haber sido parte activa en el proceso para poder hacer uso de sus derechos y garantías procesales, cosa que se hubiera producido de haber sido citado en el otro domicilio que el trabajador demandante conocía, el que se encuentra en la calle Julián Romea, 1, en El Puntal (Murcia), que figuraba en los recibos de salarios aportados en autos y del que el actor también tenía conocimiento por otras razones (en concreto, por relaciones laborales que tenía con familiares del recurrente). </w:t>
      </w:r>
    </w:p>
    <w:p w:rsidR="00DE14C9" w:rsidRDefault="00DE14C9" w:rsidP="00DE14C9">
      <w:pPr>
        <w:pStyle w:val="TextoNormal"/>
      </w:pPr>
      <w:r>
        <w:t>En consecuencia, solicita que se declare la vulneración del art. 24.1 CE, y se acuerde la nulidad del Auto recurrido, de 2 de diciembre de 2004, con retroacción de las actuaciones para que la citación al acto del juicio se realice de forma respetuosa con el derecho fundamental lesionado.</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Por providencia de 15 de noviembre de 2006, la Sección Segunda de este Tribunal acordó admitir a trámite el recurso de amparo y, a tenor de lo dispuesto en el art. 51 LOTC, habiéndose remitido con anterioridad testimonio de las actuaciones, requerir atentamente al Juzgado de lo Social núm. 3 de Murcia para que emplazara a quienes fueron parte en el </w:t>
      </w:r>
      <w:r>
        <w:lastRenderedPageBreak/>
        <w:t xml:space="preserve">procedimiento, con excepción del recurrente en amparo, para que en el plazo de diez días pudiesen comparecer en este proceso constitucional. </w:t>
      </w:r>
    </w:p>
    <w:p w:rsidR="00DE14C9" w:rsidRDefault="00DE14C9" w:rsidP="00DE14C9">
      <w:pPr>
        <w:pStyle w:val="TextoNormal"/>
      </w:pPr>
      <w:r>
        <w:t>Constando la realización de los emplazamientos y transcurrido el plazo correspondiente, la diligencia de ordenación de 28 de marzo de 2007, a tenor de lo dispuesto en el art. 52 de la Ley Orgánica de este Tribunal, concedió un plazo de veinte días a la parte recurrente y al Ministerio Fiscal para que presentaran las alegaciones que estimaran pertinentes.</w:t>
      </w:r>
    </w:p>
    <w:p w:rsidR="00DE14C9" w:rsidRDefault="00DE14C9" w:rsidP="00DE14C9">
      <w:pPr>
        <w:pStyle w:val="TextoNormal"/>
      </w:pPr>
    </w:p>
    <w:p w:rsidR="00DE14C9" w:rsidRDefault="00DE14C9" w:rsidP="00DE14C9">
      <w:pPr>
        <w:pStyle w:val="TextoNormal"/>
      </w:pPr>
      <w:r w:rsidRPr="00DE14C9">
        <w:rPr>
          <w:rStyle w:val="NumeroAFNegritaCaracter"/>
        </w:rPr>
        <w:t>5</w:t>
      </w:r>
      <w:r>
        <w:t>. El día 20 de diciembre de 2006, el demandante de amparo solicitó la suspensión de la ejecución de la resolución recurrida, dictándose el Auto de 4 de junio de 2007, denegando la petición.</w:t>
      </w:r>
    </w:p>
    <w:p w:rsidR="00DE14C9" w:rsidRDefault="00DE14C9" w:rsidP="00DE14C9">
      <w:pPr>
        <w:pStyle w:val="TextoNormal"/>
      </w:pPr>
    </w:p>
    <w:p w:rsidR="00DE14C9" w:rsidRDefault="00DE14C9" w:rsidP="00DE14C9">
      <w:pPr>
        <w:pStyle w:val="TextoNormal"/>
      </w:pPr>
      <w:r w:rsidRPr="00DE14C9">
        <w:rPr>
          <w:rStyle w:val="NumeroAFNegritaCaracter"/>
        </w:rPr>
        <w:t>6</w:t>
      </w:r>
      <w:r>
        <w:t>. Según se hace constar en diligencia de 21 de mayo de 2007, la Procuradora de los Tribunales doña María del Ángel Sanz Amaro, representante procesal del recurrente en amparo, no ejercitó su derecho a realizar alegaciones.</w:t>
      </w:r>
    </w:p>
    <w:p w:rsidR="00DE14C9" w:rsidRDefault="00DE14C9" w:rsidP="00DE14C9">
      <w:pPr>
        <w:pStyle w:val="TextoNormal"/>
      </w:pPr>
    </w:p>
    <w:p w:rsidR="00DE14C9" w:rsidRDefault="00DE14C9" w:rsidP="00DE14C9">
      <w:pPr>
        <w:pStyle w:val="TextoNormal"/>
      </w:pPr>
      <w:r w:rsidRPr="00DE14C9">
        <w:rPr>
          <w:rStyle w:val="NumeroAFNegritaCaracter"/>
        </w:rPr>
        <w:t>7</w:t>
      </w:r>
      <w:r>
        <w:t>. El Ministerio Fiscal, por su parte, presentó su escrito de alegaciones el día 26 de abril de 2007, interesando el otorgamiento del amparo. A su juicio, a pesar de la profusión de motivos de amparo, la queja debe ser reconducida en exclusiva a la vulneración del art. 24.1 CE por defectos en los actos de comunicación procesal. Afirma que el órgano judicial, cuando acordó la citación por edictos, no tenía conocimiento de ningún otro domicilio del demandante de amparo, al haberle manifestado el actor que desconocía otras señas, pero que lo cierto es que ni indagó en los registros ni hizo esfuerzo añadido alguno a través de los medios normales a su alcance para tratar de averiguar otros domicilios que hubieran permitido la citación personal. Por lo demás, cuando en el incidente de nulidad de actuaciones el recurrente en amparo puso de manifiesto su desconocimiento del proceso, que atribuyó a la conducta consciente del actor, el juzgador, tras constatar que el sustrato fáctico en el que aquél cimentaba sus protestas de indefensión aparecía acreditado en autos, no procedió a remediar la lesión, desestimando su pretensión y remitiéndole a una denuncia por fraude procesal. Afirmaba, en definitiva, que la actuación judicial se había acomodado a las previsiones de la Ley de enjuiciamiento civil, aunque reconociera que se había abstenido de cualquier actividad de averiguación de oficio. De ese modo, hizo descansar en el trabajador demandante en el proceso la infracción denunciada, que, sin embargo, el órgano judicial se abstuvo de remediar, lo que no puede considerarse respetuoso con el derecho a la tutela judicial efectiva (art. 24.1 CE).</w:t>
      </w:r>
    </w:p>
    <w:p w:rsidR="00DE14C9" w:rsidRDefault="00DE14C9" w:rsidP="00DE14C9">
      <w:pPr>
        <w:pStyle w:val="TextoNormal"/>
      </w:pPr>
    </w:p>
    <w:p w:rsidR="00DE14C9" w:rsidRDefault="00DE14C9" w:rsidP="00DE14C9">
      <w:pPr>
        <w:pStyle w:val="TextoNormal"/>
      </w:pPr>
      <w:r w:rsidRPr="00DE14C9">
        <w:rPr>
          <w:rStyle w:val="NumeroAFNegritaCaracter"/>
        </w:rPr>
        <w:t>8</w:t>
      </w:r>
      <w:r>
        <w:t>. Por providencia de 29 de junio de 2007, se señaló para deliberación y votación de la presente Sentencia el día 2 de julio de 2007, trámite que ha finalizado en el día de hoy.</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xml:space="preserve">. Conforme se ha dejado expuesto en los antecedentes, la demanda de amparo se dirige contra el Auto de 2 de diciembre de 2004 del Juzgado de lo Social núm. 3 de Murcia, por considerar que vulnera el derecho fundamental a la tutela judicial efectiva sin indefensión (art. 24.1 CE). Pese a que la confusa demanda denuncia la vulneración del art.  24.1 CE en diversas vertientes, algunas de ellas por completo ajenas a la auténtica dimensión constitucional de lo acontecido en el proceso, contiene igualmente la queja que en verdad posee </w:t>
      </w:r>
      <w:r>
        <w:lastRenderedPageBreak/>
        <w:t>contenido constitucional, a saber: que se causó indefensión al demandante de amparo al haberse seguido el procedimiento inaudita parte hasta que se produjo, en fase de ejecución, la primera comunicación procesal en un domicilio que constaba en autos y en el que, según se afirma, hubiera sido efectiva la citación al acto del juicio de haberse producido.</w:t>
      </w:r>
    </w:p>
    <w:p w:rsidR="00DE14C9" w:rsidRDefault="00DE14C9" w:rsidP="00DE14C9">
      <w:pPr>
        <w:pStyle w:val="TextoNormal"/>
      </w:pPr>
      <w:r>
        <w:t>El Ministerio Fiscal interesa el otorgamiento del amparo al haber acudido el órgano judicial al emplazamiento edictal sin realizar práctica alguna de averiguación de otro domicilio, y sin subsanar la indefensión una vez que se puso de manifiesto por el recurrente en el incidente de nulidad de actuaciones que dio lugar al Auto de 2 de diciembre de 2004.</w:t>
      </w:r>
    </w:p>
    <w:p w:rsidR="00DE14C9" w:rsidRDefault="00DE14C9" w:rsidP="00DE14C9">
      <w:pPr>
        <w:pStyle w:val="TextoNormal"/>
      </w:pPr>
    </w:p>
    <w:p w:rsidR="00DE14C9" w:rsidRDefault="00DE14C9" w:rsidP="00DE14C9">
      <w:pPr>
        <w:pStyle w:val="TextoNormal"/>
      </w:pPr>
      <w:r w:rsidRPr="00DE14C9">
        <w:rPr>
          <w:rStyle w:val="NumeroAFNegritaCaracter"/>
        </w:rPr>
        <w:t>2</w:t>
      </w:r>
      <w:r>
        <w:t>. Son numerosos los casos en los que este Tribunal ha tenido ocasión de pronunciarse sobre quejas de indefensión producidas por la defectuosa realización de los actos de comunicación procesal y, en particular, sobre la diligencia de emplazamiento, viniendo a consolidar una detallada doctrina al respecto. Una síntesis de los rasgos principales que definen el canon del control constitucional en esta materia se recoge en la STC 293/2005, de 21 de noviembre, FJ 2, en los siguientes términos:</w:t>
      </w:r>
    </w:p>
    <w:p w:rsidR="00DE14C9" w:rsidRDefault="00DE14C9" w:rsidP="00DE14C9">
      <w:pPr>
        <w:pStyle w:val="TextoNormal"/>
      </w:pPr>
      <w:r>
        <w:t>“En síntesis, hemos reiterado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del emplazamiento a quien ha de ser o puede ser parte en el procedimiento, pues en tal caso el acto de comunicación es el necesario instrumento que facilita la defensa en el proceso de los derechos e intereses cuestionados (STC 16/1989, de 30 de enero, FJ 2),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(STC 268/2000, de 13 de noviembre, FJ 4, y las allí citadas),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128/2000, de 16 de mayo, FJ 5)’ (STC 268/2000, de 13 de noviembre, FJ 4).</w:t>
      </w:r>
    </w:p>
    <w:p w:rsidR="00DE14C9" w:rsidRDefault="00DE14C9" w:rsidP="00DE14C9">
      <w:pPr>
        <w:pStyle w:val="TextoNormal"/>
      </w:pPr>
      <w:r>
        <w:t xml:space="preserve">Por las razones expuestas, recae sobre el órgano judicial no sólo el deber de velar por la correcta ejecución de los actos de comunicación,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(ya desde la STC 9/1981, de 31 de marzo). En congruencia con lo anterior, hemos señalado que la modalidad del emplazamiento edictal, aun siendo válida constitucionalmente, exige, por su condición de último remedio de comunicación, ‘no sólo el agotamiento previo de las otras modalidades de más garantía y la constancia formal de haberse intentado practicarlas, sino también que el acuerdo o resolución judicial de tener a la parte como persona en ignorado paradero o de domicilio desconocido, presupuesto de la citación por edictos, se halle fundada en criterio de razonabilidad que lleve a la convicción o certeza de la inutilidad de </w:t>
      </w:r>
      <w:r>
        <w:lastRenderedPageBreak/>
        <w:t>aquellos otros medios normales de comunicación (SSTC 39/1987, de 3 de abril; 157/1987, de 15 de octubre; 155/1988, de 22 de julio, y 234/1988, de 2 de diciembre)’ [STC 16/1989, de 30 de enero, FJ 2; en el mismo sentido las posteriores SSTC 219/1999, de 29 de noviembre, FJ 2; 65/2000, de 13 de marzo, FJ 3, y 268/2000, de 13 de noviembre, FJ 4].  En tales casos resulta exigible que el órgano judicial observe una especial diligencia agotando previamente todas las modalidades aptas para asegurar en el mayor grado posible la recepción por su destinatario de la notificación. Así,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(entre otras muchas, la reciente STC 40/2005, de 28 de febrero, FJ 2)”.</w:t>
      </w:r>
    </w:p>
    <w:p w:rsidR="00DE14C9" w:rsidRDefault="00DE14C9" w:rsidP="00DE14C9">
      <w:pPr>
        <w:pStyle w:val="TextoNormal"/>
      </w:pPr>
      <w:r>
        <w:t>En relación con el último elemento que recoge la doctrina transcrita, referido a los datos contenidos en las actuaciones, este Tribunal ha otorgado el amparo, por ejemplo, en aquellos casos en que se acudió a los edictos pese a que en las actuaciones aparecía un teléfono en el que la demandada podía ser localizada (STC 65/2000, de 13 de marzo), o cuando no se intentó previamente la notificación personal en el domicilio señalado por el vecino con el que se había practicado el acto de comunicación que resultó negativo (STC 232/2000, de 2 de octubre) o, en particular, y por lo que interesa al presente caso, en otro domicilio del demandado que constaba en autos (SSTC 81/1996, de 20 de mayo; 82/1996, de 20 de mayo; 29/1997, de 24 de febrero; 254/2000, de 30 de octubre; 268/2000, de 13 de noviembre, entre otras).</w:t>
      </w:r>
    </w:p>
    <w:p w:rsidR="00DE14C9" w:rsidRDefault="00DE14C9" w:rsidP="00DE14C9">
      <w:pPr>
        <w:pStyle w:val="TextoNormal"/>
      </w:pPr>
      <w:r>
        <w:t>Por otra parte, por la relevancia que tendrá en la resolución de este recurso, es preciso recordar que en los supuestos en los que se produce la concurrencia, por un lado, de irregularidades en la práctica del emplazamiento por la oficina judicial y, por otro, de actos de falta de diligencia de quien formula la denuncia de indefensión, hemos establecido que “si bien es cierto que los errores de los órganos judiciales no deben repercutir negativamente en la esfera del ciudadano, también lo es que a éste le es exigible una mínima diligencia, de forma que los posibles efectos dañosos resultantes de una actuación incorrecta de aquéllos carecen de relevancia desde la perspectiva del amparo constitucional cuando el error sea asimismo achacable a la negligencia de la parte (SSTC 128/1998, de 16 de junio, FJ 6; 82/1999, de 10 de mayo, FJ 3; 150/2000, de 12 de junio, FJ 2; 65/2002, de 11 de marzo, FJ 4; 37/2003, de 25 de febrero, FJ 6; 178/2003, de 13 de octubre, FJ 4, y 249/2004, de 20 de diciembre, FJ 2), bien porque se ha situado al margen del litigio por razón de una actitud pasiva con el objetivo de obtener una ventaja de esa marginación, o bien cuando se acredite que tenía un conocimiento extraprocesal de la existencia del proceso al que no fue llamado personalmente (SSTC 268/2000, de 13 de noviembre, FJ 4; 113/2001, de 7 de mayo, FJ 6; 1/2002, de 14 de enero, FJ 2; 191/2003, de 27 de octubre, FJ 3; y 225/2004, de 29 de noviembre, FJ 2)” (STC 161/2006, de 22 de mayo).</w:t>
      </w:r>
    </w:p>
    <w:p w:rsidR="00DE14C9" w:rsidRDefault="00DE14C9" w:rsidP="00DE14C9">
      <w:pPr>
        <w:pStyle w:val="TextoNormal"/>
      </w:pPr>
      <w:r>
        <w:t>Finalmente, para concluir este recordatorio doctrinal de los factores con incidencia directa en el supuesto enjuiciado, habrá que reiterar el especial deber de diligencia que pesa sobre el comerciante o empresario que cesa en su actividad profesional de facilitar cauces de comunicación a los efectos de permitir su localización por quienes hasta entonces hubieran mantenido con él negocios y actos relacionados con su giro o tráfico (por todas, SSTC 12/2000, de 17 de enero, y 6/2003, de 20 de enero).</w:t>
      </w:r>
    </w:p>
    <w:p w:rsidR="00DE14C9" w:rsidRDefault="00DE14C9" w:rsidP="00DE14C9">
      <w:pPr>
        <w:pStyle w:val="TextoNormal"/>
      </w:pPr>
    </w:p>
    <w:p w:rsidR="00DE14C9" w:rsidRDefault="00DE14C9" w:rsidP="00DE14C9">
      <w:pPr>
        <w:pStyle w:val="TextoNormal"/>
      </w:pPr>
      <w:r w:rsidRPr="00DE14C9">
        <w:rPr>
          <w:rStyle w:val="NumeroAFNegritaCaracter"/>
        </w:rPr>
        <w:t>3</w:t>
      </w:r>
      <w:r>
        <w:t>. La aplicación de ese conjunto de criterios doctrinales a las circunstancias del caso conduce a la estimación de la demanda de amparo.</w:t>
      </w:r>
    </w:p>
    <w:p w:rsidR="00DE14C9" w:rsidRDefault="00DE14C9" w:rsidP="00DE14C9">
      <w:pPr>
        <w:pStyle w:val="TextoNormal"/>
      </w:pPr>
      <w:r>
        <w:lastRenderedPageBreak/>
        <w:t>En primer lugar, se advierte la existencia de un procedimiento seguido inaudita parte del que derivó un perjuicio efectivo para los legítimos intereses del demandante de amparo, pues no pudo hacer valer sus posiciones frente a la pretensión de improcedencia del despido, siendo incluso tenido por confeso en la Sentencia (art. 91.2 de la Ley de procedimiento laboral: LPL). En segundo lugar, no existe dato alguno del que inferir que tuviera conocimiento extraprocesal de las actuaciones antes de que, como afirma, en septiembre de 2004 un hijo le informara del Auto de 23 de julio de 2004 que despachaba la ejecución, resolución que efectivamente consta en las actuaciones como remitida por el órgano judicial a la calle Julián Romea, 1, en El Puntal (Murcia), dirección que en ningún caso se empleó para practicar los actos de comunicación procesal antes de ese momento, y en la que, según afirma el propio recurrente, un hijo recibió aquella notificación de la que seguidamente le dio cuenta. En tercer lugar, como reconoce el propio órgano judicial en la resolución recurrida, obraban en las actuaciones documentos (nóminas del trabajador demandante) que hacían referencia al mencionado domicilio, sito en la calle Julián Romea 1, en El Puntal (Murcia), sin que se produjera intento alguno de citación del demandante de amparo en esas señas para el acto del juicio.</w:t>
      </w:r>
    </w:p>
    <w:p w:rsidR="00DE14C9" w:rsidRDefault="00DE14C9" w:rsidP="00DE14C9">
      <w:pPr>
        <w:pStyle w:val="TextoNormal"/>
      </w:pPr>
      <w:r>
        <w:t>Pues bien, como se ha apuntado, el fundamento último de la validez constitucional de la forma de emplazamiento edictal consiste en que se hayan utilizado previamente por el órgano judicial las modalidades aptas por los medios normales a su alcance para asegurar la comunicación personal. Y es lo cierto, según ha quedado descrito, que en el presente caso no realizó el juzgador ninguna averiguación y que, en particular, no adoptó ninguna medida paliativa a partir del momento en que obraron en las actuaciones datos domiciliarios alternativos (concretamente, tras la aportación por el demandante de los recibos de salarios en los que figuraba la dirección mencionada), ni siquiera cuando así lo hizo valer el recurrente en amparo al solicitar la nulidad de todo lo actuado, por indefensión. En consecuencia, a falta de todo propósito de una efectiva y real comunicación a través de los medios normales a su alcance, no puede admitirse que el órgano judicial pudiera haber llegado a la convicción razonable de que no era posible la citación personal del demandado (STC 162/2004, de 4 de octubre, FJ 5, por todas).</w:t>
      </w:r>
    </w:p>
    <w:p w:rsidR="00DE14C9" w:rsidRDefault="00DE14C9" w:rsidP="00DE14C9">
      <w:pPr>
        <w:pStyle w:val="TextoNormal"/>
      </w:pPr>
    </w:p>
    <w:p w:rsidR="00DE14C9" w:rsidRDefault="00DE14C9" w:rsidP="00DE14C9">
      <w:pPr>
        <w:pStyle w:val="TextoNormal"/>
      </w:pPr>
      <w:r w:rsidRPr="00DE14C9">
        <w:rPr>
          <w:rStyle w:val="NumeroAFNegritaCaracter"/>
        </w:rPr>
        <w:t>4</w:t>
      </w:r>
      <w:r>
        <w:t>. Frente a lo anterior no cabe oponer que la indefensión denunciada fuera consecuencia de la propia actitud mantenida por el demandante en amparo en relación con el proceso laboral, haciendo decaer con base en ello la responsabilidad del órgano judicial en su incomparecencia al acto del juicio y en los consiguientes efectos derivados sobre su derecho de defensa. Ni siquiera se llegará a otra conclusión atendiendo en ese juicio de diligencia procesal al criterio doctrinal antes recogido, consistente en que, habiendo sido el recurrente empresario del trabajador demandante en el proceso —dato que éste afirmaba y que el Sr. Martín Espinosa no ha objetado—, quedaba sujeto al especial deber de diligencia que pesa sobre el comerciante o empresario que cesa en su actividad profesional de facilitar cauces de comunicación, a los efectos de permitir su localización por quienes hasta entonces hubieran mantenido con él negocios y actos relacionados con su giro o tráfico (SSTC 12/2000, de 17 de enero, y 6/2003, de 20 de enero, por todas).</w:t>
      </w:r>
    </w:p>
    <w:p w:rsidR="00DE14C9" w:rsidRDefault="00DE14C9" w:rsidP="00DE14C9">
      <w:pPr>
        <w:pStyle w:val="TextoNormal"/>
      </w:pPr>
      <w:r>
        <w:t xml:space="preserve">En efecto, si no cabe hablar de ese elemento invalidante de la tacha de indefensión por concurrir negligencia de la parte es porque no se da en esta ocasión ninguna de las excepciones que permiten, según nuestra jurisprudencia, rechazar la vulneración denunciada en los casos en los que confluyen, de una parte, irregularidades en la práctica del emplazamiento cometidas por la oficina judicial y, de otra, actos de falta de diligencia de quien formula la denuncia de indefensión. Esas excepciones son, según se dijo más atrás, que el </w:t>
      </w:r>
      <w:r>
        <w:lastRenderedPageBreak/>
        <w:t>denunciante se hubiera situado al margen del litigio por razón de una actitud pasiva con el objetivo de obtener una ventaja de esa marginación, o que se hubiera acreditado un conocimiento extraprocesal de la existencia del proceso al que no fue llamado personalmente. Y en el presente caso no han quedado probados ni este conocimiento extraprocesal —que excluye la indefensión sencillamente porque hay conocimiento y porque, por consiguiente, no existe imposibilidad de defensa—, ni tampoco aquel fin de obtener ventaja con una estrategia dirigida a evitar la recepción de la citación, circunstancia que caracteriza intencionalmente la falta de diligencia, al punto de concretarla en un ánimo de dificultar o impedir la localización para beneficiarse posteriormente de ello —acto intencional que perfila esa excepción, como es obvio, también cuando los denunciantes de indefensión sean un comerciante o un empresario, y que en este caso no ha quedado acreditado.</w:t>
      </w:r>
    </w:p>
    <w:p w:rsidR="00DE14C9" w:rsidRDefault="00DE14C9" w:rsidP="00DE14C9">
      <w:pPr>
        <w:pStyle w:val="TextoNormal"/>
      </w:pPr>
      <w:r>
        <w:t>No existe, por lo tanto, base alguna para considerar que el recurrente en amparo conociera del procedimiento, ni que realizase cualquier otra actuación con la voluntad de impedir o dificultar la recepción de las notificaciones, colocándose en situación de rebeldía. Y, en consecuencia, la no verificación de esas circunstancias impide que surtan su efecto enervante de la tacha de indefensión, mostrando en toda su entidad el efecto lesivo de la falta de diligencia del juzgador, pues se mantuvo pasivo en el intento de comunicación personal en otros domicilios y se negó a reparar la indefensión cuando fue denunciada y argumentada por el recurrente en amparo en el incidente de nulidad de actuaciones. En definitiva, la queja encuentra sólido respaldo en la infracción del especial deber de diligencia que pesa sobre los órganos judiciales a la hora de velar por la correcta realización de los actos de comunicación para la adecuada y regular constitución de la relación jurídico-procesal, lo que conduce al pronunciamiento previsto en el art. 53 a) LOTC.</w:t>
      </w:r>
    </w:p>
    <w:p w:rsidR="00DE14C9" w:rsidRDefault="00DE14C9" w:rsidP="00DE14C9">
      <w:pPr>
        <w:pStyle w:val="TextoNormal"/>
      </w:pPr>
    </w:p>
    <w:p w:rsidR="00DE14C9" w:rsidRDefault="00DE14C9" w:rsidP="00DE14C9">
      <w:pPr>
        <w:pStyle w:val="TextoNormal"/>
      </w:pPr>
      <w:r w:rsidRPr="00DE14C9">
        <w:rPr>
          <w:rStyle w:val="NumeroAFNegritaCaracter"/>
        </w:rPr>
        <w:t>5</w:t>
      </w:r>
      <w:r>
        <w:t>. De acuerdo con lo instado por el recurrente y por el Ministerio Fiscal, y para remediar con total efectividad la lesión producida, procede acordar la nulidad del Auto dictado el 2 de diciembre de 2004 por el Juzgado de lo Social núm. 3 de Murcia y, además, en lo que afecta al propio recurrente, anular las actuaciones retrotrayéndolas al momento en el que debió ser debidamente emplazado para comparecer en juicio.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don Juan Manuel Martín Espinosa y, en consecuencia:</w:t>
      </w:r>
    </w:p>
    <w:p w:rsidR="00DE14C9" w:rsidRDefault="00DE14C9" w:rsidP="00DE14C9">
      <w:pPr>
        <w:pStyle w:val="TextoNormal"/>
      </w:pPr>
      <w:r>
        <w:t>1º Reconocer su derecho fundamental a la tutela judicial efectiva (art. 24.1 CE).</w:t>
      </w:r>
    </w:p>
    <w:p w:rsidR="00DE14C9" w:rsidRDefault="00DE14C9" w:rsidP="00DE14C9">
      <w:pPr>
        <w:pStyle w:val="TextoNormal"/>
      </w:pPr>
      <w:r>
        <w:t>2º Anular el Auto de 2 de diciembre de 2004 del Juzgado de lo Social núm. 3 de Murcia, dictado en autos de despido núm. 177-2004, ejecución núm. 164-2004, así como también, en lo que se refiere al recurrente, las actuaciones practicadas a partir del momento del emplazamiento.</w:t>
      </w:r>
    </w:p>
    <w:p w:rsidR="00DE14C9" w:rsidRDefault="00DE14C9" w:rsidP="00DE14C9">
      <w:pPr>
        <w:pStyle w:val="TextoNormal"/>
      </w:pPr>
      <w:r>
        <w:t>3º Retrotraer las actuaciones, siempre en lo que afecta al recurrente, al momento señalado, a fin de que pueda continuar el curso del proceso con respeto del derecho fundamental reconocido.</w:t>
      </w:r>
    </w:p>
    <w:p w:rsidR="00DE14C9" w:rsidRDefault="00DE14C9" w:rsidP="00DE14C9">
      <w:pPr>
        <w:pStyle w:val="TextoNormal"/>
      </w:pPr>
    </w:p>
    <w:p w:rsidR="00DE14C9" w:rsidRDefault="00DE14C9" w:rsidP="00DE14C9">
      <w:pPr>
        <w:pStyle w:val="TextoNormal"/>
      </w:pPr>
      <w:r>
        <w:lastRenderedPageBreak/>
        <w:t>Publíquese esta Sentencia en el “Boletín Oficial del Estado”.</w:t>
      </w:r>
    </w:p>
    <w:p w:rsidR="00DE14C9" w:rsidRDefault="00DE14C9" w:rsidP="00DE14C9">
      <w:pPr>
        <w:pStyle w:val="TextoNormal"/>
      </w:pPr>
      <w:r>
        <w:t>Dada en Madrid, a dos de julio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76" w:name="SENTENCIA_2007_163"/>
      <w:r>
        <w:lastRenderedPageBreak/>
        <w:t>SENTENCIA 163/2007, de 2 de julio de 2007</w:t>
      </w:r>
    </w:p>
    <w:bookmarkEnd w:id="76"/>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185, de 3 de agosto de 2007)</w:t>
      </w:r>
    </w:p>
    <w:p w:rsidR="00DE14C9" w:rsidRDefault="00DE14C9" w:rsidP="00DE14C9">
      <w:pPr>
        <w:pStyle w:val="TtuloBOE"/>
      </w:pPr>
    </w:p>
    <w:p w:rsidR="00DE14C9" w:rsidRDefault="00DE14C9" w:rsidP="00DE14C9">
      <w:pPr>
        <w:pStyle w:val="SntesisDescriptiva"/>
      </w:pPr>
      <w:r>
        <w:t>ECLI:ES:TC:2007:163</w:t>
      </w:r>
    </w:p>
    <w:p w:rsidR="00DE14C9" w:rsidRDefault="00DE14C9" w:rsidP="00DE14C9">
      <w:pPr>
        <w:pStyle w:val="SntesisDescriptiva"/>
      </w:pPr>
    </w:p>
    <w:p w:rsidR="00DE14C9" w:rsidRDefault="00DE14C9" w:rsidP="00DE14C9">
      <w:pPr>
        <w:pStyle w:val="SntesisDescriptiva"/>
      </w:pPr>
      <w:r>
        <w:t>Recurso de amparo 1356-2005. Promovido por don José María Tejeiro López respecto a la Sentencia y al Auto de nulidad de un Juzgado de Primera Instancia de Guadalajara en pleito por defectos de construcción en una vivienda.</w:t>
      </w:r>
    </w:p>
    <w:p w:rsidR="00DE14C9" w:rsidRDefault="00DE14C9" w:rsidP="00DE14C9">
      <w:pPr>
        <w:pStyle w:val="SntesisDescriptiva"/>
      </w:pPr>
    </w:p>
    <w:p w:rsidR="00DE14C9" w:rsidRDefault="00DE14C9" w:rsidP="00DE14C9">
      <w:pPr>
        <w:pStyle w:val="SntesisAnaltica"/>
      </w:pPr>
      <w:r>
        <w:t>Vulneración del derecho a la tutela judicial sin indefensión: emplazamiento edictal de un profesional colegiado sin agotar los medios de comunicación efectiva.</w:t>
      </w:r>
    </w:p>
    <w:p w:rsidR="00DE14C9" w:rsidRDefault="00DE14C9" w:rsidP="00DE14C9">
      <w:pPr>
        <w:pStyle w:val="SntesisAnaltica"/>
      </w:pPr>
    </w:p>
    <w:p w:rsidR="00DE14C9" w:rsidRDefault="00DE14C9" w:rsidP="00DE14C9">
      <w:pPr>
        <w:pStyle w:val="Extracto"/>
      </w:pPr>
      <w:r>
        <w:t>1.</w:t>
      </w:r>
      <w:r>
        <w:tab/>
        <w:t>El recurrente era demandado por una actuación profesional en que es obligatoria la colegiación, por tanto era un medio normal y razonablemente exigible al órgano judicial el haber acudido al colegio oficial correspondiente para intentar averiguar su domicilio [FJ 3].</w:t>
      </w:r>
    </w:p>
    <w:p w:rsidR="00DE14C9" w:rsidRDefault="00DE14C9" w:rsidP="00DE14C9">
      <w:pPr>
        <w:pStyle w:val="Extracto"/>
      </w:pPr>
    </w:p>
    <w:p w:rsidR="00DE14C9" w:rsidRDefault="00DE14C9" w:rsidP="00DE14C9">
      <w:pPr>
        <w:pStyle w:val="Extracto"/>
      </w:pPr>
      <w:r>
        <w:t>2.</w:t>
      </w:r>
      <w:r>
        <w:tab/>
        <w:t>La falta de diligencia del órgano judicial en la averiguación de domicilio de notificaciones unida a la inexistencia de datos de los que pueda inferirse que el recurrente hubiera tenido un conocimiento extrajudicial del mismo antes de que le fuera notificado el Auto despachando la ejecución de la Sentencia, determinan que deba otorgarse el amparo solicitado [FJ 3].</w:t>
      </w:r>
    </w:p>
    <w:p w:rsidR="00DE14C9" w:rsidRDefault="00DE14C9" w:rsidP="00DE14C9">
      <w:pPr>
        <w:pStyle w:val="Extracto"/>
      </w:pPr>
    </w:p>
    <w:p w:rsidR="00DE14C9" w:rsidRDefault="00DE14C9" w:rsidP="00DE14C9">
      <w:pPr>
        <w:pStyle w:val="Extracto"/>
      </w:pPr>
      <w:r>
        <w:t>3.</w:t>
      </w:r>
      <w:r>
        <w:tab/>
        <w:t>Aplica la doctrina sobre la indefensión producida por la falta de diligencia en los actos de comunicación procesal y, en particular, sobre el emplazamiento edictal (SSTC 255/2006, 304/2006, 306/2006) [FJ 2].</w:t>
      </w:r>
    </w:p>
    <w:p w:rsidR="00DE14C9" w:rsidRDefault="00DE14C9" w:rsidP="00DE14C9">
      <w:pPr>
        <w:pStyle w:val="Extracto"/>
      </w:pPr>
    </w:p>
    <w:p w:rsidR="00DE14C9" w:rsidRDefault="00DE14C9" w:rsidP="00DE14C9">
      <w:pPr>
        <w:pStyle w:val="Extracto"/>
      </w:pPr>
      <w:r>
        <w:t>4.</w:t>
      </w:r>
      <w:r>
        <w:tab/>
        <w:t>Procede anular el Auto impugnado y todas las actuaciones llevadas a cabo en relación con el recurrente desde el defectuoso emplazamiento en dicho procedimiento y en el de ejecución a que dio lugar, con retroacción de actuaciones a dicho momento procesal [FJ 3].</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lastRenderedPageBreak/>
        <w:t>SENTENCIA</w:t>
      </w:r>
    </w:p>
    <w:p w:rsidR="00DE14C9" w:rsidRDefault="00DE14C9" w:rsidP="00DE14C9">
      <w:pPr>
        <w:pStyle w:val="TextoNormalCentrado"/>
        <w:keepNext/>
      </w:pPr>
    </w:p>
    <w:p w:rsidR="00DE14C9" w:rsidRDefault="00DE14C9" w:rsidP="00DE14C9">
      <w:pPr>
        <w:pStyle w:val="TextoNormal"/>
      </w:pPr>
      <w:r>
        <w:t>En el recurso de amparo núm. 1356-2005, promovido por don José María Tejeiro López, representado por la Procuradora de los Tribunales doña Josefina Ruiz Ferrán y bajo la dirección del Letrado don Antonio María de Escondrillas Díaz, contra el Auto del Juzgado de Primera Instancia núm. 3 de Guadalajara de 20 de enero de 2005, dictado en el juicio de menor cuantía núm. 315-1999. Han comparecido don Fernando Martín Miranda, representado por el Procurador de los Tribunales don José Manuel Villasante García y bajo la dirección de la Letrada doña Irene Muñoz Ruiz, y la Unión de Consumidores de Castilla La Mancha - Unión de Consumidores de España, representada por el Procurador de los Tribunales don Juan Antonio García San Miguel Orueta y bajo la dirección de la Letrada doña Ana Isabel Morales Parra. Ha intervenido el Ministerio Fiscal. Ha sido Ponente el Magistrado don Pablo Pérez Tremps,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registrado en este Tribunal el 28 de febrero de 2005, la Procuradora de los Tribunales doña Josefina Ruiz Ferrán, en nombre y representación de don Jose María Tejeiro López y bajo la dirección del Letrado don Antonio María Escondrillas Díaz, interpuso recurso de amparo contra la resolución judicial que se menciona en el encabezamiento de esta Sentencia, por la que se desestimó la nulidad de actuaciones por defectuoso emplazamiento.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El recurso tiene su origen en los siguientes antecedentes: </w:t>
      </w:r>
    </w:p>
    <w:p w:rsidR="00DE14C9" w:rsidRDefault="00DE14C9" w:rsidP="00DE14C9">
      <w:pPr>
        <w:pStyle w:val="TextoNormal"/>
      </w:pPr>
      <w:r>
        <w:t xml:space="preserve">a) La Unión de Consumidores de Castilla La Mancha - Unión de Consumidores de España, en sustitución procesal de una de sus asociadas, el 4 de septiembre de 1999 formuló demanda civil contra el recurrente en amparo, Aparejador, don Fernando Martín Miranda, Arquitecto director de la obra, y la promotora inmobiliaria por los defectos de construcción existentes en una vivienda, dando lugar al juicio de menor cuantía núm. 315-1999, que fue tramitado por el Juzgado de Primera Instancia núm. 3 de Guadalajara. </w:t>
      </w:r>
    </w:p>
    <w:p w:rsidR="00DE14C9" w:rsidRDefault="00DE14C9" w:rsidP="00DE14C9">
      <w:pPr>
        <w:pStyle w:val="TextoNormal"/>
      </w:pPr>
      <w:r>
        <w:t xml:space="preserve">b) En la demanda se fijó como domicilio del recurrente y del Arquitecto un piso en Guadalajara. Intentado su emplazamiento, el 17 de noviembre de 1999 se extendieron por el agente judicial sendas diligencias negativas, haciendo constar que ambos eran desconocidos. La asociación demandante comunicó nueva dirección en Madrid, donde también se intentó el emplazamiento. El 21 de febrero de 2000, en sendas diligencias negativas, se hizo constar que el propietario del inmueble había afirmado, en relación con el Arquitecto, que “cree que es hijo de los antiguos propietarios del piso pero que ya no viven aquí, desconociendo su paradero” y, en relación con el recurrente en amparo, que desconocía al demandado y que se comprueba que no figura su nombre en el buzón. Por tercera vez se comunicó por la asociación demandante un nuevo domicilio de notificaciones común para el recurrente en amparo y el Arquitecto, esta vez en la localidad de Alcorcón. Por diligencias negativas de 30 de mayo de 2000 se hizo constar, en relación con el Arquitecto, que su madre manifestó que ya no vivía allí, aportando su domicilio en Madrid y, en relación con el recurrente en amparo, que era desconocido y no figuraba su nombre en ningún buzón del inmueble. La asociación demandante solicitó que tanto el Arquitecto demandado como el recurrente en amparo fueran emplazados en el domicilio facilitado por la madre del Arquitecto. </w:t>
      </w:r>
      <w:r>
        <w:lastRenderedPageBreak/>
        <w:t xml:space="preserve">Por diligencia negativa de 27 de junio de 2000 se hizo constar, respecto del recurrente, que allí era desconocido y no constaba su nombre en los buzones. </w:t>
      </w:r>
    </w:p>
    <w:p w:rsidR="00DE14C9" w:rsidRDefault="00DE14C9" w:rsidP="00DE14C9">
      <w:pPr>
        <w:pStyle w:val="TextoNormal"/>
      </w:pPr>
      <w:r>
        <w:t xml:space="preserve">c) La asociación demandante, ante el ignorado paradero de ambos demandados, solicitó su emplazamiento por edicto, lo que se llevó a efecto con su publicación en el “Boletín Oficial de la Comunidad de Madrid” de 20 de septiembre de 2000. Los demandados, incluyendo el recurrente en amparo, fueron declarados en rebeldía por providencia de 27 de octubre de 2000. Por Sentencia de 18 de mayo de 2001, se condenó, entre otros, al recurrente a subsanar los defectos de construcción existentes en la vivienda, así como a abonar daños y perjuicios. La Sentencia fue notificada al recurrente mediante edicto publicado en el “Boletín Oficial de la Comunidad de Madrid” de 8 de noviembre de 2001. </w:t>
      </w:r>
    </w:p>
    <w:p w:rsidR="00DE14C9" w:rsidRDefault="00DE14C9" w:rsidP="00DE14C9">
      <w:pPr>
        <w:pStyle w:val="TextoNormal"/>
      </w:pPr>
      <w:r>
        <w:t xml:space="preserve">d) La asociación demandante instó la ejecución de dicha Sentencia, dando lugar al procedimiento de ejecución de títulos judiciales núm. 299-2002. En el marco de dicho procedimiento se dictó Auto de 14 de noviembre de 2004 despachando la ejecución contra el recurrente, lo que le fue notificado en su domicilio particular, cuyos datos fueron facilitados al Juzgado por el Colegio Oficial de Aparejadores y Arquitectos Técnicos de Guadalajara. </w:t>
      </w:r>
    </w:p>
    <w:p w:rsidR="00DE14C9" w:rsidRDefault="00DE14C9" w:rsidP="00DE14C9">
      <w:pPr>
        <w:pStyle w:val="TextoNormal"/>
      </w:pPr>
      <w:r>
        <w:t>e) El recurrente, por escrito registrado el 15 de diciembre de 2004, promovió incidente de nulidad de actuaciones, alegando que su emplazamiento edictal no se había efectuado conforme a Derecho, toda vez que el art. 156 LEC 2000 establece que “en ningún caso se considerará imposible la designación de domicilio a efectos de actos de comunicación si dicho domicilio constará en archivos o registros públicos a los que se pudiera tener acceso”. La nulidad fue desestimada por Auto de 20 de enero de 2005, argumentando que los emplazamientos se habían llevado a cabo de acuerdo con lo establecido en el art. 269 LEC 1881, que era la normativa vigente en ese momento.</w:t>
      </w:r>
    </w:p>
    <w:p w:rsidR="00DE14C9" w:rsidRDefault="00DE14C9" w:rsidP="00DE14C9">
      <w:pPr>
        <w:pStyle w:val="TextoNormal"/>
      </w:pPr>
    </w:p>
    <w:p w:rsidR="00DE14C9" w:rsidRDefault="00DE14C9" w:rsidP="00DE14C9">
      <w:pPr>
        <w:pStyle w:val="TextoNormal"/>
      </w:pPr>
      <w:r w:rsidRPr="00DE14C9">
        <w:rPr>
          <w:rStyle w:val="NumeroAFNegritaCaracter"/>
        </w:rPr>
        <w:t>3</w:t>
      </w:r>
      <w:r>
        <w:t>. El recurrente aduce en la demanda de amparo que se ha vulnerado su derecho a la tutela judicial efectiva (art. 24.1 CE), ya que no ha podido defenderse en el procedimiento al haberse tramitado en rebeldía porque el órgano judicial no desarrolló la mínima diligencia que le era exigible para la averiguación de su domicilio; lo que sí realizó, sin embargo, para la ejecución de la Sentencia, requiriendo al Colegio Oficial de Aparejadores y Arquitectos Técnicos de Guadalajara para que notificara su domicilio.</w:t>
      </w:r>
    </w:p>
    <w:p w:rsidR="00DE14C9" w:rsidRDefault="00DE14C9" w:rsidP="00DE14C9">
      <w:pPr>
        <w:pStyle w:val="TextoNormal"/>
      </w:pPr>
    </w:p>
    <w:p w:rsidR="00DE14C9" w:rsidRDefault="00DE14C9" w:rsidP="00DE14C9">
      <w:pPr>
        <w:pStyle w:val="TextoNormal"/>
      </w:pPr>
      <w:r w:rsidRPr="00DE14C9">
        <w:rPr>
          <w:rStyle w:val="NumeroAFNegritaCaracter"/>
        </w:rPr>
        <w:t>4</w:t>
      </w:r>
      <w:r>
        <w:t>. La Secretaría de Justicia de la Sala Primera de este Tribunal, por diligencia de ordenación de 4 de mayo de 2006, de conformidad al art. 88 LOTC, requirió al Juzgado de Primera Instancia núm. 3 de Guadalajara para que remitiera testimonio de las actuaciones judiciales.</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La Sección Segunda de este Tribunal, por providencia de 20 de julio de 2006, acordó admitir a trámite la demanda de amparo y, en aplicación de lo dispuesto en el art. 51 LOTC, requerir atentamente del órgano judicial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trámites oportunos, se dictó por la Sala Primera de este Tribunal el ATC 321/2006, de 25 de septiembre, acordando denegar la suspensión solicitada. </w:t>
      </w:r>
    </w:p>
    <w:p w:rsidR="00DE14C9" w:rsidRDefault="00DE14C9" w:rsidP="00DE14C9">
      <w:pPr>
        <w:pStyle w:val="TextoNormal"/>
      </w:pPr>
      <w:r>
        <w:t xml:space="preserve">6 La Secretaría de Justicia de la Sala Primera de este Tribunal, por diligencia de ordenación de 7 de noviembre de 2007, tuvo por personado y parte a los Procuradores de los Tribunales don José Manuel Villasante García y don Juan Antonio García San Miguel Orueta, </w:t>
      </w:r>
      <w:r>
        <w:lastRenderedPageBreak/>
        <w:t xml:space="preserve">en nombre y representación de don Fernando Martín Miranda y la Unión de Consumidores de Castilla La Mancha - Unión de Consumidores de España, respectivamente, y, de conformidad con el art. 52 LOTC, dar vista de las actuaciones al Ministerio Fiscal y a las partes personadas por plazo común de veinte días para que presentaran las alegaciones que estimasen pertinentes. </w:t>
      </w:r>
    </w:p>
    <w:p w:rsidR="00DE14C9" w:rsidRDefault="00DE14C9" w:rsidP="00DE14C9">
      <w:pPr>
        <w:pStyle w:val="TextoNormal"/>
      </w:pPr>
      <w:r>
        <w:t xml:space="preserve">7. Don Fernando Martín Miranda, en escrito registrado el 5 de diciembre de 2006, solicitó el otorgamiento del amparo por vulneración del derecho a la tutela judicial efectiva (art. 24.1 CE), con declaración de nulidad de todo lo actuado, argumentando que el órgano judicial no actuó con la diligencia debida en la averiguación del domicilio de notificaciones de los demandados. </w:t>
      </w:r>
    </w:p>
    <w:p w:rsidR="00DE14C9" w:rsidRDefault="00DE14C9" w:rsidP="00DE14C9">
      <w:pPr>
        <w:pStyle w:val="TextoNormal"/>
      </w:pPr>
      <w:r>
        <w:t xml:space="preserve">8. La Unión de Consumidores de Castilla La Mancha - Unión de Consumidores de España, en escrito registrado el 13 de diciembre de 2006, solicitó la denegación del amparo, argumentando que el emplazamiento edictal del recurrente se llevó a cabo conforme a Derecho tras los sucesivos intentos negativos de notificación. </w:t>
      </w:r>
    </w:p>
    <w:p w:rsidR="00DE14C9" w:rsidRDefault="00DE14C9" w:rsidP="00DE14C9">
      <w:pPr>
        <w:pStyle w:val="TextoNormal"/>
      </w:pPr>
      <w:r>
        <w:t xml:space="preserve">9. El Ministerio Fiscal, en escrito registrado el 22 de diciembre de 2006, interesó que se otorgara el amparo por vulneración del derecho a la tutela judicial efectiva (art. 24.1 CE), con retroacción de actuaciones hasta el momento de contestación a la demanda. A esos efectos, argumenta que, siendo exigible al Juzgado que intente por todos los medios a su alcance agotar las posibilidades de comunicación, incluso recurriendo a registros públicos para poder conocer el domicilio de notificaciones, en el presente caso no ha existido una actividad diligente, máxime teniendo en cuenta que el recurrente había sido demandando por el ejercicio de una profesión de colegiación obligatoria. Igualmente, destaca el Ministerio Fiscal que, frente a lo argumentado en el Auto impugnado, al derivarse este deber de diligencia en la notificación del art. 24.1 CE, resulta indiferente que la legislación aplicable fuera la LEC 1881 ó 2000. </w:t>
      </w:r>
    </w:p>
    <w:p w:rsidR="00DE14C9" w:rsidRDefault="00DE14C9" w:rsidP="00DE14C9">
      <w:pPr>
        <w:pStyle w:val="TextoNormal"/>
      </w:pPr>
      <w:r>
        <w:t xml:space="preserve">10. El recurrente no presentó alegaciones. </w:t>
      </w:r>
    </w:p>
    <w:p w:rsidR="00DE14C9" w:rsidRDefault="00DE14C9" w:rsidP="00DE14C9">
      <w:pPr>
        <w:pStyle w:val="TextoNormal"/>
      </w:pPr>
      <w:r>
        <w:t>11. Por providencia de 29 de junio de 2007 se señaló para deliberación y votación de la presente Sentencia el día 2 de julio siguiente.</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El objeto de este recurso es determinar si el emplazamiento edictal del que fue objeto el recurrente ha vulnerado su derecho a la tutela judicial efectiva (art. 24.1 CE).</w:t>
      </w:r>
    </w:p>
    <w:p w:rsidR="00DE14C9" w:rsidRDefault="00DE14C9" w:rsidP="00DE14C9">
      <w:pPr>
        <w:pStyle w:val="TextoNormal"/>
      </w:pPr>
    </w:p>
    <w:p w:rsidR="00DE14C9" w:rsidRDefault="00DE14C9" w:rsidP="00DE14C9">
      <w:pPr>
        <w:pStyle w:val="TextoNormal"/>
      </w:pPr>
      <w:r w:rsidRPr="00DE14C9">
        <w:rPr>
          <w:rStyle w:val="NumeroAFNegritaCaracter"/>
        </w:rPr>
        <w:t>2</w:t>
      </w:r>
      <w:r>
        <w:t>. Este Tribunal ha reiterado que es una garantía contenida en el art. 24.1 CE la necesidad de que los actos de comunicación de los órganos judiciales con las partes se realicen de forma correcta y con la diligencia debida, toda vez que ello es presupuesto para que puedan adoptar la postura que estimen pertinente en defensa de sus intereses (por todas, STC 255/2006, de 11 de septiembre, FJ 2). A esos efectos, este Tribunal ha destacado que pesa sobre los órganos judiciales la responsabilidad de procurar el emplazamiento o citación personal de los demandados, siempre que sea factible, por lo que el emplazamiento edictal constituye un remedio último de carácter supletorio y excepcional, que requiere el agotamiento previo de los medios de comunicación ordinarios y la convicción del órgano judicial de que, al ser desconocido el domicilio o ignorado el paradero del interesado, resultan inviables o inútiles los otros medios de comunicación procesal (por todas, STC 306/2006, de 23 de octubre, FJ 2).</w:t>
      </w:r>
    </w:p>
    <w:p w:rsidR="00DE14C9" w:rsidRDefault="00DE14C9" w:rsidP="00DE14C9">
      <w:pPr>
        <w:pStyle w:val="TextoNormal"/>
      </w:pPr>
      <w:r>
        <w:lastRenderedPageBreak/>
        <w:t>Más en concreto, y por lo que se refiere al emplazamiento por edictos previsto en el art. 269 de la Ley de enjuiciamiento civil (LEC 1881), este Tribunal ha señalado que la validez constitucional de esta forma de emplazamiento exige que se hayan agotado previamente por el órgano judicial las modalidades aptas para asegurar en el mayor grado posible la recepción de la notificación por el destinatario de la misma, a cuyo fin aquél ha de extremar las gestiones en averiguación del paradero de sus destinatarios por los medios normales a su alcance, de manera que el acuerdo o resolución judicial que lleve a tener a la parte en un proceso como persona en ignorado paradero debe fundarse en criterios de razonabilidad que conduzcan a la certeza, o cuando menos a una convicción razonable, de la inutilidad de los medios normales de citación (por todas, STC 304/2006, de 23 de octubre, FJ 2).</w:t>
      </w:r>
    </w:p>
    <w:p w:rsidR="00DE14C9" w:rsidRDefault="00DE14C9" w:rsidP="00DE14C9">
      <w:pPr>
        <w:pStyle w:val="TextoNormal"/>
      </w:pPr>
    </w:p>
    <w:p w:rsidR="00DE14C9" w:rsidRDefault="00DE14C9" w:rsidP="00DE14C9">
      <w:pPr>
        <w:pStyle w:val="TextoNormal"/>
      </w:pPr>
      <w:r w:rsidRPr="00DE14C9">
        <w:rPr>
          <w:rStyle w:val="NumeroAFNegritaCaracter"/>
        </w:rPr>
        <w:t>3</w:t>
      </w:r>
      <w:r>
        <w:t>. En el presente caso, ha quedado acreditado en las actuaciones, tal como se ha expuesto con más detalle en los antecedentes, en primer lugar, que el recurrente fue demandado por su actuación profesional como aparejador en una obra por supuestos defectos de construcción y que se intentó en diversas ocasiones notificarle la interposición de la demanda en los distintos domicilios que fueron aportados por la parte actora, teniendo todos los intentos de notificación resultado negativo. En segundo lugar, también se pone de manifiesto que al ignorarse su paradero la parte actora solicitó su emplazamiento edictal, lo que fue acordado por el órgano judicial sin desarrollar ninguna actuación tendente a la averiguación de un domicilio en que resultara posible la notificación personal al recurrente y que, a partir de ello, ante la incomparecencia del recurrente, se le declaró en rebeldía tramitándose todo el procedimiento civil en su ausencia hasta que recayó Sentencia condenatoria que también se fue notificada por edictos. Igualmente se ha puesto de relieve, por un lado, que en el procedimiento de ejecución de esta Sentencia se procedió a notificar personalmente al recurrente el Auto despachando la ejecución en su domicilio, cuyos datos fueron facilitados al Juzgado por el Colegio Oficial de Aparejadores y Arquitectos Técnicos de Guadalajara y, por otro, que el recurrente interpuso incidente de nulidad de actuaciones alegando su defectuosa notificación edictal, siendo rechazado por Auto de 20 de enero de 2005 argumentando que los emplazamientos se habían llevado a cabo de acuerdo con lo establecido en el art. 269 LEC 1881, que era la normativa vigente en ese momento.</w:t>
      </w:r>
    </w:p>
    <w:p w:rsidR="00DE14C9" w:rsidRDefault="00DE14C9" w:rsidP="00DE14C9">
      <w:pPr>
        <w:pStyle w:val="TextoNormal"/>
      </w:pPr>
      <w:r>
        <w:t>En atención a lo expuesto hay que concluir, conforme también interesa el Ministerio Fiscal, que se ha vulnerado al recurrente su derecho a la tutela judicial efectiva (art. 24.1 CE). En efecto, constatado que el órgano judicial se limitó a autorizar el emplazamiento edictal del recurrente por ser ignorado su paradero, pero sin desplegar actividad indagatoria alguna en oficinas y registros públicos para intentar determinar un domicilio de notificaciones en que pudiera ser emplazado personalmente, se pone de manifiesto que el órgano judicial no actuó con la diligencia que constitucionalmente le es exigible. Especialmente, debe tenerse en cuenta que, más allá de la posibilidad genérica de acudir a oficinas y registros públicos, en el presente caso el recurrente era demandado por una actuación profesional en que es obligatoria la colegiación y, por tanto, que era un medio normal y razonablemente exigible al órgano judicial, el haber acudido al colegio oficial correspondiente para intentar averiguar el domicilio del recurrente. De hecho, ésta fue la actuación posteriormente desarrollada por el órgano judicial que le permitió sin mayores problemas conocer el domicilio del recurrente y comunicarle personalmente el Auto por el que se despachaba la ejecución de la Sentencia.</w:t>
      </w:r>
    </w:p>
    <w:p w:rsidR="00DE14C9" w:rsidRDefault="00DE14C9" w:rsidP="00DE14C9">
      <w:pPr>
        <w:pStyle w:val="TextoNormal"/>
      </w:pPr>
      <w:r>
        <w:t xml:space="preserve">En conclusión, la falta de diligencia del órgano judicial en la averiguación del domicilio de notificaciones que derivó en la tramitación en rebeldía del procedimiento en que resultó condenado el recurrente, unida al hecho de que no existan datos o circunstancias de los que </w:t>
      </w:r>
      <w:r>
        <w:lastRenderedPageBreak/>
        <w:t>pueda inferirse que el recurrente hubiera tenido un conocimiento extrajudicial del mismo antes de que le fuera notificado el Auto despachando la ejecución de la Sentencia, determinan que deba otorgarse el amparo solicitado, a cuyos efectos debe anularse el Auto impugnado y todas las actuaciones llevadas a cabo en relación con el recurrente desde el defectuoso emplazamiento en dicho procedimiento y en el de ejecución a que dio lugar, con retroacción de actuaciones a dicho momento procesal para que se practique el emplazamiento con respeto a su derecho a la tutela judicial efectiva.</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a don José María Tejeiro López el amparo solicitado y, en consecuencia:</w:t>
      </w:r>
    </w:p>
    <w:p w:rsidR="00DE14C9" w:rsidRDefault="00DE14C9" w:rsidP="00DE14C9">
      <w:pPr>
        <w:pStyle w:val="TextoNormal"/>
      </w:pPr>
      <w:r>
        <w:t>1º Reconocer su derecho a la tutela judicial efectiva sin indefensión (art. 24.1 CE).</w:t>
      </w:r>
    </w:p>
    <w:p w:rsidR="00DE14C9" w:rsidRDefault="00DE14C9" w:rsidP="00DE14C9">
      <w:pPr>
        <w:pStyle w:val="TextoNormal"/>
      </w:pPr>
      <w:r>
        <w:t>2º Declarar la nulidad del Auto del Juzgado de Primera Instancia núm. 3 de Guadalajara de 20 de enero de 2005, dictado en el juicio de menor cuantía 315-1999, así como anular las actuaciones practicadas a partir del momento del emplazamiento en dicho procedimiento y en el de ejecución que trae causa del mismo, exclusivamente en lo que se refiere al recurrente.</w:t>
      </w:r>
    </w:p>
    <w:p w:rsidR="00DE14C9" w:rsidRDefault="00DE14C9" w:rsidP="00DE14C9">
      <w:pPr>
        <w:pStyle w:val="TextoNormal"/>
      </w:pPr>
      <w:r>
        <w:t>3º Retrotraer las actuaciones, exclusivamente en lo que se refiere al recurrente, a dicho momento procesal para que se practique el emplazamiento con respeto al derecho fundamental reconocido.</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dos de julio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77" w:name="SENTENCIA_2007_164"/>
      <w:r>
        <w:lastRenderedPageBreak/>
        <w:t>SENTENCIA 164/2007, de 2 de julio de 2007</w:t>
      </w:r>
    </w:p>
    <w:bookmarkEnd w:id="77"/>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185, de 3 de agosto de 2007)</w:t>
      </w:r>
    </w:p>
    <w:p w:rsidR="00DE14C9" w:rsidRDefault="00DE14C9" w:rsidP="00DE14C9">
      <w:pPr>
        <w:pStyle w:val="TtuloBOE"/>
      </w:pPr>
    </w:p>
    <w:p w:rsidR="00DE14C9" w:rsidRDefault="00DE14C9" w:rsidP="00DE14C9">
      <w:pPr>
        <w:pStyle w:val="SntesisDescriptiva"/>
      </w:pPr>
      <w:r>
        <w:t>ECLI:ES:TC:2007:164</w:t>
      </w:r>
    </w:p>
    <w:p w:rsidR="00DE14C9" w:rsidRDefault="00DE14C9" w:rsidP="00DE14C9">
      <w:pPr>
        <w:pStyle w:val="SntesisDescriptiva"/>
      </w:pPr>
    </w:p>
    <w:p w:rsidR="00DE14C9" w:rsidRDefault="00DE14C9" w:rsidP="00DE14C9">
      <w:pPr>
        <w:pStyle w:val="SntesisDescriptiva"/>
      </w:pPr>
      <w:r>
        <w:t>Recurso de amparo 3872-2005. Promovido por don Domingo Santacruz del Valle respecto a la Sentencia de la Audiencia Provincial de Ávila que, en grado de apelación, le condenó por un delito contra la seguridad del tráfico.</w:t>
      </w:r>
    </w:p>
    <w:p w:rsidR="00DE14C9" w:rsidRDefault="00DE14C9" w:rsidP="00DE14C9">
      <w:pPr>
        <w:pStyle w:val="SntesisDescriptiva"/>
      </w:pPr>
    </w:p>
    <w:p w:rsidR="00DE14C9" w:rsidRDefault="00DE14C9" w:rsidP="00DE14C9">
      <w:pPr>
        <w:pStyle w:val="SntesisAnaltica"/>
      </w:pPr>
      <w:r>
        <w:t>Vulneración de los derechos a un proceso con garantías y a la presunción de inocencia: condena pronunciada en apelación sin haber celebrado vista pública (STC 167/2002).</w:t>
      </w:r>
    </w:p>
    <w:p w:rsidR="00DE14C9" w:rsidRDefault="00DE14C9" w:rsidP="00DE14C9">
      <w:pPr>
        <w:pStyle w:val="SntesisAnaltica"/>
      </w:pPr>
    </w:p>
    <w:p w:rsidR="00DE14C9" w:rsidRDefault="00DE14C9" w:rsidP="00DE14C9">
      <w:pPr>
        <w:pStyle w:val="Extracto"/>
      </w:pPr>
      <w:r>
        <w:t>1.</w:t>
      </w:r>
      <w:r>
        <w:tab/>
        <w:t>Se declara vulnerado el derecho a un proceso con todas las garantías al constatarse que la Sentencia de apelación condenó al demandante de amparo por un delito contra la seguridad del tráfico, modificando el relato fáctico de la Sentencia absolutoria de instancia con fundamento en una nueva valoración de pruebas testificales sin celebrar vista pública [FJ 5].</w:t>
      </w:r>
    </w:p>
    <w:p w:rsidR="00DE14C9" w:rsidRDefault="00DE14C9" w:rsidP="00DE14C9">
      <w:pPr>
        <w:pStyle w:val="Extracto"/>
      </w:pPr>
    </w:p>
    <w:p w:rsidR="00DE14C9" w:rsidRDefault="00DE14C9" w:rsidP="00DE14C9">
      <w:pPr>
        <w:pStyle w:val="Extracto"/>
      </w:pPr>
      <w:r>
        <w:t>2.</w:t>
      </w:r>
      <w:r>
        <w:tab/>
        <w:t>La vulneración del derecho a un proceso con todas las garantías determina también la del derecho a la presunción de inocencia si las pruebas personales, valoradas en la segunda instancia sin inmediación y contradicción, son las únicas o esenciales pruebas de cargo en las que se fundamente la condena de quien fue inicialmente absuelto en primera instancia [FJ 2].</w:t>
      </w:r>
    </w:p>
    <w:p w:rsidR="00DE14C9" w:rsidRDefault="00DE14C9" w:rsidP="00DE14C9">
      <w:pPr>
        <w:pStyle w:val="Extracto"/>
      </w:pPr>
    </w:p>
    <w:p w:rsidR="00DE14C9" w:rsidRDefault="00DE14C9" w:rsidP="00DE14C9">
      <w:pPr>
        <w:pStyle w:val="Extracto"/>
      </w:pPr>
      <w:r>
        <w:t>3.</w:t>
      </w:r>
      <w:r>
        <w:tab/>
        <w:t>No le corresponde al Tribunal Constitucional examinar la observancia o inobservancia per se de textos internacionales que obliguen a España, sino comprobar el respeto o la infracción de los preceptos constitucionales que reconocen derechos fundamentales y libertades públicas susceptibles de amparo, sin perjuicio de interpretar tales preceptos de conformidad con la Declaración universal de derechos humanos y los tratados y acuerdos internacionales sobre las mismas materias ratificados por España (SSTC 120/1990, 249/2000) [FJ 1].</w:t>
      </w:r>
    </w:p>
    <w:p w:rsidR="00DE14C9" w:rsidRDefault="00DE14C9" w:rsidP="00DE14C9">
      <w:pPr>
        <w:pStyle w:val="Extracto"/>
      </w:pPr>
    </w:p>
    <w:p w:rsidR="00DE14C9" w:rsidRDefault="00DE14C9" w:rsidP="00DE14C9">
      <w:pPr>
        <w:pStyle w:val="Extracto"/>
      </w:pPr>
      <w:r>
        <w:t>4.</w:t>
      </w:r>
      <w:r>
        <w:tab/>
        <w:t>Doctrina sobre el derecho a un proceso con todas las garantías en condenas en segunda instancia, tras la revocación de una previa absolución, fundamentada en la valoración de pruebas personales, sin celebración de vista pública (STC 167/2002) [FJ 2].</w:t>
      </w:r>
    </w:p>
    <w:p w:rsidR="00DE14C9" w:rsidRDefault="00DE14C9" w:rsidP="00DE14C9">
      <w:pPr>
        <w:pStyle w:val="Extracto"/>
      </w:pPr>
    </w:p>
    <w:p w:rsidR="00DE14C9" w:rsidRDefault="00DE14C9" w:rsidP="00DE14C9">
      <w:pPr>
        <w:pStyle w:val="Extracto"/>
      </w:pPr>
      <w:r>
        <w:t>5.</w:t>
      </w:r>
      <w:r>
        <w:tab/>
        <w:t>Procede la anulación de la Sentencia condenatoria sin retroacción de actuaciones y la declaración de firmeza de la Sentencia dictada por el Juzgado de instancia [FJ 5].</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3872-2005, promovido por don Domingo Santacruz del Valle, representado por la Procuradora de los Tribunales doña Marta López Barreda y asistido por el Abogado don Francisco Ruiz Cubero, contra la Sentencia de la Audiencia Provincial de Ávila de 21 de abril de 2005, dictada en el rollo de apelación núm. 81-2005. Han intervenido el Ministerio Fiscal y el Letrado de la Comunidad Autónoma de Castilla y León, en la representación que legalmente ostenta. Ha sido Ponente el Magistrado don Manuel Aragón Reyes,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registrado en este Tribunal el 27 de mayo de 2005, la Procuradora de los Tribunales doña Marta López Barreda, en nombre y representación de don Domingo Santacruz del Valle, interpuso recurso de amparo contra la Sentencia mencionada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de los que trae causa el presente recurso de amparo, relevantes para la resolución del mismo, son los siguientes: </w:t>
      </w:r>
    </w:p>
    <w:p w:rsidR="00DE14C9" w:rsidRDefault="00DE14C9" w:rsidP="00DE14C9">
      <w:pPr>
        <w:pStyle w:val="TextoNormal"/>
      </w:pPr>
      <w:r>
        <w:t xml:space="preserve">a) Por Sentencia del Juzgado de lo Penal de Ávila de 13 de enero de 2005 (causa núm. 254-2004, dimanante del procedimiento abreviado núm. 9-2004) el Sr. Santacruz del Valle fue absuelto del delito contra la seguridad del tráfico del que venía acusado. Los hechos que determinaron la acusación, tal como resulta del relato de hechos probados, tienen su origen en el accidente de tráfico sufrido por el Sr. Santacruz, su primo don Tomás Sánchez del Valle (propietario del vehículo siniestrado y que resultó herido leve) y otros dos amigos (don Álvaro Maya Jiménez y don Ricardo Hernández López) pasada la medianoche del domingo 16 de noviembre de 2003 a la altura del km. 4 de la carretera AV-512, punto en el que el vehículo se salió de la carretera por el margen derecho, colisionando con la valla de protección y cayendo en la cuneta. La Sentencia declara probado asimismo que, “llegada una dotación de la Guardia Civil al lugar de los hechos, el acusado manifestó que él era el conductor del vehículo al momento del accidente, lo que luego ha negado, sin que conste con certeza si lo era o no lo era, aunque en aquel momento fue sometido a las pruebas de determinación del grado de impregnación alcohólica mediante etilómetro, las cuales arrojaron el resultado positivo respectivo de 0,95 y 0,91 miligramos de alcohol por litro de aire espirado”. </w:t>
      </w:r>
    </w:p>
    <w:p w:rsidR="00DE14C9" w:rsidRDefault="00DE14C9" w:rsidP="00DE14C9">
      <w:pPr>
        <w:pStyle w:val="TextoNormal"/>
      </w:pPr>
      <w:r>
        <w:t xml:space="preserve">En los fundamentos jurídicos de la Sentencia se razona que los hechos declarados probados no son constitutivos del delito contra la seguridad del tráfico del art. 379 del Código penal (en adelante CP) del que se acusa al Sr. Santacruz, al no quedar acreditado que fuera él quien conducía el automóvil cuando se produjo el accidente. En tal sentido se razona que </w:t>
      </w:r>
      <w:r>
        <w:lastRenderedPageBreak/>
        <w:t xml:space="preserve">no existe prueba directa testifical de tal hecho, pues aunque el propio Sr. Santacruz reconoció ser el conductor del vehículo ante los agentes de la guardia civil que levantaron el atestado (siéndole asimismo practicada la prueba de alcoholemia, con el resultado positivo indicado), es lo cierto que luego se retractó de su autoinculpación ya en su declaración ante el Juzgado de Instrucción y mantuvo su versión exculpatoria en el juicio oral, señalando que fue su primo don Tomás Sánchez del Valle, propietario del vehículo, quien realmente conducía, y que si él declaró ser el conductor ante los agentes de la guardia civil que elaboraron el atestado fue porque, al ver que su primo, que había acudido como un favor personal a recogerle a él y a sus amigos a la localidad de El Tiemblo, estaba herido, se sintió culpable de lo sucedido y decidió encubrirle. Por su parte, los otros dos ocupantes del vehículo coincidieron tanto en fase sumarial como en el plenario en señalar a don Tomás Sánchez como el verdadero conductor del vehículo. Los agentes de la guardia civil que elaboraron el atestado manifestaron en el juicio oral que el Sr. Santacruz reconoció ser el conductor y que los otros ocupantes del vehículo así lo corroboraron (salvo don Tomás Sánchez, al que no se tomó declaración por los agentes al haber sido trasladado en ambulancia al centro de salud de Cebreros para que le suturasen la brecha que tenía en la frente, señalándose asimismo en la Sentencia que las fotos aportadas parecen mostrar un golpe en la zona del parabrisas del lado izquierdo, la del conductor). En definitiva, ante las dudas sobre quién fuera realmente el conductor del vehículo en el momento del siniestro, el Juzgador decide absolver al acusado. </w:t>
      </w:r>
    </w:p>
    <w:p w:rsidR="00DE14C9" w:rsidRDefault="00DE14C9" w:rsidP="00DE14C9">
      <w:pPr>
        <w:pStyle w:val="TextoNormal"/>
      </w:pPr>
      <w:r>
        <w:t xml:space="preserve">b) Interpuesto recurso de apelación contra la anterior Sentencia por la acusación particular (Comunidad Autónoma de Castilla y León, como perjudicada por los daños ocasionados a la valla de protección de la carretera), al que se adhirió el Ministerio Fiscal, la Audiencia Provincial de Ávila, sin celebrar vista, lo estimó por Sentencia de 21 de abril de 2005, que revoca la de instancia y condena al recurrente, como autor de un delito contra la seguridad del tráfico del art. 379 CP, a la pena de multa de seis meses con una cuota diaria de 12 euros, privación del permiso de conducir vehículos de motor durante dos años y accesoria de inhabilitación especial para el sufragio pasivo durante el tiempo de la condena, así como a indemnizar a la Comunidad Autónoma de Castilla y León en la suma de 2.182,12 euros, con responsabilidad directa de la compañía aseguradora del vehículo y subsidiaria de su propietario don Tomás Sánchez Tena, y a indemnizar en la suma de 500 euros a don Tomás Sánchez del Valle por los perjuicios causados, con responsabilidad directa de la compañía aseguradora del vehículo dentro de los límites concertados, declarando las costas de oficio. </w:t>
      </w:r>
    </w:p>
    <w:p w:rsidR="00DE14C9" w:rsidRDefault="00DE14C9" w:rsidP="00DE14C9">
      <w:pPr>
        <w:pStyle w:val="TextoNormal"/>
      </w:pPr>
      <w:r>
        <w:t xml:space="preserve">La Sentencia de apelación modifica los hechos probados de la Sentencia absolutoria de instancia, considerando acreditado, en lo que aquí interesa, que el Sr. Santacruz conducía el vehículo cuando se produjo el siniestro, vehículo cuyo permiso de circulación figura a nombre de don Tomás Sánchez Tena, siendo tomador del seguro obligatorio del vehículo su hijo don Tomás Sánchez del Valle, y que “a la llegada de la dotación de la Guardia Civil al lugar de los hechos se le practicó al conductor Domingo Santacruz del Valle las pruebas de determinación del grado de impregnación alcohólica mediante etilómetro homologado y en vigencia, que arrojaron un primer resultado de 0,95 y otro segundo de 0,91 miligramos de alcohol por litro de aire espirado”. </w:t>
      </w:r>
    </w:p>
    <w:p w:rsidR="00DE14C9" w:rsidRDefault="00DE14C9" w:rsidP="00DE14C9">
      <w:pPr>
        <w:pStyle w:val="TextoNormal"/>
      </w:pPr>
      <w:r>
        <w:t xml:space="preserve">La modificación del relato de los hechos probados se basa en la consideración de entender plenamente acreditado la Sala, en virtud de la prueba testifical practicada en el acto del juicio oral de instancia, que el Sr. Santacruz era el conductor del vehículo, como así lo reconoció ante los agentes de la guardia civil de tráfico que elaboraron el atestado, habiendo ratificado dichos agentes en el plenario que el Sr. Santacruz les manifestó ser el conductor y que así lo corroboraron los otros ocupantes del vehículo (salvo don Tomás Sánchez del </w:t>
      </w:r>
      <w:r>
        <w:lastRenderedPageBreak/>
        <w:t>Valle, que había sido trasladado al centro sanitario), rechazando la Sala el cambio de versión del imputado porque no está obligado a decir verdad, descartando asimismo que el reportaje fotográfico obrante en las actuaciones permita considerar que don Tomás Sánchez del Valle fuese el conductor, al no ser nítidas las fotos. Por otra parte la Sala señala que resulta incuestionado el resultado positivo de las pruebas de alcoholemia que le fueron practicadas por los agentes de la guardia civil al Sr. Santacruz, quien renunció expresamente a contrastar dicho resultado con análisis de sangre o de orina, a lo que se une el reconocimiento por el Sr. Santacruz ante dichos agentes de haber consumido varias cervezas y la diligencia de signos externos fisiológicos obrante en el atestado, ratificada igualmente en el juicio oral por los agentes de la guardia civil intervinientes, resultando así acreditada la influencia de la ingesta de bebidas alcohólicas en la conducción que resulta exigible para la aplicación del tipo previsto en el art. 379 del Código penal.</w:t>
      </w:r>
    </w:p>
    <w:p w:rsidR="00DE14C9" w:rsidRDefault="00DE14C9" w:rsidP="00DE14C9">
      <w:pPr>
        <w:pStyle w:val="TextoNormal"/>
      </w:pPr>
    </w:p>
    <w:p w:rsidR="00DE14C9" w:rsidRDefault="00DE14C9" w:rsidP="00DE14C9">
      <w:pPr>
        <w:pStyle w:val="TextoNormal"/>
      </w:pPr>
      <w:r w:rsidRPr="00DE14C9">
        <w:rPr>
          <w:rStyle w:val="NumeroAFNegritaCaracter"/>
        </w:rPr>
        <w:t>3</w:t>
      </w:r>
      <w:r>
        <w:t>. En la demanda de amparo se alega que la Sentencia recurrida ha lesionado los derechos del recurrente a la tutela judicial efectiva (art. 24.1 CE), a un proceso con todas las garantías y a la presunción de inocencia (art. 24.2 CE), y se citan también como infringidos los arts. 6 y 13 del Convenio europeo para la protección de los derechos humanos y las libertades fundamentales y el art. 14.5 del Pacto internacional de derechos civiles y políticos. Invocando la doctrina sentada por este Tribunal a partir de la STC 167/2002, de 18 de septiembre, se aduce, en síntesis, que la Audiencia Provincial de Ávila ha revocado el pronunciamiento absolutorio de instancia, revisando los hechos probados y valorando de nuevo las declaraciones del acusado y de los testigos, sin celebración de vista en apelación y, por tanto, sin las garantías de inmediación, contradicción y oralidad que resultan exigibles cuando se trata de valorar pruebas personales. Por ello, solicita el recurrente que se declare nula la Sentencia dictada en apelación por la Audiencia Provincial de Ávila. Mediante otrosí, y de conformidad con el art. 56.1 LOTC, el recurrente solicitó también que se acordase la suspensión de la ejecución de la Sentencia recurrida en amparo.</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Por providencia de 13 de julio de 2005 la Sección Primera de este Tribunal acordó admitir a trámite la presente demanda de amparo así como, de conformidad con lo dispuesto en el art. 51 LOTC, requerir al Juzgado de lo Penal de Ávila y a la Audiencia Provincial de Ávila para que en el plazo de diez días remitieran, respectivamente, testimonio de la causa núm. 254-2004 y del rollo de apelación núm. 81-2005, interesando al propio tiempo el emplazamiento de quienes, a excepción del demandante de amparo, ya personado, fueron parte en el procedimiento mencionado para que, en un plazo de diez días, pudieran comparecer en este proceso constitucional. </w:t>
      </w:r>
    </w:p>
    <w:p w:rsidR="00DE14C9" w:rsidRDefault="00DE14C9" w:rsidP="00DE14C9">
      <w:pPr>
        <w:pStyle w:val="TextoNormal"/>
      </w:pPr>
      <w:r>
        <w:t>Por providencia de la misma fecha ordenó también la Sección Primera que se formase la correspondiente pieza separada de suspensión, la cual, una vez tramitada, fue resuelta por ATC 327/2005, de 12 de septiembre, por el que se acuerda suspender la ejecución de la Sentencia impugnada exclusivamente en lo que se refiere a la pena de inhabilitación especial para el derecho de sufragio pasivo durante el tiempo de la condena.</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Por diligencia de ordenación de la Secretaría de Justicia de la Sala Primera de 28 de septiembre de 2005 se tuvo por personado y parte al Letrado de la Comunidad Autónoma de Castilla y León, en la representación que legalmente ostenta, y se tuvieron por recibidos los testimonios de actuaciones solicitados, dándose vista de las mismas a la representante </w:t>
      </w:r>
      <w:r>
        <w:lastRenderedPageBreak/>
        <w:t>procesal del demandante de amparo, al Ministerio Fiscal y al Letrado de la Comunidad Autónoma de Castilla y León para que, de conformidad con lo dispuesto en el art. 52 LOTC, en un plazo común de veinte días formularan las alegaciones que estimasen pertinentes.</w:t>
      </w:r>
    </w:p>
    <w:p w:rsidR="00DE14C9" w:rsidRDefault="00DE14C9" w:rsidP="00DE14C9">
      <w:pPr>
        <w:pStyle w:val="TextoNormal"/>
      </w:pPr>
    </w:p>
    <w:p w:rsidR="00DE14C9" w:rsidRDefault="00DE14C9" w:rsidP="00DE14C9">
      <w:pPr>
        <w:pStyle w:val="TextoNormal"/>
      </w:pPr>
      <w:r w:rsidRPr="00DE14C9">
        <w:rPr>
          <w:rStyle w:val="NumeroAFNegritaCaracter"/>
        </w:rPr>
        <w:t>6</w:t>
      </w:r>
      <w:r>
        <w:t xml:space="preserve">. El Ministerio Fiscal presentó sus alegaciones mediante escrito registrado en este Tribunal el 28 de octubre de 2005 en el que concluía interesando que se otorgara el amparo solicitado, declarando la nulidad de la Sentencia condenatoria dictada en apelación por la Audiencia Provincial de Ávila, con la consiguiente firmeza de la Sentencia absolutoria dictada en instancia. </w:t>
      </w:r>
    </w:p>
    <w:p w:rsidR="00DE14C9" w:rsidRDefault="00DE14C9" w:rsidP="00DE14C9">
      <w:pPr>
        <w:pStyle w:val="TextoNormal"/>
      </w:pPr>
      <w:r>
        <w:t>Recuerda el Ministerio Fiscal que, de conformidad con la doctrina sentada por este Tribunal desde su STC 167/2002, quien fue absuelto en instancia no puede ser condenado en apelación como consecuencia de pruebas estrictamente personales (como son las declaraciones del propio acusado y de testigos) que no hayan sido practicadas con garantías de oralidad, inmediación y contradicción. En el caso que nos ocupa resulta que el demandante de amparo, tras ser absuelto en instancia en aplicación del principio in dubio pro reo, fue condenado en apelación como autor de un delito contra la seguridad del tráfico del art. 379 del Código penal, para lo cual la Sala, sin celebrar vista oral, hubo de modificar el relato de hechos probados partiendo de la valoración del testimonio prestado en el juicio oral ante el Juez de lo Penal por el agente de la guardia civil instructor del atestado, que ratificó el resultado de la prueba de alcoholemia y declaró asimismo que todos los ocupantes del vehículo —salvo el lesionado don Tomás Sánchez del Valle, que fue rápidamente evacuado— le manifestaron que el acusado era quien conducía el vehículo en el momento de producirse el accidente. La Sala funda, por tanto, su convicción de que el demandante de amparo era el conductor del vehículo siniestrado en una prueba testifical valorada sin inmediación, y que además era, respecto de dicho extremo, una prueba de referencia (cuando tanto en fase sumarial como el plenario los testigos directos de los hechos declararon que el conductor era don Tomás Sánchez del Valle), por lo que ha de apreciarse que la Sentencia impugnada vulneró los derechos del recurrente en amparo a un proceso con todas las garantías y a la presunción de inocencia (art. 24.2 CE).</w:t>
      </w:r>
    </w:p>
    <w:p w:rsidR="00DE14C9" w:rsidRDefault="00DE14C9" w:rsidP="00DE14C9">
      <w:pPr>
        <w:pStyle w:val="TextoNormal"/>
      </w:pPr>
    </w:p>
    <w:p w:rsidR="00DE14C9" w:rsidRDefault="00DE14C9" w:rsidP="00DE14C9">
      <w:pPr>
        <w:pStyle w:val="TextoNormal"/>
      </w:pPr>
      <w:r w:rsidRPr="00DE14C9">
        <w:rPr>
          <w:rStyle w:val="NumeroAFNegritaCaracter"/>
        </w:rPr>
        <w:t>7</w:t>
      </w:r>
      <w:r>
        <w:t>. El Letrado de la Comunidad Autónoma de Castilla y León formuló alegaciones mediante escrito presentado con fecha 28 de octubre de 2005, en el que sostiene que la Sentencia impugnada no ha incurrido en la vulneración de derechos fundamentales que alega el recurrente en amparo, pues, teniendo en cuenta la doctrina sentada en la STC 167/2002, de 18 de septiembre, en el presente caso resultaba innecesario que la Audiencia Provincial celebrase vista oral en apelación, pues la Audiencia no realizó una nueva valoración de pruebas personales, llegando a conclusiones fácticas distintas del Juzgador a quo, sino que el núcleo de discrepancia afectaba exclusivamente a cuestiones jurídicas. A mayor abundamiento, considera el Letrado de la Comunidad Autónoma de Castilla y León que los medios de prueba que el demandante de amparo considera indebidamente valorados por la Audiencia Provincial no fueron las únicas pruebas tenidas en cuenta para fundamentar la condena. Por todo ello concluye que debe denegarse el amparo solicitado o, subsidiariamente, de otorgarse, lo procedente será ordenar la retroacción de las actuaciones al momento de dictar la Sentencia impugnada, a fin de que sea la Audiencia Provincial la que decida si con las pruebas que subsisten en el proceso mantiene su conclusión condenatoria o si, por el contrario, opta por revisarla (SSTC 14/2005, de 31 de enero y 78/2005, de 4 de abril, por todas).</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8</w:t>
      </w:r>
      <w:r>
        <w:t>. La representación procesal del recurrente en amparo presentó sus alegaciones por escrito registrado el 2 de noviembre de 2005, en el que reiteraba las ya formuladas en la demanda de amparo, a la que se remitía.</w:t>
      </w:r>
    </w:p>
    <w:p w:rsidR="00DE14C9" w:rsidRDefault="00DE14C9" w:rsidP="00DE14C9">
      <w:pPr>
        <w:pStyle w:val="TextoNormal"/>
      </w:pPr>
    </w:p>
    <w:p w:rsidR="00DE14C9" w:rsidRDefault="00DE14C9" w:rsidP="00DE14C9">
      <w:pPr>
        <w:pStyle w:val="TextoNormal"/>
      </w:pPr>
      <w:r w:rsidRPr="00DE14C9">
        <w:rPr>
          <w:rStyle w:val="NumeroAFNegritaCaracter"/>
        </w:rPr>
        <w:t>9</w:t>
      </w:r>
      <w:r>
        <w:t>. Por providencia de 29 de junio de 2007 se señaló para deliberación y votación de la presente Sentencia el día 2 de julio de 2007.</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El recurrente en amparo, bajo la invocación de los derechos a un proceso con todas las garantías y a la presunción de inocencia (art. 24.2 CE), así como del derecho a la tutela judicial efectiva (si bien la invocación del art. 24.1 CE carece en el presente caso de sustantividad propia, debiendo entenderse subsumida en la del derecho a un proceso con todas las garantías), plantea ante este Tribunal la cuestión de las condenas en segunda instancia, tras la revocación de una previa absolución, fundamentadas en la valoración de pruebas personales no practicadas ante el órgano de apelación. Y así solicita el recurrente la nulidad la Sentencia impugnada —pretensión que apoya el Ministerio Fiscal— porque su condena en apelación como autor de un delito contra la seguridad del tráfico del art. 379 del Código penal (en adelante CP) se fundamenta en la nueva valoración del Tribunal ad quem de las declaraciones del acusado y de los testigos prestadas en el juicio oral, sin celebración de vista en apelación, por lo que resultan vulneradas de este modo las exigencias de inmediación, publicidad y contradicción exigidas para la práctica y valoración de la prueba personal en segunda instancia y, en consecuencia, los derechos del recurrente a un proceso con todas las garantías y a la presunción de inocencia.</w:t>
      </w:r>
    </w:p>
    <w:p w:rsidR="00DE14C9" w:rsidRDefault="00DE14C9" w:rsidP="00DE14C9">
      <w:pPr>
        <w:pStyle w:val="TextoNormal"/>
      </w:pPr>
      <w:r>
        <w:t>Por otra parte, aunque en la demanda de amparo se citan también como infringidos los arts. 6 y 13 del Convenio europeo para la protección de los derechos humanos y las libertades fundamentales y el art. 14.5 del Pacto internacional de derechos civiles y políticos, conviene recordar que, como hemos tenido ocasión de precisar en repetidas ocasiones, no le corresponde al Tribunal Constitucional, en el conocimiento del recurso de amparo, examinar la observancia o inobservancia per se de textos internacionales que obliguen a España, sino comprobar el respeto o la infracción de los preceptos constitucionales que reconocen derechos fundamentales y libertades públicas susceptibles de amparo (arts. 53.2 CE y 49.1 LOTC), sin perjuicio de que, por mandato del art. 10.2 CE, deban tales preceptos ser interpretados “de conformidad con la Declaración universal de derechos humanos y los tratados y acuerdos internacionales sobre las mismas materias ratificados por España” (por todas, SSTC 120/1990, de 27 de junio, FJ 3; 249/2000, de 30 de octubre, FJ 2; 85/2003, de 8 de mayo, FJ 6; y 7/2004, de 9 de febrero, FJ 2).</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Planteada la cuestión en estos términos, debe recordarse que es doctrina reiterada de este Tribunal, iniciada en la STC 167/2002, de 18 de septiembre (FFJJ 9 a 11), y seguida en numerosas Sentencias posteriores (entre otras muchas, SSTC 163/2005, de 20 de junio, 24/2006, de 30 de enero, 95/2006, de 27 de marzo, 114/2006, de 5 de abril y 217/2006, de 3 de julio), que el respeto a los principios de oralidad, publicidad, inmediación y contradicción, contenidos en el derecho a un proceso con todas las garantías (art. 24.2 CE), impone inexcusablemente que toda condena se fundamente en una actividad probatoria que el órgano judicial haya examinado directa y personalmente y en un debate público en el que se </w:t>
      </w:r>
      <w:r>
        <w:lastRenderedPageBreak/>
        <w:t>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necesario que el órgano judicial de apelación resuelva tomando un conocimiento directo e inmediato de dichas pruebas.</w:t>
      </w:r>
    </w:p>
    <w:p w:rsidR="00DE14C9" w:rsidRDefault="00DE14C9" w:rsidP="00DE14C9">
      <w:pPr>
        <w:pStyle w:val="TextoNormal"/>
      </w:pPr>
      <w:r>
        <w:t>E, igualmente, que la constatación de la vulneración del derecho a un proceso con todas las garantías determina también la del derecho a la presunción de inocencia (art. 24.2 CE) si las aludidas pruebas personales valoradas en la segunda instancia sin inmediación y contradicción son las únicas o esenciales pruebas de cargo en las que se fundamente la condena de quien fue inicialmente absuelto en primera instancia, o dicho de otro modo, si la eliminación de los aludidos medios de prueba indebidamente valorados en apelación deja sin 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constate que dicha prueba era esencial para llegar a la conclusión fáctica incriminatoria, de modo que la inferencia de la conclusión, sin tener en cuenta esa prueba, deviene ilógica o no concluyente a partir de los presupuestos de la propia Sentencia.</w:t>
      </w:r>
    </w:p>
    <w:p w:rsidR="00DE14C9" w:rsidRDefault="00DE14C9" w:rsidP="00DE14C9">
      <w:pPr>
        <w:pStyle w:val="TextoNormal"/>
      </w:pPr>
    </w:p>
    <w:p w:rsidR="00DE14C9" w:rsidRDefault="00DE14C9" w:rsidP="00DE14C9">
      <w:pPr>
        <w:pStyle w:val="TextoNormal"/>
      </w:pPr>
      <w:r w:rsidRPr="00DE14C9">
        <w:rPr>
          <w:rStyle w:val="NumeroAFNegritaCaracter"/>
        </w:rPr>
        <w:t>3</w:t>
      </w:r>
      <w:r>
        <w:t>. En el presente caso las actuaciones ponen de manifiesto, tal como se ha expuesto con mayor detalle en los antecedentes, que el recurrente en amparo fue absuelto en primera instancia del delito contra la seguridad del tráfico del que venía acusado, al considerar el Juzgador a quo que no había quedado acreditado que fuese quien conducía el vehículo en el momento de producirse el siniestro, llegando el órgano judicial a tal conclusión con fundamento en la valoración de las declaraciones prestadas en el juicio oral por el acusado y los testigos, los agentes de la guardia civil que elaboraron el atestado y dos de los ocupantes del vehículo. El Juzgado resalta que, tanto el acusado como los dos testigos ocupantes del vehículo manifestaron en el juicio oral, ratificando lo declarado en presencia del Juez instructor (y retractándose de lo inicialmente declarado en el lugar de los hechos a los agentes de la guardia civil) que el conductor del vehículo era el cuarto ocupante, don Tomás Sánchez del Valle, que resultó lesionado en el accidente.</w:t>
      </w:r>
    </w:p>
    <w:p w:rsidR="00DE14C9" w:rsidRDefault="00DE14C9" w:rsidP="00DE14C9">
      <w:pPr>
        <w:pStyle w:val="TextoNormal"/>
      </w:pPr>
      <w:r>
        <w:t>Por su parte, la Audiencia Provincial, sin haber celebrado vista, estimó el recurso de apelación interpuesto por la acusación particular (al que se adhirió el Fiscal), con fundamento en la errónea valoración de las pruebas, y condenó al demandante de amparo como autor de un delito contra la seguridad del tráfico del art. 379 CP, modificando el relato de hechos probados en el sentido de considerar acreditado que el demandante de amparo era quien conducía el vehículo en el momento de producirse el siniestro, estando igualmente acreditado el resultado positivo de las pruebas de alcoholemia que le fueron practicadas en el lugar de los hechos. La Audiencia basa su convicción sobre la circunstancia de que el demandante de amparo fuese quien conducía el vehículo siniestrado en que así lo reconoció él mismo ante los agentes de la guardia civil de tráfico que elaboraron el atestado, y lo corroboraron en aquel momento los otros ocupantes del vehículo (salvo don Tomás Sánchez del Valle, que había sido trasladado a un centro sanitario para ser curado de las heridas sufridas), conforme consta en el atestado ratificado por dichos agentes en el juicio oral, rechazando la Audiencia el cambio de versión del demandante de amparo en el juicio oral porque el imputado no está obligado a decir verdad.</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En definitiva, en el presente supuesto nos hallamos ante una condena en apelación por delito contra la seguridad del tráfico, que se fundamenta en la consideración de entender </w:t>
      </w:r>
      <w:r>
        <w:lastRenderedPageBreak/>
        <w:t>plenamente acreditado que el demandante de amparo era el conductor del vehículo siniestrado —y que conducía bajo la influencia de bebidas alcohólicas—, siendo así que la prueba de cargo de que el demandante era realmente el conductor reside en el testimonio de referencia prestado en el juicio oral por los agentes de la guardia civil que elaboraron el atestado y ratificaron su contenido, tanto en lo que se refiere al resultado de las pruebas de alcoholemia practicadas al demandante de amparo, como a la manifestación de éste declarando ser el conductor del vehículo siniestrado (lo que en ese momento corroboraron también los otros dos ocupantes del vehículo que allí se encontraban), y frente a la declaración en el juicio oral del recurrente y de los dos testigos ocupantes del vehículo, quienes, reiterando la versión ya expuesta ante el Juez de Instrucción, manifestaron que el conductor del vehículo en el momento del accidente era don Tomás Sánchez del Valle y no el acusado.</w:t>
      </w:r>
    </w:p>
    <w:p w:rsidR="00DE14C9" w:rsidRDefault="00DE14C9" w:rsidP="00DE14C9">
      <w:pPr>
        <w:pStyle w:val="TextoNormal"/>
      </w:pPr>
      <w:r>
        <w:t>Pues bien, por lo que se refiere a las declaraciones del acusado (y de los testigos ocupantes del vehículo), resultaría constitucionalmente lícito dar mayor credibilidad a la declaración inculpatoria prestada ante los agentes de la guardia civil que a la exculpatoria efectuada en el juicio oral, una vez que el contenido de esas iniciales declaraciones, reflejadas en el atestado, fue introducido en el juicio oral a través del interrogatorio de dichos agentes (por todas, SSTC 150/1987, de 1 de octubre, FJ 2; 137/1988, de 7 de julio, FJ 3; 93/1994, de 21 de marzo, FJ 4; 2/2002, de 14 de enero, FJ 7; 155/2002, de 22 de julio, FJ 10; 219/2002, de 25 de noviembre, FJ 3; y 38/2003, de 27 de febrero, FJ 6); mas, una vez dictada Sentencia absolutoria en instancia, la Audiencia Provincial no podía condenar al demandante de amparo sobre la base de dar mayor credibilidad a las declaraciones prestadas en fase de instrucción sin haber oído al acusado y a los testigos.</w:t>
      </w:r>
    </w:p>
    <w:p w:rsidR="00DE14C9" w:rsidRDefault="00DE14C9" w:rsidP="00DE14C9">
      <w:pPr>
        <w:pStyle w:val="TextoNormal"/>
      </w:pPr>
    </w:p>
    <w:p w:rsidR="00DE14C9" w:rsidRDefault="00DE14C9" w:rsidP="00DE14C9">
      <w:pPr>
        <w:pStyle w:val="TextoNormal"/>
      </w:pPr>
      <w:r w:rsidRPr="00DE14C9">
        <w:rPr>
          <w:rStyle w:val="NumeroAFNegritaCaracter"/>
        </w:rPr>
        <w:t>5</w:t>
      </w:r>
      <w:r>
        <w:t>. Nos encontramos, en suma, ante una condena en apelación fundada en una distinta valoración de las pruebas testificales, que concierne a la credibilidad del acusado y de los testigos, por lo que la revocación de la Sentencia penal absolutoria de instancia y su sustitución por una Sentencia condenatoria, tras realizar el Tribunal ad quem una nueva valoración y ponderación de los testimonios del acusado y los testigos en los que se fundamenta la modificación del relato de hechos probados y la condena, dando mayor credibilidad a lo manifestado por el acusado y los testigos presenciales del accidente ante los agentes de la guardia civil que elaboraron el atestado, que a lo declarado por aquéllos en el juicio oral, requería que la nueva valoración de esos medios de prueba por la Audiencia Provincial se efectuase con un examen directo y personal del acusado y los testigos, en un debate público en el que se respetase la posibilidad de contradicción pública y la inmediación, como exige la doctrina de este Tribunal a partir de la STC 167/2002.</w:t>
      </w:r>
    </w:p>
    <w:p w:rsidR="00DE14C9" w:rsidRDefault="00DE14C9" w:rsidP="00DE14C9">
      <w:pPr>
        <w:pStyle w:val="TextoNormal"/>
      </w:pPr>
      <w:r>
        <w:t>Por tanto, una vez constatado que la Sentencia de apelación condenó al demandante de amparo por un delito contra la seguridad del tráfico, modificando para ello el relato fáctico de la Sentencia absolutoria de instancia en el sentido de declarar probado que el demandante era el conductor del vehículo siniestrado, y que dicha modificación tuvo su fundamento en una nueva valoración de pruebas personales (testificales) que no han sido prestadas en presencia del Tribunal de apelación, con infracción, por tanto, de los principios de inmediación y contradicción, debe concluirse, conforme a la citada doctrina constitucional, que se ha vulnerado el derecho del demandante a un proceso con todas las garantías.</w:t>
      </w:r>
    </w:p>
    <w:p w:rsidR="00DE14C9" w:rsidRDefault="00DE14C9" w:rsidP="00DE14C9">
      <w:pPr>
        <w:pStyle w:val="TextoNormal"/>
      </w:pPr>
      <w:r>
        <w:t xml:space="preserve">Y asimismo debe declararse vulnerado el derecho del demandante de amparo a la presunción de inocencia, ya que se constata que las pruebas de cargo esenciales en las que se fundamentó la condena fueron de carácter testifical, pues el dato probado, del grado de impregnación alcohólica del acusado, no determina, por sí solo, si era o no éste el conductor del vehículo. En definitiva, la Sentencia impugnada ha pretendido desvirtuar la presunción </w:t>
      </w:r>
      <w:r>
        <w:lastRenderedPageBreak/>
        <w:t>de inocencia del demandante a través de un acto de valoración judicial de la prueba que no reunía las garantías exigibles, al no respetar los principios de inmediación y contradicción que exige la valoración de una prueba personal como es la testifical. Por tanto, para el restablecimiento del recurrente en sus derechos a un proceso con todas las garantías y a la presunción de inocencia resulta procedente la anulación de la Sentencia condenatoria, sin retroacción de actuaciones, a la vista de que la prueba testifical indebidamente valorada era la única que soportaba el relato de hechos probados de dicha resolución.</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don Domingo Santacruz del Valle y, en su virtud:</w:t>
      </w:r>
    </w:p>
    <w:p w:rsidR="00DE14C9" w:rsidRDefault="00DE14C9" w:rsidP="00DE14C9">
      <w:pPr>
        <w:pStyle w:val="TextoNormal"/>
      </w:pPr>
      <w:r>
        <w:t>1º Reconocer sus derechos a un proceso con todas las garantías y a la presunción de inocencia (art. 24.2 CE).</w:t>
      </w:r>
    </w:p>
    <w:p w:rsidR="00DE14C9" w:rsidRDefault="00DE14C9" w:rsidP="00DE14C9">
      <w:pPr>
        <w:pStyle w:val="TextoNormal"/>
      </w:pPr>
      <w:r>
        <w:t>2º Anular la Sentencia dictada el 21 de abril de 2005 por la Audiencia Provincial de Ávila en el recurso de apelación núm. 81-2005.</w:t>
      </w:r>
    </w:p>
    <w:p w:rsidR="00DE14C9" w:rsidRDefault="00DE14C9" w:rsidP="00DE14C9">
      <w:pPr>
        <w:pStyle w:val="TextoNormal"/>
      </w:pPr>
      <w:r>
        <w:t>3º Declarar la firmeza de la Sentencia dictada el 13 de enero de 2005 por el Juzgado de lo Penal de Ávila en la causa núm. 254-2004, dimanante del procedimiento abreviado núm. 9-2004.</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dos de julio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78" w:name="SENTENCIA_2007_165"/>
      <w:r>
        <w:lastRenderedPageBreak/>
        <w:t>SENTENCIA 165/2007, de 2 de julio de 2007</w:t>
      </w:r>
    </w:p>
    <w:bookmarkEnd w:id="78"/>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185, de 3 de agosto de 2007)</w:t>
      </w:r>
    </w:p>
    <w:p w:rsidR="00DE14C9" w:rsidRDefault="00DE14C9" w:rsidP="00DE14C9">
      <w:pPr>
        <w:pStyle w:val="TtuloBOE"/>
      </w:pPr>
    </w:p>
    <w:p w:rsidR="00DE14C9" w:rsidRDefault="00DE14C9" w:rsidP="00DE14C9">
      <w:pPr>
        <w:pStyle w:val="SntesisDescriptiva"/>
      </w:pPr>
      <w:r>
        <w:t>ECLI:ES:TC:2007:165</w:t>
      </w:r>
    </w:p>
    <w:p w:rsidR="00DE14C9" w:rsidRDefault="00DE14C9" w:rsidP="00DE14C9">
      <w:pPr>
        <w:pStyle w:val="SntesisDescriptiva"/>
      </w:pPr>
    </w:p>
    <w:p w:rsidR="00DE14C9" w:rsidRDefault="00DE14C9" w:rsidP="00DE14C9">
      <w:pPr>
        <w:pStyle w:val="SntesisDescriptiva"/>
      </w:pPr>
      <w:r>
        <w:t>Recurso de amparo 4796-2006. Promovido por doña Loreto Pizarro Gómez frente al Auto de un Juzgado de Instrucción de Sevilla que denegó la incoación de un habeas corpus respecto a la duración de su detención en comisaría en diligencias por resistencia y desobediencia.</w:t>
      </w:r>
    </w:p>
    <w:p w:rsidR="00DE14C9" w:rsidRDefault="00DE14C9" w:rsidP="00DE14C9">
      <w:pPr>
        <w:pStyle w:val="SntesisDescriptiva"/>
      </w:pPr>
    </w:p>
    <w:p w:rsidR="00DE14C9" w:rsidRDefault="00DE14C9" w:rsidP="00DE14C9">
      <w:pPr>
        <w:pStyle w:val="SntesisAnaltica"/>
      </w:pPr>
      <w:r>
        <w:t>Vulneración del derecho a la libertad personal: detención preventiva que duró más del tiempo estrictamente necesario, e inadmisión a trámite de una petición de habeas corpus por razones de fondo (STC 86/1996).</w:t>
      </w:r>
    </w:p>
    <w:p w:rsidR="00DE14C9" w:rsidRDefault="00DE14C9" w:rsidP="00DE14C9">
      <w:pPr>
        <w:pStyle w:val="SntesisAnaltica"/>
      </w:pPr>
    </w:p>
    <w:p w:rsidR="00DE14C9" w:rsidRDefault="00DE14C9" w:rsidP="00DE14C9">
      <w:pPr>
        <w:pStyle w:val="Extracto"/>
      </w:pPr>
      <w:r>
        <w:t>1.</w:t>
      </w:r>
      <w:r>
        <w:tab/>
        <w:t>La vulneración del derecho a la libertad se puede producir, no sólo cuando el detenido sigue bajo el control de la autoridad gubernativa una vez cumplidas las setenta y dos horas de privación de libertad, sino también cuando, al no ser la detención ya necesaria por haberse realizado las averiguaciones tendentes al esclarecimiento de los hechos, no se procede a la liberación del detenido ni se le pone a disposición de la autoridad judicial (STC 23/2004) [FJ 2].</w:t>
      </w:r>
    </w:p>
    <w:p w:rsidR="00DE14C9" w:rsidRDefault="00DE14C9" w:rsidP="00DE14C9">
      <w:pPr>
        <w:pStyle w:val="Extracto"/>
      </w:pPr>
    </w:p>
    <w:p w:rsidR="00DE14C9" w:rsidRDefault="00DE14C9" w:rsidP="00DE14C9">
      <w:pPr>
        <w:pStyle w:val="Extracto"/>
      </w:pPr>
      <w:r>
        <w:t>2.</w:t>
      </w:r>
      <w:r>
        <w:tab/>
        <w:t>La referencia a la falta de los supuestos exigidos por la Ley de habeas corpus, como causa de justificación de la inadmisión a trámite de la petición formulada, no permite conocer la razón determinante de la denegación, por lo que la resolución judicial en estos términos no ofrece la motivación mínima que es constitucionalmente exigible (STC 86/1996) [FJ 6].</w:t>
      </w:r>
    </w:p>
    <w:p w:rsidR="00DE14C9" w:rsidRDefault="00DE14C9" w:rsidP="00DE14C9">
      <w:pPr>
        <w:pStyle w:val="Extracto"/>
      </w:pPr>
    </w:p>
    <w:p w:rsidR="00DE14C9" w:rsidRDefault="00DE14C9" w:rsidP="00DE14C9">
      <w:pPr>
        <w:pStyle w:val="Extracto"/>
      </w:pPr>
      <w:r>
        <w:t>3.</w:t>
      </w:r>
      <w:r>
        <w:tab/>
        <w:t>Es improcedente la inadmisión del habeas corpus fundada en la afirmación de que el recurrente no se encontraba ilícitamente detenido, pues el enjuiciamiento de la legalidad de sus circunstancias ha de realizarse en el juicio de fondo, lo que obliga al Juez a examinarlas y, consecuentemente, a oír al solicitante (STC 37/2005) [FJ 4].</w:t>
      </w:r>
    </w:p>
    <w:p w:rsidR="00DE14C9" w:rsidRDefault="00DE14C9" w:rsidP="00DE14C9">
      <w:pPr>
        <w:pStyle w:val="Extracto"/>
      </w:pPr>
    </w:p>
    <w:p w:rsidR="00DE14C9" w:rsidRDefault="00DE14C9" w:rsidP="00DE14C9">
      <w:pPr>
        <w:pStyle w:val="Extracto"/>
      </w:pPr>
      <w:r>
        <w:t>4.</w:t>
      </w:r>
      <w:r>
        <w:tab/>
        <w:t>Se declara la vulneración del derecho a la libertad, aunque no cabe retrotraer las actuaciones al momento en que se produjo tal vulneración en un procedimiento de habeas corpus cuando el recurrente no está privado ya de su libertad (STC 31/1985) [FJ 7].</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lastRenderedPageBreak/>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4796-2006, promovido por doña Loreto Pizarro Gómez, representado por la Procuradora de los Tribunales doña María José Millán Valero y asistida por el Abogado don Luis Ocaña Escolar, contra el Auto del Juzgado de Instrucción núm. 12 de Sevilla de 5 de abril de 2006, dictado en el procedimiento de habeas corpus núm. 6-2006. Ha intervenido el Ministerio Fiscal. Ha sido Ponente el Magistrado don Roberto García-Calvo y Montiel,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el Registro General de este Tribunal el día 27 de abril de 2006, la Procuradora de los Tribunales doña María José Millán Valero, actuando en nombre y representación de doña Loreto Pizarro Gómez, interpuso recurso de amparo contra la resolución judicial a la que se ha hecho mención en el encabezamiento de esta Sentencia. El Auto dictado por el Juzgado de Instrucción núm. 12 de Sevilla acordó denegar la solicitud de incoación del procedimiento de habeas corpus.</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más relevantes para la resolución de la presente demanda, tal como se desprende de esta y de las actuaciones recibidas, son los siguientes: </w:t>
      </w:r>
    </w:p>
    <w:p w:rsidR="00DE14C9" w:rsidRDefault="00DE14C9" w:rsidP="00DE14C9">
      <w:pPr>
        <w:pStyle w:val="TextoNormal"/>
      </w:pPr>
      <w:r>
        <w:t xml:space="preserve">a) Entre la 00:15 horas y las 2:10 horas del día 5 de abril de 2006 doña Loreto Pizarro Gómez fue detenida, junto con otra persona, en la calle Feria de Sevilla por funcionarios del Cuerpo Nacional de Policía, adscritos al grupo de extranjería, siendo conducida a las dependencias de la Inspección Central de Guardia, sita en la calle Blas Infante de la mencionada ciudad. Según el atestado policial (núm. 1717-2006) se le imputaba la presunta comisión de sendos delitos de resistencia y desobediencia grave a los agentes de la autoridad, al haber obstaculizado la labor profesional que éstos realizaban cuando procedían a identificar a un extranjero, dirigiéndose a ellos con frases amenazantes e injuriosas y negándose incluso en varias ocasiones a entregar su documentación personal. </w:t>
      </w:r>
    </w:p>
    <w:p w:rsidR="00DE14C9" w:rsidRDefault="00DE14C9" w:rsidP="00DE14C9">
      <w:pPr>
        <w:pStyle w:val="TextoNormal"/>
      </w:pPr>
      <w:r>
        <w:t xml:space="preserve">b) Una vez en las dependencias policiales, se procedió a su plena identificación y reseña dactiloscópica y fotográfica, oyéndosela en declaración con asistencia del Letrado que había designado sobre las 11:28 horas de la mañana, dándose por concluido el atestado policial a las 12:00 horas del mismo día. Así, en éste obra una diligencia de remisión del instructor en la que se expresa “siendo las 12,00 horas del día 5.04.06, el señor Instructor dispone que las presentes actuaciones se den por concluidas, acordando el cierre de las mismas y que sean entregadas ante el Ilmo. Sr. Magistrado Juez del Juzgado de Instrucción de Guardia de Detenidos de esta capital, pasando a disposición Loreto Pizarro Gómez”. </w:t>
      </w:r>
    </w:p>
    <w:p w:rsidR="00DE14C9" w:rsidRDefault="00DE14C9" w:rsidP="00DE14C9">
      <w:pPr>
        <w:pStyle w:val="TextoNormal"/>
      </w:pPr>
      <w:r>
        <w:t xml:space="preserve">c) Al comunicársele entonces que pasaría a disposición judicial al día siguiente, 6 de abril, porque “sólo se realiza una conducción de detenidos al día, a las nueve de la mañana” a través de su Letrado interpuso sobre las 15:00 horas recurso de habeas corpus ante el </w:t>
      </w:r>
      <w:r>
        <w:lastRenderedPageBreak/>
        <w:t xml:space="preserve">Juzgado de guardia. En el cuerpo del mismo denunciaba que, habiéndose concluido el atestado policial, su detención se convertía en ilegal si no era trasladada inmediatamente a disposición judicial, exponiendo además al órgano judicial que no podría declarar la inadmisión de su recurso, con el argumento de que la solicitante no estaba ilícitamente detenida, porque el contenido propio de su pretensión era precisamente resolver sobre la licitud o no de su detención. </w:t>
      </w:r>
    </w:p>
    <w:p w:rsidR="00DE14C9" w:rsidRDefault="00DE14C9" w:rsidP="00DE14C9">
      <w:pPr>
        <w:pStyle w:val="TextoNormal"/>
      </w:pPr>
      <w:r>
        <w:t xml:space="preserve">d) El Juzgado de Instrucción núm. 12 de Sevilla, en funciones de guardia, incoó procedimiento de habeas corpus 6-2006, solicitando de la Jefatura Superior de Policía de esta ciudad la remisión del atestado relativo a la detenida. </w:t>
      </w:r>
    </w:p>
    <w:p w:rsidR="00DE14C9" w:rsidRDefault="00DE14C9" w:rsidP="00DE14C9">
      <w:pPr>
        <w:pStyle w:val="TextoNormal"/>
      </w:pPr>
      <w:r>
        <w:t xml:space="preserve">Este organismo cumplimentó dicho requerimiento proporcionando al Juzgado copia del expresado atestado, donde constaba que la detenida se había acogido a su derecho a no declarar, siendo asistida además en un centro de salud sobre las 3:38 horas del día 5 de “contusión con erosiones en el brazo derecho”. Además, el organismo policial remitía al Juzgado copia de un llamado “protocolo de colaboración entre los Juzgados y las Fuerzas y Cuerpos de seguridad”, donde se expresaba que con carácter general la presentación de un detenido ante el Juez de guardia debería realizarse entre las 9 y las 9:30 horas de cada día. </w:t>
      </w:r>
    </w:p>
    <w:p w:rsidR="00DE14C9" w:rsidRDefault="00DE14C9" w:rsidP="00DE14C9">
      <w:pPr>
        <w:pStyle w:val="TextoNormal"/>
      </w:pPr>
      <w:r>
        <w:t xml:space="preserve">e) Seguidamente, previo informe en este sentido del Ministerio Fiscal, el Juzgado dictó Auto de 5 de abril de 2006, ahora recurrido en amparo, por el que se acordaba denegar la incoación del procedimiento de habeas corpus. En los antecedentes de la expresada resolución, se reflejaba que el Fiscal había informado que no procedía acoger la pretensión de la recurrente y que “igualmente se aprecia que quedan diligencias pendientes de practicar”. Como único razonamiento jurídico se ponía de relieve que “El artículo 1 de la Ley Orgánica 6/84, reguladora del Procedimiento de Habeas corpus, establece los supuestos en los que se considera que una persona ha sido ilegalmente detenida; examinada la solicitud formulada y el informe del Ministerio Fiscal, resulta que el presente caso no puede encuadrarse en ninguno de los apartados del citado artículo 1, y por ello, conforme establece el art. 6 de la referida Ley, debe considerarse improcedente la petición efectuada por Loreto Pizarro Gómez”. </w:t>
      </w:r>
    </w:p>
    <w:p w:rsidR="00DE14C9" w:rsidRDefault="00DE14C9" w:rsidP="00DE14C9">
      <w:pPr>
        <w:pStyle w:val="TextoNormal"/>
      </w:pPr>
      <w:r>
        <w:t>f) Finalmente, la ahora demandante de amparo fue puesta a disposición judicial en la mañana del día 6 de abril, conforme a las previsiones horarias antes reflejadas.</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La demandante argumenta, en primer lugar, que se ha lesionado su derecho a la libertad, porque su detención, si bien originariamente se ajustó a la legalidad, ésta “se mantuvo o prolongó ilegalmente, desde que prestó declaración ante los funcionarios policiales hasta la mañana del día siguiente en que, transcurridas más de veinte horas, fue puesta a disposición judicial”. Se infringe así la previsión del art. 17.2 CE de que la detención preventiva no podrá durar más del tiempo estrictamente necesario para la realización de las averiguaciones tendentes al esclarecimiento de los hechos. En segundo lugar, la vulneración de este derecho fundamental se atribuye también a la resolución judicial que, contraviniendo de manera ostensible la reiterada doctrina constitucional sobre este derecho, deniega la incoación del procedimiento de habeas corpus por consideraciones de fondo. Así, si se cumplen los requisitos formales para su admisión a trámite y si se da el presupuesto de privación de libertad, no es lícito denegar la incoación de este procedimiento. El Juzgado de Instrucción núm. 12 de Sevilla declara en su Auto de manera improcedente la inadmisión liminar de su petición de incoación, con la afirmación de que la recurrente no se encontraba ilícitamente detenida, cuando éste es el contenido propio de la pretensión que se ha de dilucidar en este procedimiento, es decir determinar la licitud o ilicitud de la detención. Además el Auto </w:t>
      </w:r>
      <w:r>
        <w:lastRenderedPageBreak/>
        <w:t>ahora impugnado está revestido de “una carente falta de motivación”, por lo que se ha lesionado a la vez el derecho a la tutela judicial efectiva (art. 24.1 CE). Por todo ello, se interesa en la demanda que “se reconozca vulnerado el derecho a la libertad (art. 17 CE) por la detención policial por vía de hecho referida” y “se reconozca vulnerados los derechos a la libertad y a la tutela judicial efectiva por el Auto del Juzgado de Instrucción núm. 12 de Sevilla, dictado el 5 de abril de 2006”, “restableciéndose a la recurrente en sus derechos y a tal fin se declare la nulidad del citado Auto”.</w:t>
      </w:r>
    </w:p>
    <w:p w:rsidR="00DE14C9" w:rsidRDefault="00DE14C9" w:rsidP="00DE14C9">
      <w:pPr>
        <w:pStyle w:val="TextoNormal"/>
      </w:pPr>
    </w:p>
    <w:p w:rsidR="00DE14C9" w:rsidRDefault="00DE14C9" w:rsidP="00DE14C9">
      <w:pPr>
        <w:pStyle w:val="TextoNormal"/>
      </w:pPr>
      <w:r w:rsidRPr="00DE14C9">
        <w:rPr>
          <w:rStyle w:val="NumeroAFNegritaCaracter"/>
        </w:rPr>
        <w:t>4</w:t>
      </w:r>
      <w:r>
        <w:t>. Por diligencia de ordenación de la Secretaría de Justicia de la Sala Primera de este Tribunal de 11 de mayo de 2006 se acordó, antes de resolver sobre la admisibilidad del recurso y en cumplimiento de lo previsto en el art. 50.5 LOTC, realizar un requerimiento al recurrente a los fines de que el escrito de demanda fue debidamente firmado por el Letrado que, según constaba en el mismo, asumía su defensa en este proceso constitucional.</w:t>
      </w:r>
    </w:p>
    <w:p w:rsidR="00DE14C9" w:rsidRDefault="00DE14C9" w:rsidP="00DE14C9">
      <w:pPr>
        <w:pStyle w:val="TextoNormal"/>
      </w:pPr>
    </w:p>
    <w:p w:rsidR="00DE14C9" w:rsidRDefault="00DE14C9" w:rsidP="00DE14C9">
      <w:pPr>
        <w:pStyle w:val="TextoNormal"/>
      </w:pPr>
      <w:r w:rsidRPr="00DE14C9">
        <w:rPr>
          <w:rStyle w:val="NumeroAFNegritaCaracter"/>
        </w:rPr>
        <w:t>5</w:t>
      </w:r>
      <w:r>
        <w:t>. Una vez cumplimentado el anterior requerimiento, por diligencia de ordenación de la misma Sala de 5 de junio de 2006 se acordó, a tenor de lo dispuesto en el art. 88 LOTC, dirigir comunicación al Juzgado de Instrucción núm. 12 de Sevilla a fin de que, en el plazo de diez días, remitiera a este Tribunal testimonio del Procedimiento de habeas corpus núm. 6-2006.</w:t>
      </w:r>
    </w:p>
    <w:p w:rsidR="00DE14C9" w:rsidRDefault="00DE14C9" w:rsidP="00DE14C9">
      <w:pPr>
        <w:pStyle w:val="TextoNormal"/>
      </w:pPr>
    </w:p>
    <w:p w:rsidR="00DE14C9" w:rsidRDefault="00DE14C9" w:rsidP="00DE14C9">
      <w:pPr>
        <w:pStyle w:val="TextoNormal"/>
      </w:pPr>
      <w:r w:rsidRPr="00DE14C9">
        <w:rPr>
          <w:rStyle w:val="NumeroAFNegritaCaracter"/>
        </w:rPr>
        <w:t>6</w:t>
      </w:r>
      <w:r>
        <w:t>. La Sección Segunda de este Tribunal acordó, por providencia de 4 de octubre de 2006, tener por recibido el testimonio de las actuaciones solicitado al expresado órgano judicial y proceder a la admisión a trámite de la demanda de amparo formulada. En la misma providencia se acordó, al no existir más partes susceptibles de emplazar en el referido procedimiento, dar vista de todas las actuaciones del presente recurso a la parte recurrente y al Ministerio Fiscal, por un plazo común de veinte días, para que formularan las alegaciones que estimasen pertinentes conforme determina el art. 52.1 LOTC.</w:t>
      </w:r>
    </w:p>
    <w:p w:rsidR="00DE14C9" w:rsidRDefault="00DE14C9" w:rsidP="00DE14C9">
      <w:pPr>
        <w:pStyle w:val="TextoNormal"/>
      </w:pPr>
    </w:p>
    <w:p w:rsidR="00DE14C9" w:rsidRDefault="00DE14C9" w:rsidP="00DE14C9">
      <w:pPr>
        <w:pStyle w:val="TextoNormal"/>
      </w:pPr>
      <w:r w:rsidRPr="00DE14C9">
        <w:rPr>
          <w:rStyle w:val="NumeroAFNegritaCaracter"/>
        </w:rPr>
        <w:t>7</w:t>
      </w:r>
      <w:r>
        <w:t xml:space="preserve">. El Ministerio Fiscal presentó sus alegaciones mediante escrito registrado el día 14 de noviembre de 2006, interesando la estimación de la demanda de amparo. En éstas pone de relieve que existe una abundante doctrina de este Tribunal sobre la cuestión planteada (cita el efecto la STC 169/2006, de 5 de junio), en el sentido de que el rechazo liminar de la solicitud de habeas corpus sólo cabe en los supuestos de falta de privación de libertad o no cumplimiento de los requisitos formales. De este modo, cuando se den estos presupuestos, no es posible acordar la inadmisión, pues el enjuiciamiento de la legalidad de la privación de libertad en aplicación de lo previsto en el art. 1 LOHC debe llevarse a cabo en el juicio de fondo, previa comparecencia y audiencia del solicitante y demás partes con la facultad, en su caso, de practicar pruebas según dispone el art. 7 de la misma ley, ya que en otro caso quedaría desvirtuado el procedimiento. </w:t>
      </w:r>
    </w:p>
    <w:p w:rsidR="00DE14C9" w:rsidRDefault="00DE14C9" w:rsidP="00DE14C9">
      <w:pPr>
        <w:pStyle w:val="TextoNormal"/>
      </w:pPr>
      <w:r>
        <w:t xml:space="preserve">En el presente caso, continúa el Fiscal, fue solicitada la incoación del habeas corpus ante el Juez competente (el del lugar de la detención), por persona legitimada para ello (la propia detenida a través de su abogado), concretándose en el escrito promotor los datos que vienen exigidos por el art. 4 LOHC. También se cumplían otros requisitos que vienen exigidos en la STC citada como el de que la efectiva privación de libertad no hubiera sido acordada por la autoridad judicial, sino por la gubernativa. No obstante lo anterior, el Juez en un Auto claramente estereotipado no admitió a trámite la solicitud para llevar a cabo las diligencias previstas en el art. 7 de la citada ley, es decir puesta a disposición judicial inmediata del </w:t>
      </w:r>
      <w:r>
        <w:lastRenderedPageBreak/>
        <w:t xml:space="preserve">detenido, práctica de pruebas en su caso y decisión final de estimación o desestimación. La invocación que hace el Magistrado de que no concurre ninguno de los supuestos del citado art. 1 LOHC, no puede servir de base para la inadmisión pues, conforme a la anterior doctrina, esto es lo que se trata de depurar en este procedimiento. Por esta decisión de inadmisión a limine del expediente, por otro parte, no pudo ser constatada la denuncia sobre el “plazo razonable” de la detención que formulaba la solicitante. </w:t>
      </w:r>
    </w:p>
    <w:p w:rsidR="00DE14C9" w:rsidRDefault="00DE14C9" w:rsidP="00DE14C9">
      <w:pPr>
        <w:pStyle w:val="TextoNormal"/>
      </w:pPr>
      <w:r>
        <w:t>De todo lo expuesto, deduce el Fiscal “claramente la violación del art. 17 CE en los dos apartados denunciados por la recurrente, por no haber quedado justificado en absoluto el plazo de detención y por haberse dado a las normas reguladoras del procedimiento de habeas corpus una interpretación contraria al núm. 4 del art. 17, de acuerdo a la interpretación que del mismo ofrece el Tribunal Constitucional”. Por ello, interesa que se le otorgue el amparo solicitado, reconociéndosele su derecho a la libertad y procediéndose a la anulación del auto dictado por el Juzgado de Instrucción núm. 12 de Sevilla.</w:t>
      </w:r>
    </w:p>
    <w:p w:rsidR="00DE14C9" w:rsidRDefault="00DE14C9" w:rsidP="00DE14C9">
      <w:pPr>
        <w:pStyle w:val="TextoNormal"/>
      </w:pPr>
    </w:p>
    <w:p w:rsidR="00DE14C9" w:rsidRDefault="00DE14C9" w:rsidP="00DE14C9">
      <w:pPr>
        <w:pStyle w:val="TextoNormal"/>
      </w:pPr>
      <w:r w:rsidRPr="00DE14C9">
        <w:rPr>
          <w:rStyle w:val="NumeroAFNegritaCaracter"/>
        </w:rPr>
        <w:t>8</w:t>
      </w:r>
      <w:r>
        <w:t>. La representación procesal de la recurrente en amparo no evacuó el trámite de alegaciones conferido, como así consta en diligencia extendida a tal efecto por el Secretario de Justicia de la Sala Primera de 20 de noviembre de 2006.</w:t>
      </w:r>
    </w:p>
    <w:p w:rsidR="00DE14C9" w:rsidRDefault="00DE14C9" w:rsidP="00DE14C9">
      <w:pPr>
        <w:pStyle w:val="TextoNormal"/>
      </w:pPr>
    </w:p>
    <w:p w:rsidR="00DE14C9" w:rsidRDefault="00DE14C9" w:rsidP="00DE14C9">
      <w:pPr>
        <w:pStyle w:val="TextoNormal"/>
      </w:pPr>
      <w:r w:rsidRPr="00DE14C9">
        <w:rPr>
          <w:rStyle w:val="NumeroAFNegritaCaracter"/>
        </w:rPr>
        <w:t>9</w:t>
      </w:r>
      <w:r>
        <w:t>. Por providencia de fecha 29 de junio de 2007 se señaló para deliberación y fallo de la Sentencia el día 2 de julio del mismo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 presente demanda de amparo tiene por objeto la impugnación del Auto del Juzgado de Instrucción núm. 12 de Sevilla de 5 de abril de 2006, que denegó la incoación del procedimiento de habeas corpus que había instado la recurrente a través de su Abogado con ocasión de su detención en las dependencias de la Inspección Central de guardia de la mencionada ciudad, en el marco de las diligencias policiales núm. 1717-2006 seguidas por presuntos delitos de resistencia y desobediencia grave a los agentes de la Autoridad. La recurrente invoca en su demanda la vulneración de los derechos a la libertad personal (art. 17 CE) y a la tutela judicial efectiva (art. 24.1 CE), en primer lugar por haber sido prolongada indebidamente su detención por los funcionarios policiales desde que se concluyó el atestado hasta que paso a disposición judicial y en segundo lugar por haber inadmitido el Juzgado a trámite su solicitud de habeas corpus por consideraciones de fondo, en contra de una consolidada doctrina de este Tribunal, estando además revestido el Auto dictado de una evidente falta de motivación. El Ministerio Fiscal se pronuncia a favor de la estimación del recurso de amparo, por no haber quedado justificado en absoluto el plazo de la detención y por haberse dado a las normas reguladoras del procedimiento de habeas corpus una interpretación contraria a la regulación del art. 17.4 CE, al acordarse el rechazo liminar de la solicitud presentada, interesando en consecuencia que se otorgue el amparo solicitado.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En relación con la primera de las quejas en las que se sustenta la demanda de amparo conviene recordar, en la línea de una reiterada doctrina de este Tribunal, que nuestra Constitución, habida cuenta del valor cardinal que la libertad personal tiene en el Estado de Derecho, somete la detención de cualquier ciudadano al criterio de la necesidad estricta y, </w:t>
      </w:r>
      <w:r>
        <w:lastRenderedPageBreak/>
        <w:t>además, al criterio del lapso temporal más breve posible (SSTC 199/1987, de 16 de diciembre, FJ 8; 224/1998, de 24 de noviembre, FJ 3), en consonancia con lo dispuesto en el Convenio europeo para la protección de los derechos humanos y de las libertades fundamentales (art. 5.2 y 3) y en el Pacto internacional de derechos civiles y políticos (art. 9.3), que exigen que el detenido sea conducido “sin dilación” o “sin demora” ante la autoridad judicial.</w:t>
      </w:r>
    </w:p>
    <w:p w:rsidR="00DE14C9" w:rsidRDefault="00DE14C9" w:rsidP="00DE14C9">
      <w:pPr>
        <w:pStyle w:val="TextoNormal"/>
      </w:pPr>
      <w:r>
        <w:t>En este sentido, hemos afirmado que el art. 17.2 CE ha establecido dos plazos, en lo que se refiere a los límites temporales de la detención preventiva, uno relativo y otro máximo absoluto. El primero consiste en el tiempo estrictamente necesario para la realización de las averiguaciones tendentes al esclarecimiento de los hechos que, como es lógico, puede tener una determinación temporal variable en atención a las circunstancias del caso. Sin embargo, el plazo máximo absoluto presenta una plena concreción temporal y está fijado en las setenta y dos horas computadas desde el inicio de la detención, que no tiene que coincidir necesariamente con el momento en el cual el afectado se encuentra en las dependencias policiales (SSTC 288/2000, de 27 de noviembre, FJ 3; 224/2002, de 25 de noviembre, FJ 3). Este sometimiento de la detención a plazos persigue la finalidad de ofrecer una mayor seguridad de los afectados por la medida, evitando así que existan privaciones de libertad de duración indefinida, incierta o ilimitada (STC 179/2000, de 26 de junio, FJ 2). En consecuencia, la vulneración del citado art. 17.2 CE se puede producir, no sólo por rebasarse el plazo máximo absoluto, es decir, cuando el detenido sigue bajo el control de la autoridad gubernativa o sus agentes una vez cumplidas las setenta y dos horas de privación de libertad, sino también cuando, no habiendo transcurrido ese plazo máximo, se traspasa el relativo, al no ser la detención ya necesaria por haberse realizado las averiguaciones tendentes al esclarecimiento de los hechos y, sin embargo, no se procede a la liberación del detenido ni se le pone a disposición de la autoridad judicial (STC 23/2004, de 23 de febrero, FJ 2). Por ello, hemos afirmado en la reciente STC 250/2006, de 24 de julio, que “pueden calificarse como privaciones de libertad ilegales, en cuanto indebidamente prolongadas o mantenidas, aquellas que, aun sin rebasar el indicado límite máximo, sobrepasen el tiempo indispensable para realizar las oportunas pesquisas dirigidas al esclarecimiento del hecho delictivo que se imputa al detenido, pues en tal caso opera una restricción del derecho fundamental a la libertad personal que la norma constitucional no consiente” (FJ 3).</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En el presente caso, se observa en el atestado que los hechos que provocaron la detención de la recurrente ocurrieron sobre las 00:15 horas del día 5 de abril de 2006 y que esta fue presentada como detenida en la Inspección Central de guardia sobre las 2:10 horas. No consta, por el contrario, la hora exacta de su detención, no obstante la trascendencia de este dato a los fines del control que posteriormente se ha de efectuar sobre si la misma se adecúa o no a las garantías constitucionales, ya que “la detención que embrida el art. 17 CE no es una decisión que se adopte en el curso de un procedimiento, sino una pura situación fáctica” (SSTC 96/1986, de 10 de junio, FJ 4; 86/1996, de 21 de mayo, FJ 7). Según dicho atestado se procedió a la plena identificación y reseña dactiloscópica y fotográfica de la detenida ya en las dependencias policiales, siendo conducida sobre las 3:38 horas del mismo día a un centro de salud, al solicitar asistencia facultativa, apreciándosele “contusión con erosiones en brazo derecho”. Sobre las 11:28 horas de la mañana se procedió a oírla en declaración en presencia del Abogado que había designado para su defensa, acogiéndose a su derecho a no declarar en sede policial y hacerlo cuando fuese requerido para ello ante la autoridad judicial. Finalmente, obra una diligencia de remisión del Instructor en la que se expresa que “siendo las 12 horas del día 5-4-2006, el señor Instructor dispone que las presentes actuaciones se den por concluidas, acordando el cierre de las mismas y que sean entregadas ante </w:t>
      </w:r>
      <w:r>
        <w:lastRenderedPageBreak/>
        <w:t>el Ilmo. Sr. Magistrado Juez del Juzgado de Instrucción de Guardia de Detenidos de esta capital, pasando a su disposición Loreto Pizarro Gómez”.</w:t>
      </w:r>
    </w:p>
    <w:p w:rsidR="00DE14C9" w:rsidRDefault="00DE14C9" w:rsidP="00DE14C9">
      <w:pPr>
        <w:pStyle w:val="TextoNormal"/>
      </w:pPr>
      <w:r>
        <w:t>Sin embargo, pese a lo que se hace constar en la expresada diligencia, la puesta de la recurrente a disposición de la autoridad judicial se pospuso hasta el día siguiente, como lo evidencia el que su Letrado promoviera el procedimiento de habeas corpus sobre las 15 horas ante el Juzgado de Instrucción núm. 12 de Sevilla, en funciones de guardia, y que, denegada por dicho Juzgado su incoación por Auto de 5 de abril de 2006, esta resolución judicial fuera comunicada a las dependencias policiales para su notificación a la detenida a través de un fax remitido a las 20:36 horas, como consta en las actuaciones recibidas en este Tribunal. Por ello, una vez denegado de plano el habeas corpus, permaneció en condición de detenida en la comisaría de policía durante la tarde y noche del 5 de abril de 2006 hasta que a la mañana siguiente fue puesta a disposición judicial, y ello a pesar de que ya se ha habían practicado todas las diligencias integrantes del atestado policial, tal como se observa en las actuaciones, no correspondiendo por ello a la realidad la afirmación que se hace por el titular de órgano judicial en el Auto ahora impugnado de que “quedan diligencias pendientes de practicar”. (hecho único). Como ha afirmado este Tribunal en otras ocasiones, “desde el momento en que las averiguaciones tendentes al esclarecimiento de los hechos fueron finalizadas, y no constando la existencia de otras circunstancias, la detención policial del actor quedó privada de fundamento constitucional. En ese instante, que nunca puede producirse después del transcurso de setenta y dos horas, pero sí antes, la policía tenía que haberlo puesto en libertad, o bien haberse dirigido al Juez competente” (así, SSTC 224/2002, de 25 de noviembre, FJ 4; 23/2004, de 23 de febrero, FJ 4).</w:t>
      </w:r>
    </w:p>
    <w:p w:rsidR="00DE14C9" w:rsidRDefault="00DE14C9" w:rsidP="00DE14C9">
      <w:pPr>
        <w:pStyle w:val="TextoNormal"/>
      </w:pPr>
      <w:r>
        <w:t>En la demanda de amparo se afirma, por otra parte, que a la detenida, durante el trámite de su declaración policial, le fue comunicado que no sería puesta a disposición judicial hasta el día siguiente, porque “sólo se realiza una conducción de detenidos al día, a las nueve de la mañana”. Tal afirmación, si bien no es invocada por el Juez en la resolución judicial que inadmitió a límine la petición de habeas corpus, parece confirmarse por la circunstancia de que la Jefatura Superior de Policía remitió al Juzgado, presentada dicha solicitud, junto con el atestado realizado una copia de un protocolo de colaboración entre los Juzgados y las fuerzas y cuerpos de seguridad, donde se establece como “pauta general una única conducción diaria de detenidos al Juzgado de Guardia de Detenidos, antes de las 9:30 horas”. No obstante, este criterio, al parecer asumido por el instructor del atestado policial, no aparece en modo alguno justificado, no sólo porque el propio protocolo preveía entre sus disposiciones que no quedaba excluida la presentación de un detenido ante el Juez de guardia en hora distinta de la antes señalada, pudiendo así “el Juzgado de Instrucción de Guardia recibir detenidos durante las 24 horas cuando las circunstancias así lo aconsejen”, sino, fundamentalmente, porque tal circunstancia, como afirmábamos en su supuesto parecido en la STC 224/2002, de 25 de noviembre, “no puede justificar en principio un alargamiento tan desproporcionado del periodo de detención, una vez declarada la conclusión de las investigaciones policiales, máxime cuando, como acontece en este caso, se había presentado ante el Juzgado de guardia una solicitud de habeas corpus que permitió conocer, una vez remitidas, la conclusión de las diligencias policiales” (FJ 4).</w:t>
      </w:r>
    </w:p>
    <w:p w:rsidR="00DE14C9" w:rsidRDefault="00DE14C9" w:rsidP="00DE14C9">
      <w:pPr>
        <w:pStyle w:val="TextoNormal"/>
      </w:pPr>
      <w:r>
        <w:t>En consecuencia, la primera queja planteada por la recurrente merece ser estimada por este Tribunal, pues la detención preventiva de que fue objeto en las dependencias policiales se prolongó más allá del tiempo necesario para el esclarecimiento de los hechos presuntamente delictivos que la motivaron, por lo que resultó infringida la garantía que el art. 17.2 CE le reconoce en cuanto titular del derecho a la libertad personal.</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4</w:t>
      </w:r>
      <w:r>
        <w:t>. La segunda cuestión que ahora se nos plantea es determinar si el Juzgado de Instrucción núm. 12 de Sevilla, al rechazar a limine la incoación del procedimiento de habeas corpus en su Auto de 5 de abril de 2006, vulneró el derecho a la libertad personal y a la tutela judicial efectiva de la recurrente, tal como está argumenta en su demanda.</w:t>
      </w:r>
    </w:p>
    <w:p w:rsidR="00DE14C9" w:rsidRDefault="00DE14C9" w:rsidP="00DE14C9">
      <w:pPr>
        <w:pStyle w:val="TextoNormal"/>
      </w:pPr>
      <w:r>
        <w:t>Desde esta perspectiva, este Tribunal ya ha tenido oportunidad de pronunciarse en reiteradas ocasiones sobre el reconocimiento constitucional del procedimiento de habeas corpus previsto en el art. 17.4 CE y en qué medida puede verse vulnerado este precepto por resoluciones judiciales de inadmisión a trámite. Según esta doctrina, el procedimiento de habeas corpus, previsto en el inciso final del citado artículo y desarrollado por la Ley Orgánica 6/1984, de 6 de mayo (LOHC), supone una garantía reforzada del derecho a la libertad para la defensa de los demás derechos sustantivos establecidos en el resto de los apartados del art. 17 CE, cuyo fin es posibilitar el control judicial a posteriori de la legalidad y de las condiciones en las cuales se desarrollan las situaciones de privación de libertad no acordadas judicialmente mediante la puesta a disposición judicial de toda persona que se considere está privada de libertad ilegalmente. Este procedimiento, aun siendo un proceso ágil y sencillo de cognición limitada, no puede verse reducido en su calidad o intensidad, por lo que es necesario que el control judicial de las privaciones de libertad que se realicen a su amparo sea plenamente efectivo. De lo contrario la actividad judicial no sería un verdadero control, sino un mero expediente ritual o de carácter simbólico, lo cual, a su vez, implicaría un menoscabo en la eficacia de los derechos fundamentales y, en concreto, de la libertad (entre otras, SSTC 93/2006, de 27 de marzo, FJ 3; 25/2006, de 24 de julio, FJ 2). Por ello, hemos afirmado que la esencia de este proceso consiste precisamente en que “el Juez compruebe personalmente la situación de la persona que pida el control judicial, siempre que se encuentre efectivamente detenida” (STC 66/1996, de 16 de abril, FJ 3), es decir “'haber el cuerpo' de quien se encuentre detenido para ofrecerle una oportunidad de hacerse oír, y ofrecer las alegaciones y pruebas” (STC 86/1996, de 21 de mayo, FJ 12).</w:t>
      </w:r>
    </w:p>
    <w:p w:rsidR="00DE14C9" w:rsidRDefault="00DE14C9" w:rsidP="00DE14C9">
      <w:pPr>
        <w:pStyle w:val="TextoNormal"/>
      </w:pPr>
      <w:r>
        <w:t>En coherencia con lo anterior, también hemos afirmado que, aunque la Ley Orgánica 6/1984 permita realizar un juicio de admisibilidad previo sobre la concurrencia de los requisitos para su tramitación, e incluso denegar la incoación del procedimiento previo el dictamen del Ministerio Fiscal, la legitimidad de tal inadmisión a trámite debe reducirse a los supuestos en que se incumplan los requisitos formales (tanto los presupuestos procesales como los elementos formales de la solicitud) a los que se refiere el art. 4 LOHC. Por ello, constatada la existencia de la detención, si existe alguna duda en cuanto a la legalidad de las circunstancias de la misma, no procede acordar la inadmisión, sino examinar dichas circunstancias. Siendo improcedente la inadmisión fundada en la afirmación de que el recurrente no se encontraba ilícitamente detenido, pues el enjuiciamiento de la legalidad de sus circunstancias ha de realizarse en el juicio de fondo, lo que obliga al Juez a examinarlas y, consecuentemente, a oír al solicitante del habeas corpus (por todas, STC 37/2005, de 28 de febrero, FJ 3). No debe olvidarse que el art. 7 LOHC prevé en este trámite la posibilidad de que el recurrente pueda formular las alegaciones que tuviera por convenientes y proponer y practicar los medios de prueba pertinentes para tratar de acreditarlas, por lo que la denegación judicial de la admisión a trámite del presente procedimiento privaría al solicitante de tal oportunidad, desvirtuando así el procedimiento de habeas corpus.</w:t>
      </w:r>
    </w:p>
    <w:p w:rsidR="00DE14C9" w:rsidRDefault="00DE14C9" w:rsidP="00DE14C9">
      <w:pPr>
        <w:pStyle w:val="TextoNormal"/>
      </w:pPr>
      <w:r>
        <w:t xml:space="preserve">Por otra parte, este Tribunal también ha afirmado de manera específica que el procedimiento de habeas corpus no sirve solamente para verificar el fundamento de cualquier detención, sino también para poner fin a detenciones que, ajustándose originariamente a la legalidad, se mantienen o prorrogan ilegalmente o tienen lugar en condiciones ilegales (SSTC 224/1998, de 24 de noviembre, FJ 5; 61/2003, de 24 de marzo, FJ 2 a). Por esta </w:t>
      </w:r>
      <w:r>
        <w:lastRenderedPageBreak/>
        <w:t>razón, la Ley Orgánica 6/1984, prevé que el Juez de habeas corpus puede adoptar distintas medidas: una es la de poner inmediatamente en libertad al indebidamente privado de ella, pero otra consiste, precisamente, en acordar que “la persona privada de libertad sea puesta inmediatamente a disposición judicial, si ya hubiere transcurrido el plazo legalmente establecido para su detención” (art. 8.2.c). Habiendo afirmado este Tribunal que este enjuiciamiento de la legalidad de la detención a que antes hemos hecho referencia, que ha de llevarse a cabo en el juicio de fondo previa audiencia del solicitante y demás partes, “es si cabe, aún más necesario cuando el solicitante alegue que la privación de libertad se ha prolongado indebidamente” (en este sentido, SSTC 224/2002, de 25 de noviembre, FJ 5; 23/2004, de 23 de febrero, FJ 5).</w:t>
      </w:r>
    </w:p>
    <w:p w:rsidR="00DE14C9" w:rsidRDefault="00DE14C9" w:rsidP="00DE14C9">
      <w:pPr>
        <w:pStyle w:val="TextoNormal"/>
      </w:pPr>
    </w:p>
    <w:p w:rsidR="00DE14C9" w:rsidRDefault="00DE14C9" w:rsidP="00DE14C9">
      <w:pPr>
        <w:pStyle w:val="TextoNormal"/>
      </w:pPr>
      <w:r w:rsidRPr="00DE14C9">
        <w:rPr>
          <w:rStyle w:val="NumeroAFNegritaCaracter"/>
        </w:rPr>
        <w:t>5</w:t>
      </w:r>
      <w:r>
        <w:t>. En este caso, la demandante de amparo, detenida en las dependencias de la Jefatura Superior de Policía de Sevilla, instó a través de su Abogado un procedimiento de habeas corpus sobre las 15 horas del día 5 de abril de 2006, denunciando expresamente que, al haberse ya terminado el atestado policial, su detención se convertiría en ilegal si no era trasladada inmediatamente a disposición judicial. El Juzgado de Instrucción núm. 12 de esa ciudad, en funciones de guardia de detenidos, una vez recabado el atestado policial y previo informe del Ministerio Fiscal, denegó la incoación de dicho procedimiento por Auto de la misma fecha, no porque la solicitud careciese de los requisitos formales antes expuestos ni porque no concurriera el presupuesto fáctico de una real y efectiva situación de privación de libertad, sino al entender en su único razonamiento jurídico que “el artículo 1 de la Ley Orgánica 6/84, reguladora del Procedimiento de Habeas Corpus, establece los supuestos en los que se considera que una persona ha sido ilegalmente detenida; examinada la solicitud formulada y el informe del Ministerio Fiscal, resulta que el presente caso no puede encuadrarse en ninguno de los apartados del citado artículo 1, y por ello, conforme establece el art. 6 de la referida Ley, debe considerarse improcedente la petición efectuada por Loreto Pizarro Gómez”. De esta manera, la resolución judicial, no sólo no restableció el derecho fundamental a la libertad vulnerado, al constar en el propio atestado que las diligencias policiales estaban ya concluidas a las 12 horas del expresado día y, no obstante, no se había pasado a la detenida a disposición judicial, sino que desconoció la garantía específica prevista en el art. 17.4 CE, al anticipar el fondo en el trámite de admisión, impidiendo así que la recurrente compareciera ante el Juez y formulara las alegaciones y propusiera las pruebas que entendiera pertinentes. Siendo así que en el presente caso el Juez debería haber tomado en consideración a la hora de resolver sobre la admisibilidad de la petición de habeas corpus además la circunstancia, que también consta en el atestado policial que le fue remitido, de que la detenida había sido asistida en un centro de salud de “contusión con erosiones en el brazo derecho”, observándose en el parte médico emitido a tal efecto que ésta había manifestado al facultativo que tales lesiones le habían sido producidas “al ser agredida por la policía”.</w:t>
      </w:r>
    </w:p>
    <w:p w:rsidR="00DE14C9" w:rsidRDefault="00DE14C9" w:rsidP="00DE14C9">
      <w:pPr>
        <w:pStyle w:val="TextoNormal"/>
      </w:pPr>
      <w:r>
        <w:t xml:space="preserve">En definitiva y con independencia de la veracidad o no de esta última afirmación de la ahora demandante, que no corresponde enjuiciar en esta sede constitucional porque no se aduce en la demanda presentada alegación alguna sobre este particular, lo cierto es que el órgano judicial no ejercitó en el presente caso de una manera eficaz el control que constitucionalmente le corresponde, en cuanto “guardián natural de la libertad individual” (STC 115/1987, de 7 de julio, FJ 1), al acordar y fundamentar la inadmisión a trámite de este procedimiento en base a la afirmación de que la recurrente no se encontraba ilícitamente </w:t>
      </w:r>
      <w:r>
        <w:lastRenderedPageBreak/>
        <w:t>privada de libertad y, por tanto, desconoció la naturaleza y función constitucional del procedimiento de habeas corpus, originando con su actitud una vulneración directa del art. 17.4 CE.</w:t>
      </w:r>
    </w:p>
    <w:p w:rsidR="00DE14C9" w:rsidRDefault="00DE14C9" w:rsidP="00DE14C9">
      <w:pPr>
        <w:pStyle w:val="TextoNormal"/>
      </w:pPr>
    </w:p>
    <w:p w:rsidR="00DE14C9" w:rsidRDefault="00DE14C9" w:rsidP="00DE14C9">
      <w:pPr>
        <w:pStyle w:val="TextoNormal"/>
      </w:pPr>
      <w:r w:rsidRPr="00DE14C9">
        <w:rPr>
          <w:rStyle w:val="NumeroAFNegritaCaracter"/>
        </w:rPr>
        <w:t>6</w:t>
      </w:r>
      <w:r>
        <w:t>. Finalmente la recurrente refiere en su demanda que el Auto del Juzgado de Instrucción ha provocado una lesión añadida del derecho a la tutela judicial efectiva (art. 24.1 CE), al estar revestido de “una carente falta de motivación”.</w:t>
      </w:r>
    </w:p>
    <w:p w:rsidR="00DE14C9" w:rsidRDefault="00DE14C9" w:rsidP="00DE14C9">
      <w:pPr>
        <w:pStyle w:val="TextoNormal"/>
      </w:pPr>
      <w:r>
        <w:t>Desde esta perspectiva, es cierto que este Tribunal ha mantenido la importancia de la motivación de las resoluciones judiciales en general y específicamente en el proceso de habeas corpus, significando que este procedimiento implica “una garantía procesal específica prevista en la Constitución para la protección del derecho fundamental a la libertad personal cuyo acceso no puede ser en modo alguno denegado sin que a la persona que acuda al mismo no se la haga saber la precisa razón legal de dicha denegación, sopena de incurrir el órgano judicial que así proceda en una vulneración del derecho a obtener una resolución judicial motivada” (STC 66/1996, de 16 de abril, FJ 5). También hemos afirmado que la mera referencia a que “no se dan ninguno de los supuestos del art. 1 de la Ley de Habeas Corpus”, como causa de justificación de la inadmisión a trámite de la petición formulada, no permite conocer la razón determinante de la denegación, por lo que una resolución judicial en estos términos, genérica y estereotipada, no ofrece la motivación mínima que es constitucionalmente exigible (STC 86/1996, de 21 de mayo, FJ 9).</w:t>
      </w:r>
    </w:p>
    <w:p w:rsidR="00DE14C9" w:rsidRDefault="00DE14C9" w:rsidP="00DE14C9">
      <w:pPr>
        <w:pStyle w:val="TextoNormal"/>
      </w:pPr>
      <w:r>
        <w:t>No obstante lo anterior, más recientemente hemos venido afirmando que, en supuestos como el presente, la perspectiva de examen que debe adoptarse es única y exclusivamente la de la libertad, puesto que, estando en juego este derecho fundamental, la eventual ausencia de una motivación suficiente y razonable de la decisión no supondría sólo un problema de falta de tutela judicial, propio del ámbito del art. 24.1 CE, sino prioritariamente una cuestión que afecta al derecho a la libertad personal, en cuanto que la suficiencia o razonabilidad de la resolución judicial relativa a la garantía constitucional del procedimiento de habeas corpus, prevista en el art. 17.4 CE, forma parte de la propia garantía (SSTC 61/2003, de 24 de marzo, FJ 1; 94/2003, de 19 de mayo, FJ 2; 122/2004, de 12 de julio, FJ 2). Por ello, como hemos afirmado en la STC 288/2000, de 27 de noviembre (FJ 7), “si la propia decisión de inadmisión del procedimiento vulnera ya el art. 17.4 CE, resulta irrelevante si esa decisión ha sido adoptada cumpliendo o no el deber de motivación, que rige para mantener una situación de privación de libertad”, por lo que resulta innecesario realizar cualquier otra consideración sobre la lesión a la tutela judicial efectiva, por falta de motivación, que se articula con carácter independiente en el escrito de demanda.</w:t>
      </w:r>
    </w:p>
    <w:p w:rsidR="00DE14C9" w:rsidRDefault="00DE14C9" w:rsidP="00DE14C9">
      <w:pPr>
        <w:pStyle w:val="TextoNormal"/>
      </w:pPr>
    </w:p>
    <w:p w:rsidR="00DE14C9" w:rsidRDefault="00DE14C9" w:rsidP="00DE14C9">
      <w:pPr>
        <w:pStyle w:val="TextoNormal"/>
      </w:pPr>
      <w:r w:rsidRPr="00DE14C9">
        <w:rPr>
          <w:rStyle w:val="NumeroAFNegritaCaracter"/>
        </w:rPr>
        <w:t>7</w:t>
      </w:r>
      <w:r>
        <w:t>. En cuanto al alcance del otorgamiento del amparo, debemos advertir, como en casos análogos, que no cabe retrotraer las actuaciones al momento en que se produjo la vulneración del derecho a la libertad para subsanarla, toda vez que, al no encontrarse ya la recurrente en situación de privación de libertad, no se cumpliría el presupuesto necesario para que el órgano judicial pudiera decidir la admisión a trámite del procedimiento de habeas corpus. Así lo hemos declarado desde nuestra primera resolución al respecto (STC 31/1985, de 5 de marzo, FJ 4) y se ha reiterado en ocasiones posteriores (entre otras, SSTC 23/2004, de 23 de febrero, FJ 7; 37/2005, de 28 de febrero, FJ 4; 93/2006, de 27 de marzo, FJ 5).</w:t>
      </w:r>
    </w:p>
    <w:p w:rsidR="00DE14C9" w:rsidRDefault="00DE14C9" w:rsidP="00DE14C9">
      <w:pPr>
        <w:pStyle w:val="TextoNormal"/>
      </w:pPr>
    </w:p>
    <w:p w:rsidR="00DE14C9" w:rsidRDefault="00DE14C9" w:rsidP="00DE14C9">
      <w:pPr>
        <w:pStyle w:val="TextoNormalCentrado"/>
        <w:keepNext/>
      </w:pPr>
      <w:r>
        <w:lastRenderedPageBreak/>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doña Loreto Pizarro Gómez y, en su virtud:</w:t>
      </w:r>
    </w:p>
    <w:p w:rsidR="00DE14C9" w:rsidRDefault="00DE14C9" w:rsidP="00DE14C9">
      <w:pPr>
        <w:pStyle w:val="TextoNormal"/>
      </w:pPr>
      <w:r>
        <w:t>1º Reconocer su derecho fundamental a la libertad personal (art. 17.1, 2 y 4 CE)</w:t>
      </w:r>
    </w:p>
    <w:p w:rsidR="00DE14C9" w:rsidRDefault="00DE14C9" w:rsidP="00DE14C9">
      <w:pPr>
        <w:pStyle w:val="TextoNormal"/>
      </w:pPr>
      <w:r>
        <w:t>2º Declarar la nulidad del Auto del Juzgado de Instrucción núm. 12 de Sevilla de 5 de abril de 2006, dictado en el procedimiento de habeas corpus núm. 6-2006.</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dos de julio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79" w:name="SENTENCIA_2007_166"/>
      <w:r>
        <w:lastRenderedPageBreak/>
        <w:t>SENTENCIA 166/2007, de 4 de julio de 2007</w:t>
      </w:r>
    </w:p>
    <w:bookmarkEnd w:id="79"/>
    <w:p w:rsidR="00DE14C9" w:rsidRDefault="00DE14C9" w:rsidP="00DE14C9">
      <w:pPr>
        <w:pStyle w:val="TtuloResolucin"/>
      </w:pPr>
      <w:r>
        <w:t>Pleno</w:t>
      </w:r>
    </w:p>
    <w:p w:rsidR="00DE14C9" w:rsidRDefault="00DE14C9" w:rsidP="00DE14C9">
      <w:pPr>
        <w:pStyle w:val="TtuloResolucin"/>
      </w:pPr>
    </w:p>
    <w:p w:rsidR="00DE14C9" w:rsidRDefault="00DE14C9" w:rsidP="00DE14C9">
      <w:pPr>
        <w:pStyle w:val="TtuloBOE"/>
      </w:pPr>
      <w:r>
        <w:t>("BOE" núm. 185, de 3 de agosto de 2007)</w:t>
      </w:r>
    </w:p>
    <w:p w:rsidR="00DE14C9" w:rsidRDefault="00DE14C9" w:rsidP="00DE14C9">
      <w:pPr>
        <w:pStyle w:val="TtuloBOE"/>
      </w:pPr>
    </w:p>
    <w:p w:rsidR="00DE14C9" w:rsidRDefault="00DE14C9" w:rsidP="00DE14C9">
      <w:pPr>
        <w:pStyle w:val="SntesisDescriptiva"/>
      </w:pPr>
      <w:r>
        <w:t>ECLI:ES:TC:2007:166</w:t>
      </w:r>
    </w:p>
    <w:p w:rsidR="00DE14C9" w:rsidRDefault="00DE14C9" w:rsidP="00DE14C9">
      <w:pPr>
        <w:pStyle w:val="SntesisDescriptiva"/>
      </w:pPr>
    </w:p>
    <w:p w:rsidR="00DE14C9" w:rsidRDefault="00DE14C9" w:rsidP="00DE14C9">
      <w:pPr>
        <w:pStyle w:val="SntesisDescriptiva"/>
      </w:pPr>
      <w:r>
        <w:t>Cuestión de inconstitucionalidad 1780-1999. Planteada por el Juzgado de Primera Instancia núm. 46 de Madrid respecto del párrafo segundo del artículo 150 del texto refundido de la Ley de propiedad intelectual de 1996, en la numeración de la Ley 5/1998, de 6 de marzo, sobre la legitimación de las entidades de gestión de derechos.</w:t>
      </w:r>
    </w:p>
    <w:p w:rsidR="00DE14C9" w:rsidRDefault="00DE14C9" w:rsidP="00DE14C9">
      <w:pPr>
        <w:pStyle w:val="SntesisDescriptiva"/>
      </w:pPr>
    </w:p>
    <w:p w:rsidR="00DE14C9" w:rsidRDefault="00DE14C9" w:rsidP="00DE14C9">
      <w:pPr>
        <w:pStyle w:val="SntesisAnaltica"/>
      </w:pPr>
      <w:r>
        <w:t>Potestad legislativa: cuestión de inconstitucionalidad, acerca de una refundición legislativa viciada de ultra vires, inviable.</w:t>
      </w:r>
    </w:p>
    <w:p w:rsidR="00DE14C9" w:rsidRDefault="00DE14C9" w:rsidP="00DE14C9">
      <w:pPr>
        <w:pStyle w:val="SntesisAnaltica"/>
      </w:pPr>
    </w:p>
    <w:p w:rsidR="00DE14C9" w:rsidRDefault="00DE14C9" w:rsidP="00DE14C9">
      <w:pPr>
        <w:pStyle w:val="Extracto"/>
      </w:pPr>
      <w:r>
        <w:t>1.</w:t>
      </w:r>
      <w:r>
        <w:tab/>
        <w:t>No existe coincidencia en el Auto de planteamiento con el precepto legal sobre cuya posible inconstitucionalidad, por ultra vires, alegaron las partes, esto es, el párrafo segundo del art. 145 del texto refundido de la Ley de propiedad intelectual, toda vez que el Juzgado plantea la cuestión sobre el párrafo segundo del art. 150 del texto refundido de la Ley de propiedad intelectual que, si bien se corresponde con el anterior, es el resultado de la renumeración introducida por la Ley 5/1998, de 6 de marzo, sin que esta imprecisión en la identificación de la norma cuestionada resulte irrelevante [FJ 6].</w:t>
      </w:r>
    </w:p>
    <w:p w:rsidR="00DE14C9" w:rsidRDefault="00DE14C9" w:rsidP="00DE14C9">
      <w:pPr>
        <w:pStyle w:val="Extracto"/>
      </w:pPr>
    </w:p>
    <w:p w:rsidR="00DE14C9" w:rsidRDefault="00DE14C9" w:rsidP="00DE14C9">
      <w:pPr>
        <w:pStyle w:val="Extracto"/>
      </w:pPr>
      <w:r>
        <w:t>2.</w:t>
      </w:r>
      <w:r>
        <w:tab/>
        <w:t>En el Auto de planteamiento, el Juzgado proponente se limita a afirmar que el precepto legal cuestionado es aplicable al caso y que de su validez depende el fallo a dictar, de modo que no explícita o exterioriza el denominado juicio de relevancia exigido por el art. 35.2 LOTC [FJ 7].</w:t>
      </w:r>
    </w:p>
    <w:p w:rsidR="00DE14C9" w:rsidRDefault="00DE14C9" w:rsidP="00DE14C9">
      <w:pPr>
        <w:pStyle w:val="Extracto"/>
      </w:pPr>
    </w:p>
    <w:p w:rsidR="00DE14C9" w:rsidRDefault="00DE14C9" w:rsidP="00DE14C9">
      <w:pPr>
        <w:pStyle w:val="Extracto"/>
      </w:pPr>
      <w:r>
        <w:t>3.</w:t>
      </w:r>
      <w:r>
        <w:tab/>
        <w:t>La cuestión de inconstitucionalidad ha de ser inadmitida, al haber incumplido el Juzgado proponente las exigencias establecidas por el art. 35.2 LOTC en cuanto al trámite de audiencia y a la exteriorización del juicio de relevancia [FJ 9].</w:t>
      </w:r>
    </w:p>
    <w:p w:rsidR="00DE14C9" w:rsidRDefault="00DE14C9" w:rsidP="00DE14C9">
      <w:pPr>
        <w:pStyle w:val="Extracto"/>
      </w:pPr>
    </w:p>
    <w:p w:rsidR="00DE14C9" w:rsidRDefault="00DE14C9" w:rsidP="00DE14C9">
      <w:pPr>
        <w:pStyle w:val="Extracto"/>
      </w:pPr>
      <w:r>
        <w:t>4.</w:t>
      </w:r>
      <w:r>
        <w:tab/>
        <w:t>El juicio de relevancia constituye uno de los requisitos esenciales de toda cuestión de inconstitucionalidad, por cuanto a su través se garantiza el control concreto de la constitucionalidad de la ley, impidiendo que el órgano judicial convierta dicho control en abstracto, pues para realizar este tipo de control carece aquél de legitimación [FJ 7].</w:t>
      </w:r>
    </w:p>
    <w:p w:rsidR="00DE14C9" w:rsidRDefault="00DE14C9" w:rsidP="00DE14C9">
      <w:pPr>
        <w:pStyle w:val="Extracto"/>
      </w:pPr>
    </w:p>
    <w:p w:rsidR="00DE14C9" w:rsidRDefault="00DE14C9" w:rsidP="00DE14C9">
      <w:pPr>
        <w:pStyle w:val="Extracto"/>
      </w:pPr>
      <w:r>
        <w:t>5.</w:t>
      </w:r>
      <w:r>
        <w:tab/>
        <w:t>La providencia por la que se otorgue el trámite de audiencia a las partes y al Ministerio Fiscal ha de especificar los preceptos legales cuestionados y los preceptos constitucionales que se consideren vulnerados, o bien, a falta de una cita concreta de los preceptos constitucionales supuestamente vulnerados, ha de identificar mínimamente la duda de constitucionalidad [FJ 6].</w:t>
      </w:r>
    </w:p>
    <w:p w:rsidR="00DE14C9" w:rsidRDefault="00DE14C9" w:rsidP="00DE14C9">
      <w:pPr>
        <w:pStyle w:val="Extracto"/>
      </w:pPr>
    </w:p>
    <w:p w:rsidR="00DE14C9" w:rsidRDefault="00DE14C9" w:rsidP="00DE14C9">
      <w:pPr>
        <w:pStyle w:val="Extracto"/>
      </w:pPr>
      <w:r>
        <w:t>6.</w:t>
      </w:r>
      <w:r>
        <w:tab/>
        <w:t>El juicio de relevancia ha sido definido por este Tribunal como el esquema argumental dirigido a probar que el fallo del proceso judicial depende de la validez de la norma cuestionada (STC 17/1981) [FJ 7].</w:t>
      </w:r>
    </w:p>
    <w:p w:rsidR="00DE14C9" w:rsidRDefault="00DE14C9" w:rsidP="00DE14C9">
      <w:pPr>
        <w:pStyle w:val="Extracto"/>
      </w:pPr>
    </w:p>
    <w:p w:rsidR="00DE14C9" w:rsidRDefault="00DE14C9" w:rsidP="00DE14C9">
      <w:pPr>
        <w:pStyle w:val="Extracto"/>
      </w:pPr>
      <w:r>
        <w:t>7.</w:t>
      </w:r>
      <w:r>
        <w:tab/>
        <w:t>Este Tribunal es competente para ejercer su control de constitucionalidad sobre los Decretos Legislativos, tanto por razones materiales, si el precepto cuestionado es, por razón de su contenido, contrario a la Constitución, como por razones formales, si se ha incurrido en exceso en el ejercicio de la delegación legislativa o ultra vires [FJ 2].</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la cuestión de inconstitucionalidad núm. 1780-1999, planteada por el Juzgado de Primera Instancia núm. 46 de Madrid respecto del párrafo segundo del art. 150 del texto refundido de la Ley de propiedad intelectual, aprobado por Real Decreto Legislativo 1/1996, de 12 de abril (en la numeración resultante de la Ley 5/1998, de 6 de marzo). Han comparecido el Ministerio Fiscal y el Abogado del Estado, en la representación que legalmente ostenta. Ha sido Ponente el Magistrado don Manuel Aragón Reyes, quien expresa el parecer del Tribunal.</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Con fecha 28 de abril de 1999 tuvo entrada en el Registro General de este Tribunal un escrito del Magistrado-Juez titular del Juzgado de Primera Instancia núm. 46 de Madrid al que se acompaña, junto al testimonio del correspondiente procedimiento (autos núm. 857-1997), el Auto de 22 de febrero de 1999, en el que se acuerda plantear cuestión de inconstitucionalidad en relación con el párrafo segundo del art. 150 del texto refundido de la Ley de propiedad intelectual, aprobado por Real Decreto Legislativo 1/1996, de 12 de abril (en la numeración efectuada por la Ley 5/1998, de 6 de marzo, de incorporación al Derecho español de la Directiva 96/9/CE, del Parlamento Europeo y del Consejo, de 11 de marzo de 1996, sobre la protección jurídica de las bases de datos), por su posible contradicción con los arts. 9.3, 66.2 y 82 de la Constitución (CE).</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La cuestión trae causa del juicio declarativo de mayor cuantía núm. 857-1997 promovido por la Sociedad General de Autores y Editores (SGAE) contra la sociedad mercantil </w:t>
      </w:r>
      <w:r>
        <w:lastRenderedPageBreak/>
        <w:t xml:space="preserve">Alfadelta Ediciones y Distribuciones, S.A., en ejercicio de acciones de resolución del contrato suscrito por ambas partes de utilización del repertorio gestionado por la actora en la producción de discos, cassettes y discos compactos destinados a la venta al público y de reclamación de cantidad por impago de derechos de autor. </w:t>
      </w:r>
    </w:p>
    <w:p w:rsidR="00DE14C9" w:rsidRDefault="00DE14C9" w:rsidP="00DE14C9">
      <w:pPr>
        <w:pStyle w:val="TextoNormal"/>
      </w:pPr>
      <w:r>
        <w:t>Admitida a trámite la demanda, la sociedad demandada se personó en autos formulando dentro de plazo la excepción dilatoria del art. 533.2 de la Ley de enjuiciamiento civil de 1881 (LEC 1881) de falta de legitimación de la actora por no haber aportado con la demanda los contratos de gestión que le unen con los distintos titulares de las obras reproducidas por la demandada o, subsidiariamente, por no haber aportado con la demanda las comunicaciones dirigidas a los titulares de las solicitudes de autorización de producciones especiales realizadas ni los documentos por los que los titulares confirman la autorización y fijan las tarifas aplicables a estas producciones especiales, solicitando, además, el planteamiento de cuestión de inconstitucionalidad en relación con el párrafo segundo del art. 145 del Real Decreto Legislativo 1/1996, de 12 de abril, por el que se aprueba el texto refundido de la Ley de propiedad intelectual, al entender que dicho precepto constituye una extralimitación del Gobierno en la refundición de los textos legales anteriormente vigentes y resulta contrario a los arts. 14, 24 y 33 CE.</w:t>
      </w:r>
    </w:p>
    <w:p w:rsidR="00DE14C9" w:rsidRDefault="00DE14C9" w:rsidP="00DE14C9">
      <w:pPr>
        <w:pStyle w:val="TextoNormal"/>
      </w:pPr>
    </w:p>
    <w:p w:rsidR="00DE14C9" w:rsidRDefault="00DE14C9" w:rsidP="00DE14C9">
      <w:pPr>
        <w:pStyle w:val="TextoNormal"/>
      </w:pPr>
      <w:r w:rsidRPr="00DE14C9">
        <w:rPr>
          <w:rStyle w:val="NumeroAFNegritaCaracter"/>
        </w:rPr>
        <w:t>3</w:t>
      </w:r>
      <w:r>
        <w:t>. De la excepción formulada se dio traslado a la sociedad actora, que contestó en tiempo y forma, recibiéndose el incidente a prueba y practicándose la misma. Tramitado el incidente y con suspensión del término para su resolución, el Juzgado de Primera instancia núm. 46 de Madrid, por providencia de 18 de junio de 1998, acordó, conforme a lo dispuesto en el art. 35.2 LOTC, oír a las partes y al Ministerio Fiscal “para que en el plazo común e improrrogable de diez días, puedan alegar lo que deseen sobre la pertinencia de plantear la cuestión de inconstitucionalidad”.</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Evacuado el trámite de alegaciones conferido, la sociedad demandante se opuso al planteamiento de la cuestión de inconstitucionalidad, al entender que el párrafo segundo del art. 145 del texto refundido de la Ley de propiedad intelectual, aprobado por Real Decreto Legislativo 1/1996, de 12 de abril, no rebasa los límites de la delegación legislativa del art. 82 CE, pues el Gobierno se ha limitado a aclarar el contenido del art. 135 de la Ley de propiedad intelectual 22/1987, de 11 de noviembre, sin que dicho precepto vulnere tampoco los arts. 14, 24 y 33 CE. </w:t>
      </w:r>
    </w:p>
    <w:p w:rsidR="00DE14C9" w:rsidRDefault="00DE14C9" w:rsidP="00DE14C9">
      <w:pPr>
        <w:pStyle w:val="TextoNormal"/>
      </w:pPr>
      <w:r>
        <w:t xml:space="preserve">La sociedad demandada, en coherencia con lo interesado en su escrito de contestación a la demanda, estimó pertinente el planteamiento de la cuestión de inconstitucionalidad, por entender que el párrafo segundo del art. 145 del texto refundido de la Ley de propiedad intelectual, aprobado por Real Decreto Legislativo 1/1996, de 12 de abril, lesiona el art. 82.5 CE, por haberse extralimitado el Gobierno en su labor de refundición, toda vez que el citado precepto no figuraba ni en el art. 135 de la Ley de propiedad intelectual 22/1987, de 11 de noviembre, ni en ninguno de los restantes textos legales que fueron objeto de refundición. Además considera la demandada que el párrafo segundo del art. 145 del texto refundido de la Ley de propiedad intelectual es contrario a los arts. 14, 24 y 33 CE. </w:t>
      </w:r>
    </w:p>
    <w:p w:rsidR="00DE14C9" w:rsidRDefault="00DE14C9" w:rsidP="00DE14C9">
      <w:pPr>
        <w:pStyle w:val="TextoNormal"/>
      </w:pPr>
      <w:r>
        <w:t>Por su parte el Ministerio Fiscal, mediante escrito de fecha 3 de julio de 1998, puso de manifiesto al Juzgado que se abstenía de emitir informe, al no haberse concretado en la providencia por la que se procedió a la apertura del trámite de audiencia a las partes y al Ministerio Fiscal (art. 35.2 LOTC) la disposición legal cuestionada y el precepto constitucional infringido, ni haberse especificado en qué medida la decisión a adoptar depende de la validez de la norma cuestionada.</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Mediante Auto de 22 de febrero de 1999 el Juzgado de Primera Instancia núm. 46 de Madrid acuerda plantear ante este Tribunal cuestión de inconstitucionalidad en relación con el párrafo segundo del art. 150 del texto refundido de la Ley de propiedad intelectual, aprobado por Real Decreto Legislativo 1/1996, de 12 de abril, por posible infracción de los arts. 9.3, 66.2 y 82 CE. </w:t>
      </w:r>
    </w:p>
    <w:p w:rsidR="00DE14C9" w:rsidRDefault="00DE14C9" w:rsidP="00DE14C9">
      <w:pPr>
        <w:pStyle w:val="TextoNormal"/>
      </w:pPr>
      <w:r>
        <w:t xml:space="preserve">En el Auto de planteamiento el Juzgado proponente realiza las siguientes consideraciones: </w:t>
      </w:r>
    </w:p>
    <w:p w:rsidR="00DE14C9" w:rsidRDefault="00DE14C9" w:rsidP="00DE14C9">
      <w:pPr>
        <w:pStyle w:val="TextoNormal"/>
      </w:pPr>
      <w:r>
        <w:t xml:space="preserve">a) Al objeto de una correcta identificación del precepto legal cuestionado, comienza por señalar que el antiguo art. 145 del texto refundido de la Ley de propiedad intelectual, aprobado por Real Decreto Legislativo 1/1996, de 12 de abril, ha sido renumerado como art. 150 del citado texto refundido por obra de la Ley 5/1998, de 6 de marzo, de incorporación al Derecho español de la Directiva 96/9/CE, del Parlamento Europeo y del Consejo, de 11 de marzo de 1996, sobre la protección jurídica de las bases de datos. </w:t>
      </w:r>
    </w:p>
    <w:p w:rsidR="00DE14C9" w:rsidRDefault="00DE14C9" w:rsidP="00DE14C9">
      <w:pPr>
        <w:pStyle w:val="TextoNormal"/>
      </w:pPr>
      <w:r>
        <w:t xml:space="preserve">b) Razona seguidamente el Juzgado proponente de la cuestión que la anterior Ley 22/1987, de 31 de noviembre, de propiedad intelectual, establecía en su art. 132 que “Las entidades legalmente constituidas que pretendan dedicarse, en nombre propio o ajeno, a la gestión de derechos de explotación u otros de carácter patrimonial, por cuenta o en interés de varios autores u otros titulares de derechos de propiedad intelectual, deberán obtener la oportuna autorización del Ministerio de Cultura, que habrá de publicarse en el Boletín Oficial del Estado. Estas entidades no podrán tener ánimo de lucro y, en virtud de la autorización, podrán ejercer los derechos de propiedad intelectual confiados a su gestión y tendrán los derechos y obligaciones que en este título se establece”. Previsión a la que añadía el art. 135 que “Las entidades de gestión una vez autorizadas estarán legitimadas, en los términos que resulten de sus propios Estatutos, para ejercer los derechos confiados a su gestión y hacerlos valer en toda clase de procedimientos administrativos y judiciales”. Por su parte, el art. 145 (actual art. 150), del texto refundido de la Ley de propiedad intelectual, aprobado por Real Decreto Legislativo 1/1996, de 12 de abril, en su apartado primero reproduce el art. 135 de la Ley de propiedad intelectual de 1987, pero añade un segundo apartado, objeto de la presente cuestión de inconstitucionalidad, del siguiente tenor literal: “A los efectos establecidos en el art. 503 de la Ley de enjuiciamiento civil, la entidad de gestión estará obligada a aportar al proceso copia de sus Estatutos, así como certificación acreditativa de su autorización administrativa. El demandado podrá oponer exclusivamente, acreditándolo debidamente, la falta de representación de la actora, la autorización del titular del derecho exclusivo o el pago de la remuneración correspondiente”. </w:t>
      </w:r>
    </w:p>
    <w:p w:rsidR="00DE14C9" w:rsidRDefault="00DE14C9" w:rsidP="00DE14C9">
      <w:pPr>
        <w:pStyle w:val="TextoNormal"/>
      </w:pPr>
      <w:r>
        <w:t xml:space="preserve">Ya con anterioridad a la aprobación del Real Decreto Legislativo 1/1996, de 12 de abril —continúa el Juzgado proponente— parte de la doctrina, así como diversas Audiencias Provinciales, venían sosteniendo que la legitimación reconocida a las entidades de gestión en el art. 135 de la Ley de 1987 constituía un supuesto de legitimación indirecta o por sustitución de intereses difusos que en la práctica suponía la inaplicación del art. 503.2 LEC (1881) y la inversión de la carga de la prueba. Tal interpretación fue plasmada en el párrafo segundo del art. 145 del Real Decreto Legislativo 1/1996, de 12 de abril, precepto cuya constitucionalidad no se cuestiona en cuanto a su contenido (pues esta regulación “es la única que asegura una protección realmente eficaz de unos derechos tan difícilmente materializables como los de propiedad intelectual”, afirma el Juzgado proponente), sino exclusivamente por razones formales, al entender el Juzgado proponente que el Gobierno puede haber rebasado los límites de la delegación legislativa. </w:t>
      </w:r>
    </w:p>
    <w:p w:rsidR="00DE14C9" w:rsidRDefault="00DE14C9" w:rsidP="00DE14C9">
      <w:pPr>
        <w:pStyle w:val="TextoNormal"/>
      </w:pPr>
      <w:r>
        <w:lastRenderedPageBreak/>
        <w:t xml:space="preserve">c) El Juzgado proponente, tras referirse a la doctrina constitucional sobre los limites al ejercicio por parte del Gobierno de la delegación legislativa recogida en la STC 205/1993, de 17 de junio, cuyo fundamento jurídico 3 reproduce, señala que, de las dos modalidades de delegación legislativa que prevé el art. 82 CE, en el caso del precepto legal cuestionado se trata de una refundición de varios textos legales, supuesto en el que, como se indica en la citada STC 205/1993, la capacidad de innovación del Gobierno se limita a la labor de regularización, aclaración y armonización de textos legales. </w:t>
      </w:r>
    </w:p>
    <w:p w:rsidR="00DE14C9" w:rsidRDefault="00DE14C9" w:rsidP="00DE14C9">
      <w:pPr>
        <w:pStyle w:val="TextoNormal"/>
      </w:pPr>
      <w:r>
        <w:t xml:space="preserve">En este sentido —continúa el Juzgado proponente—, en la exposición de motivos del Real Decreto Legislativo 1/1996, de 12 de abril, se explica que la autorización otorgada al Gobierno por la disposición final segunda de la Ley 27/1995, de 11 de octubre, de incorporación al Derecho español de la Directiva 93/98/CE, del Consejo, de 29 de octubre de 1993, relativa a la armonización del plazo de protección del derecho de autor y de determinados derechos afines, tenía por objeto la elaboración de un texto que refundiese las disposiciones legales vigentes en materia de propiedad intelectual, regularizando, aclarando y armonizando los textos que hubieran de ser refundidos, siendo el alcance temporal de esta habilitación legislativa el relativo a las disposiciones legales vigentes a 30 de junio de 1996. </w:t>
      </w:r>
    </w:p>
    <w:p w:rsidR="00DE14C9" w:rsidRDefault="00DE14C9" w:rsidP="00DE14C9">
      <w:pPr>
        <w:pStyle w:val="TextoNormal"/>
      </w:pPr>
      <w:r>
        <w:t xml:space="preserve">Pues bien, el art. 135 de la Ley de propiedad intelectual de 1987 reconocía a las entidades de gestión legitimación para actuar en nombre de sus asociados, pero en modo alguno establecía la presunción de que los derechos ejercitados, por el hecho de ejercerse, estaban encomendados a la gestión de la asociación ejerciente ni en ninguna de las normas que son objeto de refundición se contiene una previsión de tal tenor. Cierto es que del art. 135 resultaba efectivamente un régimen de legitimación ex lege por sustitución, que permite a las entidades de gestión autorizadas “ejercer los derechos confiados a su gestión y hacerlos valer en toda clase de procedimientos administrativos o judiciales”, pero presumir, como se hace en el actual art. 150 (antes 145) del texto refundido de la Ley de propiedad intelectual aprobado por Real Decreto Legislativo 1/1996, de 12 de abril , que el derecho ejercitado está confiado a la entidad de gestión, con la correlativa inversión de la carga de la prueba, limitándose además los medios de oposición de la parte contraria, supone ir más allá de lo previsto en la Ley de propiedad intelectual de 1987, constituyendo tal regulación una auténtica innovación. </w:t>
      </w:r>
    </w:p>
    <w:p w:rsidR="00DE14C9" w:rsidRDefault="00DE14C9" w:rsidP="00DE14C9">
      <w:pPr>
        <w:pStyle w:val="TextoNormal"/>
      </w:pPr>
      <w:r>
        <w:t>Por lo expuesto –concluye el Juzgado proponente– “se estima que el actual artículo 150, párrafo segundo, del Real Decreto Legislativo 1/1996, de 12 de abril, por el que se aprueba el texto refundido de la Ley de propiedad intelectual, precepto aplicable al caso y de cuya validez depende el fallo, puede ser contrario al artículo 82 así como a los artículos 9.3 y 66.2 de la Constitución, por lo que procede el planteamiento de la cuestión de inconstitucionalidad ante el Tribunal Constitucional”.</w:t>
      </w:r>
    </w:p>
    <w:p w:rsidR="00DE14C9" w:rsidRDefault="00DE14C9" w:rsidP="00DE14C9">
      <w:pPr>
        <w:pStyle w:val="TextoNormal"/>
      </w:pPr>
    </w:p>
    <w:p w:rsidR="00DE14C9" w:rsidRDefault="00DE14C9" w:rsidP="00DE14C9">
      <w:pPr>
        <w:pStyle w:val="TextoNormal"/>
      </w:pPr>
      <w:r w:rsidRPr="00DE14C9">
        <w:rPr>
          <w:rStyle w:val="NumeroAFNegritaCaracter"/>
        </w:rPr>
        <w:t>6</w:t>
      </w:r>
      <w:r>
        <w:t>. Mediante providencia de 15 de septiembre de 1999 la Sección Segunda de este Tribunal acordó admitir a trámite la cuestión de inconstitucionalidad y dar traslado de las actuaciones, conforme dispone el art. 37.2 LOTC, al Congreso de los Diputados y al Senado, al Gobierno de la Nación, por conducto del Ministerio de Justicia, y al Fiscal General del Estado, al objeto de que en plazo de quince días pudieran personarse en el proceso y formular alegaciones. También se acordó publicar la incoación de la cuestión en el “Boletín Oficial del Estado”, publicación que tuvo lugar con fecha 24 de septiembre de 1999.</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7</w:t>
      </w:r>
      <w:r>
        <w:t>. El día 30 de septiembre de 1999 tuvo entrada en el Registro General del Tribunal Constitucional un escrito del Presidente del Congreso de los Diputados en el que se comunicaba que dicha Cámara no se personaría en el presente proceso constitucional ni formularía alegaciones.</w:t>
      </w:r>
    </w:p>
    <w:p w:rsidR="00DE14C9" w:rsidRDefault="00DE14C9" w:rsidP="00DE14C9">
      <w:pPr>
        <w:pStyle w:val="TextoNormal"/>
      </w:pPr>
    </w:p>
    <w:p w:rsidR="00DE14C9" w:rsidRDefault="00DE14C9" w:rsidP="00DE14C9">
      <w:pPr>
        <w:pStyle w:val="TextoNormal"/>
      </w:pPr>
      <w:r w:rsidRPr="00DE14C9">
        <w:rPr>
          <w:rStyle w:val="NumeroAFNegritaCaracter"/>
        </w:rPr>
        <w:t>8</w:t>
      </w:r>
      <w:r>
        <w:t>. La Presidenta del Senado, mediante escrito registrado en este Tribunal el día 8 de octubre de 1999, comunicó a su vez que esta Cámara ha adoptado el acuerdo de darse por personada en el proceso, ofreciendo su colaboración a los efectos del art. 88.1 LOTC.</w:t>
      </w:r>
    </w:p>
    <w:p w:rsidR="00DE14C9" w:rsidRDefault="00DE14C9" w:rsidP="00DE14C9">
      <w:pPr>
        <w:pStyle w:val="TextoNormal"/>
      </w:pPr>
    </w:p>
    <w:p w:rsidR="00DE14C9" w:rsidRDefault="00DE14C9" w:rsidP="00DE14C9">
      <w:pPr>
        <w:pStyle w:val="TextoNormal"/>
      </w:pPr>
      <w:r w:rsidRPr="00DE14C9">
        <w:rPr>
          <w:rStyle w:val="NumeroAFNegritaCaracter"/>
        </w:rPr>
        <w:t>9</w:t>
      </w:r>
      <w:r>
        <w:t xml:space="preserve">. Mediante escrito registrado en este Tribunal el 8 de octubre de 1999 el Abogado del Estado se personó en el presente proceso constitucional y formuló las alegaciones que seguidamente se resumen, en virtud de las cuales concluía solicitando que se declare la plena conformidad a la Constitución del precepto cuestionado. </w:t>
      </w:r>
    </w:p>
    <w:p w:rsidR="00DE14C9" w:rsidRDefault="00DE14C9" w:rsidP="00DE14C9">
      <w:pPr>
        <w:pStyle w:val="TextoNormal"/>
      </w:pPr>
      <w:r>
        <w:t xml:space="preserve">Comienza por destacar el Abogado del Estado que el Juzgado que promueve la cuestión dice suscitar ésta inicialmente en relación con el art. 145 del texto refundido de la Ley de propiedad intelectual aprobado por Real Decreto Legislativo 1/1996, de 12 de abril, pero que debe entenderse referida al actual art. 150, renumerado por la Ley 5/1998, de 6 de marzo. Sin embargo, este desplazamiento automático de una a otra norma no resulta irrelevante, como se da por supuesto en el Auto de planteamiento de la cuestión, dado que la misma se contrae a un pretendido exceso en la actividad refundidora derivada de una delegación legislativa (ultra vires), exceso que nunca podría imputarse a la Ley 5/1998, emanada directamente del poder legislativo. Esta Ley ha modificado el texto refundido de la Ley de propiedad intelectual, dando nueva redacción a alguno de sus preceptos e introduciendo otros nuevos, y asimismo ha reordenado numéricamente —como consecuencia de la introducción de nuevos preceptos— otros preceptos de su articulado, entre ellos el art. 145, manteniendo su redacción inicial. Sin embargo, de ese diverso alcance innovador no cabe inferir un distinto rango en la jerarquía de fuentes, por cuanto lo decisivo en la teoría de las normas es su conexión con la fuente o poder del que emanan y no sus contenidos materiales, como ya destacara la STC 61/1997, FJ 4 a). Del mismo modo, el hecho de que un determinado texto legal mantenga su denominación primitiva tras una modificación parcial de su articulado es una cuestión semántica que atiende a razones de oportunidad, siendo lo relevante la voluntad del órgano que lo aprueba. Por ello, cuando el art. 6.4 de la Ley 5/1998 establece que el nuevo art. 150 del texto refundido de la Ley de propiedad intelectual tenga la misma redacción que el anterior art. 145, esa norma ya no es imputable a una refundición del poder ejecutivo en virtud de una delegación precedente, sino a la voluntad del propio poder legislativo, puesto que es éste quien manda observarla, aunque sea por vía de remisión: no redacta de nuevo el precepto, sino que asume su contenido con la redacción que ya tenía en virtud del texto refundido de 1996. En suma, a partir de la Ley 5/1998 el precepto cuestionado ha experimentado un desplazamiento no simplemente numérico, sino también en la relación de fuentes, por obra de la voluntad directa e inmediata de las Cortes Generales, de suerte que su rango ha dejado de ser el de un texto refundido para ser el de una ley, lo que determina que la duda de constitucionalidad que se expresa en el Auto de planteamiento de la cuestión carezca de fundamento. </w:t>
      </w:r>
    </w:p>
    <w:p w:rsidR="00DE14C9" w:rsidRDefault="00DE14C9" w:rsidP="00DE14C9">
      <w:pPr>
        <w:pStyle w:val="TextoNormal"/>
      </w:pPr>
      <w:r>
        <w:t xml:space="preserve">Pero es más, aunque lo que se cuestiona es simplemente la constitucionalidad del precepto por razones formales, esto es, por un supuesto exceso en la actividad refundidora, reproche que debe quedar descartado por las razones antes expresadas, debe tenerse en cuenta que desde un punto de vista material el Auto de planteamiento de la cuestión señala </w:t>
      </w:r>
      <w:r>
        <w:lastRenderedPageBreak/>
        <w:t xml:space="preserve">la existencia de una corriente jurisprudencial y doctrinal que había interpretado el art. 135 de la Ley 22/1987, de propiedad intelectual, en el mismo sentido que luego se recogería expresamente en la redacción del párrafo segundo del art. 145 del texto refundido de la Ley de propiedad intelectual de 1996, añadiendo el Auto que tal interpretación “es la única que asegura una protección realmente eficaz de unos derechos tan difícilmente materializables como los de la propiedad intelectual”. Realmente en esta observación —afirma el Abogado del Estado— está implícito un reconocimiento de la constitucionalidad del propio precepto cuestionado: si la finalidad general de la Ley, y en particular de los preceptos relativos a la gestión colectiva de los derechos, es la protección de la propiedad intelectual, difícilmente podrá llegarse a una censura de una norma que se califica como único medio realmente eficaz de asegurar esa protección. En efecto, en el texto refundido no cabe ver —al margen de que la literalidad de sus expresiones puedan o no encontrarse en el texto legal— desviación alguna en el espíritu y finalidad de los preceptos, si estos se juzgan como único medio de alcanzar los objetivos precisos marcados por el legislador; pues bien, en aquellos casos en los que una interpretación judicial generalizada de un texto legal determinado es acogida en un ulterior texto refundido no parece que pueda hablarse de verdadera innovación, sino de aclaración, armonización o regularización en los términos previstos en el art. 82.5 CE. </w:t>
      </w:r>
    </w:p>
    <w:p w:rsidR="00DE14C9" w:rsidRDefault="00DE14C9" w:rsidP="00DE14C9">
      <w:pPr>
        <w:pStyle w:val="TextoNormal"/>
      </w:pPr>
      <w:r>
        <w:t xml:space="preserve">Es obvio que la acción refundidora no puede comportar una exigencia de identidad textual perfecta entre el texto delegante y el que hace uso de la delegación, porque de otro modo no tendría razón de ser el mecanismo delegatorio. En el caso de mediar una práctica judicial interpretativa de un texto, como ocurre en el presente caso, no puede reputarse exceso alguno el que el poder ejecutivo aclare el sentido de los preceptos con el mismo alcance hecho por los Tribunales de Justicia, puesto que por definición, la labor de estos últimos no puede tampoco tener un contenido innovador, sino meramente interpretativo de lo que está implícito en la Ley. Esta incorporación en el texto refundido de la práctica aplicativa de los tribunales, no se puede en modo alguno reputar ni como una acción arbitraria del poder ejecutivo, ni como algo lesivo para la seguridad jurídica; al contrario, facilita una mejor aplicación de los principios constitucionales proclamados en el art. 9.3 CE, en cuanto facilita el entendimiento y la certeza de la norma, evitando innecesarias controversias judiciales. </w:t>
      </w:r>
    </w:p>
    <w:p w:rsidR="00DE14C9" w:rsidRDefault="00DE14C9" w:rsidP="00DE14C9">
      <w:pPr>
        <w:pStyle w:val="TextoNormal"/>
      </w:pPr>
      <w:r>
        <w:t xml:space="preserve">El texto del art. 135 de la Ley de propiedad intelectual de 1987 (“las entidades de gestión una vez autorizadas estarán legitimadas, en los términos que resulten de sus propios estatutos, para ejercer los derechos confiados a su gestión y hacerlos valer en toda clase de procedimientos administrativos o judiciales”), idéntico al del primer párrafo del art. 145 del texto refundido de la Ley de propiedad intelectual de 1996 (luego convertido en art. 150 por la Ley 5/1998), debe ponerse en conexión con la explícita referencia que se contiene tanto en la exposición de motivos de la ley como en diversos preceptos de la misma a la “gestión colectiva” o a las “entidades de gestión colectiva”. Estas expresiones son bien reveladoras de la propia singularidad de la legitimación procesal reconocida a estas entidades; el que esta legitimación no responde simplemente al esquema común de representación o sustitución procesal lo muestra no tanto la redacción cuanto la existencia misma del propio precepto, de todo punto innecesario si se interpreta como alusivo a la posibilidad de que determinados derechos puedan hacerse valer en juicio por personas distintas de sus titulares mediante la justificación del poder otorgado, pues tal posibilidad ya aparecía reconocida por la regulación de la representación en nuestro Derecho sustantivo. </w:t>
      </w:r>
    </w:p>
    <w:p w:rsidR="00DE14C9" w:rsidRDefault="00DE14C9" w:rsidP="00DE14C9">
      <w:pPr>
        <w:pStyle w:val="TextoNormal"/>
      </w:pPr>
      <w:r>
        <w:t xml:space="preserve">Bien puede interpretarse que la redacción del texto legal de 1987 quiso encajarse en el ámbito del art. 7.3 de la Ley Orgánica del Poder Judicial (LOPJ), esto es, mediante el reconocimiento de que las entidades de gestión aludidas en el precepto pasan a tener reconocida por la propia Ley un título directo y propio de legitimación que les faculta para el ejercicio </w:t>
      </w:r>
      <w:r>
        <w:lastRenderedPageBreak/>
        <w:t xml:space="preserve">de acciones administrativas o judiciales, al margen de la exteriorización precisa de una relación representativa con los titulares de los derechos reconocidos en la Ley. Los “derechos confiados a su gestión” a que el precepto alude no serían sólo los que por una disposición voluntaria hubieran resignado a su favor los titulares materiales de los derechos, sino los intereses colectivos –también de relevancia pública- inherentes a la protección en abstracto de los derechos de propiedad intelectual confiados por la ley. Se trataría de un “régimen de representación ex lege por sustitución”, como expresamente reconoce el Auto de planteamiento de la cuestión en su fundamento jurídico 6, régimen en el que no importarían tanto los apoderamientos singulares como la directa determinación de la ley, sustituyendo, o cuando menos yuxtaponiendo, a la legitimación individual y común una forma de legitimación para la defensa de intereses colectivos. </w:t>
      </w:r>
    </w:p>
    <w:p w:rsidR="00DE14C9" w:rsidRDefault="00DE14C9" w:rsidP="00DE14C9">
      <w:pPr>
        <w:pStyle w:val="TextoNormal"/>
      </w:pPr>
      <w:r>
        <w:t xml:space="preserve">El texto refundido de 1996 habría pretendido armonizar esta forma de protección colectiva con las facultades dispositivas del propietario, intereses legítimos ambos que no por presumiblemente convergentes podrían dejar de acusar eventuales contradicciones en su ejercicio, limitando para ello el alcance de esta “sustitución ex lege” y aproximándola a las formas clásicas de representación. Para ello habría dejado reducido el efecto sustitutorio a una modesta cuestión procesal: la entidad de gestión colectiva no tendría que demostrar otra cosa —y ello en el limitado marco del art. 503 LEC 1881, es decir, en el aspecto temporal de la presentación de documentos en juicio— que la aptitud estatutaria y la autorización administrativa. Hasta aquí regiría un criterio de legitimación propio de los intereses colectivos según el art. 7.3 LOPJ, en perfecta coherencia con el sentido último del texto legal. </w:t>
      </w:r>
    </w:p>
    <w:p w:rsidR="00DE14C9" w:rsidRDefault="00DE14C9" w:rsidP="00DE14C9">
      <w:pPr>
        <w:pStyle w:val="TextoNormal"/>
      </w:pPr>
      <w:r>
        <w:t xml:space="preserve">Ahora bien, en reconocimiento de los aspectos individuales del derecho controvertido en procedimientos administrativos o judiciales esta legitimación colectiva se sacrificaría en los casos que por vía de excepción puede oponer el demandado según el precepto cuestionado: la falta de representación, la autorización del titular o el pago de la indemnización. Resulta en apariencia llamativo que pueda alegarse como excepción la falta de representación, cuando este requisito procesal esté precisamente dispensado de justificación en el trámite ordinario de presentación de documentos. Mas se explica sin demasiada dificultad esta aparente antinomia si se considera el propósito de la Ley de facilitar la legitimación procesal de estas entidades, aunque conjugándola con una eventual y decisiva intervención del titular de la propiedad intelectual. La Ley, en principio, presume la existencia del poder y hace innecesaria su justificación en plena armonía con el reconocimiento de un interés colectivo. Pero ello no impide que la falta de poder pueda esgrimirse en el curso del juicio mediante la justificación que pueda ofrecer el titular real del derecho; si éste desmiente o niega la representación, la presunción decae y la sustitución procesal se elimina. No deja de ser una inversión de la carga de la prueba, aunque tampoco pueda calificarse como una exigencia de probatio diabólica a cargo del demandado, porque la voz del titular del derecho será la que en última instancia pueda confirmar o rechazar los efectos de esa presunción legal estatuida en defensa de derechos tan fácilmente vulnerables como son los regulados por la legislación de propiedad intelectual. </w:t>
      </w:r>
    </w:p>
    <w:p w:rsidR="00DE14C9" w:rsidRDefault="00DE14C9" w:rsidP="00DE14C9">
      <w:pPr>
        <w:pStyle w:val="TextoNormal"/>
      </w:pPr>
      <w:r>
        <w:t xml:space="preserve">En definitiva, la redacción originariamente añadida por el texto refundido de 1996 en el segundo párrafo del art. 145 —haciendo abstracción de su ulterior confirmación por la Ley 5/1998— no habría ampliado el alcance de la legitimación de las entidades de gestión colectiva, sino que más bien lo habría reducido respecto del criterio colectivo de legitimación establecido en el art. 7.3 LOPJ, en el que desembocaba de manera natural el art. 137 de la Ley de 1987. El texto refundido de 1996, armonizando los intereses individuales del propietario con los intereses colectivos sancionados en la norma refundida, habría dejado reducida a una modesta presunción iuris tantum lo que en el art. 137 de la Ley de 1987 podría </w:t>
      </w:r>
      <w:r>
        <w:lastRenderedPageBreak/>
        <w:t>haberse identificado como una legitimación directa e incondicionada basada en el reconocimiento de unos intereses colectivos difusos. El texto refundido de 1996 habría, pues, armonizado dos clases de preceptos explícitos en la Ley, que en cuanto tal armonización resulta plenamente justificada a la luz del art. 82.5 CE: de una parte, el reconocimiento de una especialísima legitimación de las entidades de gestión colectiva para la defensa de unos intereses múltiples, dispersos y necesitados de modos colectivos de protección; de otra, el reconocimiento de estos mismos intereses como derechos de propiedad y como tales conectados a una titularidad personal.</w:t>
      </w:r>
    </w:p>
    <w:p w:rsidR="00DE14C9" w:rsidRDefault="00DE14C9" w:rsidP="00DE14C9">
      <w:pPr>
        <w:pStyle w:val="TextoNormal"/>
      </w:pPr>
    </w:p>
    <w:p w:rsidR="00DE14C9" w:rsidRDefault="00DE14C9" w:rsidP="00DE14C9">
      <w:pPr>
        <w:pStyle w:val="TextoNormal"/>
      </w:pPr>
      <w:r w:rsidRPr="00DE14C9">
        <w:rPr>
          <w:rStyle w:val="NumeroAFNegritaCaracter"/>
        </w:rPr>
        <w:t>10</w:t>
      </w:r>
      <w:r>
        <w:t xml:space="preserve">. El Fiscal General del Estado presentó su escrito de alegaciones ante este Tribunal con fecha 19 de octubre de 1999, interesando la desestimación de la cuestión de inconstitucionalidad. </w:t>
      </w:r>
    </w:p>
    <w:p w:rsidR="00DE14C9" w:rsidRDefault="00DE14C9" w:rsidP="00DE14C9">
      <w:pPr>
        <w:pStyle w:val="TextoNormal"/>
      </w:pPr>
      <w:r>
        <w:t xml:space="preserve">Tras una sucinta exposición de los antecedentes del asunto, el Fiscal General del Estado pasa a examinar el cumplimiento de los requisitos procesales establecidos por el art. 35.2 LOTC. Al efecto, señala que en la providencia de 18 de junio de 1998 por la que el Juzgado proponente de la cuestión dio trámite de audiencia a las partes y al Ministerio Fiscal sobre la pertinencia del planteamiento de la cuestión de inconstitucionalidad, se incumple manifiestamente el citado art. 35.2 LOTC, por cuanto no se especifica ni el precepto legal que se estima inconstitucional, ni los preceptos de la Constitución que se suponen infringidos. </w:t>
      </w:r>
    </w:p>
    <w:p w:rsidR="00DE14C9" w:rsidRDefault="00DE14C9" w:rsidP="00DE14C9">
      <w:pPr>
        <w:pStyle w:val="TextoNormal"/>
      </w:pPr>
      <w:r>
        <w:t xml:space="preserve">Tampoco se cumple, según el Fiscal General del Estado, el requisito relativo a la exteriorización del juicio de relevancia en el Auto de planteamiento de la cuestión, juicio de relevancia que se da por supuesto. Existe un precedente de una cuestión de inconstitucionalidad similar sobre la misma norma aquí cuestionada, planteada por la Audiencia Provincial de Cádiz, que fue inadmitida por ATC 93/1999, de 13 de abril, por falta de juicio de relevancia. La aplicación al presente caso de la doctrina allí expresada en relación con una cuestión sobre el mismo problema (ultra vires en la delegación legislativa), debe llevar, mutatis mutandis, a la misma solución inadmisoria por falta del juicio de relevancia. </w:t>
      </w:r>
    </w:p>
    <w:p w:rsidR="00DE14C9" w:rsidRDefault="00DE14C9" w:rsidP="00DE14C9">
      <w:pPr>
        <w:pStyle w:val="TextoNormal"/>
      </w:pPr>
      <w:r>
        <w:t xml:space="preserve">En cuanto al fondo del asunto, señala el Fiscal General del Estado que una primera acotación sobre los preceptos constitucionales alegados en el Auto de planteamiento como sustento de la cuestión de inconstitucionalidad conduce a descartar los arts. 9.3 y 66.2 CE, pues su mención debe considerarse como meramente retórica y carente de sustantividad propia, toda vez que las argumentaciones incorporadas al Auto de planteamiento se refieren exclusivamente al problema del exceso en la delegación legislativa hecha por las Cortes Generales al Gobierno para refundir los textos legales que tuvieran por objeto la propiedad intelectual, lo que nos sitúa en el marco del también invocado art. 82 CE. Ahora bien, de las dos posibilidades de delegación legislativa previstas en el art. 82 CE se trata aquí de un supuesto de refundición de textos legales y no de articulación, lo que condiciona el soporte habilitante, ley ordinaria en el primer caso y ley de bases en el segundo (art. 82.2 CE). Por otra parte, el art. 82.5 CE distingue dos modalidades de autorización a la refundición: mera formulación de un texto único o regularización, aclaración y armonización de los textos legales que han de ser refundidos. A esta segunda modalidad, que transfiere al texto refundido algo más que la función mecánica de copiar textos, permitiendo la agregación de normas que respondan a alguna o algunas de las tres finalidades señaladas responde la autorización legislativa que dio lugar al Real Decreto Legislativo 1/1996, de 12 de abril, por el que se aprueba el texto refundido de la Ley de propiedad intelectual, cuyo art. 145 contiene un primer párrafo que reproduce fielmente el antiguo art. 135 de la Ley de propiedad intelectual de 1987 (“Las entidades de gestión, una vez autorizadas, estarán legitimadas, en los términos que resulten de sus propios estatutos, para ejercer los derechos confiados a su gestión y </w:t>
      </w:r>
      <w:r>
        <w:lastRenderedPageBreak/>
        <w:t xml:space="preserve">hacerlos valer en toda clase de procedimientos administrativos y judiciales”), agregando un segundo párrafo (“A los efectos establecidos en el art. 503 de la Ley de Enjuiciamiento Civil, la entidad de gestión estará obligada a aportar al proceso copia de sus estatutos, así como certificación acreditativa de su autorización administrativa. El demandado podrá oponer exclusivamente, acreditándolo debidamente, la falta de representación de la actora, la autorización del titular del derecho exclusivo o el pago de la remuneración convenida”), párrafo éste que constituye el objeto de la cuestión de inconstitucionalidad, por estimar el Juzgado proponente que podría incurrir en un exceso de la delegación legislativa, vulnerador del art. 82 CE. </w:t>
      </w:r>
    </w:p>
    <w:p w:rsidR="00DE14C9" w:rsidRDefault="00DE14C9" w:rsidP="00DE14C9">
      <w:pPr>
        <w:pStyle w:val="TextoNormal"/>
      </w:pPr>
      <w:r>
        <w:t xml:space="preserve">Sin embargo, considera el Fiscal General del Estado que la argumentación del Juzgado no resulta convincente. En primer término, porque el propio Juzgado proponente de la cuestión reconoce en el fundamento jurídico 3 del Auto de planteamiento dos circunstancias que ligan la norma nueva a la preexistente. Por un lado, que la doctrina y algunas Audiencias Provinciales habían detectado el problema de la compatibilidad entre la legitimación ex lege del antiguo art. 135 de la Ley 22/1987, de propiedad intelectual, y el art. 503.2 LEC (1881), lo que abonaría la solución aclaratoria del texto refundido de 1996, posibilidad de aclaración que se contemplaba expresamente en la autorización para refundir de la Ley delegante; y por otro que el planteamiento de la cuestión obedece a razones meramente formales, lo que apunta a una falta de correlación literal entre antiguo texto y nuevo, sin que ello tenga por qué afectar al contenido material de la reforma. En este sentido, el Auto de planteamiento de la cuestión adolece de una notoria contradicción interna, en cuanto no se está debatiendo la formalidad del texto sino su contenido material y en concreto, esto es, si el párrafo nuevo del precepto está totalmente desvinculado del precepto legal original o se ajusta a la labor de aclaración, armonización o regularización. El Auto de planteamiento no explica por qué razón el nuevo párrafo del precepto excede de esa labor de aclaración constitucionalmente permitida. </w:t>
      </w:r>
    </w:p>
    <w:p w:rsidR="00DE14C9" w:rsidRDefault="00DE14C9" w:rsidP="00DE14C9">
      <w:pPr>
        <w:pStyle w:val="TextoNormal"/>
      </w:pPr>
      <w:r>
        <w:t xml:space="preserve">En este sentido, el propósito del texto refundido de 1996 en el precepto cuestionado respondería a una pretensión de aclaración, por la confusión generalizada entre las Audiencias Provinciales en torno a los documentos que con la demanda han de presentarse por las entidades de gestión autorizadas en supuestos tan específicos como los atinentes a la defensa de los derechos de propiedad intelectual, toda vez que el término de “legitimación” del texto legal anterior (art. 135 de la Ley 22/1987), reproducido en el párrafo primero (no cuestionado) del art. 145 del texto refundido de 1996, podría dar lugar a la innecesariedad de presentar documentos por parte del actor acreditativos de su legitimación para comparecer en juicio, obligándole para acreditarla la presentación de la copia de sus estatutos (que prueban su dedicación al tipo de negocios defendidos atinentes a la propiedad intelectual), así como la certificación acreditativa de la autorización administrativa (o sea, de su previo control administrativo). Estos datos se hallaban como exigencia en la Ley 22/1987, y la novedad aclarativa del texto refundido de 1996 se refiere únicamente a la necesidad de que sean acreditados ante el Juez, pues no otra cosa se desprende de un precepto de puro corte procedimental como lo es el art. 503 LEC 1881, bajo la rúbrica de “presentación de documentos”. Hasta aquí no se observa, por tanto, exceso en la delegación legislativa, sino cumplimiento del mandato de aclaración de la ley delegante. </w:t>
      </w:r>
    </w:p>
    <w:p w:rsidR="00DE14C9" w:rsidRDefault="00DE14C9" w:rsidP="00DE14C9">
      <w:pPr>
        <w:pStyle w:val="TextoNormal"/>
      </w:pPr>
      <w:r>
        <w:t xml:space="preserve">Se subraya, sin embargo, por el Auto de planteamiento el exceso en la refundición en lo que califica como inversión de la carga de la prueba en orden a la legitimación, que quebraría la regla general de la LEC en cuanto a la necesidad de que el actor debe, en todo proceso, presentar los documentos que acrediten la representación de los derechos que ejerce, la que en este caso se presume para la sociedad de gestión, obligando al demandado a introducir </w:t>
      </w:r>
      <w:r>
        <w:lastRenderedPageBreak/>
        <w:t xml:space="preserve">esta cuestión en el debate como excepción procesal. Pues es bien, lo cierto es que la interpretación del precepto cuestionado no puede ni debe desvincularse de la totalidad del artículo, en su configuración inicial conforme a la antigua Ley de propiedad intelectual de 1987. Efectivamente, el legislador quiso ya en el año 1987 conferir un carácter especial a la legitimación de las entidades de gestión en los procesos sobre propiedad intelectual. No es casual que ya en el texto de 1987 se hablara de “legitimación” en un sentido técnico-jurídico y que la misma se concibiera por ministerio de la ley una vez que las sociedades de gestión demostraran por medio de sus estatutos que tenían encomendada la tutela de los derechos de propiedad intelectual y que el poder público había verificado el adecuado control de dichas sociedades mediante la correspondiente autorización administrativa. </w:t>
      </w:r>
    </w:p>
    <w:p w:rsidR="00DE14C9" w:rsidRDefault="00DE14C9" w:rsidP="00DE14C9">
      <w:pPr>
        <w:pStyle w:val="TextoNormal"/>
      </w:pPr>
      <w:r>
        <w:t xml:space="preserve">Esa legitimación genérica y por ministerio de la ley convertía a las sociedades de gestión autorizadas en presuntos titulares de los derechos que ejercían y, en cierto modo, les dotaba del carácter de entidades de carácter semipúblico; esta legitimación genérica sería, pues, similar a la otorgada a determinados entes administrativos o al menos de naturaleza mixta, como sucede con los colegios profesionales, sindicatos de funcionarios, mutualidades públicas, etc., que no necesitan acreditar en cada proceso la representación de cada uno de sus socios, colegiados o mutualistas. </w:t>
      </w:r>
    </w:p>
    <w:p w:rsidR="00DE14C9" w:rsidRDefault="00DE14C9" w:rsidP="00DE14C9">
      <w:pPr>
        <w:pStyle w:val="TextoNormal"/>
      </w:pPr>
      <w:r>
        <w:t>Pues bien, esa legitimación por imperio de la ley que ya se hallaba en la Ley de propiedad intelectual de 1987 (arts. 132 y 135) resulta aclarada o, si se quiere, regularizada en el texto refundido de 1996 (párrafo segundo del art. 145), en el que únicamente se establece para impedir una postura falaz o un enriquecimiento injusto de la entidad de gestión, de suerte que el demandado podrá oponer excepciones acreditativas de la falta de representación de la sociedad de gestión, de la falta de autorización del titular de los derechos o, en fin, el pago. La conclusión que se obtiene es que el párrafo segundo del art. 145 del texto refundido de 1996 (renumerado como art. 150 por la Ley 5/1998, de 6 de marzo) no ha hecho sino explicitar los medios procesales de defensa del demandado, que podrían quedar diluidos por la legitimación presunta que se hallaba ya en la Ley de propiedad intelectual de 1987 y que se mantiene en el texto refundido de 1996. Con ello se pone una vez más de manifiesto que no ha habido exceso alguno en la refundición con respecto a las facultades conferidas por la Ley delegante no produciéndose, a la postre, el efecto de inconstitucionalidad de la norma que se plantea por el Juzgado de Primera Instancia núm. 46 de Madrid.</w:t>
      </w:r>
    </w:p>
    <w:p w:rsidR="00DE14C9" w:rsidRDefault="00DE14C9" w:rsidP="00DE14C9">
      <w:pPr>
        <w:pStyle w:val="TextoNormal"/>
      </w:pPr>
    </w:p>
    <w:p w:rsidR="00DE14C9" w:rsidRDefault="00DE14C9" w:rsidP="00DE14C9">
      <w:pPr>
        <w:pStyle w:val="TextoNormal"/>
      </w:pPr>
      <w:r w:rsidRPr="00DE14C9">
        <w:rPr>
          <w:rStyle w:val="NumeroAFNegritaCaracter"/>
        </w:rPr>
        <w:t>11</w:t>
      </w:r>
      <w:r>
        <w:t>. Por escrito fechado el 5 de junio de 2007, el Magistrado don Jorge Rodríguez-Zapata Pérez comunicó a la Presidenta de este Tribunal su propósito de abstenerse en el debate y votación de la resolución de la presente cuestión de inconstitucionalidad, por entender que concurre en su persona la causa de abstención 13ª del art. 219 LOPJ, como consecuencia de haber desempeñado el cargo de Vicepresidente de la Comisión Mixta creada por el Real Decreto 287/1989, de 21 de marzo, por el que se desarrolló el art. 25 de la Ley 22/1987, de propiedad intelectual. Señala en su escrito que mediante dicha Comisión Mixta se puso en marcha el mecanismo de la remuneración por copia privada y su administración a través de las entidades de gestión a que se refiere la cuestión de inconstitucionalidad. Añade que habiendo sido nombrado por Orden del Ministro de Cultura de 21 de septiembre de 1989 (“Boletín Oficial del Estado” de 4 de octubre de 1989) desempeñó el cargo hasta su renuncia al mismo por haber sido designado Magistrado del Tribunal Supremo, renuncia hecha pública por Orden del Ministro de Cultura de 15 de marzo de 1991 (“Boletín Oficial del Estado” de 8 de abril de 1991).</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12</w:t>
      </w:r>
      <w:r>
        <w:t xml:space="preserve">. Mediante Auto de 19 de junio de 2007, el Pleno de este Tribunal acordó no estimar justificada dicha abstención, toda vez que la circunstancia alegada por el Magistrado don Jorge Rodríguez-Zapata Pérez no puede encontrar acomodo en ninguna de las causas contempladas en el art. 219 LOPJ. El hecho de que don Jorge Rodríguez-Zapata Pérez hubiese desempeñado el cargo de Vicepresidente de la Comisión Mixta creada por el Real Decreto 287/1989, de 21 de marzo, hasta su cese por renuncia, al haber sido designado Magistrado del Tribunal Supremo, no determina su inidoneidad para enjuiciar la cuestión debatida en este proceso constitucional, cuyo objeto resulta ajeno a los cometidos desempeñados por la referida Comisión Mixta, toda vez que la misma se ocupó de la puesta en marcha del mecanismo de remuneración por copia privada y su administración a través de las entidades de gestión previsto en el art. 25 de la Ley 22/1987, de 11 de noviembre, de propiedad intelectual (desarrollado por los arts. 15 a 17 del Real Decreto 287/1989, de 21 de marzo), mientras que el objeto de la presente cuestión de inconstitucionalidad se refiere al párrafo segundo del art. 150 del texto refundido de la Ley de propiedad intelectual, aprobado por Real Decreto Legislativo 1/1996, de 12 de abril (en la numeración resultante de la Ley 5/1998, de 6 de marzo), al entender el Juzgado proponente que el Gobierno podría haber incurrido al redactar dicho precepto en exceso en la refundición o vicio de ultra vires, por lo que estaría en contradicción con los arts. 9.3, 66.2 y 82 CE. </w:t>
      </w:r>
    </w:p>
    <w:p w:rsidR="00DE14C9" w:rsidRDefault="00DE14C9" w:rsidP="00DE14C9">
      <w:pPr>
        <w:pStyle w:val="TextoNormal"/>
      </w:pPr>
      <w:r>
        <w:t>No resulta de aplicación, pues, en este caso, la invocada causa 13ª del art. 219 LOPJ, toda vez que don Jorge Rodríguez-Zapata Pérez no ha ocupado cargo público, desempeñado empleo o ejercido profesión con ocasión de los cuales haya participado directa o indirectamente en el asunto que constituye el objeto de la presente cuestión de inconstitucionalidad, ni existe, por tanto, riesgo para su imparcialidad.</w:t>
      </w:r>
    </w:p>
    <w:p w:rsidR="00DE14C9" w:rsidRDefault="00DE14C9" w:rsidP="00DE14C9">
      <w:pPr>
        <w:pStyle w:val="TextoNormal"/>
      </w:pPr>
    </w:p>
    <w:p w:rsidR="00DE14C9" w:rsidRDefault="00DE14C9" w:rsidP="00DE14C9">
      <w:pPr>
        <w:pStyle w:val="TextoNormal"/>
      </w:pPr>
      <w:r w:rsidRPr="00DE14C9">
        <w:rPr>
          <w:rStyle w:val="NumeroAFNegritaCaracter"/>
        </w:rPr>
        <w:t>13</w:t>
      </w:r>
      <w:r>
        <w:t>. Por providencia de 3 de julio de 2007 se acordó señalar para deliberación y votación de la presente Sentencia el día 4 del mismo mes y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El Juzgado de Primera Instancia núm. 46 de Madrid plantea cuestión de inconstitucionalidad respecto del párrafo segundo del art. 150 del texto refundido de la Ley de propiedad intelectual, aprobado por Real Decreto Legislativo 1/1996, de 12 de abril, en la numeración resultante de la Ley 5/1998, de 6 de marzo, por entender que el referido precepto puede ser contrario a los arts. 9.3, 66.2 y 82 CE.</w:t>
      </w:r>
    </w:p>
    <w:p w:rsidR="00DE14C9" w:rsidRDefault="00DE14C9" w:rsidP="00DE14C9">
      <w:pPr>
        <w:pStyle w:val="TextoNormal"/>
      </w:pPr>
      <w:r>
        <w:t xml:space="preserve">El Juzgado advierte que la regla contenida en el párrafo segundo del art. 150 del texto refundido de la Ley de propiedad intelectual de 1996 no se cuestiona en cuanto a su contenido, toda vez que “es la única que asegura una protección realmente eficaz de unos derechos tan difícilmente materializables como los de propiedad intelectual”, sino exclusivamente por razones formales, esto es, por exceso en el ejercicio de la delegación legislativa contenida en la disposición final segunda de la Ley 27/1995, de 11 de octubre, que autorizó al Gobierno a elaborar un texto que refundiese las disposiciones legales vigentes en materia de propiedad intelectual, regularizando, aclarando y armonizando los textos legales que hubieren de ser refundidos. El Juzgado considera que el Gobierno ha incurrido en exceso en la refundición o ultra vires, pues el art. 135 de la Ley de propiedad intelectual 22/1987, de 31 de diciembre, reconocía a las entidades de gestión autorizadas legitimación para actuar en nombre de sus asociados, pero en modo alguno se establecía en dicho precepto (ni en ninguno de los textos legales que son objeto de refundición) la presunción que introduce el </w:t>
      </w:r>
      <w:r>
        <w:lastRenderedPageBreak/>
        <w:t>precepto cuestionado de que los derechos de propiedad intelectual ejercitados en un proceso por la entidad de gestión están encomendados a la gestión de ésta, con la correlativa inversión de la carga de la prueba, limitándose además los medios de oposición de la parte contraria.</w:t>
      </w:r>
    </w:p>
    <w:p w:rsidR="00DE14C9" w:rsidRDefault="00DE14C9" w:rsidP="00DE14C9">
      <w:pPr>
        <w:pStyle w:val="TextoNormal"/>
      </w:pPr>
    </w:p>
    <w:p w:rsidR="00DE14C9" w:rsidRDefault="00DE14C9" w:rsidP="00DE14C9">
      <w:pPr>
        <w:pStyle w:val="TextoNormal"/>
      </w:pPr>
      <w:r w:rsidRPr="00DE14C9">
        <w:rPr>
          <w:rStyle w:val="NumeroAFNegritaCaracter"/>
        </w:rPr>
        <w:t>2</w:t>
      </w:r>
      <w:r>
        <w:t>. Así planteada la cuestión, es oportuno señalar que, como venimos señalando desde antiguo (SSTC 51/1982, de 19 de julio, FJ 1, y 47/1984, de 4 de abril, FJ 3) y hemos reiterado posteriormente (SSTC 61/1997, de 20 de marzo, FJ 2.a; 159/2001, de 5 de julio, FJ 5; 205/1993, de 17 de junio, FFJJ 3 a 6; y 51/2004, de 5 de julio, FFJJ 5 a 8), este Tribunal es competente, en virtud de los arts. 163 CE y 27.2 b) LOTC, para ejercer su control de constitucionalidad sobre los Decretos Legislativos, tanto por razones materiales (si el precepto cuestionado es, por razón de su contenido, contrario a la Constitución), como por razones formales (si se ha incurrido en exceso en el ejercicio de la delegación legislativa o ultra vires), y ello sin perjuicio de que este control sea compartido con el que corresponde la jurisdicción contencioso-administrativa (art. 82.6 CE y art. 1.1 de la Ley 29/1998, de 13 de julio, reguladora de la jurisdicción contencioso-administrativa).</w:t>
      </w:r>
    </w:p>
    <w:p w:rsidR="00DE14C9" w:rsidRDefault="00DE14C9" w:rsidP="00DE14C9">
      <w:pPr>
        <w:pStyle w:val="TextoNormal"/>
      </w:pPr>
    </w:p>
    <w:p w:rsidR="00DE14C9" w:rsidRDefault="00DE14C9" w:rsidP="00DE14C9">
      <w:pPr>
        <w:pStyle w:val="TextoNormal"/>
      </w:pPr>
      <w:r w:rsidRPr="00DE14C9">
        <w:rPr>
          <w:rStyle w:val="NumeroAFNegritaCaracter"/>
        </w:rPr>
        <w:t>3</w:t>
      </w:r>
      <w:r>
        <w:t>. Efectuada la precisión que antecede, resulta pertinente reproducir el contenido del precepto objeto de la presente cuestión de inconstitucionalidad en el momento de ser planteada. Concretamente, el art. 145 del texto refundido de la Ley de propiedad intelectual aprobado por Real Decreto Legislativo 1/1996, de 12 de abril, que pasó a ser art. 150 en la numeración resultante de la Ley 5/1998, de 6 de marzo (que entró en vigor el 1 de abril de 1998), disponía lo siguiente:</w:t>
      </w:r>
    </w:p>
    <w:p w:rsidR="00DE14C9" w:rsidRDefault="00DE14C9" w:rsidP="00DE14C9">
      <w:pPr>
        <w:pStyle w:val="TextoNormal"/>
      </w:pPr>
      <w:r>
        <w:t>“Las entidades de gestión, una vez autorizadas, estarán legitimadas, en los términos que resulten de sus propios estatutos, para ejercer los derechos confiados a su gestión y hacerlos valer en toda clase de procedimientos administrativos o judiciales.</w:t>
      </w:r>
    </w:p>
    <w:p w:rsidR="00DE14C9" w:rsidRDefault="00DE14C9" w:rsidP="00DE14C9">
      <w:pPr>
        <w:pStyle w:val="TextoNormal"/>
      </w:pPr>
      <w:r>
        <w:t>A los efectos establecidos en el artículo 503 de la Ley de Enjuiciamiento Civil, la entidad de gestión estará obligada a aportar al proceso copia de sus estatutos, así como certificación acreditativa de su autorización administrativa. El demandado podrá oponer exclusivamente, acreditándolo debidamente, la falta de representación de la actora, la autorización del titular del derecho exclusivo, o el pago de la remuneración correspondiente”.</w:t>
      </w:r>
    </w:p>
    <w:p w:rsidR="00DE14C9" w:rsidRDefault="00DE14C9" w:rsidP="00DE14C9">
      <w:pPr>
        <w:pStyle w:val="TextoNormal"/>
      </w:pPr>
      <w:r>
        <w:t>Según ha quedado expuesto, es exclusivamente el párrafo segundo del art. 150 del texto refundido de la Ley de propiedad intelectual de 1996, en la numeración resultante de la Ley 5/1998, de 6 de marzo, el precepto al que se ciñen las dudas de constitucionalidad del Juzgado promovente, por entender que dicho párrafo segundo incurre en el vicio formal de ultra vires o exceso en el ejercicio de la delegación legislativa.</w:t>
      </w:r>
    </w:p>
    <w:p w:rsidR="00DE14C9" w:rsidRDefault="00DE14C9" w:rsidP="00DE14C9">
      <w:pPr>
        <w:pStyle w:val="TextoNormal"/>
      </w:pPr>
      <w:r>
        <w:t>Conviene precisar que el párrafo segundo del art. 150 del texto refundido de la Ley de propiedad intelectual de 1996 (art. 145 en su redacción inicial) contiene dos reglas de diferente alcance. Así, mientras en la primera se relaciona la documentación que habrá de acompañarse a la demanda interpuesta por una entidad de gestión cuando actúe en defensa de los derechos de propiedad intelectual, en la segunda se limitan las excepciones que la parte demandada puede oponer en los procesos iniciados a instancia de este tipo de entidades.</w:t>
      </w:r>
    </w:p>
    <w:p w:rsidR="00DE14C9" w:rsidRDefault="00DE14C9" w:rsidP="00DE14C9">
      <w:pPr>
        <w:pStyle w:val="TextoNormal"/>
      </w:pPr>
      <w:r>
        <w:t xml:space="preserve">Ahora bien, como ya tuvimos ocasión de señalar en nuestro ATC 21/2001, de 30 de enero, FJ 2 (que inadmite a trámite otra cuestión de inconstitucionalidad planteada respecto del mismo precepto, en la que también se aducía por el órgano judicial promovente de la cuestión la concurrencia del vicio de ultra vires), ese segundo contenido del párrafo segundo del art. 145 del texto refundido de la Ley de propiedad intelectual de 1996 (que pasó a ser art. 150 tras la Ley 5/1998, de 6 de marzo), quedó anulado (por incurrir en ultra vires y por </w:t>
      </w:r>
      <w:r>
        <w:lastRenderedPageBreak/>
        <w:t>omisión del dictamen preceptivo del Consejo General del Poder Judicial) por la Sentencia de la Sección Tercera de la Sala de lo Contencioso-Administrativo del Tribunal Supremo de 9 de febrero de 2000 (BOE núm.  74, de 27 de marzo de 2000), que resolvió el recurso contencioso-administrativo núm. 486-1996, interpuesto contra el Real Decreto Legislativo 1/1996, de 12 de abril, por el que se aprueba el texto refundido de la Ley de propiedad intelectual; dicho pronunciamiento se reitera en otras Sentencias de la misma Sección de la Sala de lo Contencioso-Administrativo del Tribunal Supremo del siguiente día 10 de febrero de 2000, parcialmente estimatorias de los recursos núms. 483-1996, 485-1996 y 487-1996, cuyo objeto era asimismo el art. 145 (entre otros) del Real Decreto Legislativo 1/1996, de 12 de abril.</w:t>
      </w:r>
    </w:p>
    <w:p w:rsidR="00DE14C9" w:rsidRDefault="00DE14C9" w:rsidP="00DE14C9">
      <w:pPr>
        <w:pStyle w:val="TextoNormal"/>
      </w:pPr>
    </w:p>
    <w:p w:rsidR="00DE14C9" w:rsidRDefault="00DE14C9" w:rsidP="00DE14C9">
      <w:pPr>
        <w:pStyle w:val="TextoNormal"/>
      </w:pPr>
      <w:r w:rsidRPr="00DE14C9">
        <w:rPr>
          <w:rStyle w:val="NumeroAFNegritaCaracter"/>
        </w:rPr>
        <w:t>4</w:t>
      </w:r>
      <w:r>
        <w:t>. Por otra parte debe tenerse en cuenta que la disposición final segunda, 4, de la Ley 1/2000, de 7 de enero, de enjuiciamiento civil, ha dado nueva redacción (con vigencia a partir del 8 de enero de 2001, según establece la disposición final vigésimo primera) al art. 150 del texto refundido de la Ley de propiedad intelectual aprobado por Real Decreto Legislativo 1/1996, de 12 de abril. Conforme a la referida disposición, el párrafo primero del art. 150 mantiene la redacción original del precepto, en tanto que el párrafo segundo, al que se refiere la presente cuestión, queda así redactado:</w:t>
      </w:r>
    </w:p>
    <w:p w:rsidR="00DE14C9" w:rsidRDefault="00DE14C9" w:rsidP="00DE14C9">
      <w:pPr>
        <w:pStyle w:val="TextoNormal"/>
      </w:pPr>
      <w:r>
        <w:t>“Para acreditar dicha legitimación, la entidad de gestión únicamente deberá aportar al inicio del proceso copia de sus estatutos y certificación acreditativa de su autorización administrativa. El demandado sólo podrá fundar su oposición en la falta de representación de la actora, la autorización del titular del derecho exclusivo, o el pago de la remuneración correspondiente”.</w:t>
      </w:r>
    </w:p>
    <w:p w:rsidR="00DE14C9" w:rsidRDefault="00DE14C9" w:rsidP="00DE14C9">
      <w:pPr>
        <w:pStyle w:val="TextoNormal"/>
      </w:pPr>
      <w:r>
        <w:t>Así pues, como puede verse, más allá de meras variaciones terminológicas, la actual redacción del precepto cuestionado mantiene, con el mismo significado y alcance, las dos reglas que contenía dicho precepto en su redacción inicial de 1996, a las que hacíamos referencia en el citado ATC 21/2001, de 30 de enero.</w:t>
      </w:r>
    </w:p>
    <w:p w:rsidR="00DE14C9" w:rsidRDefault="00DE14C9" w:rsidP="00DE14C9">
      <w:pPr>
        <w:pStyle w:val="TextoNormal"/>
      </w:pPr>
      <w:r>
        <w:t>Al respecto debe recordarse que, según reiterada doctrina de este Tribunal, en los procesos que dimanan de cuestiones de inconstitucionalidad, la derogación, modificación o sustitución de la norma cuya constitucionalidad se pone en duda no priva de sentido al proceso constitucional, ni impide, por sí sola, el juicio de constitucionalidad sobre la misma, toda vez que la posible aplicación de la norma derogada, modificada o sustituida en el proceso a quo puede hacer necesario el pronunciamiento de este Tribunal. De modo que, a diferencia de lo que, por regla general, acontece en los recursos de inconstitucionalidad, en las cuestiones de inconstitucionalidad los efectos extintivos sobre el objeto del proceso como consecuencia de la derogación, modificación o sustitución de la norma cuestionada vienen determinados por el hecho de que tras esas operaciones resulte o no aplicable al proceso a quo y de que de su validez dependa la decisión a adoptar en el mismo (por todas, SSTC 233/1999, de 16 de diciembre, FJ 3; 63/2003, de 27 de marzo, FJ 3; 37/2004, de 11 de marzo, FJ 1; y 253/2004, de 22 de diciembre, FJ 4).</w:t>
      </w:r>
    </w:p>
    <w:p w:rsidR="00DE14C9" w:rsidRDefault="00DE14C9" w:rsidP="00DE14C9">
      <w:pPr>
        <w:pStyle w:val="TextoNormal"/>
      </w:pPr>
      <w:r>
        <w:t xml:space="preserve">En el presente caso, resulta obvio que la posterior sustitución del precepto legal cuestionado no puede conllevar la pérdida sobrevenida del objeto de la cuestión de inconstitucionalidad ahora considerada, pues el juicio de constitucionalidad que sobre aquél habríamos de efectuar se conecta con su aplicación a un concreto proceso en el que el órgano judicial promotor de la cuestión ha de resolver sobre la pretensión ejercitada a la luz de la normativa vigente y aplicable en el concreto momento en el que se suscitó el proceso a quo, teniendo en cuenta que la actual redacción del art. 150 del texto refundido de la Ley de propiedad intelectual es aplicable desde el 8 de enero de 2001, y que los procesos declarativos que se </w:t>
      </w:r>
      <w:r>
        <w:lastRenderedPageBreak/>
        <w:t>encuentren en primera instancia a dicha fecha (como sucede con el proceso a quo), se continúan sustanciando, hasta que recaiga sentencia, conforme a la legislación procesal anterior (disposición transitoria segunda de la Ley 1/2000, de 7 de enero, de enjuiciamiento civil).</w:t>
      </w:r>
    </w:p>
    <w:p w:rsidR="00DE14C9" w:rsidRDefault="00DE14C9" w:rsidP="00DE14C9">
      <w:pPr>
        <w:pStyle w:val="TextoNormal"/>
      </w:pPr>
    </w:p>
    <w:p w:rsidR="00DE14C9" w:rsidRDefault="00DE14C9" w:rsidP="00DE14C9">
      <w:pPr>
        <w:pStyle w:val="TextoNormal"/>
      </w:pPr>
      <w:r w:rsidRPr="00DE14C9">
        <w:rPr>
          <w:rStyle w:val="NumeroAFNegritaCaracter"/>
        </w:rPr>
        <w:t>5</w:t>
      </w:r>
      <w:r>
        <w:t>. Una vez sentadas las precisiones que anteceden, resulta obligado que examinemos los óbices procesales que el Fiscal General del Estado ha opuesto en sus alegaciones a la admisión de la presente cuestión de inconstitucionalidad, por estimar que no se ha cumplido debidamente el trámite de audiencia a las partes y al Ministerio Fiscal que exige el art. 35.2 LOTC, ni se ha exteriorizado tampoco en el Auto de planteamiento de la cuestión el denominado juicio de relevancia conforme a lo establecido en el referido precepto.</w:t>
      </w:r>
    </w:p>
    <w:p w:rsidR="00DE14C9" w:rsidRDefault="00DE14C9" w:rsidP="00DE14C9">
      <w:pPr>
        <w:pStyle w:val="TextoNormal"/>
      </w:pPr>
      <w:r>
        <w:t>A tal efecto hemos de recordar una vez más que, aun cuando el art. 37.1 LOTC abre la posibilidad de rechazar en trámite de admisión las cuestiones de inconstitucionalidad planteadas por los órganos judiciales cuando faltaren las condiciones procesales (entre otros muchos, AATC 42/1998, de 18 de febrero, FJ 1; 21/2001, de 30 de enero, FJ 1; 25/2003, de 28 de enero, FJ 3; 188/2003, de 3 de junio, FJ 1; y 206/2005, de 10 de mayo, FJ 2), no existe ningún óbice para hacer un pronunciamiento de la misma naturaleza en la fase de resolución de las mismas, esto es,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(por todas, SSTC 133/2004, de 22 de julio, FJ 1; 255/2004, de 22 de diciembre, FJ 2; y 224/2006, de 6 de julio, FJ 4).</w:t>
      </w:r>
    </w:p>
    <w:p w:rsidR="00DE14C9" w:rsidRDefault="00DE14C9" w:rsidP="00DE14C9">
      <w:pPr>
        <w:pStyle w:val="TextoNormal"/>
      </w:pPr>
    </w:p>
    <w:p w:rsidR="00DE14C9" w:rsidRDefault="00DE14C9" w:rsidP="00DE14C9">
      <w:pPr>
        <w:pStyle w:val="TextoNormal"/>
      </w:pPr>
      <w:r w:rsidRPr="00DE14C9">
        <w:rPr>
          <w:rStyle w:val="NumeroAFNegritaCaracter"/>
        </w:rPr>
        <w:t>6</w:t>
      </w:r>
      <w:r>
        <w:t>. Por lo que se refiere al trámite de audiencia del art. 35.2 LOTC, es doctrina reiterada de este Tribunal que dicho trámite debe satisfacer dos funciones que le son inherentes: de un lado, garantizar una efectiva y real audiencia a las partes y al Ministerio Fiscal ante una posible decisión de tanta entidad como lo es la apertura de un proceso constitucional, poniendo a disposición del órgano judicial un medio que le permita conocer con rigor la opinión de los sujetos interesados; y, de otro lado, facilitar el examen por parte de este Tribunal acerca de la viabilidad de la cuestión misma y el alcance del problema constitucional en ella planteado.</w:t>
      </w:r>
    </w:p>
    <w:p w:rsidR="00DE14C9" w:rsidRDefault="00DE14C9" w:rsidP="00DE14C9">
      <w:pPr>
        <w:pStyle w:val="TextoNormal"/>
      </w:pPr>
      <w:r>
        <w:t>En tal sentido, este Tribunal ha insistido en que la importancia del trámite de audiencia del art. 35.2 LOTC no puede minimizarse reduciéndolo a un simple trámite carente de más trascendencia que la de su obligatoria concesión, cualesquiera que sean los términos en que ésta se acuerde, debiendo versar las alegaciones de las partes y del Ministerio Fiscal fundamentalmente sobre la vinculación entre la norma citada y apreciada por el órgano judicial como cuestionable y los supuestos de hecho que se dan en el caso sometido a su resolución, así como sobre el juicio de conformidad entre la norma y la Constitución.</w:t>
      </w:r>
    </w:p>
    <w:p w:rsidR="00DE14C9" w:rsidRDefault="00DE14C9" w:rsidP="00DE14C9">
      <w:pPr>
        <w:pStyle w:val="TextoNormal"/>
      </w:pPr>
      <w:r>
        <w:t xml:space="preserve">Por ello, la providencia por la que se otorgue el trámite de audiencia a las partes y al Ministerio Fiscal ha de especificar los preceptos legales cuestionados y los preceptos constitucionales que se consideren vulnerados, o bien, a falta de una cita concreta de los preceptos constitucionales supuestamente vulnerados, ha de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Finalmente es preciso que en el Auto de planteamiento de la cuestión no se introduzcan elementos nuevos que los sujetos interesados en el proceso no hayan podido previamente conocer ni, por ello, apreciar o impugnar su </w:t>
      </w:r>
      <w:r>
        <w:lastRenderedPageBreak/>
        <w:t>relevancia para el planteamiento de la cuestión, privándose así al órgano judicial de la opinión de aquéllos y no facilitándoles su reflexión sobre los mismos, pues ello es susceptible de desvirtuar el trámite de audiencia del art. 35.2 LOTC [por todas, SSTC 166/1986, de 19 de diciembre, FJ 4; 126/1997, de 3 de julio, FJ 4 a); 120/2000, de 10 de mayo, FJ 2; 224/2006, de 6 de julio, FJ 4; y 312/2006, de 8 de noviembre, FJ 2; y AATC 152/2000, de 13 de junio; 65/2001, de 27 de marzo; 199/2001, de 4 de julio; 3/2003, de 14 de enero; 29/2003, de 28 de enero; 367/2003, de 13 de noviembre; 60/2005, de 2 de febrero; 56/2006, de 15 de febrero; 135/2006, de 4 de abril; 164/2006, de 9 de mayo; y 173/2006, de 6 de junio, entre otros muchos].</w:t>
      </w:r>
    </w:p>
    <w:p w:rsidR="00DE14C9" w:rsidRDefault="00DE14C9" w:rsidP="00DE14C9">
      <w:pPr>
        <w:pStyle w:val="TextoNormal"/>
      </w:pPr>
      <w:r>
        <w:t>Pues bien, como ha quedado señalado, el Fiscal General del Estado aduce, en primer lugar, que en la providencia de 18 de junio de 1998 por la que el Juzgado proponente dio trámite de audiencia a las partes y al Ministerio Fiscal sobre la pertinencia del planteamiento de la cuestión de inconstitucionalidad, se incumple manifiestamente el citado art. 35.2 LOTC, por cuanto no se especifica ni el precepto legal que se estima inconstitucional, ni los preceptos de la Constitución que se suponen infringidos.</w:t>
      </w:r>
    </w:p>
    <w:p w:rsidR="00DE14C9" w:rsidRDefault="00DE14C9" w:rsidP="00DE14C9">
      <w:pPr>
        <w:pStyle w:val="TextoNormal"/>
      </w:pPr>
      <w:r>
        <w:t>Por otro lado, según quedó expuesto en los antecedentes de la presente Sentencia, esta deficiencia en el trámite de audiencia también fue puesta de manifiesto en el proceso a quo al Juzgado proponente de la cuestión por el Ministerio Fiscal, que, al serle notificada la referida providencia de 18 de junio de 1998, por la que se procedió a la apertura del trámite de audiencia del art. 35.2 LOTC, indicó que se abstenía de emitir informe por no haberse concretado en la providencia la disposición legal cuestionada y el precepto constitucional supuestamente infringido, ni haberse especificado en qué medida la decisión a adoptar depende de la validez de la norma cuestionada.</w:t>
      </w:r>
    </w:p>
    <w:p w:rsidR="00DE14C9" w:rsidRDefault="00DE14C9" w:rsidP="00DE14C9">
      <w:pPr>
        <w:pStyle w:val="TextoNormal"/>
      </w:pPr>
      <w:r>
        <w:t>En cuanto a las partes en el proceso a quo, la sociedad demandante se opuso al planteamiento de la cuestión de inconstitucionalidad, al entender que el art. 145.2 del texto refundido de la Ley de propiedad intelectual, aprobado por Real Decreto Legislativo 1/1996, de 12 de abril, no rebasa los límites de la delegación legislativa del art. 82 CE, pues el Gobierno se ha limitado a aclarar el contenido del art. 135 de la Ley de propiedad intelectual 22/1987, de 11 de noviembre, sin que dicho precepto vulnere los arts. 14, 24 y 33 CE. En cambio, la sociedad demandada estimó pertinente el planteamiento de la cuestión, por entender que el art. 145.2 del texto refundido de la Ley de propiedad intelectual, lesiona el art. 82.5 CE, al haberse extralimitado el Gobierno en su labor de refundición; además considera la demandada que el referido art. 145.2 es contrario a los arts. 14, 24 y 33 CE.</w:t>
      </w:r>
    </w:p>
    <w:p w:rsidR="00DE14C9" w:rsidRDefault="00DE14C9" w:rsidP="00DE14C9">
      <w:pPr>
        <w:pStyle w:val="TextoNormal"/>
      </w:pPr>
      <w:r>
        <w:t>En fin, en el Auto de planteamiento de la cuestión de inconstitucionalidad se señala como precepto legal cuestionado el párrafo segundo del art. 150 del texto refundido de la Ley de propiedad intelectual, aprobado por Real Decreto Legislativo 1/1996, de 12 de abril, en la numeración resultante de la Ley 5/1998, de 6 de marzo, y como preceptos constitucionales infringidos los arts. 9.3, 66.2 y 82 CE, por exceso en la refundición legislativa o ultra vires.</w:t>
      </w:r>
    </w:p>
    <w:p w:rsidR="00DE14C9" w:rsidRDefault="00DE14C9" w:rsidP="00DE14C9">
      <w:pPr>
        <w:pStyle w:val="TextoNormal"/>
      </w:pPr>
      <w:r>
        <w:t xml:space="preserve">Así pues, no existe coincidencia en el Auto de planteamiento con el precepto legal sobre cuya posible inconstitucionalidad, por ultra vires, alegaron las partes, esto es, el párrafo segundo del art. 145 del texto refundido de la Ley de propiedad intelectual, aprobado por Real Decreto Legislativo 1/1996, de 12 de abril, toda vez que el Juzgado plantea la cuestión sobre el párrafo segundo del art. 150 del texto refundido de la Ley de propiedad intelectual, que, si bien se corresponde con el anterior párrafo segundo del art. 145, es el resultado de la renumeración introducida por la Ley 5/1998, de 6 de marzo, sin que esta imprecisión en la identificación de la norma cuestionada resulte irrelevante, como se da por sentado en el Auto de planteamiento de la cuestión, por las razones que luego se dirán. Por otra parte, </w:t>
      </w:r>
      <w:r>
        <w:lastRenderedPageBreak/>
        <w:t>tampoco existe coincidencia plena en el Auto de planteamiento con los preceptos constitucionales sobre cuya posible vulneración se pronunciaron las partes en el trámite de audiencia.</w:t>
      </w:r>
    </w:p>
    <w:p w:rsidR="00DE14C9" w:rsidRDefault="00DE14C9" w:rsidP="00DE14C9">
      <w:pPr>
        <w:pStyle w:val="TextoNormal"/>
      </w:pPr>
      <w:r>
        <w:t>Teniendo en cuenta lo expuesto, y de acuerdo con la doctrina constitucional referenciada, ha de concluirse que el requisito de la previa audiencia a las partes y al Ministerio Fiscal acerca de la pertinencia de plantear la cuestión de inconstitucionalidad (art. 35.2 LOTC) no fue cumplido correctamente por el Juzgado proponente de la cuestión, pues en la providencia de apertura del trámite se omite cualquier mención al precepto legal cuestionado y a los preceptos constitucionales que se consideran por aquél vulnerados, sin que, a falta de la cita concreta de los preceptos constitucionales supuestamente vulnerados, se identifique tampoco mínimamente la duda de constitucionalidad que albergaba el Juzgado, por lo que no cabe entender que esta exigencia se cumple por la remisión “tácita” al escrito de una de las partes en el proceso (en el presente caso el escrito de contestación a la demanda de la sociedad demandada, que interesaba del Juzgado el planteamiento de la cuestión de inconstitucionalidad respecto del párrafo segundo del art. 145 del texto refundido de la Ley de propiedad intelectual, por ultra vires), conforme hemos tenido ocasión de señalar en reiteradas ocasiones (por todos, AATC 199/2001, de 4 de julio, FJ 2; 72/2002, de 23 de abril, FJ 2; 238/2002, de 26 de noviembre, FJ 2; y 2/2003, de 14 de enero, FJ 2).</w:t>
      </w:r>
    </w:p>
    <w:p w:rsidR="00DE14C9" w:rsidRDefault="00DE14C9" w:rsidP="00DE14C9">
      <w:pPr>
        <w:pStyle w:val="TextoNormal"/>
      </w:pPr>
      <w:r>
        <w:t>A lo expuesto cabe añadir que, a la vista de las alegaciones efectuadas por el Ministerio Fiscal en las que se ponían de manifiesto las deficiencias advertidas en la mencionada providencia de 18 de junio de 1998, el Juzgado tuvo la oportunidad de subsanar tales deficiencias procediendo a la apertura de un nuevo tramite de audiencia del art. 35.2 LOTC, mediante el dictado de una nueva providencia en la que se identificasen tanto el precepto legal cuestionado como los preceptos constitucionales pretendidamente vulnerados (STC 312/2006, de 8 de noviembre, FJ 2), subsanación a la que no procedió el órgano judicial, resultando, en definitiva, incumplidas las exigencias del trámite de audiencia del art. 35.2 LOTC.</w:t>
      </w:r>
    </w:p>
    <w:p w:rsidR="00DE14C9" w:rsidRDefault="00DE14C9" w:rsidP="00DE14C9">
      <w:pPr>
        <w:pStyle w:val="TextoNormal"/>
      </w:pPr>
    </w:p>
    <w:p w:rsidR="00DE14C9" w:rsidRDefault="00DE14C9" w:rsidP="00DE14C9">
      <w:pPr>
        <w:pStyle w:val="TextoNormal"/>
      </w:pPr>
      <w:r w:rsidRPr="00DE14C9">
        <w:rPr>
          <w:rStyle w:val="NumeroAFNegritaCaracter"/>
        </w:rPr>
        <w:t>7</w:t>
      </w:r>
      <w:r>
        <w:t>. Alega asimismo el Fiscal General del Estado que tampoco se cumple el requisito relativo a la exteriorización del juicio de relevancia que exige el art. 35.2 LOTC en el Auto de planteamiento de la cuestión, juicio de relevancia que se da por supuesto por el Juzgado, sin mayores explicaciones.</w:t>
      </w:r>
    </w:p>
    <w:p w:rsidR="00DE14C9" w:rsidRDefault="00DE14C9" w:rsidP="00DE14C9">
      <w:pPr>
        <w:pStyle w:val="TextoNormal"/>
      </w:pPr>
      <w:r>
        <w:t>Al respecto debe recordarse que es doctrina reiterada de este Tribunal que el juicio de relevancia constituye uno de los requisitos esenciales de toda cuestión de inconstitucionalidad, por cuanto a su través se garantiza el control concreto de la constitucionalidad de la ley, impidiendo que el órgano judicial convierta dicho control en abstracto, pues para realizar este tipo de control carece aquél de legitimación. Dicho juicio de relevancia ha sido definido por este Tribunal como “el esquema argumental dirigido a probar que el fallo del proceso judicial depende de la validez de la norma cuestionada” (STC 17/1981, de 1 de junio, FJ 1, y AATC 93/1999, de 13 de abril, FJ 3, y 21/2001, de 31 de enero, FJ 1, por todos) y constituye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(STC 64/2003, de 27 de marzo, FJ 5; AATC 24/2003, de 28 de enero, FJ 3; 25/2003, de 28 de enero, FJ 3; y 206/2005, de 10 de mayo, FJ 3, entre otros).</w:t>
      </w:r>
    </w:p>
    <w:p w:rsidR="00DE14C9" w:rsidRDefault="00DE14C9" w:rsidP="00DE14C9">
      <w:pPr>
        <w:pStyle w:val="TextoNormal"/>
      </w:pPr>
      <w:r>
        <w:t xml:space="preserve">Pues bien, lo cierto es que, conforme indica el Fiscal General del Estado en sus alegaciones, en el Auto de planteamiento de la presente cuestión de inconstitucionalidad el Juzgado </w:t>
      </w:r>
      <w:r>
        <w:lastRenderedPageBreak/>
        <w:t>proponente se limita a afirmar (fundamento jurídico 7) que el precepto legal cuestionado es aplicable al caso y que de su validez depende el fallo a dictar, de modo que no explícita o exterioriza el denominado juicio de relevancia exigido por el art. 35.2 LOTC, requisito que resulta así incumplido, al igual que sucediera en las cuestiones de inconstitucionalidad planteadas en relación con el mismo precepto y en las que se suscitaba, como en el caso que ahora nos ocupa, la posible concurrencia de un pretendido exceso en la refundición legislativa (ultra vires), que fueron inadmitidas por los ya citados AATC 93/1999, de 13 de abril, y 21/2001, de 31 de enero.</w:t>
      </w:r>
    </w:p>
    <w:p w:rsidR="00DE14C9" w:rsidRDefault="00DE14C9" w:rsidP="00DE14C9">
      <w:pPr>
        <w:pStyle w:val="TextoNormal"/>
      </w:pPr>
      <w:r>
        <w:t>La defectuosa formulación del juicio de aplicabilidad que se aprecia en el presente caso, y que no puede subsanarse por este Tribunal en sustitución del órgano judicial cuestionante (por todas, SSTC 142/1990, de 20 de septiembre, FJ 1, y 64/2003, de 27 de marzo, FJ 7), cobra mayor relieve, si cabe, si se tiene en cuenta que el Juzgado promovente de la cuestión dice suscitar ésta inicialmente en relación con el párrafo segundo del art. 145 del texto refundido de la Ley de propiedad intelectual aprobado por Real Decreto Legislativo 1/1996, de 12 de abril, pero que debe entenderse referida al actual párrafo segundo del art. 150, conforme a la renumeración operada en virtud de la Ley 5/1998, de 6 de marzo.</w:t>
      </w:r>
    </w:p>
    <w:p w:rsidR="00DE14C9" w:rsidRDefault="00DE14C9" w:rsidP="00DE14C9">
      <w:pPr>
        <w:pStyle w:val="TextoNormal"/>
      </w:pPr>
      <w:r>
        <w:t>Sin embargo, como acertadamente señala el Abogado del Estado en su escrito de alegaciones, este desplazamiento automático de una a otra norma no resulta irrelevante, como se da por supuesto en el Auto de planteamiento de la cuestión, dado que la duda de constitucionalidad se refiere exclusivamente a un pretendido exceso en la actividad refundidora derivada de una delegación legislativa (vicio de ultra vires), exceso que en ningún caso cabe imputar, como es obvio, a la Ley 5/1998, de 6 de marzo, emanada directamente del poder legislativo, y cuya entrada en vigor se produjo el 1 de abril de 1998.</w:t>
      </w:r>
    </w:p>
    <w:p w:rsidR="00DE14C9" w:rsidRDefault="00DE14C9" w:rsidP="00DE14C9">
      <w:pPr>
        <w:pStyle w:val="TextoNormal"/>
      </w:pPr>
      <w:r>
        <w:t>Pues bien, teniendo en cuenta que a la fecha de dictarse el Auto de planteamiento de la cuestión (e incluso a la fecha en que se dictó la providencia por la que se procedía a la apertura del trámite de audiencia del art. 35.2 LOTC) ya había entrado en vigor la Ley 5/1998, de 6 de marzo, resultaba obligado que el Juzgado explicitara las razones por las que consideraba que el pretendido exceso en la refundición legislativa que afectaba al antiguo párrafo segundo del art. 145 del texto refundido de la Ley de propiedad intelectual, aprobado por Real Decreto Legislativo 1/1996, de 12 de abril, no resultaba sanado por la citada Ley 5/1998, de 6 de marzo.</w:t>
      </w:r>
    </w:p>
    <w:p w:rsidR="00DE14C9" w:rsidRDefault="00DE14C9" w:rsidP="00DE14C9">
      <w:pPr>
        <w:pStyle w:val="TextoNormal"/>
      </w:pPr>
      <w:r>
        <w:t>Y es que, en efecto, la Ley 5/1998, de 6 de marzo, de incorporación al Derecho español de la Directiva 96/9/CE, del Parlamento Europeo y del Consejo, de 11 de marzo de 1996, sobre la protección jurídica de las bases de datos, procede, por razones de eficacia y economía legislativa, como señala en su exposición de motivos, a incorporar directamente dicha Directiva en el texto refundido de la Ley de propiedad intelectual, aprobado por Real Decreto Legislativo 1/1996, de 12 de abril, lo que determina que la Ley 5/1998, de 6 de marzo, haya dado nueva redacción a alguno de los preceptos del citado texto refundido, introducido otros nuevos, y asimismo —como consecuencia de la introducción de esos nuevos preceptos para la incorporación de la referida Directiva— haya reordenado numéricamente otros preceptos del articulado del texto refundido, entre ellos el art. 145 que pasa a ser art. 150, bien que manteniendo su redacción inicial.</w:t>
      </w:r>
    </w:p>
    <w:p w:rsidR="00DE14C9" w:rsidRDefault="00DE14C9" w:rsidP="00DE14C9">
      <w:pPr>
        <w:pStyle w:val="TextoNormal"/>
      </w:pPr>
      <w:r>
        <w:t xml:space="preserve">No obstante, como señala el Abogado del Estado, de ese diverso alcance innovador de la Ley 5/1998, de 6 de marzo, no cabe inferir un distinto rango en la jerarquía de fuentes, por cuanto lo decisivo en la teoría de las normas es su conexión con la fuente o poder del que emanan y no sus contenidos materiales, como ya destacara la STC 61/1997, de 20 de marzo, FJ 4 a). Del mismo modo, el hecho de que un determinado texto legal mantenga su denominación primitiva tras una modificación parcial de su articulado es una cuestión semántica </w:t>
      </w:r>
      <w:r>
        <w:lastRenderedPageBreak/>
        <w:t>que atiende a razones de oportunidad, siendo lo relevante la voluntad del órgano que lo aprueba. Por ello, cuando el art. 6.4 de la Ley 5/1998, de 6 de marzo, establece que el nuevo art. 150 del texto refundido de la Ley de propiedad intelectual de 1996 tenga la misma redacción que el anterior art. 145, esa norma ya no es imputable a una refundición del poder ejecutivo en virtud de una delegación precedente, sino a la voluntad del propio poder legislativo, puesto que es éste quien manda observarla, aunque sea por vía de remisión: no redacta de nuevo el precepto, sino que asume su contenido con la redacción que ya tenía inicialmente en virtud del texto refundido de la Ley de propiedad intelectual de 1996.</w:t>
      </w:r>
    </w:p>
    <w:p w:rsidR="00DE14C9" w:rsidRDefault="00DE14C9" w:rsidP="00DE14C9">
      <w:pPr>
        <w:pStyle w:val="TextoNormal"/>
      </w:pPr>
      <w:r>
        <w:t>En suma, en virtud de la Ley 5/1998, de 6 de marzo, que ratifica el contenido del art. 145 del texto refundido de la Ley de propiedad intelectual de 1996, dando nueva numeración a este precepto, pero manteniendo íntegramente su redacción inicial, se produce la convalidación del posible exceso en que hubiera podido incurrir el Gobierno en el ejercicio de la refundición legislativa (vicio de ultra vires que, como ya quedó señalado, apreció la Sala de lo Contencioso-Administrativo del Tribunal Supremo en sus Sentencias de 9 y 10 de febrero de 2000 respecto del segundo inciso del párrafo segundo del art. 145 del texto refundido de la Ley de propiedad intelectual de 1996), lo que determina que la duda de constitucionalidad que se expresa por el Juzgado promovente de la presente cuestión carezca de fundamento tal como ha sido planteada.</w:t>
      </w:r>
    </w:p>
    <w:p w:rsidR="00DE14C9" w:rsidRDefault="00DE14C9" w:rsidP="00DE14C9">
      <w:pPr>
        <w:pStyle w:val="TextoNormal"/>
      </w:pPr>
    </w:p>
    <w:p w:rsidR="00DE14C9" w:rsidRDefault="00DE14C9" w:rsidP="00DE14C9">
      <w:pPr>
        <w:pStyle w:val="TextoNormal"/>
      </w:pPr>
      <w:r w:rsidRPr="00DE14C9">
        <w:rPr>
          <w:rStyle w:val="NumeroAFNegritaCaracter"/>
        </w:rPr>
        <w:t>8</w:t>
      </w:r>
      <w:r>
        <w:t>. Las consideraciones que han quedado expuestas conducen a la inadmisión de la presente cuestión de inconstitucionalidad, si bien cumple advertir que aunque la misma se entendiese referida a la inicial redacción del texto refundido de la Ley de propiedad intelectual de 1996, esto es, al párrafo segundo del art. 145 del citado texto refundido, aprobado por Real Decreto Legislativo 1/1996, de 12 de abril, por haber incurrido el Gobierno —a juicio del órgano judicial promovente de la cuestión— en vicio de ultra vires en el ejercicio de la delegación legislativa, se llegaría a la conclusión de desestimar la cuestión, por las razones que seguidamente se expresan.</w:t>
      </w:r>
    </w:p>
    <w:p w:rsidR="00DE14C9" w:rsidRDefault="00DE14C9" w:rsidP="00DE14C9">
      <w:pPr>
        <w:pStyle w:val="TextoNormal"/>
      </w:pPr>
      <w:r>
        <w:t>Ante todo ha de precisarse, como hemos señalado anteriormente, que dicho precepto (que pasó a ser art. 150 en virtud de la Ley 5/1998, de 6 de marzo), contenía dos incisos con sendas reglas distintas, habiendo sido anulado el segundo inciso (por ultra vires y por omisión del dictamen del Consejo General del Poder Judicial) por la Sentencia de la Sala de lo Contencioso-Administrativo del Tribunal Supremo de 9 de febrero de 2000 (cuyo fallo fue publicado en el “Boletín Oficial del Estado” núm.  74, de 27 de marzo de 2000), pronunciamiento reiterado en otras Sentencias de la misma Sala del siguiente 10 de febrero de 2000 (ATC 21/2001, de 30 de enero, FJ 2), por lo que carece de sentido que nos pronunciemos aquí sobre un inciso que ya ha sido anulado y expulsado, por tanto, del ordenamiento jurídico.</w:t>
      </w:r>
    </w:p>
    <w:p w:rsidR="00DE14C9" w:rsidRDefault="00DE14C9" w:rsidP="00DE14C9">
      <w:pPr>
        <w:pStyle w:val="TextoNormal"/>
      </w:pPr>
      <w:r>
        <w:t>Las dudas de constitucionalidad a las que se contrae nuestro pronunciamiento quedarían, pues, reducidas al primer inciso del párrafo segundo del art. 145 del texto refundido de la Ley de propiedad intelectual de 1996 en su redacción inicial, en el que se relaciona la documentación que habrá de acompañarse a la demanda interpuesta por una entidad de gestión, a los efectos establecidos en el art. 503 de la Ley de enjuiciamiento civil (LEC 1881), cuando actúe en defensa de los derechos de propiedad intelectual confiados a su administración. Cierto es, como se señala en el Auto de planteamiento, que este inciso no figuraba así redactado en ninguna de las disposiciones legales a refundir, pero ello no autoriza, en modo alguno, a sostener que el Gobierno haya incurrido por ello en un exceso en el ejercicio de su actividad refundidora.</w:t>
      </w:r>
    </w:p>
    <w:p w:rsidR="00DE14C9" w:rsidRDefault="00DE14C9" w:rsidP="00DE14C9">
      <w:pPr>
        <w:pStyle w:val="TextoNormal"/>
      </w:pPr>
      <w:r>
        <w:lastRenderedPageBreak/>
        <w:t>Conviene recordar que la autorización al Gobierno contenida en la disposición final segunda de la Ley 27/1995, de 11 de octubre, para elaborar un texto que refundiese las disposiciones legales vigentes en materia de propiedad intelectual no se circunscribía a la mera formulación de un texto único, sino que incluía la facultad, conforme al art. 82.5 CE, de regularizar, aclarar y armonizar los textos legales que hubieran de ser refundidos. Ha de reconocerse en esta línea que, si bien es verdad que de los dos supuestos de delegación legislativa que distingue el art. 82.2 CE, el de la refundición de varios textos legales en uno solo (art. 82.5 CE), y el supuesto de Ley de bases para la formulación de un texto articulado (art. 82.4 CE), éste último, “que se enmarca con frecuencia en un proceso de reforma legislativa” (STC 205/1993, de 17 de junio, FJ 3), supone un mayor margen para la actuación del Gobierno, pero no es menos cierto que la labor refundidora que el Legislador encomienda al Gobierno aporta también un contenido innovador, sin el cual carecería de sentido la delegación legislativa. De este modo, el texto refundido, que sustituye a partir de su entrada en vigor a las disposiciones legales refundidas, las cuales quedan derogadas y dejan de ser aplicables desde ese momento, supone siempre un juicio de fondo sobre la interpretación sistemática de los preceptos refundidos, sobre todo en el segundo tipo de refundición prevista en el art. 82.5 CE, es decir, el que incluye la facultad “de regularizar, aclarar y armonizar los textos legales que han de ser refundidos”, pues ello permite al Gobierno, como hemos dicho en la STC 13/1992, de 6 de febrero, FJ 16, la explicitación de normas complementarias a las que son objeto de la refundición, con el fin de colmar lagunas, y en todo caso le habilita para llevar a cabo una depuración técnica de los textos legales a refundir, aclarando y armonizando preceptos y eliminando discordancias y antinomias detectadas en la regulación precedente, para lograr así que el texto refundido resulte coherente y sistemático.</w:t>
      </w:r>
    </w:p>
    <w:p w:rsidR="00DE14C9" w:rsidRDefault="00DE14C9" w:rsidP="00DE14C9">
      <w:pPr>
        <w:pStyle w:val="TextoNormal"/>
      </w:pPr>
      <w:r>
        <w:t>En este sentido, como acertadamente ponen de relieve en sus alegaciones el Fiscal General del Estado y el Abogado del Estado, debe repararse en que el precepto cuestionado pretende resolver las divergencias interpretativas que mantenían los órganos judiciales en torno a las condiciones que debían de reunir las entidades de gestión para actuar judicialmente en defensa de los derechos de la propiedad intelectual confiados a su gestión en virtud del art. 135 de la Ley de la propiedad intelectual de 1987, lo que justifica plenamente la solución aclaratoria del párrafo segundo (inciso primero) del art. 145 del texto refundido de la Ley de propiedad intelectual de 1996, posibilidad de aclaración que se contempla expresamente en la autorización para refundir de la Ley delegante. De esa manera, el primer inciso del párrafo segundo del art. 145 del texto refundido de la Ley de propiedad intelectual de 1996 armoniza esta forma de protección colectiva de los derechos de propiedad intelectual (reconocida con carácter general por el art. 7.3 de la Ley Orgánica del Poder Judicial: LOPJ) por medio de las entidades de gestión con las facultades dispositivas del propietario, limitando para ello el alcance de la legitimación ex lege por sustitución y aproximándola a las formas clásicas de representación, dejando reducido el efecto sustitutorio a una simple cuestión procesal: a la entidad de gestión colectiva le basta para acreditar su legitimación, en el momento de presentar su demanda, con justificar su aptitud estatutaria y la autorización administrativa para ejercer los derechos de propiedad intelectual confiados a la gestión, aportando para ello copia de sus estatutos y certificación acreditativa de dicha autorización, lo que no es óbice, desde luego, para que en el proceso pueda discutirse su legitimación.</w:t>
      </w:r>
    </w:p>
    <w:p w:rsidR="00DE14C9" w:rsidRDefault="00DE14C9" w:rsidP="00DE14C9">
      <w:pPr>
        <w:pStyle w:val="TextoNormal"/>
      </w:pPr>
      <w:r>
        <w:t xml:space="preserve">En definitiva, el precepto legal cuestionado aclara el sentido y alcance del citado art. 135 de la Ley de propiedad intelectual de 1987 (“las entidades de gestión una vez autorizadas estarán legitimadas, en los términos que resulten de sus propios estatutos, para ejercer los </w:t>
      </w:r>
      <w:r>
        <w:lastRenderedPageBreak/>
        <w:t>derechos confiados a su gestión y hacerlos valer en toda clase de procedimientos administrativos o judiciales”) y, en consecuencia, el Gobierno no se ha extralimitado en el ejercicio de la delegación legislativa, pues la labor refundidora permite, incluso, como ya advertíamos, “introducir normas adicionales y complementarias a las que son objeto estrictamente de la refundición, siempre que sea necesario colmar lagunas, precisar su sentido o, en fin, lograr la coherencia y sistemática del único texto refundido” (STC 13/1992, de 6 de febrero, FJ 16).</w:t>
      </w:r>
    </w:p>
    <w:p w:rsidR="00DE14C9" w:rsidRDefault="00DE14C9" w:rsidP="00DE14C9">
      <w:pPr>
        <w:pStyle w:val="TextoNormal"/>
      </w:pPr>
    </w:p>
    <w:p w:rsidR="00DE14C9" w:rsidRDefault="00DE14C9" w:rsidP="00DE14C9">
      <w:pPr>
        <w:pStyle w:val="TextoNormal"/>
      </w:pPr>
      <w:r w:rsidRPr="00DE14C9">
        <w:rPr>
          <w:rStyle w:val="NumeroAFNegritaCaracter"/>
        </w:rPr>
        <w:t>9</w:t>
      </w:r>
      <w:r>
        <w:t>. En todo caso, por las razones que han quedado expuestas en los fundamentos jurídicos 6 y 7 de esta Sentencia, la presente cuestión de inconstitucionalidad ha de ser inadmitida, al haber incumplido el Juzgado proponente las exigencias establecidas por el art. 35.2 LOTC en cuanto al trámite de audiencia y a la exteriorización del juicio de relevancia.</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Inadmitir la presente cuestión de inconstitucionalidad.</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cuatro de julio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80" w:name="SENTENCIA_2007_167"/>
      <w:r>
        <w:lastRenderedPageBreak/>
        <w:t>SENTENCIA 167/2007, de 18 de julio de 2007</w:t>
      </w:r>
    </w:p>
    <w:bookmarkEnd w:id="80"/>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200, de 21 de agosto de 2007)</w:t>
      </w:r>
    </w:p>
    <w:p w:rsidR="00DE14C9" w:rsidRDefault="00DE14C9" w:rsidP="00DE14C9">
      <w:pPr>
        <w:pStyle w:val="TtuloBOE"/>
      </w:pPr>
    </w:p>
    <w:p w:rsidR="00DE14C9" w:rsidRDefault="00DE14C9" w:rsidP="00DE14C9">
      <w:pPr>
        <w:pStyle w:val="SntesisDescriptiva"/>
      </w:pPr>
      <w:r>
        <w:t>ECLI:ES:TC:2007:167</w:t>
      </w:r>
    </w:p>
    <w:p w:rsidR="00DE14C9" w:rsidRDefault="00DE14C9" w:rsidP="00DE14C9">
      <w:pPr>
        <w:pStyle w:val="SntesisDescriptiva"/>
      </w:pPr>
    </w:p>
    <w:p w:rsidR="00DE14C9" w:rsidRDefault="00DE14C9" w:rsidP="00DE14C9">
      <w:pPr>
        <w:pStyle w:val="SntesisDescriptiva"/>
      </w:pPr>
      <w:r>
        <w:t>Recurso de amparo electoral 5922-2007. Promovido por doña María Francisca Jiménez Ramírez frente a la Sentencia de la Sala de lo Contencioso-Administrativo del Tribunal Superior de Justicia de Andalucía, con sede en Sevilla, que desestimó su demanda sobre proclamación de candidatos electos a concejales del Ayuntamiento de Zahara de la Sierra (Cádiz).</w:t>
      </w:r>
    </w:p>
    <w:p w:rsidR="00DE14C9" w:rsidRDefault="00DE14C9" w:rsidP="00DE14C9">
      <w:pPr>
        <w:pStyle w:val="SntesisDescriptiva"/>
      </w:pPr>
    </w:p>
    <w:p w:rsidR="00DE14C9" w:rsidRDefault="00DE14C9" w:rsidP="00DE14C9">
      <w:pPr>
        <w:pStyle w:val="SntesisAnaltica"/>
      </w:pPr>
      <w:r>
        <w:t>Supuesta vulneración del derecho a acceder a los cargos representativos: voto en elecciones locales mediante papeletas con alteraciones (STC 156/1991).</w:t>
      </w:r>
    </w:p>
    <w:p w:rsidR="00DE14C9" w:rsidRDefault="00DE14C9" w:rsidP="00DE14C9">
      <w:pPr>
        <w:pStyle w:val="SntesisAnaltica"/>
      </w:pPr>
    </w:p>
    <w:p w:rsidR="00DE14C9" w:rsidRDefault="00DE14C9" w:rsidP="00DE14C9">
      <w:pPr>
        <w:pStyle w:val="Extracto"/>
      </w:pPr>
      <w:r>
        <w:t>1.</w:t>
      </w:r>
      <w:r>
        <w:tab/>
        <w:t>El que en una papeleta de voto, que incorpora una lista bloqueada y cerrada, aparezca una determinada frase vulnera la prohibición de efectuar cualquier tipo de modificación, alteración o determinación en la misma, por lo que procede declarar su nulidad [FJ 7].</w:t>
      </w:r>
    </w:p>
    <w:p w:rsidR="00DE14C9" w:rsidRDefault="00DE14C9" w:rsidP="00DE14C9">
      <w:pPr>
        <w:pStyle w:val="Extracto"/>
      </w:pPr>
    </w:p>
    <w:p w:rsidR="00DE14C9" w:rsidRDefault="00DE14C9" w:rsidP="00DE14C9">
      <w:pPr>
        <w:pStyle w:val="Extracto"/>
      </w:pPr>
      <w:r>
        <w:t>2.</w:t>
      </w:r>
      <w:r>
        <w:tab/>
        <w:t>Aún cuando la Sentencia recurrida no haya satisfecho las exigencias del derecho a la tutela judicial efectiva, no puede adoptarse, por la perentoriedad y peculiaridades del proceso electoral, la solución que sería normal en un recurso de amparo ordinario, esto es, la declaración de nulidad de con retroacción de las actuaciones [FJ 4].</w:t>
      </w:r>
    </w:p>
    <w:p w:rsidR="00DE14C9" w:rsidRDefault="00DE14C9" w:rsidP="00DE14C9">
      <w:pPr>
        <w:pStyle w:val="Extracto"/>
      </w:pPr>
    </w:p>
    <w:p w:rsidR="00DE14C9" w:rsidRDefault="00DE14C9" w:rsidP="00DE14C9">
      <w:pPr>
        <w:pStyle w:val="Extracto"/>
      </w:pPr>
      <w:r>
        <w:t>3.</w:t>
      </w:r>
      <w:r>
        <w:tab/>
        <w:t>La denunciada infracción de la legislación electoral afecta al resultado final de la elección, requisito para poder apreciar la existencia de una lesión real y efectiva del derecho de sufragio pasivo (SSTC 185/1999, 135/2004) [FJ 6].</w:t>
      </w:r>
    </w:p>
    <w:p w:rsidR="00DE14C9" w:rsidRDefault="00DE14C9" w:rsidP="00DE14C9">
      <w:pPr>
        <w:pStyle w:val="Extracto"/>
      </w:pPr>
    </w:p>
    <w:p w:rsidR="00DE14C9" w:rsidRDefault="00DE14C9" w:rsidP="00DE14C9">
      <w:pPr>
        <w:pStyle w:val="Extracto"/>
      </w:pPr>
      <w:r>
        <w:t>4.</w:t>
      </w:r>
      <w:r>
        <w:tab/>
        <w:t>La aplicación del art. 96.2 LOREG se configura normalmente como un juicio de estricta legalidad electoral que puede ser revisado por el Tribunal Constitucional si la interpretación seguida por el órgano judicial ordinario es arbitraria, irrazonada e irrazonable y, además, cuando se aduzca en la demanda de amparo la posible vulneración del derecho fundamental a acceder en condiciones de igualdad y conforme a lo dispuesto en las leyes a determinado cargo público (SSTC 185/1999, 135/2004) [FJ 7].</w:t>
      </w:r>
    </w:p>
    <w:p w:rsidR="00DE14C9" w:rsidRDefault="00DE14C9" w:rsidP="00DE14C9">
      <w:pPr>
        <w:pStyle w:val="Extracto"/>
      </w:pPr>
    </w:p>
    <w:p w:rsidR="00DE14C9" w:rsidRDefault="00DE14C9" w:rsidP="00DE14C9">
      <w:pPr>
        <w:pStyle w:val="Extracto"/>
      </w:pPr>
      <w:r>
        <w:t>5.</w:t>
      </w:r>
      <w:r>
        <w:tab/>
        <w:t>Cualquier interpretación del art. 96.2 LOREG ha de efectuarse de tal modo que los contenidos, requisitos y límites que establece la Ley Orgánica del régimen electoral general no se vean enervados o alterados por aquella interpretación, pues si así fuera quedaría en manos del intérprete y no del legislador la fijación de los contornos del derecho de acceso a los cargos públicos en condiciones de igualdad (SSTC 74/1995, 155/2003) [FJ 8].</w:t>
      </w:r>
    </w:p>
    <w:p w:rsidR="00DE14C9" w:rsidRDefault="00DE14C9" w:rsidP="00DE14C9">
      <w:pPr>
        <w:pStyle w:val="Extracto"/>
      </w:pPr>
    </w:p>
    <w:p w:rsidR="00DE14C9" w:rsidRDefault="00DE14C9" w:rsidP="00DE14C9">
      <w:pPr>
        <w:pStyle w:val="Extracto"/>
      </w:pPr>
      <w:r>
        <w:t>6.</w:t>
      </w:r>
      <w:r>
        <w:tab/>
        <w:t xml:space="preserve">Es obligado integrar en el derecho de sufragio pasivo la exigencia de que las normas electorales sean cumplidas en cuanto constituyen garantía del correcto desarrollo de la elección de modo que culmine con la proclamación de los candidatos </w:t>
      </w:r>
      <w:r>
        <w:lastRenderedPageBreak/>
        <w:t>que hayan sido preferidos por el cuerpo electoral (SSTC 71/1989, 153/2003) [FJ 8].</w:t>
      </w:r>
    </w:p>
    <w:p w:rsidR="00DE14C9" w:rsidRDefault="00DE14C9" w:rsidP="00DE14C9">
      <w:pPr>
        <w:pStyle w:val="Extracto"/>
      </w:pPr>
    </w:p>
    <w:p w:rsidR="00DE14C9" w:rsidRDefault="00DE14C9" w:rsidP="00DE14C9">
      <w:pPr>
        <w:pStyle w:val="Extracto"/>
      </w:pPr>
      <w:r>
        <w:t>7.</w:t>
      </w:r>
      <w:r>
        <w:tab/>
        <w:t>El principio de inalterabilidad de las listas electorales debe preceder a los principios de conservación de actos válidamente celebrados, de interpretación más favorable a la plenitud del derecho de sufragio y de conocimiento de la verdad material manifestada en las urnas por los electores [FJ 7].</w:t>
      </w:r>
    </w:p>
    <w:p w:rsidR="00DE14C9" w:rsidRDefault="00DE14C9" w:rsidP="00DE14C9">
      <w:pPr>
        <w:pStyle w:val="Extracto"/>
      </w:pPr>
    </w:p>
    <w:p w:rsidR="00DE14C9" w:rsidRDefault="00DE14C9" w:rsidP="00DE14C9">
      <w:pPr>
        <w:pStyle w:val="Extracto"/>
      </w:pPr>
      <w:r>
        <w:t>8.</w:t>
      </w:r>
      <w:r>
        <w:tab/>
        <w:t>Doctrina sobre las normas reguladoras del régimen de nulidad de votos y, más concretamente, sobre las específicas previsiones del art. 96 de la Ley Orgánica del régimen electoral general (SSTC 156/1991, 153/2003) [FJ 7].</w:t>
      </w:r>
    </w:p>
    <w:p w:rsidR="00DE14C9" w:rsidRDefault="00DE14C9" w:rsidP="00DE14C9">
      <w:pPr>
        <w:pStyle w:val="Extracto"/>
      </w:pPr>
    </w:p>
    <w:p w:rsidR="00DE14C9" w:rsidRDefault="00DE14C9" w:rsidP="00DE14C9">
      <w:pPr>
        <w:pStyle w:val="Extracto"/>
      </w:pPr>
      <w:r>
        <w:t>9.</w:t>
      </w:r>
      <w:r>
        <w:tab/>
        <w:t>Doctrina constitucional sobre la incongruencia omisiva o ex silentio (SSTC 20/1982, 67/2007; STEDH caso Ruiz Torija e Hiro Balani c. España de 1994) [FJ 2].</w:t>
      </w:r>
    </w:p>
    <w:p w:rsidR="00DE14C9" w:rsidRDefault="00DE14C9" w:rsidP="00DE14C9">
      <w:pPr>
        <w:pStyle w:val="Extracto"/>
      </w:pPr>
    </w:p>
    <w:p w:rsidR="00DE14C9" w:rsidRDefault="00DE14C9" w:rsidP="00DE14C9">
      <w:pPr>
        <w:pStyle w:val="Extracto"/>
      </w:pPr>
      <w:r>
        <w:t>10.</w:t>
      </w:r>
      <w:r>
        <w:tab/>
        <w:t>La personación corresponde al ámbito de un derecho disponible estando configurada en nuestro ordenamiento procesal como carga, es decir, como conducta posible de la parte a la que no se anuda otro efecto que el de soportar el posible perjuicio de eventual debilitamiento de su defensa u oposición frente a los argumentos del recurrente (STC 61/1990) [FJ 3].</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 xml:space="preserve">En el recurso de amparo electoral núm. 5922-2007, promovido por doña María Francisca Jiménez Ramírez, representada por el Procurador de los Tribunales don Pedro Gutiérrez Cruz y asistida por el Letrado don Juan José Ortiz Quevedo, contra el Acuerdo de la Junta electoral de zona de Arcos de la Frontera, de 12 de junio de 2007, de proclamación de candidatos electos a concejales del Ayuntamiento de Zahara de la Sierra (Cádiz) y contra la Sentencia de la Sección Primera de la Sala de lo Contencioso-Administrativo del Tribunal Superior de Justicia de Andalucía, con sede en Sevilla, de 27 de junio de 2007, desestimatoria del recurso contencioso-electoral núm. 449-2007 interpuesto contra aquel Acuerdo. Han comparecido y formulado alegaciones el Partido Popular, representado por el Procurador de los Tribunales don José Luis Ferrer Recuero y asistido por el Letrado don Ramón Entrena Cuesta; el Partido Andalucista, representado por el Procurador de los Tribunales don Fernando Gala Escribano y asistido por el Letrado don Francisco José Gandulo Guerra; </w:t>
      </w:r>
      <w:r>
        <w:lastRenderedPageBreak/>
        <w:t>el Partido Socialista Obrero Español, representado por la Procuradora de los Tribunales doña Paloma Valles Tormo y asistido por el Letrado don Gabriel Escalante Olmedo, y el Ministerio Fiscal. Ha actuado como Ponente el Magistrado don Ramón Rodríguez Arribas,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la Sala de lo Contencioso-Administrativo del Tribunal Superior de Justicia de Andalucía, con sede en Sevilla, el día 2 de julio de 2007, el Procurador de los Tribunales don Pedro Gutiérrez Cruz, en nombre y representación de doña Francisca Jiménez Ramírez, interpuso recurso de amparo contra las resoluciones administrativa y judicial a las que se ha hecho mención en el encabezamiento de esta Sentencia.</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antecedentes de hecho del presente recurso son, sucintamente expuestos, los siguientes: </w:t>
      </w:r>
    </w:p>
    <w:p w:rsidR="00DE14C9" w:rsidRDefault="00DE14C9" w:rsidP="00DE14C9">
      <w:pPr>
        <w:pStyle w:val="TextoNormal"/>
      </w:pPr>
      <w:r>
        <w:t xml:space="preserve">a) El 27 de mayo de 2007 tuvieron lugar las elecciones municipales en el pueblo de Zahara de la Sierra (Cádiz), cuyo censo electoral era de 1.307 habitantes, emitiéndose 1.096 votos válidos: el Partido Socialista Obrero Español (PSOE) obtuvo 541 votos, el Partido Andalucista (PA) 442, y el Partido Popular (PP) 109; correspondiendo 4 concejales al PSOE, 4 al PA, y 1 al PP. </w:t>
      </w:r>
    </w:p>
    <w:p w:rsidR="00DE14C9" w:rsidRDefault="00DE14C9" w:rsidP="00DE14C9">
      <w:pPr>
        <w:pStyle w:val="TextoNormal"/>
      </w:pPr>
      <w:r>
        <w:t xml:space="preserve">b) En la mesa electoral B, de la localidad de Zahara de la Sierra, fueron cuestionadas tres papeletas, dos de ellas a favor del PSOE (una, en la que se tachaban todos los nombres de los candidatos con la palabra “PAZ”, y otra, en la que, dentro del sobre, apareció, junto a la papeleta a favor del PSOE, media papeleta del PA), y otra en favor del PP (en la cual, sin tachar nada, se ponía al pie de la papeleta: “Zapatero: multiplícate por cero. Shin Chan”). </w:t>
      </w:r>
    </w:p>
    <w:p w:rsidR="00DE14C9" w:rsidRDefault="00DE14C9" w:rsidP="00DE14C9">
      <w:pPr>
        <w:pStyle w:val="TextoNormal"/>
      </w:pPr>
      <w:r>
        <w:t xml:space="preserve">Las impugnaciones, ante la Junta electoral de zona, de los votos del PSOE, se efectuaron por el PA, y, la impugnación del voto del PP, se efectuó por el PSOE y el PA. La Junta electoral de zona de Arcos de la Frontera desestimó las tres impugnaciones, otorgando validez a las tres papeletas cuestionadas, en atención a que, de las mismas, se deducía indubitadamente la voluntad de los electores, y en atención al “Manual para los miembros de las Mesas Electorales” que para las elecciones municipales 2007, había sancionado la Junta electoral central el 13 de diciembre de 2006, y aprobado el Consejo de Ministros en fecha 13 de febrero de 2007. </w:t>
      </w:r>
    </w:p>
    <w:p w:rsidR="00DE14C9" w:rsidRDefault="00DE14C9" w:rsidP="00DE14C9">
      <w:pPr>
        <w:pStyle w:val="TextoNormal"/>
      </w:pPr>
      <w:r>
        <w:t xml:space="preserve">c) El PSOE recurrió ante la Junta electoral central la declaración de la Junta de zona de validez del voto cuestionado del PP, decretándose por la Junta central la nulidad de dicha papeleta (“por la falta de seriedad en el ejercicio del derecho de sufragio”), con la consecuencia para el PP, de que se vieron reducidos los votos a su favor, de 109 a 108, y la ulterior pérdida del único concejal que obtuvo, pasando éste al PSOE, que alcanzó cinco concejales (mayoría absoluta), frente a los cuatro del Partido Andalucista (y ninguno del PP). </w:t>
      </w:r>
    </w:p>
    <w:p w:rsidR="00DE14C9" w:rsidRDefault="00DE14C9" w:rsidP="00DE14C9">
      <w:pPr>
        <w:pStyle w:val="TextoNormal"/>
      </w:pPr>
      <w:r>
        <w:t xml:space="preserve">d) Interpuesto recurso contencioso-electoral ante la Sala de lo Contencioso-Administrativo del Tribunal Superior de Justicia de Andalucía (Sevilla), tanto por el PA (solicitando la nulidad de los dos votos críticos del PSOE), como por doña Francisca Jiménez Rodríguez —demandante de amparo— (solicitando la validez de la papeleta en su favor, anulada) y siendo contraparte el PSOE (que sostenía la inadmisibilidad del recurso, validez de los dos votos críticos en su favor, y la nulidad del voto a favor del PP), con intervención del Ministerio Fiscal, la Sección Primera de la Sala de lo Contencioso-Administrativo del Tribunal Superior de Justicia de Andalucía, en Sentencia de 27 de junio de 2007 (recurso contencioso </w:t>
      </w:r>
      <w:r>
        <w:lastRenderedPageBreak/>
        <w:t>electoral núm. 449-2007), estima la oposición del PSOE, declarando la inadmisión de los recursos, al entender que no existió reclamación previa, ni ante la Junta electoral de zona ni ante la Junta electoral central, impugnando los votos críticos a favor del PSOE, por lo cual no se agotó la vía previa al recurso contencioso electoral.</w:t>
      </w:r>
    </w:p>
    <w:p w:rsidR="00DE14C9" w:rsidRDefault="00DE14C9" w:rsidP="00DE14C9">
      <w:pPr>
        <w:pStyle w:val="TextoNormal"/>
      </w:pPr>
    </w:p>
    <w:p w:rsidR="00DE14C9" w:rsidRDefault="00DE14C9" w:rsidP="00DE14C9">
      <w:pPr>
        <w:pStyle w:val="TextoNormal"/>
      </w:pPr>
      <w:r w:rsidRPr="00DE14C9">
        <w:rPr>
          <w:rStyle w:val="NumeroAFNegritaCaracter"/>
        </w:rPr>
        <w:t>3</w:t>
      </w:r>
      <w:r>
        <w:t>. Se alega en la demanda de amparo que se ha vulnerado del derecho a la tutela judicial efectiva e interdicción de la indefensión (art. 24.1 CE), en la vertiente de falta de motivación, por incongruencia omisiva y error, y que se ha vulnerado el derecho a la participación en asuntos públicos (art. 23.1 CE) y el derecho al acceso, en condiciones igualdad, a las funciones y cargos públicos (art. 23.2 CE), por la Sentencia de 27 de junio de 2007, de la Sección Primera de la Sala Contencioso-Administrativo del Tribunal Superior de Justicia de Andalucía (sede de Sevilla), al entender que no se efectuó pronunciamiento alguno por el Tribunal acerca de la petición de validez del voto del PP, efectuada por la Sra. Jiménez (en su calidad de concejal destituida, como consecuencia de la nulidad del voto del PP) y, por el contrario, se estima que con patente error en la fundamentación de la resolución del Tribunal Superior de Justicia —dado que la petición que se efectuaba por la Sra. Jiménez no era de impugnación de los de los posibles votos nulos del PSOE, sino de reconocimiento de la validez del voto del PP—, éste se pronunció sólo sobre lo que era la pretensión del PA, sin que se pueda apreciar una desestimación tácita. Igualmente considera que se ha vulnerado el derecho al voto de quien lo emitió, con la irregularidad denunciada, pero con una voluntad patente, clara e indubitada, de forma que no puede dudarse de la clara intención de voto, ni de la voluntad del elector, de otorgar su sufragio al PP, habiéndose privado, además, de la efectiva y manifiesta voluntad material del cuerpo electoral, de que el PP obtuviera un concejal y, habiéndose privado a la recurrente del derecho al acceso al cargo público, en condiciones de igualdad, máxime si el PP en ningún caso impugnó los dos votos críticos del PSOE (quien sí fue en contra de sus propios actos al solicitar, a la vez de la nulidad del voto del PP, la validez de los dos votos críticos en su favor). Concluye la demanda suplicando que se otorgue el amparo solicitado, declarando que se ha lesionado el derecho a la participación en asuntos públicos y a acceder a cargos públicos en plano de igualdad de la recurrente, procediendo anular la proclamación del último candidato a favor del PSOE, otorgándose la misma a la recurrente del PP, o, subsidiariamente, que se declare la nulidad de la resolución judicial lesiva de la tutela judicial, con retroacción de las actuaciones al momento inmediatamente anterior al dictado de la Sentencia, para que se pronuncie otra en la que se preserve la tutela judicial.</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Por diligencia de ordenación de 3 de julio de 2007 la Sección Cuarta del Tribunal Constitucional acordó que, con carácter previo a la admisión de la demanda de amparo, se recabara de la Sección Primera de la Sala de lo Contencioso-Administrativo del Tribunal Superior de Justicia de Andalucía copia adverada de las actuaciones del recurso contencioso-electoral núm. 449-2007, siendo recibidas las mismas el 4 de julio de 2007. </w:t>
      </w:r>
    </w:p>
    <w:p w:rsidR="00DE14C9" w:rsidRDefault="00DE14C9" w:rsidP="00DE14C9">
      <w:pPr>
        <w:pStyle w:val="TextoNormal"/>
      </w:pPr>
      <w:r>
        <w:t>En providencia de 9 de julio de 2007 la Sala Segunda del Tribunal Constitucional acordó admitir a trámite la demanda de amparo, recabando el expediente electoral e informe de la Junta electoral de zona de Arcos de la Frontera, certificación acreditativa de la fecha de notificación de la resolución impugnada, con emplazamiento de las partes por tres días, requiriendo a las personadas el poder original y acordando el traslado al Ministerio Fiscal para informe por cinco días.</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5</w:t>
      </w:r>
      <w:r>
        <w:t xml:space="preserve">. En escrito presentado y remitido por el Tribunal Superior de Justicia de Andalucía el 4 de julio de 2007 la representación del PP formula alegaciones, señalando que la inadmisión del recurso contencioso-electoral por el Tribunal Superior de Justicia de Andalucía, confirmando la resolución de la Junta electoral central, le ha perjudicado, haciéndole perder la representación en la localidad de Zahara de la Sierra (Cádiz), y resulta absolutamente lesiva de la tutela judicial de la Sra. Jiménez Ramírez, ya que el PP ostentaba una resolución favorable de la Junta electoral de zona, que no podía recurrir en Derecho; y, habiéndose impugnado dicha resolución por el PSOE ante la Junta electoral central, el PP formuló la oposición propia a dicha pretensión (ya que no podía recurrir lo que le era favorable), por lo cual, nunca podrá imputársele a la Sra. Jiménez Ramírez una falta de agotamiento de la vía contencioso-electoral, ni una falta de oposición a los actos electorales que le eran perjudiciales. Añade además, la representación del PP, que el recurso de amparo reviste evidente interés constitucional, porque, además de conllevar la alteración final del resultado electoral en la población, supone un trato desigualitario por el Tribunal y la Administración Electoral de las pretensiones del PSOE, respecto de las del PP (validez de las tachaduras y doble papeleta del PSOE, frente a una frase escrita al pie de un voto claro del PP). Por ello concluye solicitando que se otorgue el amparo. </w:t>
      </w:r>
    </w:p>
    <w:p w:rsidR="00DE14C9" w:rsidRDefault="00DE14C9" w:rsidP="00DE14C9">
      <w:pPr>
        <w:pStyle w:val="TextoNormal"/>
      </w:pPr>
      <w:r>
        <w:t xml:space="preserve">En escrito presentado en el Tribunal Constitucional el 13 de julio de 2007, la representación del PA manifiesta que se adhiere íntegramente a las alegaciones y pedimentos formulados por doña Francisca Jiménez Ramírez en su escrito de interposición del recurso, solicitando el otorgamiento del amparo. </w:t>
      </w:r>
    </w:p>
    <w:p w:rsidR="00DE14C9" w:rsidRDefault="00DE14C9" w:rsidP="00DE14C9">
      <w:pPr>
        <w:pStyle w:val="TextoNormal"/>
      </w:pPr>
      <w:r>
        <w:t>En escrito presentado ante el Tribunal Constitucional el 12 de julio de 2007 la representación del PSOE manifiesta que la verdadera pretensión de la recurrente es la revisión del juicio de legalidad electoral emitido; que no se agotó la vía electoral previa (con cita de recursos contencioso-electorales núms. 1071-1999, 1089-1999, 1091-1999; SSTC 48/2000 y 80/2002; y SSTS de 20 de abril de 1979 y 24 de abril de 1979); que la literalidad y la interpretación (SSTC 157/1991 y 165/1991; STS de 18 de abril de 1979) del art. 96.2 LOREG no permiten otorgar validez a la papeleta garabateada a favor del PP (máxime si constituye una mofa contra el Presidente del Gobierno y una falta de respeto al procedimiento electoral); y que, por el contrario, la tachadura con la palabra “PAZ” de la papeleta del PSOE discutida, constituye “un término conciliador que invita a la convivencia, a la tolerancia y al diálogo”, por lo que debe mantenerse su validez. Concluye solicitando que se desestime el recurso de amparo.</w:t>
      </w:r>
    </w:p>
    <w:p w:rsidR="00DE14C9" w:rsidRDefault="00DE14C9" w:rsidP="00DE14C9">
      <w:pPr>
        <w:pStyle w:val="TextoNormal"/>
      </w:pPr>
    </w:p>
    <w:p w:rsidR="00DE14C9" w:rsidRDefault="00DE14C9" w:rsidP="00DE14C9">
      <w:pPr>
        <w:pStyle w:val="TextoNormal"/>
      </w:pPr>
      <w:r w:rsidRPr="00DE14C9">
        <w:rPr>
          <w:rStyle w:val="NumeroAFNegritaCaracter"/>
        </w:rPr>
        <w:t>6</w:t>
      </w:r>
      <w:r>
        <w:t xml:space="preserve">. El 13 de julio de 2007 se recibió informe del Ministerio público en el que se interesaba el otorgamiento del amparo, por estimar que se había vulnerado el derecho a la tutela judicial efectiva, y la interdicción de la indefensión de la Sra. Jiménez Ramírez del art. 24.1 CE por incongruencia omisiva y error. Tras la exposición de los antecedentes de hecho, estima el Ministerio Fiscal que se alega una doble vulneración de derechos fundamentales, los relacionados con el art. 24.1 CE, y los relacionados con el art. 23.1 y 2 CE, debiéndose comenzar por el estudio de aquella primera queja. Entiende el Ministerio público que la Sentencia de la Sección Primera de la Sala de lo Contencioso-Administrativo del Tribunal Superior de Justicia de Andalucía efectuó un pronunciamiento conjunto y parejo respecto de los pedimentos diferenciados del PA y del PP, no identificando tampoco con claridad a los recurrentes, ni a sus pretensiones, en los antecedentes, sin hacer mención a la postura procesal de cada una de las partes, ni a la delimitación del objeto del proceso, conduciendo todo ello a que en el fundamento jurídico segundo (en el que se trata de justificar el fallo de la Sentencia), se olvide la pretensión formulada por la Sra. Jiménez Ramírez, y sólo se conteste a </w:t>
      </w:r>
      <w:r>
        <w:lastRenderedPageBreak/>
        <w:t>la del PA; es por ello —dice el Fiscal—, que se incurre en incongruencia omisiva, sin que pueda estimarse una desestimación tácita, ya que la misma no cumpliría con los requisitos exigidos por la jurisprudencia del Tribunal Constitucional (STC 104/1996). Entiende además el Ministerio público que la Sentencia del Tribunal Superior de Justicia de Andalucía incurre en un error patente, al ser evidente que la Sra. Jiménez Ramírez había agotado la vía administrativa-electoral, ya que lo que ella recurría era la resolución de la Junta electoral central originariamente lesiva (revocatoria de la validez de la Junta electoral de zona), siendo dicha resolución definitiva, e irrecurrible en vía administrativa. Finalmente entiende el Ministerio público innecesario analizar la segunda vulneración aducida (art. 23.1 y 2 CE), ya que la vulneración de la tutela judicial debe implicar nulidad y retroacción de las actuaciones al momento de dictado de la Sentencia por el Tribunal; no obstante, si respecto de ésta última queja (art. 23.1 y 2 CE) se hiciera un análisis de constitucionalidad, siguiendo la STC 165/1991, habría que entender que las cuestiones relacionadas con irregularidades de las papeletas y votos del art. 96.2 LOREG, en lo referente a la catalogación de las añadiduras, es una cuestión de estricta legalidad electoral, que no debe ser revisada por el Tribunal.</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 presente demanda de amparo tiene por objeto la impugnación tanto del Acuerdo de la Junta electoral de zona de Arcos de la Frontera, de 12 de junio de 2007, de proclamación de candidatos electos a concejales del Ayuntamiento de Zahara de la Sierra (Cádiz), como la de la Sentencia de la Sala de lo Contencioso-Administrativo del Tribunal Superior de Justicia de Andalucía, con sede en Sevilla, de 27 de junio de 2007, que confirmó en vía jurisdiccional aquel Acuerdo.</w:t>
      </w:r>
    </w:p>
    <w:p w:rsidR="00DE14C9" w:rsidRDefault="00DE14C9" w:rsidP="00DE14C9">
      <w:pPr>
        <w:pStyle w:val="TextoNormal"/>
      </w:pPr>
      <w:r>
        <w:t>La demandante de amparo, que ha concurrido como candidata a concejal del Ayuntamiento de Zahara de la Sierra en la lista presentada por el Partido Popular, imputa a la Sentencia recurrida la vulneración del derecho a la tutela judicial efectiva (art.  24.1 CE) por haber incurrido en un vicio de incongruencia omisiva, y al Acuerdo de proclamación de candidatos electos la lesión del derecho a acceder en condiciones de igualdad a los cargos públicos (art. 23.2 CE), en relación con el derecho de los ciudadanos a participar en los asuntos públicos por medio de representantes (art. 23.1 CE), como consecuencia de la declaración de nulidad de una papeleta de voto emitida en el distrito único, sección 1, mesa B, a favor de la candidatura del Partido Popular.</w:t>
      </w:r>
    </w:p>
    <w:p w:rsidR="00DE14C9" w:rsidRDefault="00DE14C9" w:rsidP="00DE14C9">
      <w:pPr>
        <w:pStyle w:val="TextoNormal"/>
      </w:pPr>
      <w:r>
        <w:t>La representación del Partido Popular estima la Sentencia impugnada lesiva del derecho a la tutela judicial efectiva (art. 24.1 CE) y considera que la Administración electoral y el Tribunal Superior de Justicia han dado un trato no igualitario a su candidatura. Por su parte la representación del Partido Andalucista se adhiere íntegramente a las alegaciones de la demanda.</w:t>
      </w:r>
    </w:p>
    <w:p w:rsidR="00DE14C9" w:rsidRDefault="00DE14C9" w:rsidP="00DE14C9">
      <w:pPr>
        <w:pStyle w:val="TextoNormal"/>
      </w:pPr>
      <w:r>
        <w:t>La representación del Partido Socialista Obrero Español se opone a la demanda de amparo, al entender que no se había agotado la vía electoral previa y que no se puede conferir validez ex art. 96.2 de la Ley Orgánica del régimen electoral general (LOREG) a la papeleta de voto cuestionada.</w:t>
      </w:r>
    </w:p>
    <w:p w:rsidR="00DE14C9" w:rsidRDefault="00DE14C9" w:rsidP="00DE14C9">
      <w:pPr>
        <w:pStyle w:val="TextoNormal"/>
      </w:pPr>
      <w:r>
        <w:t xml:space="preserve">Finalmente el Ministerio Fiscal considera que la Sentencia impugnada incurre en un vicio de incongruencia omisiva, lesivo del derecho a la tutela judicial efectiva (art. 24.1 CE), así como en error patente, por lo que interesa el otorgamiento del amparo y la declaración de nulidad de dicha Sentencia para que se retrotraigan las actuaciones al momento inmediatamente anterior al haberse dictado la misma, a fin de que se pronuncie una nueva resolución </w:t>
      </w:r>
      <w:r>
        <w:lastRenderedPageBreak/>
        <w:t>judicial respetuosa con el derecho fundamental vulnerado.  En el supuesto de que este Tribunal estime necesario analizar la aducida vulneración del derecho a acceder en condiciones de igualdad a los cargos públicos con los requisitos que señalen las leyes (art. 23.2 CE) sostiene que el juicio de legalidad sobre la papeleta de voto cuya validez se cuestiona no puede ser revisado en sede constitucional.</w:t>
      </w:r>
    </w:p>
    <w:p w:rsidR="00DE14C9" w:rsidRDefault="00DE14C9" w:rsidP="00DE14C9">
      <w:pPr>
        <w:pStyle w:val="TextoNormal"/>
      </w:pPr>
    </w:p>
    <w:p w:rsidR="00DE14C9" w:rsidRDefault="00DE14C9" w:rsidP="00DE14C9">
      <w:pPr>
        <w:pStyle w:val="TextoNormal"/>
      </w:pPr>
      <w:r w:rsidRPr="00DE14C9">
        <w:rPr>
          <w:rStyle w:val="NumeroAFNegritaCaracter"/>
        </w:rPr>
        <w:t>2</w:t>
      </w:r>
      <w:r>
        <w:t>. La demandante de amparo estima que la Sentencia recurrida incurre en un vicio de incongruencia omisiva, lesivo del derecho a la tutela judicial efectiva (art. 24.1 CE), al no haber dado respuesta a la única pretensión deducida en el recurso contencioso-electoral que interpuso contra el Acuerdo de proclamación de electos, a saber, que se admitiera como válida la ya referida papeleta de voto emitida en el distrito único, sección 1, mesa B, a favor de la candidatura del Partido Popular, que había sido anulada por Acuerdo de la Junta electoral central. Argumenta al respecto que en su recurso contencioso-electoral no se planteaba ninguna otra cuestión, partiendo la Sentencia de una premisa errónea, pues en ningún momento solicitó la anulación de dos papeletas de voto emitidas a favor de la candidatura presentada por el Partido Socialista Obrero Español, cuya validez también fue discutida durante el proceso electoral.</w:t>
      </w:r>
    </w:p>
    <w:p w:rsidR="00DE14C9" w:rsidRDefault="00DE14C9" w:rsidP="00DE14C9">
      <w:pPr>
        <w:pStyle w:val="TextoNormal"/>
      </w:pPr>
      <w:r>
        <w:t>El examen de la primera de las quejas de la recurrente en amparo requiere traer a colación la reiterada doctrina de este Tribunal, según la cual el vicio de incongruencia, entendido como desajuste entre el fallo judicial y los términos en que las partes han formulado sus pretensiones, concediendo más o menos o cosa distinta de lo pedido, puede entrañar una vulneración del principio de contradicción constitutiva de una efectiva denegación del derecho a la tutela judicial efectiva (art. 24.1 CE) siempre y cuando la desviación sea de tal naturaleza que suponga una sustancial modificación de los términos en los que discurra la controversia competencial. El juicio sobre la congruencia de la resolución judicial precisa de la confrontación entre su parte dispositiva y el objeto del proceso, delimitado por sus elementos subjetivos —partes— y objetivos —causa de pedir y petitum—, de tal modo que la adecuación debe extenderse tanto a la petición como a los hechos que la fundamentan.</w:t>
      </w:r>
    </w:p>
    <w:p w:rsidR="00DE14C9" w:rsidRDefault="00DE14C9" w:rsidP="00DE14C9">
      <w:pPr>
        <w:pStyle w:val="TextoNormal"/>
      </w:pPr>
      <w:r>
        <w:t>Entre los diversos tipos de incongruencia hemos discernido, a los efectos que en este recurso de amparo interesan, la llamada incongruencia omisiva o ex silentio, que sólo tiene relevancia constitucional cuando, por dejar imprejuzgada la pretensión oportunamente planteada, el órgano judicial no tutela los derechos e intereses legítimos sometidos a su jurisdicción, provocando una denegación de justicia que se comprueba examinando si existe un desajuste externo entre el fallo judicial y las pretensiones de las partes. En relación con este tipo de incongruencia es doctrina conocida de este Tribunal, desde la STC 20/1982, de 5 de mayo (FJ 2), y también del Tribunal Europeo de Derechos Humanos (STEDH Ruiz Torrija contra España, de 9 de diciembre de 1994), que no toda falta de respuesta a las cuestiones planteadas por las partes produce una vulneración del derecho a la tutela efectiva, y que tales supuestos no pueden resolverse de manera genérica, sino que es preciso ponderar las circunstancias concurrentes en cada caso para determinar, primero, si la cuestión fue suscitada realmente en el momento oportuno y, segundo, si el silencio de la resolución judicial representa una auténtica lesión del derecho reconocido en el art. 24.1 CE o si, por el contrario, puede interpretarse razonablemente como una desestimación tácita que satisface las exigencias de la tutela judicial efectiva, para lo que se debe distinguir entre lo que son meras alegaciones o argumentos presentados por las partes en defensa de sus pretensiones y estas últimas en sí mismas consideradas (SSTC 114/2003, de 16 de junio, FJ 3; 67/2007, de 27 de marzo, FJ 2, por todas).</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3</w:t>
      </w:r>
      <w:r>
        <w:t>. En este caso es manifiesto el vicio de incongruencia omisiva, vulnerador del derecho a la tutela judicial efectiva (art. 24.1 CE), en el que ha incurrido la Sentencia impugnada, pues en ella no se ha examinado ni, en consecuencia, se ha dado respuesta al recurso contencioso-electoral promovido por la ahora demandante de amparo contra el Acuerdo de proclamación de electos.</w:t>
      </w:r>
    </w:p>
    <w:p w:rsidR="00DE14C9" w:rsidRDefault="00DE14C9" w:rsidP="00DE14C9">
      <w:pPr>
        <w:pStyle w:val="TextoNormal"/>
      </w:pPr>
      <w:r>
        <w:t>En efecto, como revela la lectura de los recursos contencioso-electorales interpuestos contra el Acuerdo de proclamación de electos, la del escrito de adhesión del Partido Popular y del escrito de alegaciones del Partido Socialista Obrero Español a dichos recursos, así como la de la Sentencia recurrida, en ésta únicamente se ha dado respuesta, admitiendo las causas de inadmisibilidad aducidas por el Partido Socialista Obrero Español, al recurso contencioso-electoral promovido por el Partido Andalucista y al escrito de adhesión del Partido Popular, en los que, en lo sustancial, a los efectos que ahora interesan, se cuestionaba y se interesaba la revocación de la decisión de la Junta electoral central de declarar la validez de dos papeletas de voto emitidas a favor de la candidatura presentada por el Partido Socialista Obrero Español, que habían sido consideradas nulas por la Mesa electoral y válidas por la Junta electoral de zona. Sin embargo en la Sentencia, ni se ha enjuiciado, ni en modo alguno puede deducirse razonablemente que se haya dado una respuesta implícita, el recurso contencioso-electoral interpuesto por la ahora demandante de amparo, que se tramitó conjuntamente en un mismo expediente con el promovido por el Partido Andalucista, en el que la única pretensión formulada había sido la de la declaración de validez de la ya referida papeleta de voto emitida en el distrito único, sección 1, mesa B, a favor de la candidatura presentada por el Partido Popular, respecto a la cual el representante del Partido Socialista, en su escrito de alegaciones, no solicitó su inadmisibilidad por falta de agotamiento de la vía administrativa-electoral previa, sino su desestimación y la confirmación jurisdiccional de la decisión de la Junta electoral central por estimarla conforme a Derecho.</w:t>
      </w:r>
    </w:p>
    <w:p w:rsidR="00DE14C9" w:rsidRDefault="00DE14C9" w:rsidP="00DE14C9">
      <w:pPr>
        <w:pStyle w:val="TextoNormal"/>
      </w:pPr>
      <w:r>
        <w:t>A mayor abundamiento ha de señalarse que en modo alguno se puede apreciar por parte de la ahora demandante de amparo en este caso una falta de agotamiento de la vía electoral previa, pues, como el Ministerio Fiscal acertadamente pone de manifiesto en su escrito de alegaciones, la resolución de la Junta electoral de zona había sido favorable a sus intereses, y si bien no compareció ante la Junta electoral central con ocasión de la reclamación formulada por la representación del Partido Socialista Obrero Español contra la decisión de la Junta electoral de zona, esa actitud no merece jurídica ni procesalmente reproche alguno, en tanto en cuanto la personación corresponde al ámbito de un derecho disponible, no constituye un deber y está configurada en nuestro ordenamiento procesal como carga, es decir, como conducta posible de la parte a la que no se anuda otro efecto que el de soportar el posible perjuicio, en el ámbito sustantivo o material, de eventual debilitamiento de su defensa u oposición frente a los argumentos del recurrente (STC 61/1990, de 29 de marzo, FJ 2).</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Aún cuando la Sentencia recurrida no haya satisfecho las exigencias del derecho a la tutela judicial efectiva (art. 24.1 CE), por incurrir en un vicio de incongruencia omisiva, tal constatación no puede ni debe llevarnos, sin embargo, en este caso como pretende el Ministerio Fiscal, precisamente en razón de la perentoriedad y de las peculiaridades del proceso electoral, a adoptar la solución que sería normal en un recurso de amparo ordinario, esto es, a la declaración de nulidad de aquella Sentencia con retroacción de las actuaciones para que el Tribunal Superior de Justicia dicte otra nueva respetuosa con el derecho fundamental lesionado. Dado que la demandante de amparo denuncia también la lesión del derecho a acceder en condiciones de igualdad a los cargos públicos con los requisitos que señalen las </w:t>
      </w:r>
      <w:r>
        <w:lastRenderedPageBreak/>
        <w:t>leyes (art. 23.2 CE, en relación con el derecho reconocido en el art. 23.1 CE), que es el derecho sustantivo principalmente concernido y en juego en el proceso electoral y cuya tutela igualmente nos corresponde, debemos proceder a enjuiciar si concurre o no la invocada vulneración de aquel derecho fundamental, bien entendido que nuestro pronunciamiento sobre este segundo motivo de amparo absorbe y subsume la reparación de la apreciada lesión del derecho a la tutela judicial efectiva (art. 24.1 CE; SSTC 24/1990, de 15 de febrero, FJ 5; 146/1999, de 27 de julio, FFJJ 5 y 6; 155/2003, de 21 de julio, FFJJ 6 y 7).</w:t>
      </w:r>
    </w:p>
    <w:p w:rsidR="00DE14C9" w:rsidRDefault="00DE14C9" w:rsidP="00DE14C9">
      <w:pPr>
        <w:pStyle w:val="TextoNormal"/>
      </w:pPr>
    </w:p>
    <w:p w:rsidR="00DE14C9" w:rsidRDefault="00DE14C9" w:rsidP="00DE14C9">
      <w:pPr>
        <w:pStyle w:val="TextoNormal"/>
      </w:pPr>
      <w:r w:rsidRPr="00DE14C9">
        <w:rPr>
          <w:rStyle w:val="NumeroAFNegritaCaracter"/>
        </w:rPr>
        <w:t>5</w:t>
      </w:r>
      <w:r>
        <w:t>. La demandante de amparo considera que ha resultado vulnerado también su derecho a acceder en condiciones de igualdad a los cargos públicos con los requisitos que señalen las leyes (art. 23.2 CE, en relación con el art. 23.1 CE), como consecuencia de la declaración de nulidad de una papeleta de voto emitida en el distrito único, sección 1, mesa B, a favor de la candidatura presentada por el Partido Popular, en la que se había escrito la frase “Zapatero, Zapatero multiplícate por cero Shin Chan”. En su opinión, sin perjuicio del reproche que debe hacérsele al elector, la citada expresión ni altera, ni modifica, ni añade, ni señala a candidato alguno, siendo indudable la voluntad de elector de votar a la candidatura del Partido Popular, por lo que su nulidad se funda en una interpretación excesivamente formalista del art. 96.2 LOREG, lesiva del invocado derecho fundamental.</w:t>
      </w:r>
    </w:p>
    <w:p w:rsidR="00DE14C9" w:rsidRDefault="00DE14C9" w:rsidP="00DE14C9">
      <w:pPr>
        <w:pStyle w:val="TextoNormal"/>
      </w:pPr>
      <w:r>
        <w:t>La pretensión actora es apoyada por las representaciones del Partido Popular y del Partido Andalucista. Se oponen a la misma la representación del Partido Socialista Obrero Español, quien considera que, en aplicación del art. 96.2 LOREG, no puede concederse validez a la papeleta de voto discutida, y el Ministerio Fiscal, quien sostiene que este Tribunal no puede revisar el juicio de legalidad llevado a cabo por la Administración electoral y el Tribunal Superior de Justicia.</w:t>
      </w:r>
    </w:p>
    <w:p w:rsidR="00DE14C9" w:rsidRDefault="00DE14C9" w:rsidP="00DE14C9">
      <w:pPr>
        <w:pStyle w:val="TextoNormal"/>
      </w:pPr>
    </w:p>
    <w:p w:rsidR="00DE14C9" w:rsidRDefault="00DE14C9" w:rsidP="00DE14C9">
      <w:pPr>
        <w:pStyle w:val="TextoNormal"/>
      </w:pPr>
      <w:r w:rsidRPr="00DE14C9">
        <w:rPr>
          <w:rStyle w:val="NumeroAFNegritaCaracter"/>
        </w:rPr>
        <w:t>6</w:t>
      </w:r>
      <w:r>
        <w:t>. La cuestión ahora suscitada estriba en determinar si ha resultado lesionado, como sostienen la demandante de amparo y las representaciones del Partido Popular y del Partido Andalucista, o no, como mantienen la representación del Partido Socialista Obrero Español y el Ministerio Fiscal, el derecho a acceder en condiciones de igualdad a los cargos públicos con los requisitos que señalen las leyes (art. 23.2 CE), en el que ha de subsumirse la invocación que se hace del derecho a participar en los asuntos públicos por medio de representantes (art. 23.1 CE), como consecuencia de una posible infracción de la legislación electoral vigente, en concreto, del art. 96.2 LOREG, al haber negado validez a la ya referida papeleta de voto emitida en el distrito único 1, sección 1, mesa B, a favor de la candidatura presentada por el Partido Popular, que, en opinión de la demandante de amparo, debió ser declarada válida en aplicación del mencionado art. 96.2 LOREG.</w:t>
      </w:r>
    </w:p>
    <w:p w:rsidR="00DE14C9" w:rsidRDefault="00DE14C9" w:rsidP="00DE14C9">
      <w:pPr>
        <w:pStyle w:val="TextoNormal"/>
      </w:pPr>
      <w:r>
        <w:t>En este contexto hemos de poner ahora de manifiesto, antes de proseguir el enjuiciamiento de la queja de la actora, que la denunciada infracción de la legislación electoral afecta en este caso, como se refleja en el expediente electoral, al resultado final de la elección, requisito para poder apreciar la existencia de una lesión real y efectiva del derecho de sufragio pasivo, pues, de serle sumado a la candidatura del Partido Popular el voto en liza, le correspondería a la demandante un puesto de concejal en detrimento de la candidatura del Partido Socialista Obrero Español, que obtendría un puesto de concejal menos de los atribuidos en el Acuerdo de proclamación de electos [SSTC 185/1999, de 11 de octubre, FJ 4 c); 153/2003, de 17 de julio, FJ 3; 154/2003, de 17 de julio, FFJJJ 6 c) y 8; 135/2004, de 5 de agosto, FJ 4 c)].</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7</w:t>
      </w:r>
      <w:r>
        <w:t>. El marco normativo configurador de la declaración de nulidad de las papeletas de voto viene constituido por el art. 96 de la Ley Orgánica del régimen electoral general, precepto ubicado en su título I, que tiene por objeto, como indica su rúbrica, las “Disposiciones comunes para las elecciones por sufragio universal” y, más concretamente, en el supuesto que aquí y ahora interesa, por el apartado 2 del citado precepto, a cuyo tenor: “En el caso de elecciones al Congreso de los Diputados, al Parlamento Europeo, a los Ayuntamientos y Cabildos Insulares serán también nulos los votos emitidos en papeletas en las que se hubiera modificado, añadido, señalado o tachado nombres de los candidatos comprendidos en ella o alterado su orden de colocación, así como aquellas en las que se hubiera producido cualquier otro tipo de alteración”.</w:t>
      </w:r>
    </w:p>
    <w:p w:rsidR="00DE14C9" w:rsidRDefault="00DE14C9" w:rsidP="00DE14C9">
      <w:pPr>
        <w:pStyle w:val="TextoNormal"/>
      </w:pPr>
      <w:r>
        <w:t>Este Tribunal ha tenido ocasión de pronunciarse tanto con carácter general sobre las normas reguladoras del régimen de nulidad de los votos como, más concretamente, sobre las específicas previsiones del art. 96.2 LOREG, cuya doctrina procede ahora traer a colación:</w:t>
      </w:r>
    </w:p>
    <w:p w:rsidR="00DE14C9" w:rsidRDefault="00DE14C9" w:rsidP="00DE14C9">
      <w:pPr>
        <w:pStyle w:val="TextoNormal"/>
      </w:pPr>
      <w:r>
        <w:t>a) En relación con las normas reguladoras de la nulidad de los votos ha declarado que éstas “han de ser formuladas en términos precisos, con determinación detallada de todas las reglas especiales y de las posibles exclusiones, sin que sea preciso acudir a interpretaciones más o menos complejas sobre la aplicabilidad de cada precepto”. Esta exigencia de precisión y claridad en la redacción de aquellas normas encuentra su justificación en que su aplicación inmediata ha de ser efectuada normalmente por los componentes de las mesas electorales, integradas por ciudadanos designados por sorteo y que constituyen una Administración electoral no especializada (STC 153/2003, de 17 de julio, FJ 6).</w:t>
      </w:r>
    </w:p>
    <w:p w:rsidR="00DE14C9" w:rsidRDefault="00DE14C9" w:rsidP="00DE14C9">
      <w:pPr>
        <w:pStyle w:val="TextoNormal"/>
      </w:pPr>
      <w:r>
        <w:t>b) Asimismo, por lo que se refiere más concretamente al supuesto regulado en el art. 96.2 LOREG, este Tribunal ha declarado que el citado precepto recoge el llamado principio de inalterabilidad de la lista electoral, y que lo hace de forma tal que robustece la exigencia de rigor que dicho principio implica en relación a como aparecía enunciado en la precedente legislación electoral. En efecto, en tanto que el art. 64.2 b) del Real Decreto-ley 20/1977, de 18 de marzo, sobre normas electorales, establecía que sólo era nulo “el voto para el Congreso emitido en papeleta en la que se hubiera modificado o tachado nombres de los comprendidos en ella o alterado su orden de colocación”, el art. 96.2 LOREG ha introducido una cláusula general de cierre —“cualquier otro tipo de alteración”— y ha sumado otros participios —“añadido”, “señalado”—, a los enunciados en aquel precepto, que ponen de manifiesto la “finalidad de enfatizar la prohibición de señales o manipulaciones de cualquier tipo en las papeletas de voto, precisamente por su carácter de papeletas que incorporan listas bloqueadas y cerradas en las que no es menester indicación alguna del elector al emitir el sufragio” (STC 165/1991, de 19 de julio, FJ 3; doctrina que reiteran las SSTC 115/1995, de 10 de julio, FJ 5; 153/2003, de 17 de julio, FJ 7).</w:t>
      </w:r>
    </w:p>
    <w:p w:rsidR="00DE14C9" w:rsidRDefault="00DE14C9" w:rsidP="00DE14C9">
      <w:pPr>
        <w:pStyle w:val="TextoNormal"/>
      </w:pPr>
      <w:r>
        <w:t xml:space="preserve">En esta línea de razonamiento el Tribunal ha destacado también en la primera de las Sentencias antes mencionadas, frente a la redacción del art. 96.2 LOREG, la mayor flexibilidad del tenor del art. 96.3 LOREG, que establece las normas de nulidad de votos para el Senado, según el cual “serán nulos los votos emitidos en papeletas en las que se hubieran señalado más de tres nombres en las circunscripciones provinciales, de dos en las circunscripciones insulares de Gran Canarias, Mallorca y Tenerife y en las poblaciones de Ceuta y Melilla y de uno en el resto de las circunscripciones insulares”. Así se declaró en aquella Sentencia que las previsiones específicas del art. 96.3 LOREG respecto de los votos nulos en las elecciones al Senado “viene[n] lógicamente condicionad[as] por la necesidad de que el elector marque con cruces los candidatos elegidos de entre los presentes en una única lista” y “[l]as circunstancias en las que se produce la emisión del voto por papeleta al Senado, con razonables posibilidades de rayas, cruces o tachaduras en virtud de errores, no </w:t>
      </w:r>
      <w:r>
        <w:lastRenderedPageBreak/>
        <w:t>son las mismas que en las demás elecciones y, por lo que aquí atañe, que en las locales” (ibidem).</w:t>
      </w:r>
    </w:p>
    <w:p w:rsidR="00DE14C9" w:rsidRDefault="00DE14C9" w:rsidP="00DE14C9">
      <w:pPr>
        <w:pStyle w:val="TextoNormal"/>
      </w:pPr>
      <w:r>
        <w:t>Precisamente con base en que en el caso de las elecciones al Congreso de los Diputados, al Parlamento Europeo, a los Ayuntamientos y Cabildos insulares, a las que se refiere el art. 96.2 LOREG, las papeletas de votación incorporan listas bloqueadas y cerradas en las que no es menester indicación alguna del elector al emitir el sufragio, a diferencia de las elecciones al Senado a las que se refiere el art. 96.3 LOREG, el Tribunal ha justificado que “haya de ser también distinto el rigor con el que se enjuicie la presencia de marcas, escritos o tachaduras en una y otra clase de papeletas”, afirmando “que la existencia constatada de marcas o tachaduras en las papeletas a las elecciones locales permite la aplicación razonada a las mismas por la Administración electoral y por los órganos de la jurisdicción contencioso-electoral de la nulidad prevista en el art. 96.2 LOREG, una vez atendidas y ponderadas las circunstancias de cada caso” (STC 165/1991, de 19 de julio, FJ 3). Ahora bien, hemos precisado que, si bien a la hora de aplicar las causas de nulidad del art. 96.2 LOREG no se debe caer en el automatismo, tampoco es posible eludir la existencia de adiciones, modificaciones, señales o marcas en las papeletas, negándoles todo valor (STC 153/2003, de 17 de julio, FJ 9).</w:t>
      </w:r>
    </w:p>
    <w:p w:rsidR="00DE14C9" w:rsidRDefault="00DE14C9" w:rsidP="00DE14C9">
      <w:pPr>
        <w:pStyle w:val="TextoNormal"/>
      </w:pPr>
      <w:r>
        <w:t>Distinguiendo los dos supuestos recogidos en el art. 96.2 LOREG, en la STC 153/2003, de 17 de julio, hemos dicho que “[P]arece patente que, cuando el precepto examinado se refiere a la modificación, adición, señal o tachado de los nombres de los candidatos o a la alteración de su orden, su presupuesto está conformado por las papeletas que incluyen la lista de candidatos de cada formación, en relación con las cuales puede producirse de manera patente tales operaciones. Ahora bien, en su cláusula de cierre (‘aquellas en las que se hubiera producido cualquier otro tipo de alteración’) quedan comprendidas las variaciones de toda índole que afecten a las papeletas” (FJ 7).</w:t>
      </w:r>
    </w:p>
    <w:p w:rsidR="00DE14C9" w:rsidRDefault="00DE14C9" w:rsidP="00DE14C9">
      <w:pPr>
        <w:pStyle w:val="TextoNormal"/>
      </w:pPr>
      <w:r>
        <w:t>c) El Tribunal ha declarado también que el entendimiento de cuándo procede y cuándo no la aplicación de lo dispuesto en el art. 96.2 LOREG configura normalmente un juicio de estricta legalidad electoral, que no puede ser revisado por este Tribunal una vez comprobado que la interpretación seguida por el órgano judicial ordinario no es arbitraria, irrazonada e irrazonable (STC 165/1991, de 19 de julio, FJ 3; doctrina que reitera la STC 115/1995, de 10 de julio, FJ 5).</w:t>
      </w:r>
    </w:p>
    <w:p w:rsidR="00DE14C9" w:rsidRDefault="00DE14C9" w:rsidP="00DE14C9">
      <w:pPr>
        <w:pStyle w:val="TextoNormal"/>
      </w:pPr>
      <w:r>
        <w:t xml:space="preserve">d) Finalmente, por lo que se refiere a los concretos pronunciamientos de este Tribunal en relación con la interpretación y aplicación del art. 96.2 LOREG por las juntas electorales y los órganos judiciales, ha entendido que no puede considerarse como una interpretación y aplicación irrazonada e irrazonable del citado precepto legal la decisión de la Administración electoral de estimar como una alteración de la lista electoral determinante de su nulidad papeletas de voto en las que aparecen rayados los nombres de varios candidatos mediante diversas líneas cruzadas (STC 156/1991, de 15 de julio, FJ 2); la declaración de nulidad de votos emitidos en papeletas señaladas con un aspa al lado de los candidatos, que contengan frases escritas o que presenten interlineados y recuadros (STC 165/1991, de 19 de julio, FJ 3); o, en fin, la declaración de nulidad de papeletas garabateadas (STC 115/1995, de 10 de julio, FJ 5). Asimismo, pese a que la enumeración de supuestos de nulidad del art. 96.2 LOREG no es ad exemplum, sino tasada, ha estimado que está “implícito o sobreentendido en todos ellos, y también en el resto del articulado aplicable [de la LOREG], el que en las papeletas de voto deben figurar, como es obvio, candidatos proclamados en la circunscripción y que cuando así no sea el sufragio —en realidad inexistente— queda viciado total y absolutamente” (STC 167/1991, de 19 de julio, FJ 4). Finalmente, el Tribunal también ha </w:t>
      </w:r>
      <w:r>
        <w:lastRenderedPageBreak/>
        <w:t>declarado aplicables los supuestos de nulidad de los votos del art.  96.2 LOREG a los emitidos por correspondencia por los residentes ausentes que viven en el extranjero en elecciones locales (art. 190 LOREG) y, en consecuencia, ha estimado que resulta lesiva del derecho a acceder en condiciones de igualdad a los cargos públicos con los requisitos que señalen las leyes (art. 23.2 CE) la consideración como válidos y, por consiguiente, la no anulación de tres votos emitidos por residentes ausentes que viven en el extranjero sin acomodarse a las previsiones del art. 190 LOREG, ya que en las papeletas de voto, no sólo se incluían las siglas de la candidatura a la que se otorgaba el voto, sino, además, el nombre de un candidato que no era el cabeza de lista (STC 153/2003, de 17 de julio, F J 10).</w:t>
      </w:r>
    </w:p>
    <w:p w:rsidR="00DE14C9" w:rsidRDefault="00DE14C9" w:rsidP="00DE14C9">
      <w:pPr>
        <w:pStyle w:val="TextoNormal"/>
      </w:pPr>
    </w:p>
    <w:p w:rsidR="00DE14C9" w:rsidRDefault="00DE14C9" w:rsidP="00DE14C9">
      <w:pPr>
        <w:pStyle w:val="TextoNormal"/>
      </w:pPr>
      <w:r w:rsidRPr="00DE14C9">
        <w:rPr>
          <w:rStyle w:val="NumeroAFNegritaCaracter"/>
        </w:rPr>
        <w:t>8</w:t>
      </w:r>
      <w:r>
        <w:t>. En el presente caso, en el que de nuevo se vuelve a plantear la interpretación conforme al texto constitucional del art. 96.2 LOREG, hemos de reiterar la precedente doctrina constitucional, y, ante las numerosas dudas que está suscitando la aplicación e interpretación de aquel precepto y la diversidad de soluciones que vienen siendo adoptadas por la Administración electoral y los órganos jurisdiccionales, a la hora de aplicar el criterio general en el apartado c) del fundamento jurídico precedente, insistir en la necesidad de preservar y exigir el principio de inalterabilidad de las listas electorales en los supuestos a los que se refiere el art. 96.2 LOREG con el rigor con el que ha sido configurado por el legislador en la redacción que ha dado a dicho precepto, que, como este Tribunal ha declarado en la STC 165/1991, de 19 de julio, pone de manifiesto la “finalidad de enfatizar la prohibición de señales o manipulaciones de cualquier tipo en las papeletas de voto, precisamente por su carácter de papeletas que incorporan listas bloqueadas y cerradas en las que no es menester indicación alguna al emitir el sufragio” (FJ 3). De modo que la existencia de cualesquiera modificaciones, adiciones, señales, marcas, tachaduras o cualquier otro tipo de alteración o determinación en las papeletas de voto ha de conducir a la aplicación de la declaración de nulidad prevista en el art. 96.2 LOREG.</w:t>
      </w:r>
    </w:p>
    <w:p w:rsidR="00DE14C9" w:rsidRDefault="00DE14C9" w:rsidP="00DE14C9">
      <w:pPr>
        <w:pStyle w:val="TextoNormal"/>
      </w:pPr>
      <w:r>
        <w:t xml:space="preserve">Es a la Administración electoral, en primer término, y, en caso de impugnarse su decisión, a los órganos jurisdiccionales, a quienes corresponde la aplicación de los supuestos del art. 96.2 LOREG, la cual, como es obvio y no puede ser de otra forma, ha de razonarse y motivarse en cada supuesto atendiendo a las circunstancias que concurran en el mismo. En este sentido hemos asimismo de reiterar que la aplicación del citado precepto legal se configura normalmente y en principio como un juicio de estricta legalidad electoral, que puede ser revisado por este Tribunal si la interpretación seguida por el órgano judicial ordinario es arbitraria, irrazonada e irrazonable y, además, cuando se aduzca en la demanda de amparo un derecho fundamental distinto al de la tutela judicial efectiva (art. 24.1 CE), por la posible vulneración de ese otro derecho fundamental invocado y, de manera específica, por el derecho fundamental, de carácter sustantivo a acceder en condiciones de igualdad y conforme a lo dispuesto en las Leyes a determinado cargo público (art. 23.2 CE). En efecto, el recurso de amparo ahora planteado está ante todo al servicio de la preservación y protección de tal derecho fundamental y la determinación de si se ha respetado requiere también por nuestra parte una indagación de carácter sustantivo, que no se cumple, por tanto, con el simple reconocimiento de la razonable interpretación que puedan exhibir las resoluciones administrativas y judiciales impugnadas [SSTC 185/1999, de 11 de octubre, FJ 3; 135/2004, de 17 de julio, FJ 4 d)]. Desde la perspectiva constitucional que nos ocupa, más en concreto, desde el ámbito del art. 23 CE, es premisa insoslayable de la conformidad a la Constitución de cualquier interpretación del art.  96.2 LOREG que la interpretación en cuestión ha de efectuarse de tal modo que los contenidos, requisitos y limites que establece la Ley Orgánica del régimen electoral general no se vean enervados o alterados por aquella interpretación, </w:t>
      </w:r>
      <w:r>
        <w:lastRenderedPageBreak/>
        <w:t>pues si así fuera quedaría en manos del intérprete y no del legislador la fijación de los contornos del derecho de acceso a los cargos públicos en condiciones de igualdad (art. 23.2 CE; SSTC 74/1995, de 12 de mayo, FJ único; 146/1999, de 27 de julio, FJ 2; 155/2003, de 17 de julio, FJ 4).</w:t>
      </w:r>
    </w:p>
    <w:p w:rsidR="00DE14C9" w:rsidRDefault="00DE14C9" w:rsidP="00DE14C9">
      <w:pPr>
        <w:pStyle w:val="TextoNormal"/>
      </w:pPr>
      <w:r>
        <w:t>Así hemos declarado en la STC 153/2003, de 17 de julio, que no resulta admisible desde la perspectiva de los derechos fundamentales reconocidos en el art. 23 CE la interpretación judicial que conduce a que se deban computar como votos válidos los emitidos en papeletas que, por incurrir en algunas de las incorrecciones recogidas en el art. 96.2 LOREG, deberían haber dado lugar a la declaración de su nulidad, cuando como consecuencia del cómputo de aquellos votos se altere el resultado final de la elección.  En sustento de esta afirmación razonábamos que “el derecho de acceso a los cargos públicos es un derecho de mediación legal que encuentra su regulación fundamental en la Ley Orgánica 5/1985, de 19 de junio, del régimen electoral general, la cual articula, en palabras de su preámbulo, ‘el procedimiento de emanación de la voluntad mayoritaria del pueblo en las diversas instancias representativas en que se articula el Estado español’, y en tal sentido, desde la perspectiva del derecho de sufragio pasivo, es obligado integrar en este derecho la exigencia de que las normas electorales sean cumplidas en cuanto constituyen garantía del correcto desarrollo de la elección de modo que culmine con la proclamación de los candidatos que hayan sido preferidos por el cuerpo electoral (STC 71/1989, de 20 de abril, FJ 3)” (STC 153/2003, FJ 8).</w:t>
      </w:r>
    </w:p>
    <w:p w:rsidR="00DE14C9" w:rsidRDefault="00DE14C9" w:rsidP="00DE14C9">
      <w:pPr>
        <w:pStyle w:val="TextoNormal"/>
      </w:pPr>
      <w:r>
        <w:t>El rigor que ha de observarse, en los términos expuestos, en la exigencia del principio de inalterabilidad de las listas electorales plasmado, a los efectos que aquí y ahora interesan, en el art. 96.2 LOREG, en modo alguno puede suponer el desconocimiento de la vigencia en las distintas fases del proceso electoral de los principios de conservación de actos válidamente celebrados, de interpretación más favorable a la plenitud del derecho de sufragio y de conocimiento de la verdad material manifestada en las urnas por los electores. Ahora bien, la necesidad de cohonestar el principio de inalterabilidad de las listas electorales con los principios de conservación de actos válidamente celebrados, de interpretación más favorable a la plenitud del derecho de sufragio y de conocimiento de la verdad material manifestada en las urnas por los electores tampoco puede hacerse a costa del principio de inalterabilidad de las listas electorales con el rigor y la intensidad con el que ha sido configurado por el legislador en el art. 96.2 LOREG, de modo que, en un orden lógico, a aquellos principios debe preceder el respeto a la inalterabilidad de la candidatura en la emisión del sufragio.</w:t>
      </w:r>
    </w:p>
    <w:p w:rsidR="00DE14C9" w:rsidRDefault="00DE14C9" w:rsidP="00DE14C9">
      <w:pPr>
        <w:pStyle w:val="TextoNormal"/>
      </w:pPr>
    </w:p>
    <w:p w:rsidR="00DE14C9" w:rsidRDefault="00DE14C9" w:rsidP="00DE14C9">
      <w:pPr>
        <w:pStyle w:val="TextoNormal"/>
      </w:pPr>
      <w:r w:rsidRPr="00DE14C9">
        <w:rPr>
          <w:rStyle w:val="NumeroAFNegritaCaracter"/>
        </w:rPr>
        <w:t>9</w:t>
      </w:r>
      <w:r>
        <w:t xml:space="preserve">. En el supuesto que ahora nos ocupa la papeleta de voto en liza emitida en el distrito único, sección 1, mesa B, de Zahara de la Sierra a favor de la candidatura presentada por el Partido Popular, contiene la siguiente frase manuscrita: “Zapatero, multiplícate por cero Shin Chan”. Al margen del severo y tajante reproche del que se hace merecedora la forma en que se ha ejercido en este caso el derecho de sufragio, sin la seriedad precisa que requiere su trascendental y nuclear papel en una sociedad democrática y sin el respeto debido a quien ostenta la presidencia del Gobierno de la Nación, se trata de una papeleta de voto en la que el elector, al ejercer su sufragio en las elecciones locales, con infracción del principio de inalterabilidad de las listas electorales establecido en el art. 96.2 LOREG, ha desatendido la prohibición de efectuar cualquier tipo de modificación, señal, manipulación, adición, marca, tachadura o cualquier otra clase de alteración o determinación en las papeletas de voto, al tratarse precisamente de papeletas que incorporan listas bloqueadas y cerradas en las que no es menester realizar indicación alguna al emitir el sufragio, por lo que, en aplicación del </w:t>
      </w:r>
      <w:r>
        <w:lastRenderedPageBreak/>
        <w:t>mencionado art. 96.2 LOREG, debió declararse la nulidad de la referida papeleta de voto. El elector, al actuar del modo como lo ha hecho, contraviniendo aquella prohibición, se ha apartado por razones únicamente a él imputables de las precisas reglas que en la legislación electoral regulan el ejercicio del voto en las elecciones locales, meridianamente claras a la hora de determinar la forma en que ha de ejercerse el voto, que excluyen cualquier tipo de señal o manipulación en las papeletas.</w:t>
      </w:r>
    </w:p>
    <w:p w:rsidR="00DE14C9" w:rsidRDefault="00DE14C9" w:rsidP="00DE14C9">
      <w:pPr>
        <w:pStyle w:val="TextoNormal"/>
      </w:pPr>
      <w:r>
        <w:t>Sentado cuanto antecede ha de descartarse que las resoluciones administrativa y judicial impugnadas, al negar validez a esa papeleta de voto, hayan infringido el art. 96.2 LOREG y lesionado, como consecuencia de dicha decisión, el derecho de la demandante de amparo al acceso a los cargos públicos en condiciones de igualdad y con los requisitos que señalen las leyes (art. 23.2 CE).</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Desestimar la presente demanda de amparo interpuesta por doña María Francisca Jiménez Ramírez.</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dieciocho de julio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81" w:name="SENTENCIA_2007_168"/>
      <w:r>
        <w:lastRenderedPageBreak/>
        <w:t>SENTENCIA 168/2007, de 18 de julio de 2007</w:t>
      </w:r>
    </w:p>
    <w:bookmarkEnd w:id="81"/>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200, de 21 de agosto de 2007)</w:t>
      </w:r>
    </w:p>
    <w:p w:rsidR="00DE14C9" w:rsidRDefault="00DE14C9" w:rsidP="00DE14C9">
      <w:pPr>
        <w:pStyle w:val="TtuloBOE"/>
      </w:pPr>
    </w:p>
    <w:p w:rsidR="00DE14C9" w:rsidRDefault="00DE14C9" w:rsidP="00DE14C9">
      <w:pPr>
        <w:pStyle w:val="SntesisDescriptiva"/>
      </w:pPr>
      <w:r>
        <w:t>ECLI:ES:TC:2007:168</w:t>
      </w:r>
    </w:p>
    <w:p w:rsidR="00DE14C9" w:rsidRDefault="00DE14C9" w:rsidP="00DE14C9">
      <w:pPr>
        <w:pStyle w:val="SntesisDescriptiva"/>
      </w:pPr>
    </w:p>
    <w:p w:rsidR="00DE14C9" w:rsidRDefault="00DE14C9" w:rsidP="00DE14C9">
      <w:pPr>
        <w:pStyle w:val="SntesisDescriptiva"/>
      </w:pPr>
      <w:r>
        <w:t>Recurso de amparo electoral 5923-2007. Promovido por el Partido Socialista Obrero Español frente a la Sentencia de la Sala de lo Contencioso-Administrativo del Tribunal Superior de Justicia de Murcia que desestimó su demanda sobre proclamación de candidatos electos a concejales del Ayuntamiento de La Unión.</w:t>
      </w:r>
    </w:p>
    <w:p w:rsidR="00DE14C9" w:rsidRDefault="00DE14C9" w:rsidP="00DE14C9">
      <w:pPr>
        <w:pStyle w:val="SntesisDescriptiva"/>
      </w:pPr>
    </w:p>
    <w:p w:rsidR="00DE14C9" w:rsidRDefault="00DE14C9" w:rsidP="00DE14C9">
      <w:pPr>
        <w:pStyle w:val="SntesisAnaltica"/>
      </w:pPr>
      <w:r>
        <w:t>Vulneración del derecho a acceder a los cargos representativos: voto en elecciones locales mediante papeletas con alteraciones (STC 167/2007).</w:t>
      </w:r>
    </w:p>
    <w:p w:rsidR="00DE14C9" w:rsidRDefault="00DE14C9" w:rsidP="00DE14C9">
      <w:pPr>
        <w:pStyle w:val="SntesisAnaltica"/>
      </w:pPr>
    </w:p>
    <w:p w:rsidR="00DE14C9" w:rsidRDefault="00DE14C9" w:rsidP="00DE14C9">
      <w:pPr>
        <w:pStyle w:val="Extracto"/>
      </w:pPr>
      <w:r>
        <w:t>1.</w:t>
      </w:r>
      <w:r>
        <w:tab/>
        <w:t>Se vulnera el derecho a acceder en condiciones de igualdad a los cargos públicos con los requisitos que señalen las leyes cuando, demostrada la votación mayoritaria de un candidato respecto de otro, se hace la proclamación de este último en virtud de una argumentación que contradice abiertamente el sistema electoral y la Ley Orgánica que lo regula (SSTC 153/2003, 167/2007) [FJ 7].</w:t>
      </w:r>
    </w:p>
    <w:p w:rsidR="00DE14C9" w:rsidRDefault="00DE14C9" w:rsidP="00DE14C9">
      <w:pPr>
        <w:pStyle w:val="Extracto"/>
      </w:pPr>
    </w:p>
    <w:p w:rsidR="00DE14C9" w:rsidRDefault="00DE14C9" w:rsidP="00DE14C9">
      <w:pPr>
        <w:pStyle w:val="Extracto"/>
      </w:pPr>
      <w:r>
        <w:t>2.</w:t>
      </w:r>
      <w:r>
        <w:tab/>
        <w:t>El que aparezca un aspa en el espacio superior al nombre del primer candidato, en la papeleta de voto que incorpora una lista bloqueada y cerrada en la que no es menester realizar indicación alguna al emitir el sufragio, vulnera la prohibición de efectuar cualquier tipo de modificación, alteración o determinación en la misma, por lo que procede declarar su nulidad [FJ 4].</w:t>
      </w:r>
    </w:p>
    <w:p w:rsidR="00DE14C9" w:rsidRDefault="00DE14C9" w:rsidP="00DE14C9">
      <w:pPr>
        <w:pStyle w:val="Extracto"/>
      </w:pPr>
    </w:p>
    <w:p w:rsidR="00DE14C9" w:rsidRDefault="00DE14C9" w:rsidP="00DE14C9">
      <w:pPr>
        <w:pStyle w:val="Extracto"/>
      </w:pPr>
      <w:r>
        <w:t>3.</w:t>
      </w:r>
      <w:r>
        <w:tab/>
        <w:t>La denunciada infracción de la legislación electoral afecta al resultado final de la elección, requisito para poder apreciar la existencia de una lesión real y efectiva del derecho de sufragio pasivo (SSTC 185/1999, 135/2004) [FJ 2].</w:t>
      </w:r>
    </w:p>
    <w:p w:rsidR="00DE14C9" w:rsidRDefault="00DE14C9" w:rsidP="00DE14C9">
      <w:pPr>
        <w:pStyle w:val="Extracto"/>
      </w:pPr>
    </w:p>
    <w:p w:rsidR="00DE14C9" w:rsidRDefault="00DE14C9" w:rsidP="00DE14C9">
      <w:pPr>
        <w:pStyle w:val="Extracto"/>
      </w:pPr>
      <w:r>
        <w:t>4.</w:t>
      </w:r>
      <w:r>
        <w:tab/>
        <w:t>La aplicación del art. 96.2 LOREG se configura normalmente como un juicio de estricta legalidad electoral que puede ser revisado por el Tribunal Constitucional si la interpretación seguida por el órgano judicial ordinario es arbitraria, irrazonada e irrazonable y, además, cuando se aduzca en la demanda de amparo la posible vulneración del derecho fundamental a acceder en condiciones de igualdad y conforme a lo dispuesto en las leyes a determinado cargo público (SSTC 185/1999, 135/2004) [FJ 4].</w:t>
      </w:r>
    </w:p>
    <w:p w:rsidR="00DE14C9" w:rsidRDefault="00DE14C9" w:rsidP="00DE14C9">
      <w:pPr>
        <w:pStyle w:val="Extracto"/>
      </w:pPr>
    </w:p>
    <w:p w:rsidR="00DE14C9" w:rsidRDefault="00DE14C9" w:rsidP="00DE14C9">
      <w:pPr>
        <w:pStyle w:val="Extracto"/>
      </w:pPr>
      <w:r>
        <w:t>5.</w:t>
      </w:r>
      <w:r>
        <w:tab/>
        <w:t>Cualquier interpretación del art. 96.2 LOREG ha de efectuarse de tal modo que los contenidos, requisitos y límites que establece la Ley Orgánica del régimen electoral general no se vean enervados o alterados por aquella interpretación, pues si así fuera quedaría en manos del intérprete y no del legislador la fijación de los contornos del derecho de acceso a los cargos públicos en condiciones de igualdad (SSTC 74/1995, 155/2003) [FJ 4].</w:t>
      </w:r>
    </w:p>
    <w:p w:rsidR="00DE14C9" w:rsidRDefault="00DE14C9" w:rsidP="00DE14C9">
      <w:pPr>
        <w:pStyle w:val="Extracto"/>
      </w:pPr>
    </w:p>
    <w:p w:rsidR="00DE14C9" w:rsidRDefault="00DE14C9" w:rsidP="00DE14C9">
      <w:pPr>
        <w:pStyle w:val="Extracto"/>
      </w:pPr>
      <w:r>
        <w:lastRenderedPageBreak/>
        <w:t>6.</w:t>
      </w:r>
      <w:r>
        <w:tab/>
        <w:t>Es obligado integrar en el derecho de sufragio pasivo la exigencia de que las normas electorales sean cumplidas en cuanto constituyen garantía del correcto desarrollo de la elección de modo que culmine con la proclamación de los candidatos que hayan sido preferidos por el cuerpo electoral (SSTC 71/1989, 153/2003) [FJ 5].</w:t>
      </w:r>
    </w:p>
    <w:p w:rsidR="00DE14C9" w:rsidRDefault="00DE14C9" w:rsidP="00DE14C9">
      <w:pPr>
        <w:pStyle w:val="Extracto"/>
      </w:pPr>
    </w:p>
    <w:p w:rsidR="00DE14C9" w:rsidRDefault="00DE14C9" w:rsidP="00DE14C9">
      <w:pPr>
        <w:pStyle w:val="Extracto"/>
      </w:pPr>
      <w:r>
        <w:t>7.</w:t>
      </w:r>
      <w:r>
        <w:tab/>
        <w:t>El principio de inalterabilidad de las listas electorales debe preceder a los principios de conservación de actos válidamente celebrados, de interpretación más favorable a la plenitud del derecho de sufragio y de conocimiento de la verdad material manifestada en las urnas por los electores [FJ 4].</w:t>
      </w:r>
    </w:p>
    <w:p w:rsidR="00DE14C9" w:rsidRDefault="00DE14C9" w:rsidP="00DE14C9">
      <w:pPr>
        <w:pStyle w:val="Extracto"/>
      </w:pPr>
    </w:p>
    <w:p w:rsidR="00DE14C9" w:rsidRDefault="00DE14C9" w:rsidP="00DE14C9">
      <w:pPr>
        <w:pStyle w:val="Extracto"/>
      </w:pPr>
      <w:r>
        <w:t>8.</w:t>
      </w:r>
      <w:r>
        <w:tab/>
        <w:t>Doctrina sobre las normas reguladoras del régimen de nulidad de votos y, más concretamente, sobre las específicas previsiones del art. 96 de la Ley Orgánica del régimen electoral general (SSTC 165/1991, 167/2007) [FJ 3].</w:t>
      </w:r>
    </w:p>
    <w:p w:rsidR="00DE14C9" w:rsidRDefault="00DE14C9" w:rsidP="00DE14C9">
      <w:pPr>
        <w:pStyle w:val="Extracto"/>
      </w:pPr>
    </w:p>
    <w:p w:rsidR="00DE14C9" w:rsidRDefault="00DE14C9" w:rsidP="00DE14C9">
      <w:pPr>
        <w:pStyle w:val="Extracto"/>
      </w:pPr>
      <w:r>
        <w:t>9.</w:t>
      </w:r>
      <w:r>
        <w:tab/>
        <w:t>Procede declarar la nulidad de la papeleta de voto discutida y la anulación del Acuerdo de la Junta electoral de proclamación de candidatos electos a concejales, en cuanto a la atribución del último puesto de concejal, así como la de la Sentencia recaída en el recurso contencioso-electoral, debiendo procederse por la Junta electoral de la zona a una nueva proclamación del candidato electo correspondiente al último puesto de concejal a cubrir [FJ 6].</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electoral núm. 5923-2007, promovido por el Partido Socialista Obrero Español, representado por la Procuradora de los Tribunales doña Virginia Aragón Segura y asistido por el Letrado don Luis Barroso López, contra la Sentencia núm. 624/2007, de 29 de junio de 2007, de la Sección Segunda de la Sala de lo Contencioso-Administrativo del Tribunal Superior de Justicia de Murcia. Ha comparecido doña María Dolores Alarcón Martínez, representante general de la candidatura del Partido Popular de la Región de Murcia en las elecciones autonómicas y municipales, representada por el Procurador de los Tribunales don Lorenzo Tabanera Herranz y asistida por el Letrado don José Antonio Izquierdo. Ha intervenido también el Ministerio Fiscal. Ha sido Ponente el Magistrado don Eugeni Gay Montalvo, quien expresa el parecer de la Sala.</w:t>
      </w:r>
    </w:p>
    <w:p w:rsidR="00DE14C9" w:rsidRDefault="00DE14C9" w:rsidP="00DE14C9">
      <w:pPr>
        <w:pStyle w:val="TextoNormal"/>
      </w:pPr>
    </w:p>
    <w:p w:rsidR="00DE14C9" w:rsidRDefault="00DE14C9" w:rsidP="00DE14C9">
      <w:pPr>
        <w:pStyle w:val="TextoNormalNegritaCentrado"/>
        <w:keepNext/>
      </w:pPr>
      <w:r>
        <w:lastRenderedPageBreak/>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el registro de este Tribunal el día 2 de julio de 2007, doña Virginia Aragón Segura, Procuradora de los Tribunales, en nombre y representación del Partido Socialista Obrero Español, interpuso recurso de amparo contra la resolución judicial a la que se ha hecho mención en el encabezamiento de esta Sentencia.</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en los que se fundamenta la demanda de amparo son, sucintamente expuestos, los que siguen: </w:t>
      </w:r>
    </w:p>
    <w:p w:rsidR="00DE14C9" w:rsidRDefault="00DE14C9" w:rsidP="00DE14C9">
      <w:pPr>
        <w:pStyle w:val="TextoNormal"/>
      </w:pPr>
      <w:r>
        <w:t xml:space="preserve">a) El 27 de mayo de 2007 se celebraron elecciones municipales para el Ayuntamiento de La Unión. En el acta de la sesión de la mesa electoral del municipio de La Unión, distrito censal segundo, sección primera, de la mesa B del colegio electoral del Centro Cívico de La Unión se hace constar la reclamación y protesta del interventor del Partido Socialista Obrero Español, solicitando que el voto anotado como "A" se diera por nulo. El Presidente y los vocales de la mesa lo tuvieron, no obstante, por válido. La protesta formulada se fundamentó en que en la citada papeleta, correspondiente a la candidatura del Partido Popular, el elector había dibujado un aspa, parte de la cual afectaba al nombre del candidato número uno de los que figuran en la relación de la citada papeleta. </w:t>
      </w:r>
    </w:p>
    <w:p w:rsidR="00DE14C9" w:rsidRDefault="00DE14C9" w:rsidP="00DE14C9">
      <w:pPr>
        <w:pStyle w:val="TextoNormal"/>
      </w:pPr>
      <w:r>
        <w:t xml:space="preserve">b) El 30 de mayo de 2007, el representante del Partido Socialista Obrero Español formuló reclamación ante la Junta electoral de zona de Cartagena contra la aprobación del acta de escrutinio general que daba por válido el citado voto. En la misma alegaba que el voto era decisivo para la adjudicación de un concejal, que además determinaba que el Partido Popular tuviera o no la mayoría absoluta. Consideraba que el aspa dibujada alteraba el sentido del voto y sustentaba su reclamación en el art. 96.2 LOREG. Desestimada la reclamación por decisión de 31 de mayo de 2007 de la citada Junta electoral de zona, el partido recurrente interpuso recurso de alzada ante la Junta electoral central, reiterando sus pretensiones. Fue desestimado por resolución de 9 de junio de 2007 de la Junta electoral central. </w:t>
      </w:r>
    </w:p>
    <w:p w:rsidR="00DE14C9" w:rsidRDefault="00DE14C9" w:rsidP="00DE14C9">
      <w:pPr>
        <w:pStyle w:val="TextoNormal"/>
      </w:pPr>
      <w:r>
        <w:t>c) El día 13 de junio de 2007, dentro del plazo del art. 112.1 LOREG interpuso el correspondiente recurso contencioso-electoral contra el acuerdo de la Junta electoral. Fue denegado mediante Sentencia núm. 624/2007 de la Sección Segunda de la Sala de lo Contencioso-Administrativo del Tribunal Superior de Justicia de Murcia. En ella la Sala define la marca cuestionada como un aspa que "se sitúa en el espacio existente entre la mención 'doy mi voto a la candidatura presentada por el Partido popular, P.P.' y el nombre del primer candidato de la lista cruzando los extremos inferiores del aspa la separación entre el nombre y el primer apellido del cabeza de lista y éste último, sin alcanzar al nombre del segundo candidato". El aspa se sitúa encima del listado de nombres, en un espacio en blanco, y sólo tangencialmente toca el nombre del número uno. Por ello, reiterando los razonamientos de la decisión de la Junta electoral de zona de Cartagena estima que el aspa no implicaba que el votante quisiera tachar o enmendar el listado de candidatos. Argumenta también que si se hubiera querido anular el citado nombre, como argumentaba el partido recurrente, se habría situado sobre el nombre. Entiende pues que se trata de una circunstancia accidental sin entidad suficiente para vencer el principio de conservación del voto y consecuentemente, dando por válido el voto, desestima el recurso contencioso-administrativo.</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El recurso de amparo se sustenta en la lesión del derecho de acceso en condiciones de igualdad a las funciones y cargos públicos (art. 23.2 CE). </w:t>
      </w:r>
    </w:p>
    <w:p w:rsidR="00DE14C9" w:rsidRDefault="00DE14C9" w:rsidP="00DE14C9">
      <w:pPr>
        <w:pStyle w:val="TextoNormal"/>
      </w:pPr>
      <w:r>
        <w:lastRenderedPageBreak/>
        <w:t xml:space="preserve">En cuanto a la trascendencia de la cuestión para los resultados electorales, el partido recurrente señala que con el escrutinio aprobado por la Junta electoral de zona los resultados son: Partido Popular, 4.055 votos, 9 concejales; PSOE, 3.604 votos, 7 concejales; Izquierda Unida Los Verdes, 561 votos, 1 concejal. En cambio, si se procediera a la anulación de la papeleta reclamada el resultado pasaría a ser el siguiente: Partido Popular, 4.054 votos, 8 concejales; PSOE, 3.604 votos, 8 concejales; Izquierda Unida Los Verdes, 561 votos, 1 concejal. Es decir, que la anulación del voto en cuestión le daría un concejal más a la candidatura del partido recurrente. </w:t>
      </w:r>
    </w:p>
    <w:p w:rsidR="00DE14C9" w:rsidRDefault="00DE14C9" w:rsidP="00DE14C9">
      <w:pPr>
        <w:pStyle w:val="TextoNormal"/>
      </w:pPr>
      <w:r>
        <w:t xml:space="preserve">Considera el Partido Socialista Obrero Español que el recurso de amparo es la vía adecuada para controlar que la interpretación de la legalidad electoral ordinaria que realizan los órganos judiciales es conforme a la Constitución. En el caso concreto, se trata de la correcta aplicación del art. 96.2 LOREG del cual, a su juicio, se desprende la necesaria nulidad del voto realizado mediante una papeleta en la que se ha dibujado un aspa. </w:t>
      </w:r>
    </w:p>
    <w:p w:rsidR="00DE14C9" w:rsidRDefault="00DE14C9" w:rsidP="00DE14C9">
      <w:pPr>
        <w:pStyle w:val="TextoNormal"/>
      </w:pPr>
      <w:r>
        <w:t xml:space="preserve">De acuerdo con la demanda de amparo, la Junta electoral de zona no tenía el convencimiento inequívoco de cual era la intención y la voluntad del elector, por lo que se vio obligada a introducirse en el campo subjetivo de las intencionalidades del elector en las que cabe todo tipo de especulaciones e interpretaciones. Entre ellas incluso cabría la de que el lugar elegido para dibujar el aspa demuestra la intención de situarla deliberadamente sobre el primer candidato. Se pregunta el partido recurrente si el elector no quería introducir ningún mensaje de desaprobación al candidato primero de la papeleta, por qué no hizo el aspa de tal manera que no invadiera su nombre. La conclusión es que se ha señalado o tachado su nombre, supuesto previsto expresamente en el art. 96.2 LOREG. </w:t>
      </w:r>
    </w:p>
    <w:p w:rsidR="00DE14C9" w:rsidRDefault="00DE14C9" w:rsidP="00DE14C9">
      <w:pPr>
        <w:pStyle w:val="TextoNormal"/>
      </w:pPr>
      <w:r>
        <w:t>Celebradas ya ocho elecciones locales en los treinta años de democracia, el recurrente en amparo deduce que los ciudadanos saben ya sobradamente que las listas que contienen las papeletas del voto municipal son cerradas y bloqueadas y que no es necesario introducir en las mismas ningún tipo de alteración, corriendo si no el riesgo de que ese voto sea declarado nulo. En ese punto invoca a su favor la conocida doctrina de la STC 153/2003, en especial en lo que se refiere a la inalterabilidad del voto. En el caso concreto, frente al criterio de las juntas electorales y la Sala del Tribunal Superior de Justicia, insiste en que las patas del aspa dibujado en ningún momento tocan el nombre del segundo candidato, de donde deduce una clara intención de alterar la lista; en consecuencia estima que la interpretación del art. 96.2 LOREG por ellas realizada ha lesionado su derecho, en cuanto candidatura perjudicada, a acceder en condiciones de igualdad al cargo de concejal del Ayuntamiento de la Unión, contraviniendo el art. 23.2 CE.</w:t>
      </w:r>
    </w:p>
    <w:p w:rsidR="00DE14C9" w:rsidRDefault="00DE14C9" w:rsidP="00DE14C9">
      <w:pPr>
        <w:pStyle w:val="TextoNormal"/>
      </w:pPr>
    </w:p>
    <w:p w:rsidR="00DE14C9" w:rsidRDefault="00DE14C9" w:rsidP="00DE14C9">
      <w:pPr>
        <w:pStyle w:val="TextoNormal"/>
      </w:pPr>
      <w:r w:rsidRPr="00DE14C9">
        <w:rPr>
          <w:rStyle w:val="NumeroAFNegritaCaracter"/>
        </w:rPr>
        <w:t>4</w:t>
      </w:r>
      <w:r>
        <w:t>. Por providencia de 3 de julio de 2007 la Sala Segunda de este Tribunal acordó admitir a trámite el presente recurso de amparo, de conformidad con lo previsto en el art. 50.1 LOTC por no apreciar en el examen liminar que la demanda presentada incumpliera lo dispuesto en los arts. 41 a 46 y 49 LOTC y por estimar que la especial trascendencia de su contenido justificaba una decisión sobre el fondo por parte del Tribunal Constitucional. Al mismo tiempo se acordó recabar de la Sala correspondiente el envío de las actuaciones judiciales, emplazando a las partes para que en el plazo de tres días pudieran personarse debidamente ante este Tribunal formulando las alegaciones que estimaran pertinentes. También se acordó dar vista de la demanda al Ministerio Fiscal para que en el plazo de cinco días pudiera efectuar las alegaciones procedentes.</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Por escrito ingresado en el Registro General de este Tribunal el día 9 de julio de 2007, don Lorenzo Tabanera Herranz, Procurador de los Tribunales y de doña María Dolores </w:t>
      </w:r>
      <w:r>
        <w:lastRenderedPageBreak/>
        <w:t>Alarcón Martínez, representante general de la candidatura del Partido Popular de la Región de Murcia en las elecciones autonómicas y municipales, comparece en el presente procedimiento, personándose en calidad de parte recurrida.</w:t>
      </w:r>
    </w:p>
    <w:p w:rsidR="00DE14C9" w:rsidRDefault="00DE14C9" w:rsidP="00DE14C9">
      <w:pPr>
        <w:pStyle w:val="TextoNormal"/>
      </w:pPr>
    </w:p>
    <w:p w:rsidR="00DE14C9" w:rsidRDefault="00DE14C9" w:rsidP="00DE14C9">
      <w:pPr>
        <w:pStyle w:val="TextoNormal"/>
      </w:pPr>
      <w:r w:rsidRPr="00DE14C9">
        <w:rPr>
          <w:rStyle w:val="NumeroAFNegritaCaracter"/>
        </w:rPr>
        <w:t>6</w:t>
      </w:r>
      <w:r>
        <w:t xml:space="preserve">. El Fiscal presentó el día 12 de julio de 2007 escrito evacuando el trámite concedido, en el que formula sus alegaciones e interesa la desestimación del recurso de amparo. </w:t>
      </w:r>
    </w:p>
    <w:p w:rsidR="00DE14C9" w:rsidRDefault="00DE14C9" w:rsidP="00DE14C9">
      <w:pPr>
        <w:pStyle w:val="TextoNormal"/>
      </w:pPr>
      <w:r>
        <w:t xml:space="preserve">En el mismo recuerda que la doctrina constitucional, cuando de los derechos de participación política se trata, se ha mostrado proclive a observar y respetar la voluntad popular manifestada a través del derecho de sufragio. Junto a ello, el apartado 2 del art. 96 LOREG establece una relación muy rigurosa de las posibles irregularidades que pueden advertirse en las papeletas como causa suficiente de la nulidad del sufragio. No obstante, la estricta dicción legal ha de verse matizada en virtud del principio de búsqueda y primacía de la verdad material manifestada en las urnas por los electores. </w:t>
      </w:r>
    </w:p>
    <w:p w:rsidR="00DE14C9" w:rsidRDefault="00DE14C9" w:rsidP="00DE14C9">
      <w:pPr>
        <w:pStyle w:val="TextoNormal"/>
      </w:pPr>
      <w:r>
        <w:t xml:space="preserve">Así, frente al "principio de inalterabilidad de la lista electoral" a que se refiere la doctrina constitucional (SSTC 165/1991 y 115/1995) se enfatiza la necesidad de atender a cada caso concreto, de modo que, citando literalmente las sentencias indicadas, "el entendimiento de cuándo procede y cuándo no la aplicación de lo dispuesto en el art. 96.2 de la LOREG configura normalmente un juicio de estricta legalidad electoral que no puede ser revisado por este Tribunal, una vez comprobado que la interpretación seguida por el órgano judicial ordinario no es arbitraria, irrazonada o irrazonable". En este sentido el Tribunal Constitucional ha tenido ocasión de afirmar que no se ha lesionado el derecho fundamental proclamado en el art. 23.2 CE al declarar nulos votos emitidos en papeletas señaladas con un aspa al lado de los candidatos, con interlineados y recuadros, subrayados, cruces o garabatos. En todos estos casos, sin embargo, debe destacarse que el pronunciamiento constitucional versó sobre papeletas de voto previamente declaradas nulas por los órganos judiciales. La particularidad del caso actual radica en que el voto ha sido declarado judicialmente válido sobre el entendimiento de que la papeleta no ofrece dudas acerca de cuál era la voluntad real del elector. </w:t>
      </w:r>
    </w:p>
    <w:p w:rsidR="00DE14C9" w:rsidRDefault="00DE14C9" w:rsidP="00DE14C9">
      <w:pPr>
        <w:pStyle w:val="TextoNormal"/>
      </w:pPr>
      <w:r>
        <w:t xml:space="preserve">El Fiscal detalla en sus alegaciones las argumentaciones el contenido de las resoluciones de los órganos de la administración electoral y la Sala de lo Contencioso del Tribunal Superior de Justicia de Murcia motivando la validez de la papeleta y concluye que no cabe constatar una interpretación de la legislación electoral que se pueda calificar de arbitraria, irrazonada o irrazonable. Constata una coherencia formal en la sentencia impugnada en amparo tanto en su punto de partida como en las premisas sólidas que siguen su desarrollo argumental sin quiebras lógicas y en las conclusiones alcanzadas a partir de ellas. </w:t>
      </w:r>
    </w:p>
    <w:p w:rsidR="00DE14C9" w:rsidRDefault="00DE14C9" w:rsidP="00DE14C9">
      <w:pPr>
        <w:pStyle w:val="TextoNormal"/>
      </w:pPr>
      <w:r>
        <w:t xml:space="preserve">Por las razones exteriorizadas por el órgano judicial, no le parece al Fiscal que éste sea un caso en el que no resulte claro y manifiesto cuál ha podido ser la voluntad del elector. A la vista de las circunstancias concurrentes, no parece irrazonable entender que la marca dibujada no desvirtúa la voluntad del elector de otorgar su voto a la formación política cuya candidatura electoral en el municipio aparece en la papeleta e incluso que aquélla puede tan sólo responder a una voluntad de reforzamiento de la opción ejercitada. </w:t>
      </w:r>
    </w:p>
    <w:p w:rsidR="00DE14C9" w:rsidRDefault="00DE14C9" w:rsidP="00DE14C9">
      <w:pPr>
        <w:pStyle w:val="TextoNormal"/>
      </w:pPr>
      <w:r>
        <w:t>La Sentencia impugnada contiene, a su juicio, una respuesta razonada, fundada en Derecho y congruente con las pretensiones deducidas por las partes, en la que no concurre arbitrariedad, irrazonabilidad ni error patente, por lo que, desde la perspectiva de la constitucionalidad, no parece contener elemento de relevancia alguno merecedor de amparo. Por todo ello, el Fiscal interesa la desestimación de la demanda interpuesta.</w:t>
      </w:r>
    </w:p>
    <w:p w:rsidR="00DE14C9" w:rsidRDefault="00DE14C9" w:rsidP="00DE14C9">
      <w:pPr>
        <w:pStyle w:val="TextoNormal"/>
      </w:pPr>
    </w:p>
    <w:p w:rsidR="00DE14C9" w:rsidRDefault="00DE14C9" w:rsidP="00DE14C9">
      <w:pPr>
        <w:pStyle w:val="TextoNormalNegritaCentrado"/>
        <w:keepNext/>
      </w:pPr>
      <w:r>
        <w:lastRenderedPageBreak/>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 presente demanda de amparo se dirige formalmente en su encabezamiento contra la Sentencia núm. 624/2007, de 29 de junio, de la Sección Segunda de la Sala de lo Contencioso-Administrativo del Tribunal Superior de Justicia de Murcia, que desestimó el recurso contencioso-electoral que promovió el Partido Socialista Obrero Español, ahora solicitante de amparo, contra el Acuerdo de la Junta electoral de zona de Cartagena, de 11 de junio de 2007, de proclamación de candidatos electos a concejales del Ayuntamiento de La Unión. Sin embargo, como permite advertir la fundamentación y el suplico de la demanda, la vulneración del derecho fundamental que el recurrente invoca es imputable en su origen al mencionado Acuerdo de la Junta electoral de zona de Cartagena, que ha confirmado, en vía jurisdiccional, aquella Sentencia al desestimar el recurso contencioso-electoral.</w:t>
      </w:r>
    </w:p>
    <w:p w:rsidR="00DE14C9" w:rsidRDefault="00DE14C9" w:rsidP="00DE14C9">
      <w:pPr>
        <w:pStyle w:val="TextoNormal"/>
      </w:pPr>
      <w:r>
        <w:t>En la demanda de amparo se invoca la lesión del derecho a acceder en condiciones de igualdad a los cargos públicos con los requisitos que señalen las leyes (art. 23.2 CE), por haberse otorgado validez a una papeleta de voto emitida en el distrito 2, sección 1, mesa B, a favor de la candidatura presentada por el Partido Popular, en la que, según afirma el recurrente, se ha dibujado un aspa de gran tamaño parte del cual se sitúa encima e invade el nombre del candidato número 1 de la lista, y que, a su juicio, debió ser declarada nula en aplicación del art. 96.2 LOREG, ya que se trata de una alteración voluntaria y deliberada de la candidatura electoral.</w:t>
      </w:r>
    </w:p>
    <w:p w:rsidR="00DE14C9" w:rsidRDefault="00DE14C9" w:rsidP="00DE14C9">
      <w:pPr>
        <w:pStyle w:val="TextoNormal"/>
      </w:pPr>
      <w:r>
        <w:t>El Ministerio Fiscal se opone al otorgamiento del amparo, al considerar que la Sentencia impugnada da una respuesta razonada, fundada en Derecho y congruente a las pretensiones deducidas por la parte actora en el proceso a quo, resultando a su juicio clara y manifiesta, por las razones exteriorizadas por el órgano judicial, cuál ha podido ser en este caso la voluntad del elector que emitió la papeleta de voto cuya validez ahora se discute.</w:t>
      </w:r>
    </w:p>
    <w:p w:rsidR="00DE14C9" w:rsidRDefault="00DE14C9" w:rsidP="00DE14C9">
      <w:pPr>
        <w:pStyle w:val="TextoNormal"/>
      </w:pPr>
    </w:p>
    <w:p w:rsidR="00DE14C9" w:rsidRDefault="00DE14C9" w:rsidP="00DE14C9">
      <w:pPr>
        <w:pStyle w:val="TextoNormal"/>
      </w:pPr>
      <w:r w:rsidRPr="00DE14C9">
        <w:rPr>
          <w:rStyle w:val="NumeroAFNegritaCaracter"/>
        </w:rPr>
        <w:t>2</w:t>
      </w:r>
      <w:r>
        <w:t>. La cuestión suscitada en el presente recurso de amparo estriba en determinar si ha resultado lesionado, como sostiene el demandante, o no, como mantiene el Ministerio Fiscal, el derecho a acceder en condiciones de igualdad a los cargos públicos con los requisitos que señalen las leyes (art. 23.2 CE), como consecuencia de una posible infracción por las Juntas electorales y por el Tribunal Superior de Justicia de la legislación electoral vigente, en concreto, del art. 96.2 de la Ley Orgánica del régimen electoral general (LOREG), al haber otorgado validez a la ya referida papeleta de voto emitida en el distrito 2, sección 1, mesa B, a favor de la candidatura presentada por el Partido Popular, que, en opinión de la demandante de amparo, debió ser declarada nula en aplicación del mencionado art. 96.2 LOREG.</w:t>
      </w:r>
    </w:p>
    <w:p w:rsidR="00DE14C9" w:rsidRDefault="00DE14C9" w:rsidP="00DE14C9">
      <w:pPr>
        <w:pStyle w:val="TextoNormal"/>
      </w:pPr>
      <w:r>
        <w:t>En este contexto hemos de poner ahora de manifiesto, antes de proseguir el enjuiciamiento de la queja actora, que la denunciada infracción de la legislación electoral afecta en este caso, como se indica en las resoluciones recurridas y se refleja en el expediente electoral, al resultado final de la elección, requisito para poder apreciar la existencia de una lesión real y efectiva del derecho de sufragio pasivo, pues, de serle restado a la candidatura del Partido Popular el voto en liza, le correspondería al demandante un puesto de concejal más de los que le han sido atribuidos en el Acuerdo de proclamación de electos en detrimento de la candidatura del Partido Popular, que obtendría un puesto de concejal menos [SSTC 185/1999, de 11 de octubre, FJ 4 c); 153/2003, de 17 de julio, FJ 3; 154/2003, de 17 de julio, FF JJJ 6 c) y 8; 135/2004, de 5 de agosto, FJ 4 c)].</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3</w:t>
      </w:r>
      <w:r>
        <w:t>. El marco normativo configurador de la declaración de nulidad de las papeletas de voto viene constituido por el art. 96 LOREG, precepto ubicado en su título I que tiene por objeto, como indica su rúbrica, las "Disposiciones comunes para las elecciones por sufragio universal" y, más concretamente, en el supuesto que aquí y ahora interesa, por el apartado 2 del citado precepto, a cuyo tenor: "En el caso de elecciones al Congreso de los Diputados, al Parlamento Europeo, a los Ayuntamientos y Cabildos Insulares serán también nulos los votos emitidos en papeletas en las que se hubiera modificado, añadido, señalado o tachado nombres de los candidatos comprendidos en ella o alterado su orden de colación, así como aquellas en las que se hubiera producido cualquier otro tipo de alteración".</w:t>
      </w:r>
    </w:p>
    <w:p w:rsidR="00DE14C9" w:rsidRDefault="00DE14C9" w:rsidP="00DE14C9">
      <w:pPr>
        <w:pStyle w:val="TextoNormal"/>
      </w:pPr>
      <w:r>
        <w:t>Este Tribunal ha tenido ocasión de pronunciarse tanto con carácter general sobre las normas reguladoras del régimen de nulidad de los votos como más concretamente sobre las específicas previsiones del art. 96.2 LOREG, cuya doctrina procede ahora traer a colación:</w:t>
      </w:r>
    </w:p>
    <w:p w:rsidR="00DE14C9" w:rsidRDefault="00DE14C9" w:rsidP="00DE14C9">
      <w:pPr>
        <w:pStyle w:val="TextoNormal"/>
      </w:pPr>
      <w:r>
        <w:t>a) En relación con las normas reguladoras de la nulidad de los votos, ha declarado que éstas "han de ser formuladas en términos precisos, con determinación detallada de todas las reglas especiales y de las posibles exclusiones, sin que sea preciso acudir a interpretaciones más o menos complejas sobre la aplicabilidad de cada precepto". Esta exigencia de precisión y claridad en la redacción de aquellas normas encuentra su justificación en que su aplicación inmediata ha de ser efectuada normalmente por los componentes de las mesas electorales, integradas por ciudadanos designados por sorteo y que constituyen una Administración electoral no especializada (STC 153/2003, de 17 de julio, FJ 6).</w:t>
      </w:r>
    </w:p>
    <w:p w:rsidR="00DE14C9" w:rsidRDefault="00DE14C9" w:rsidP="00DE14C9">
      <w:pPr>
        <w:pStyle w:val="TextoNormal"/>
      </w:pPr>
      <w:r>
        <w:t>b) Asimismo, por lo que se refiere más concretamente al supuesto regulado en el art. 96.2 LOREG, este Tribunal ha declarado que el citado precepto recoge el llamado principio de inalterabilidad de la lista electoral y que lo hace de forma tal que robustece la exigencia de rigor que dicho principio implica en relación como aparecía enunciado en la precedente legislador electoral. En efecto, en tanto que el art. 64.2 b) del Real Decreto-ley 20/1977, de 18 de marzo, sobre normas electorales establecía que sólo era nulo "el voto para el Congreso emitido en papeleta en la que se hubiera modificado o tachado nombres de los comprendidos en ella o alterado su orden de colocación", el art. 96.2 LOREG ha introducido una cláusula general de cierre -"cualquier otro tipo de alteración"-y ha sumado otros participios-"añadido", "señalado"-, a los enunciados en aquel precepto, que ponen de manifiesto la "finalidad de enfatizar la prohibición de señales o manipulaciones de cualquier tipo en las papeletas de voto, precisamente por su carácter de papeletas que incorporan listas bloqueadas y cerradas en las que no es menester indicación alguna del elector al emitir el sufragio" (STC 165/1991, de 19 de julio, FJ 3; doctrina que reiteran las SSTC 115/1995, de 10 de julio, FJ 5; 153/2003, de 17 de julio, FJ 7).</w:t>
      </w:r>
    </w:p>
    <w:p w:rsidR="00DE14C9" w:rsidRDefault="00DE14C9" w:rsidP="00DE14C9">
      <w:pPr>
        <w:pStyle w:val="TextoNormal"/>
      </w:pPr>
      <w:r>
        <w:t xml:space="preserve">En esta línea de razonamiento, el Tribunal ha destacado también en la primera de las Sentencias antes mencionadas, frente a la redacción del art. 96.2 LOREG, la mayor flexibilidad del tenor del art. 96.3 LOREG, que regula las normas de nulidad de votos para el Senado, según el cual "serán nulos los votos emitidos en papeletas en las que se hubieran señalado más de tres nombres en las circunscripciones provinciales, de dos en las circunscripciones insulares de Gran Canarias, Mallorca y Tenerife y en las poblaciones de Ceuta y Melilla y de uno en el resto de las circunscripciones insulares". Así, se declaró en aquella Sentencia que las previsiones especificas del art. 96.3 LOREG respecto de los votos nulos en las elecciones al Senado "viene[n] lógicamente condicionad[as] por la necesidad de que el elector marque con cruces los candidatos elegidos de entre los presentes en una única lista" y "[l]as circunstancias en las que se produce la emisión del voto por papeleta al Senado, con razonables posibilidades de rayas, cruces o tachaduras en virtud de errores, no </w:t>
      </w:r>
      <w:r>
        <w:lastRenderedPageBreak/>
        <w:t>son las mismas que en las demás elecciones y, por lo que aquí atañe, que en las locales" (ibidem).</w:t>
      </w:r>
    </w:p>
    <w:p w:rsidR="00DE14C9" w:rsidRDefault="00DE14C9" w:rsidP="00DE14C9">
      <w:pPr>
        <w:pStyle w:val="TextoNormal"/>
      </w:pPr>
      <w:r>
        <w:t>Precisamente, con base en que en el caso de las elecciones al Congreso de los Diputados, al Parlamento Europeo, a los Ayuntamiento y Cabildos insulares, a las que se refiere el art.  96.2 LOREG, las papeletas de votación incorporan listas bloqueadas y cerradas en las que no es menester indicación alguna del elector al emitir el sufragio, a diferencia de las elecciones al Senado a las que se refiere el art. 96.3 LOREG, el Tribunal ha justificado que "haya de ser también distinto el rigor con el que se enjuicie la presencia de marcas, escritos o tachaduras en una y otra clase de papeletas", afirmando "que la existencia constatada de marcas o tachaduras en las papeletas a las elecciones locales permite la aplicación razonada a las mismas por la Administración electoral y por los órganos de la jurisdicción contencioso-electoral de la nulidad prevista en el art. 96.2 LOREG, una vez atendidas y ponderadas las circunstancias de cada caso" (STC 165/1991, de 19 de julio, FJ 3). No obstante, hemos precisado que si bien a la hora de aplicar las causas de nulidad del art. 96.2 LOREG no se debe caer en el automatismo, tampoco es posible eludir la existencia de adicciones, modificaciones, señales o marcas en las papeletas, negándoles todo valor (STC 153/2003, de 17 de julio, FJ 9).</w:t>
      </w:r>
    </w:p>
    <w:p w:rsidR="00DE14C9" w:rsidRDefault="00DE14C9" w:rsidP="00DE14C9">
      <w:pPr>
        <w:pStyle w:val="TextoNormal"/>
      </w:pPr>
      <w:r>
        <w:t>Distinguiendo los dos supuestos recogidos en el art. 96.2 LOREG, en la STC 153/2003, de 17 de julio, hemos dicho que "[P]arece patente que, cuando el precepto examinado se refiere a la modificación, adición, señal o tachado de los nombres de los candidatos o a la alteración de su orden, su presupuesto está conformado por las papeletas que incluyen la lista de candidatos de cada formación, en relación con las cuales puede producirse de manera patente tales operaciones. Ahora bien, en su cláusula de cierre ('aquellas en las que se hubiera producido cualquier otro tipo de alteración') quedan comprendidas las variaciones de toda índole que afecten a las papeletas"(FJ 7).</w:t>
      </w:r>
    </w:p>
    <w:p w:rsidR="00DE14C9" w:rsidRDefault="00DE14C9" w:rsidP="00DE14C9">
      <w:pPr>
        <w:pStyle w:val="TextoNormal"/>
      </w:pPr>
      <w:r>
        <w:t>c) El Tribunal ha declarado también que el entendimiento de cuándo procede y cuándo no la aplicación de lo dispuesto en el art. 96.2 LOREG configura normalmente un juicio de estricta legalidad electoral que no puede ser revisado por este Tribunal una vez comprobado que la interpretación seguida por el órgano judicial ordinario no es arbitraria, irrazonada e irrazonable (STC 165/1991, de 19 de julio, FJ 3; doctrina que reitera la STC 115/1995, de 10 de julio, FJ 5).</w:t>
      </w:r>
    </w:p>
    <w:p w:rsidR="00DE14C9" w:rsidRDefault="00DE14C9" w:rsidP="00DE14C9">
      <w:pPr>
        <w:pStyle w:val="TextoNormal"/>
      </w:pPr>
      <w:r>
        <w:t xml:space="preserve">d) Finalmente, por lo que se refiere a los concretos pronunciamientos de este Tribunal en relación con la interpretación y aplicación del art. 96.2 LOREG por las juntas electorales y los órganos judiciales, ha entendido que no puede considerarse como una interpretación y aplicación irrazonada e irrazonable del citado precepto legal la decisión de la Administración electoral de estimar como una alteración de la lista electoral determinante de su nulidad papeletas de voto en las que aparecen rayados los nombres de varios candidatos mediante diversas líneas cruzadas (STC 156/1991, de 15 de julio, FJ 2); la declaración de nulidad de votos emitidos en papeletas señaladas con un aspa al lado de los candidatos, que contengan frases escritas o que presenten interlineados y recuadros (STC 165/1991, de 19 de julio, FJ 3); o, en fin, la declaración de nulidad de papeletas garabateadas (STC 115/1995, de 10 de julio, FJ 5).  Asimismo, pese a que la enumeración de supuestos de nulidad del art. 96.2 LOREG no es ad exemplum, sino tasada, ha estimado que está "implícito o sobreentendido en todos ellos, y también en el resto del articulado aplicable [de la LOREG], el que en las papeletas de voto deben figurar, como es obvio, candidatos proclamados en la circunscripción y que cuando así no sea el sufragio -en realidad inexistente- queda viciado total y absolutamente" (STC 167/1991, de 19 de julio, FJ 4). Finalmente, el Tribunal también ha declarado aplicable los supuestos de nulidad de los votos del art.  96.2 LOREG al emitido por </w:t>
      </w:r>
      <w:r>
        <w:lastRenderedPageBreak/>
        <w:t>correspondencia por los residentes ausentes que viven en el extranjero en elecciones locales (art. 190 LOREG) y, en consecuencia, ha estimado que resulta lesiva del derecho a acceder en condiciones de igualdad a los cargos públicos con los requisitos que señalen las leyes (art. 23.2 CE) la consideración como válidos y, por consiguiente, la no anulación de tres votos emitidos por residentes ausentes que viven en el extranjero sin acomodarse a las previsiones del art. 190 LOREG, ya que en las papeletas de voto no sólo se incluían las siglas de la candidatura a la que se otorgaba el voto, sin, además, el nombre de un candidato que no era el cabeza de lista (STC 153/2003, de 17 de julio, FJ 10).</w:t>
      </w:r>
    </w:p>
    <w:p w:rsidR="00DE14C9" w:rsidRDefault="00DE14C9" w:rsidP="00DE14C9">
      <w:pPr>
        <w:pStyle w:val="TextoNormal"/>
      </w:pPr>
    </w:p>
    <w:p w:rsidR="00DE14C9" w:rsidRDefault="00DE14C9" w:rsidP="00DE14C9">
      <w:pPr>
        <w:pStyle w:val="TextoNormal"/>
      </w:pPr>
      <w:r w:rsidRPr="00DE14C9">
        <w:rPr>
          <w:rStyle w:val="NumeroAFNegritaCaracter"/>
        </w:rPr>
        <w:t>4</w:t>
      </w:r>
      <w:r>
        <w:t>. En el presente caso, en el que de nuevo se vuelve a plantear la interpretación conforme al texto constitucional del art. 96.2 LOREG, hemos de reiterar la precedente doctrina constitucional y, ante las numerosas dudas que esta suscitando la aplicación e interpretación de aquel precepto y la diversidad de soluciones que vienen siendo adoptadas por la Administración electoral y los órganos jurisdiccionales a la hora de aplicar el criterio general anteriormente expuesto en el fundamento precedente, apartado c), insistir con mayor intensidad aún, en la necesidad de preservar y exigir el principio de inalterabilidad de las listas electorales en los supuestos a los que se refiere el art. 96.2 LOREG con el rigor con el que ha sido configurado por el legislador en la redacción que ha dado a dicho precepto que, como este Tribunal ha declarado en la STC 165/1991, de 19 de julio, pone de manifiesto la "finalidad de enfatizar la prohibición de señales o manipulaciones de cualquier tipo en las papeletas de voto, precisamente por su carácter de papeletas que incorporan listas bloqueadas y cerradas en las que no es menester indicación alguna al emitir el sufragio" (FJ 3). De modo que la existencia de cualesquiera modificaciones, adicciones, señales, marcas, tachaduras o cualquier otro tipo de alteración o determinación en las papeletas de voto ha de conducir a la aplicación de la declaración de nulidad prevista en el art. 96.2 LOREG.</w:t>
      </w:r>
    </w:p>
    <w:p w:rsidR="00DE14C9" w:rsidRDefault="00DE14C9" w:rsidP="00DE14C9">
      <w:pPr>
        <w:pStyle w:val="TextoNormal"/>
      </w:pPr>
      <w:r>
        <w:t xml:space="preserve">Es a la Administración electoral, en primer término, y, en caso de impugnarse su decisión, a los órganos jurisdiccionales a quienes corresponde la aplicación de los supuestos del art.  96.2 LOREG, la cual, como es obvio y no puede ser de otra forma, ha de razonarse y motivarse en cada supuesto atendiendo a las circunstancias que concurran en el mismo. En este sentido, hemos asimismo de reiterar que la aplicación del citado precepto legal se configura normalmente y en principio como un juicio de estricta legalidad electoral, que puede ser revisado por este Tribunal si la interpretación seguida por el órgano judicial ordinario es arbitraria, irrazonada e irrazonable y además, cuando se aduzca en la demanda de amparo un derecho fundamental distinto al de la tutela judicial efectiva (art. 24.1 CE), por la posible vulneración de ese otro derecho fundamental invocado y, de manera específica, por el derecho fundamental de carácter sustantivo a acceder en condiciones de igualdad y conforme a lo dispuesto en las Leyes a determinado cargo público (art. 23.2 CE), pues el recuro de amparo ahora planteado está ante todo al servicio de la preservación y protección de tal derecho fundamental y la determinación de si se ha respetado requiere también por nuestra parte una indagación de carácter sustantivo, que no se cumple, por tanto, con el simple reconocimiento de la razonable interpretación que puedan exhibir las resoluciones administrativas y judiciales impugnadas [SSTC 185/1999, de 11 de octubre, FJ 3; 135/2004, de 17 de julio, FJ 4 d)]. Desde la perspectiva constitucional que nos ocupa, más en concreto desde el ámbito del art. 23 CE, es premisa insoslayable de la conformidad a la Constitución de cualquier interpretación del art.  96.2 LOREG que la interpretación en cuestión ha de efectuarse de tal modo que los contenidos, requisitos y limites que establece la Ley Orgánica del régimen electoral general no se vean enervados o alterados por aquella interpretación, </w:t>
      </w:r>
      <w:r>
        <w:lastRenderedPageBreak/>
        <w:t>pues si así fuera quedaría en manos del intérprete y no del legislador la fijación de los contornos del derecho de acceso a los cargos públicos en condiciones de igualdad (art. 23.2 CE; SSTC 74/1995, de 12 de mayo, FJ único; 146/1999, de 27 de julio, FJ 2; 155/2003, de</w:t>
      </w:r>
    </w:p>
    <w:p w:rsidR="00DE14C9" w:rsidRDefault="00DE14C9" w:rsidP="00DE14C9">
      <w:pPr>
        <w:pStyle w:val="TextoNormal"/>
      </w:pPr>
      <w:r>
        <w:t>17 de julio, FJ 4).</w:t>
      </w:r>
    </w:p>
    <w:p w:rsidR="00DE14C9" w:rsidRDefault="00DE14C9" w:rsidP="00DE14C9">
      <w:pPr>
        <w:pStyle w:val="TextoNormal"/>
      </w:pPr>
      <w:r>
        <w:t>Así, hemos declarado en la STC 153/2003, de 17 de julio, que no resulta admisible desde la perspectiva de los derechos fundamentales reconocidos en el art. 23 CE la interpretación judicial que conduce a que se deban computar como votos válidos los emitidos en papeletas que, por incurrir en algunas de las incorrecciones recogidas en el art. 96.2 LOREG, deberían haber dado lugar a la declaración de su nulidad, cuando como consecuencia del cómputo de aquellos votos se altere el resultado final de la elección. En sustento de esta afirmación, razonábamos que "el derecho de acceso a los cargos públicos es un derecho de mediación legal que encuentra su regulación fundamental en la Ley Orgánica 5/1985, de 19 de junio, del régimen electoral general, la cual articula, en palabras de su preámbulo, 'el procedimiento de emanación de la voluntad mayoritaria del pueblo en las diversas instancias representativas en que se articula el Estado español', y en tal sentido, desde la perspectiva del derecho de sufragio pasivo, es obligado integrar en este derecho la exigencia de que las normas electorales sean cumplidas en cuanto constituyen garantía del correcto desarrollo de la elección de modo que culmine con la proclamación de los candidatos que hayan sido preferidos por el cuerpo electoral (STC 71/1989, de 20 de abril, FJ 3)" (STC 153/2003, FJ 8).</w:t>
      </w:r>
    </w:p>
    <w:p w:rsidR="00DE14C9" w:rsidRDefault="00DE14C9" w:rsidP="00DE14C9">
      <w:pPr>
        <w:pStyle w:val="TextoNormal"/>
      </w:pPr>
      <w:r>
        <w:t>El rigor que ha de observarse, en los términos expuestos, en la exigencia del principio de inalterabilidad de las listas electorales plasmado a los efectos que aquí y ahora interesan en el art. 96.2 LOREG, en modo alguno puede suponer el desconocimiento de la vigencia en las distintas fases del proceso electoral de los principios de conservación de actos válidamente celebrados, de interpretación más favorable a la plenitud del derecho de sufragio y de conocimiento de la verdad material manifestada en las urnas por los electores. Ahora bien, la necesidad de cohonestar el principio de inalterabilidad de las listas electorales con los principios de conservación de actos válidamente celebrados, de interpretación más favorable a la plenitud del derecho de sufragio y de conocimiento de la verdad material manifestada en las urnas por los electores tampoco puede hacerse a costa del principio de inalterabilidad de las listas electorales con el rigor y la intensidad con el que ha sido configurado por el legislador en el art. 96.2 LOREG, de modo que, en un orden lógico, a aquellos principios debe preceder el respeto a la inalterabilidad de la candidatura en la emisión del sufragio.</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En este caso, la papeleta de voto en cuestión emitida en el distrito 2, sección 1, mesa B, a favor de la candidatura presentada por el Partido Popular, contiene, según se afirma en la Sentencia del Tribunal Superior de Justicia y permite constatar el expediente electoral, un aspa que "se sitúa en el espacio existente entre la mención 'doy mi voto a la candidatura presentada por el Partido Popular, PP' y el nombre del primer candidato de la lista cruzando los extremos inferiores del aspa la separación entre el nombre y el primer apellido del cabeza de lista y éste último (sic), sin alcanzar al nombre del segundo candidato" o, como también se describe en otro pasaje en la Sentencia, un aspa "situada claramente en el espacio superior al nombre del primer candidato y [que] no puede, a su vista, concluirse que la intención del votante fuera la de excluir al primer candidato de la lista". Se trata, por tanto, de una papeleta de voto en la que el elector, al ejercer su sufragio en las elecciones locales, con infracción del principio de inalterabilidad de las listas electorales establecido en el art. 96.2 LOREG, </w:t>
      </w:r>
      <w:r>
        <w:lastRenderedPageBreak/>
        <w:t>ha desatendido la prohibición de efectuar cualquier tipo de modificación, señal, manipulación, adición, marca, tachadura o cualquier otro clase de alteración o determinación en las papeletas de voto, al tratarse precisamente de papeletas que incorporan listas bloqueadas y cerradas en las que no es menester realizar indicación alguna al emitir el sufragio, por lo que, en aplicación del mencionado art. 96.2 LOREG, debió declararse la nulidad de la referida papeleta de voto. El elector, al actuar del modo como lo ha hecho, contraviniendo aquella prohibición, se ha apartado por razones únicamente a él imputables de las precisas reglas que en la legislación electoral regulan el ejercicio del voto en las elecciones locales, meridianamente claras a la hora de determinar la forma en que ha de ejercerse el voto, que excluyen cualquier tipo de señal o manipulación en las papeletas.</w:t>
      </w:r>
    </w:p>
    <w:p w:rsidR="00DE14C9" w:rsidRDefault="00DE14C9" w:rsidP="00DE14C9">
      <w:pPr>
        <w:pStyle w:val="TextoNormal"/>
      </w:pPr>
      <w:r>
        <w:t>Sentado cuanto antecede, las resoluciones administrativa y judicial impugnadas al conceder validez a esa papeleta de voto que debió considerarse nula, no sólo han incurrido en una infracción de las previsiones del art. 96.2 LOREG, sino que, además, en este caso, en la medida en que aquella decisión incide de manera determinante en el resultado final de la elección, al privar de un puesto de concejal a la candidatura presentada por el partido político recurrente en amparo en beneficio de la candidatura presentada por el Partido Popular, resultan contrarias también al derecho a acceder en condiciones de igualdad a los cargos públicos con los requisitos que señalen las leyes (art. 23.2 CE), que, como hemos señalado, incorpora como contenido "la exigencia de que las normas electorales sean cumplidas en cuanto constituyen garantía del correcto desarrollo de la elección de modo que culmine con la proclamación de los candidatos que han sido preferidos por el cuerpo electoral" (SSTC 71/1989, de 20 de abril, FJ 3; 153/2003, de 17 de julio, FJ 8), vulnerándose aquel derecho cuando, como acontece en este caso, demostrada la votación mayoritaria de un candidato respecto de otro, se hace la proclamación de este último en virtud de una argumentación que contradice abiertamente el sistema electoral y la Ley Orgánica que lo regula (STC 153/2003, de 17 de julio, FJ 10).</w:t>
      </w:r>
    </w:p>
    <w:p w:rsidR="00DE14C9" w:rsidRDefault="00DE14C9" w:rsidP="00DE14C9">
      <w:pPr>
        <w:pStyle w:val="TextoNormal"/>
      </w:pPr>
    </w:p>
    <w:p w:rsidR="00DE14C9" w:rsidRDefault="00DE14C9" w:rsidP="00DE14C9">
      <w:pPr>
        <w:pStyle w:val="TextoNormal"/>
      </w:pPr>
      <w:r w:rsidRPr="00DE14C9">
        <w:rPr>
          <w:rStyle w:val="NumeroAFNegritaCaracter"/>
        </w:rPr>
        <w:t>6</w:t>
      </w:r>
      <w:r>
        <w:t>. El restablecimiento del recurrente en amparo en la integridad del derecho vulnerado requiere no sólo la declaración de nulidad de la papeleta de voto discutida, sino también la anulación del Acuerdo de la Junta electoral de zona de Cartagena, de 11 de junio de 2007, de proclamación de candidatos electos a concejales del Ayuntamiento de La Unión, en cuanto a la atribución del último puesto de concejal se refiere, así como la de la Sentencia núm. 624/2007, de 29 de junio, de la Sección Segunda de la Sala de lo Contencioso-Administrativo del Tribunal Superior de Justicia de Murcia, recaída en el recurso contencioso-electoral núm. 710-2007, debiendo procederse por la Junta electoral de zona a una nueva proclamación del candidato electo correspondiente al último puesto de concejal a cubrir restando un voto a los atribuidos a la candidatura del Partido Popular en aquel Acuerdo.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Estimar la demanda de amparo interpuesta por el Partido Socialista Obrero Español y, en su virtud:</w:t>
      </w:r>
    </w:p>
    <w:p w:rsidR="00DE14C9" w:rsidRDefault="00DE14C9" w:rsidP="00DE14C9">
      <w:pPr>
        <w:pStyle w:val="TextoNormal"/>
      </w:pPr>
      <w:r>
        <w:lastRenderedPageBreak/>
        <w:t>1º Declarar que se ha vulnerado el derecho del recurrente en amparo a acceder a los cargos públicos en condiciones de igualdad con los requisitos que señalen las leyes (art.  23.2 CE).</w:t>
      </w:r>
    </w:p>
    <w:p w:rsidR="00DE14C9" w:rsidRDefault="00DE14C9" w:rsidP="00DE14C9">
      <w:pPr>
        <w:pStyle w:val="TextoNormal"/>
      </w:pPr>
      <w:r>
        <w:t>2º Restablecerle en su derecho y, a tal fin:</w:t>
      </w:r>
    </w:p>
    <w:p w:rsidR="00DE14C9" w:rsidRDefault="00DE14C9" w:rsidP="00DE14C9">
      <w:pPr>
        <w:pStyle w:val="TextoNormal"/>
      </w:pPr>
      <w:r>
        <w:t>a) Declarar la nulidad de la papeleta de voto discutida emitida en el distrito 2, sección 1, mesa B, a favor de la candidatura presentada por el Partido Popular.</w:t>
      </w:r>
    </w:p>
    <w:p w:rsidR="00DE14C9" w:rsidRDefault="00DE14C9" w:rsidP="00DE14C9">
      <w:pPr>
        <w:pStyle w:val="TextoNormal"/>
      </w:pPr>
      <w:r>
        <w:t>b) Anular el Acuerdo de la Junta electoral de zona de Cartagena, de 11 de junio de 2007, de proclamación de candidatos electos a concejales del Ayuntamiento de La Unión, en cuanto a la atribución del último puesto de concejal se refiere, así como la de la Sentencia núm. 624/2007, de 29 de junio, de la Sección Segunda de la Sala de lo Contencioso-Administrativo del Tribunal Superior de Justicia de Murcia, debiendo procederse por la Junta electoral de zona a una nueva proclamación en los términos indicados en el fundamento jurídico 6 de esta Sentencia.</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dieciocho de julio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82" w:name="SENTENCIA_2007_169"/>
      <w:r>
        <w:lastRenderedPageBreak/>
        <w:t>SENTENCIA 169/2007, de 18 de julio de 2007</w:t>
      </w:r>
    </w:p>
    <w:bookmarkEnd w:id="82"/>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200, de 21 de agosto de 2007)</w:t>
      </w:r>
    </w:p>
    <w:p w:rsidR="00DE14C9" w:rsidRDefault="00DE14C9" w:rsidP="00DE14C9">
      <w:pPr>
        <w:pStyle w:val="TtuloBOE"/>
      </w:pPr>
    </w:p>
    <w:p w:rsidR="00DE14C9" w:rsidRDefault="00DE14C9" w:rsidP="00DE14C9">
      <w:pPr>
        <w:pStyle w:val="SntesisDescriptiva"/>
      </w:pPr>
      <w:r>
        <w:t>ECLI:ES:TC:2007:169</w:t>
      </w:r>
    </w:p>
    <w:p w:rsidR="00DE14C9" w:rsidRDefault="00DE14C9" w:rsidP="00DE14C9">
      <w:pPr>
        <w:pStyle w:val="SntesisDescriptiva"/>
      </w:pPr>
    </w:p>
    <w:p w:rsidR="00DE14C9" w:rsidRDefault="00DE14C9" w:rsidP="00DE14C9">
      <w:pPr>
        <w:pStyle w:val="SntesisDescriptiva"/>
      </w:pPr>
      <w:r>
        <w:t>Recurso de amparo electoral 5953-2007. Promovido por el partido político Agrupación Social Independiente de Avilés (ASIA) frente a la Sentencia de la Sala  de lo Contencioso-Administrativo del Tribunal Superior de Justicia de Asturias que desestimó su demanda  sobre proclamación de candidatos electos a concejales del Ayuntamiento de Avilés.</w:t>
      </w:r>
    </w:p>
    <w:p w:rsidR="00DE14C9" w:rsidRDefault="00DE14C9" w:rsidP="00DE14C9">
      <w:pPr>
        <w:pStyle w:val="SntesisDescriptiva"/>
      </w:pPr>
    </w:p>
    <w:p w:rsidR="00DE14C9" w:rsidRDefault="00DE14C9" w:rsidP="00DE14C9">
      <w:pPr>
        <w:pStyle w:val="SntesisAnaltica"/>
      </w:pPr>
      <w:r>
        <w:t>Vulneración del derecho a acceder a los cargos representativos: STC 168/2007 (voto en elecciones locales mediante papeletas con alteraciones).</w:t>
      </w:r>
    </w:p>
    <w:p w:rsidR="00DE14C9" w:rsidRDefault="00DE14C9" w:rsidP="00DE14C9">
      <w:pPr>
        <w:pStyle w:val="SntesisAnaltica"/>
      </w:pPr>
    </w:p>
    <w:p w:rsidR="00DE14C9" w:rsidRDefault="00DE14C9" w:rsidP="00DE14C9">
      <w:pPr>
        <w:pStyle w:val="Extracto"/>
      </w:pPr>
      <w:r>
        <w:t>1.</w:t>
      </w:r>
      <w:r>
        <w:tab/>
        <w:t>Se vulnera el derecho a acceder en condiciones de igualdad a los cargos públicos con los requisitos que señalen las leyes cuando, demostrada la votación mayoritaria de un candidato respecto de otro, se hace la proclamación de este último en virtud de una argumentación que contradice abiertamente el sistema electoral y la Ley Orgánica que lo regula (SSTC 153/2003, 168/2007) [FJ 7].</w:t>
      </w:r>
    </w:p>
    <w:p w:rsidR="00DE14C9" w:rsidRDefault="00DE14C9" w:rsidP="00DE14C9">
      <w:pPr>
        <w:pStyle w:val="Extracto"/>
      </w:pPr>
    </w:p>
    <w:p w:rsidR="00DE14C9" w:rsidRDefault="00DE14C9" w:rsidP="00DE14C9">
      <w:pPr>
        <w:pStyle w:val="Extracto"/>
      </w:pPr>
      <w:r>
        <w:t>2.</w:t>
      </w:r>
      <w:r>
        <w:tab/>
        <w:t>El que en dos papeletas de voto, que incorporan listas bloqueadas y cerradas en las que no es menester realizar indicación alguna al emitir el sufragio, aparezca una cruz o aspa al lado del candidato número 1 de la lista, vulnera la prohibición de efectuar cualquier tipo de modificación, alteración o determinación en las mismas, por lo que procede declarar su nulidad [FJ 7].</w:t>
      </w:r>
    </w:p>
    <w:p w:rsidR="00DE14C9" w:rsidRDefault="00DE14C9" w:rsidP="00DE14C9">
      <w:pPr>
        <w:pStyle w:val="Extracto"/>
      </w:pPr>
    </w:p>
    <w:p w:rsidR="00DE14C9" w:rsidRDefault="00DE14C9" w:rsidP="00DE14C9">
      <w:pPr>
        <w:pStyle w:val="Extracto"/>
      </w:pPr>
      <w:r>
        <w:t>3.</w:t>
      </w:r>
      <w:r>
        <w:tab/>
        <w:t>El principio de seguridad jurídica recogido en el art. 9.3 CE queda extramuros del recurso de amparo, al no encontrarse entre los derechos y libertades reconocidos en los arts. 14 a 30 CE (SSTC 133/1989, 135/2004) [FJ 2].</w:t>
      </w:r>
    </w:p>
    <w:p w:rsidR="00DE14C9" w:rsidRDefault="00DE14C9" w:rsidP="00DE14C9">
      <w:pPr>
        <w:pStyle w:val="Extracto"/>
      </w:pPr>
    </w:p>
    <w:p w:rsidR="00DE14C9" w:rsidRDefault="00DE14C9" w:rsidP="00DE14C9">
      <w:pPr>
        <w:pStyle w:val="Extracto"/>
      </w:pPr>
      <w:r>
        <w:t>4.</w:t>
      </w:r>
      <w:r>
        <w:tab/>
        <w:t>Aún cuando el interventor de un partido político no hubiera hecho constar queja alguna en el acta de la sesión de la mesa electoral, de ningún modo cabe apreciar que no se hubiera observado la debida diligencia exigible a los actores del proceso electoral para denunciar en la vía administrativa las posibles irregularidades que pudieran acaecer en el procedimiento electoral (STC 156/1991) [FJ 2].</w:t>
      </w:r>
    </w:p>
    <w:p w:rsidR="00DE14C9" w:rsidRDefault="00DE14C9" w:rsidP="00DE14C9">
      <w:pPr>
        <w:pStyle w:val="Extracto"/>
      </w:pPr>
    </w:p>
    <w:p w:rsidR="00DE14C9" w:rsidRDefault="00DE14C9" w:rsidP="00DE14C9">
      <w:pPr>
        <w:pStyle w:val="Extracto"/>
      </w:pPr>
      <w:r>
        <w:t>5.</w:t>
      </w:r>
      <w:r>
        <w:tab/>
        <w:t>La denunciada infracción de la legislación electoral afecta al resultado final de la elección, requisito para poder apreciar la existencia de una lesión real y efectiva del derecho de sufragio pasivo (SSTC 185/1999, 135/2004) [FJ 6].</w:t>
      </w:r>
    </w:p>
    <w:p w:rsidR="00DE14C9" w:rsidRDefault="00DE14C9" w:rsidP="00DE14C9">
      <w:pPr>
        <w:pStyle w:val="Extracto"/>
      </w:pPr>
    </w:p>
    <w:p w:rsidR="00DE14C9" w:rsidRDefault="00DE14C9" w:rsidP="00DE14C9">
      <w:pPr>
        <w:pStyle w:val="Extracto"/>
      </w:pPr>
      <w:r>
        <w:t>6.</w:t>
      </w:r>
      <w:r>
        <w:tab/>
        <w:t>La aplicación del art. 96.2 LOREG se configura normalmente como un juicio de estricta legalidad electoral que puede ser revisado por el Tribunal Constitucional si la interpretación seguida por el órgano judicial ordinario es arbitraria, irrazonada e irrazonable y, además, cuando se aduzca en la demanda de amparo la posible vulneración del derecho fundamental a acceder en condiciones de igualdad y conforme a lo dispuesto en las leyes a determinado cargo público (SSTC 185/1999, 135/2004) [FJ 7].</w:t>
      </w:r>
    </w:p>
    <w:p w:rsidR="00DE14C9" w:rsidRDefault="00DE14C9" w:rsidP="00DE14C9">
      <w:pPr>
        <w:pStyle w:val="Extracto"/>
      </w:pPr>
    </w:p>
    <w:p w:rsidR="00DE14C9" w:rsidRDefault="00DE14C9" w:rsidP="00DE14C9">
      <w:pPr>
        <w:pStyle w:val="Extracto"/>
      </w:pPr>
      <w:r>
        <w:t>7.</w:t>
      </w:r>
      <w:r>
        <w:tab/>
        <w:t>Cualquier interpretación del art. 96.2 LOREG ha de efectuarse de tal modo que los contenidos, requisitos y límites que establece la Ley Orgánica del régimen electoral general no se vean enervados o alterados por aquella interpretación, pues si así fuera quedaría en manos del intérprete y no del legislador la fijación de los contornos del derecho de acceso a los cargos públicos en condiciones de igualdad (SSTC 74/1995, 155/2003) [FJ 8].</w:t>
      </w:r>
    </w:p>
    <w:p w:rsidR="00DE14C9" w:rsidRDefault="00DE14C9" w:rsidP="00DE14C9">
      <w:pPr>
        <w:pStyle w:val="Extracto"/>
      </w:pPr>
    </w:p>
    <w:p w:rsidR="00DE14C9" w:rsidRDefault="00DE14C9" w:rsidP="00DE14C9">
      <w:pPr>
        <w:pStyle w:val="Extracto"/>
      </w:pPr>
      <w:r>
        <w:t>8.</w:t>
      </w:r>
      <w:r>
        <w:tab/>
        <w:t>Es obligado integrar en el derecho de sufragio pasivo la exigencia de que las normas electorales sean cumplidas en cuanto constituyen garantía del correcto desarrollo de la elección de modo que culmine con la proclamación de los candidatos que hayan sido preferidos por el cuerpo electoral (SSTC 71/1989, 153/2003) [FJ 8].</w:t>
      </w:r>
    </w:p>
    <w:p w:rsidR="00DE14C9" w:rsidRDefault="00DE14C9" w:rsidP="00DE14C9">
      <w:pPr>
        <w:pStyle w:val="Extracto"/>
      </w:pPr>
    </w:p>
    <w:p w:rsidR="00DE14C9" w:rsidRDefault="00DE14C9" w:rsidP="00DE14C9">
      <w:pPr>
        <w:pStyle w:val="Extracto"/>
      </w:pPr>
      <w:r>
        <w:t>9.</w:t>
      </w:r>
      <w:r>
        <w:tab/>
        <w:t>El principio de inalterabilidad de las listas electorales debe preceder a los principios de conservación de actos válidamente celebrados, de interpretación más favorable a la plenitud del derecho de sufragio y de conocimiento de la verdad material manifestada en las urnas por los electores [FJ 7].</w:t>
      </w:r>
    </w:p>
    <w:p w:rsidR="00DE14C9" w:rsidRDefault="00DE14C9" w:rsidP="00DE14C9">
      <w:pPr>
        <w:pStyle w:val="Extracto"/>
      </w:pPr>
    </w:p>
    <w:p w:rsidR="00DE14C9" w:rsidRDefault="00DE14C9" w:rsidP="00DE14C9">
      <w:pPr>
        <w:pStyle w:val="Extracto"/>
      </w:pPr>
      <w:r>
        <w:t>10.</w:t>
      </w:r>
      <w:r>
        <w:tab/>
        <w:t>Doctrina sobre las normas reguladoras del régimen de nulidad de votos y, más concretamente, sobre las específicas previsiones del art. 96 de la Ley Orgánica del régimen electoral general (SSTC 165/1991, 153/2003) [FJ 7].</w:t>
      </w:r>
    </w:p>
    <w:p w:rsidR="00DE14C9" w:rsidRDefault="00DE14C9" w:rsidP="00DE14C9">
      <w:pPr>
        <w:pStyle w:val="Extracto"/>
      </w:pPr>
    </w:p>
    <w:p w:rsidR="00DE14C9" w:rsidRDefault="00DE14C9" w:rsidP="00DE14C9">
      <w:pPr>
        <w:pStyle w:val="Extracto"/>
      </w:pPr>
      <w:r>
        <w:t>11.</w:t>
      </w:r>
      <w:r>
        <w:tab/>
        <w:t>Procede declarar la nulidad de las dos papeletas de voto discutidas, del Acuerdo de la Junta electoral de proclamación de candidatos electos a concejales, en cuanto a la atribución del último puesto de concejal, así como la nulidad de la Sentencia recaída en el recurso contencioso-electoral, debiendo procederse por la Junta electoral de zona a una nueva proclamación del candidato electo correspondiente al último puesto de concejal a cubrir [FJ 8].</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 xml:space="preserve">En el recurso de amparo electoral núm. 5953-2007, promovido por el partido político Agrupación Social Independiente de Avilés (ASIA), representado por el Procurador de los Tribunales don Nicolás Álvarez Real y asistido por los Letrados doña Susana Fernández Iglesias y don Luis del Riego Alonso, contra el Acuerdo de la Junta electoral de zona de </w:t>
      </w:r>
      <w:r>
        <w:lastRenderedPageBreak/>
        <w:t>Avilés, de 12 de junio de 2007, de proclamación de candidatos electos a concejales del Ayuntamiento de Avilés, confirmado por la Sentencia de la Sala de lo Contencioso-Administrativo del Tribunal Superior de Justicia de Asturias núm. 2/2007, de 29 de junio, recaída en el recurso contencioso-electoral núm. 886-2007. Han comparecido y formulado alegaciones don Joaquín Arestegui Artime, representante del Partido Popular ante la Junta electoral de zona de Avilés, representado por la Procuradora de los Tribunales doña Carmen Palomares Quesada y asistido por el Letrado don Daniel Blanco Ortega, y el Ministerio Fiscal. Ha actuado como Ponente el Magistrado don Vicente Conde Martín de Hijas,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el Registro General de este Tribunal el día 2 de julio de 2007, don Nicolás Álvarez Real, Procurador de los Tribunales, en nombre y representación del partido político Agrupación Social Independiente de Avilés (ASIA), interpuso recurso de amparo electoral contra las resoluciones administrativa y judicial a las que se ha hecho mención en el encabezamiento de esta Sentencia.</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En la demanda de amparo se recoge la relación de antecedentes fácticos que a continuación sucintamente se extracta: </w:t>
      </w:r>
    </w:p>
    <w:p w:rsidR="00DE14C9" w:rsidRDefault="00DE14C9" w:rsidP="00DE14C9">
      <w:pPr>
        <w:pStyle w:val="TextoNormal"/>
      </w:pPr>
      <w:r>
        <w:t xml:space="preserve">a) La Junta electoral de zona de Avilés en fecha 30 de mayo de 2007 realizó el escrutinio general correspondiente a las elecciones al Ayuntamiento de Avilés celebradas el 27 de mayo de 2007, con los resultados reflejados en el acta de escrutinio que a continuación se transcriben: </w:t>
      </w:r>
    </w:p>
    <w:p w:rsidR="00DE14C9" w:rsidRDefault="00DE14C9" w:rsidP="00DE14C9">
      <w:pPr>
        <w:pStyle w:val="TextoNormal"/>
      </w:pPr>
      <w:r>
        <w:t xml:space="preserve">Candidaturas/Candidatos </w:t>
      </w:r>
    </w:p>
    <w:p w:rsidR="00DE14C9" w:rsidRDefault="00DE14C9" w:rsidP="00DE14C9">
      <w:pPr>
        <w:pStyle w:val="TextoNormal"/>
      </w:pPr>
      <w:r>
        <w:t xml:space="preserve">Votos Unidá Izquierda Asturiana-Los Verdes-Grupo Verde 477 Partido Socialista Obrero Español 17.585 Izquierda Unida-Bloque por Asturias-Los Verdes de Asturias 4.042 Agrupación Social Independiente de Avilés (ASIA) 5.902 Coalición Unión URAS-PAS 699 Partido Comunista de los Pueblos de España 152 Partido Popular 13.282 </w:t>
      </w:r>
    </w:p>
    <w:p w:rsidR="00DE14C9" w:rsidRDefault="00DE14C9" w:rsidP="00DE14C9">
      <w:pPr>
        <w:pStyle w:val="TextoNormal"/>
      </w:pPr>
      <w:r>
        <w:t xml:space="preserve">b) Presentadas diversas reclamaciones ante la Junta electoral de zona, ésta declaró la validez de dos papeletas de voto estimadas inicialmente nulas emitidas a favor de la candidatura del partido político Agrupación Social Independiente de Avilés —recurrente en amparo— y de otras cuatro emitidas a favor de la candidatura del Partido Popular. </w:t>
      </w:r>
    </w:p>
    <w:p w:rsidR="00DE14C9" w:rsidRDefault="00DE14C9" w:rsidP="00DE14C9">
      <w:pPr>
        <w:pStyle w:val="TextoNormal"/>
      </w:pPr>
      <w:r>
        <w:t xml:space="preserve">En concreto, por lo que a estas últimas se refiere, se trata de las papeletas de voto emitidas en las mesas y que presentan las incidencias que a continuación se indican: </w:t>
      </w:r>
    </w:p>
    <w:p w:rsidR="00DE14C9" w:rsidRDefault="00DE14C9" w:rsidP="00DE14C9">
      <w:pPr>
        <w:pStyle w:val="TextoNormal"/>
      </w:pPr>
      <w:r>
        <w:t xml:space="preserve">“1.- Sección 20, Mesa U, papeleta del PP que contiene cruces escritas sobre los números 1, 2 y 6 de la lista de la citada candidatura. </w:t>
      </w:r>
    </w:p>
    <w:p w:rsidR="00DE14C9" w:rsidRDefault="00DE14C9" w:rsidP="00DE14C9">
      <w:pPr>
        <w:pStyle w:val="TextoNormal"/>
      </w:pPr>
      <w:r>
        <w:t xml:space="preserve">2.- Sección 36, Mesa A, dos papeletas correspondientes al Partido Popular que contienen una cruz o aspa al lado del candidato nº 1 de la lista, D. Manuel Peña. </w:t>
      </w:r>
    </w:p>
    <w:p w:rsidR="00DE14C9" w:rsidRDefault="00DE14C9" w:rsidP="00DE14C9">
      <w:pPr>
        <w:pStyle w:val="TextoNormal"/>
      </w:pPr>
      <w:r>
        <w:t xml:space="preserve">3.- Sección 72, Mesa A, un voto del PP declarado válido por contener una papeleta de dicho partido político a las elecciones locales y otra, igualmente del mismo partido, relativa a los comicios autonómicos”. </w:t>
      </w:r>
    </w:p>
    <w:p w:rsidR="00DE14C9" w:rsidRDefault="00DE14C9" w:rsidP="00DE14C9">
      <w:pPr>
        <w:pStyle w:val="TextoNormal"/>
      </w:pPr>
      <w:r>
        <w:t xml:space="preserve">c) El partido político recurrente en amparo interpuso recurso ante la Junta electoral central contra la decisión de la Junta electoral de zona de Avilés solicitando la declaración de nulidad de las cuatro papeletas de voto antes referidas emitidas a favor de la candidatura del Partido Popular. </w:t>
      </w:r>
    </w:p>
    <w:p w:rsidR="00DE14C9" w:rsidRDefault="00DE14C9" w:rsidP="00DE14C9">
      <w:pPr>
        <w:pStyle w:val="TextoNormal"/>
      </w:pPr>
      <w:r>
        <w:lastRenderedPageBreak/>
        <w:t xml:space="preserve">d) La Junta electoral central, por Acuerdo de 12 de junio de 2007, declaró la nulidad de la papeleta de voto correspondiente a la mesa única de la sección 20, en la que constaba “una pequeña cruz junto a los candidatos números 1, 2 y 6 de la lista”, de conformidad con la doctrina de la Junta electoral central en la materia sentada a partir de su Acuerdo de 5 de junio de 1991, según la cual “si bien una pequeña aspa o cruz al lado del primer candidato de la lista no suscita dudas sobre la voluntad indubitada del elector, no sucede lo mismo cuando esta (sic) se atribuye a varios candidatos, puesto que en estos casos no cabe deducir de las citadas señales la indicación de si su intención es votar sólo a los candidatos que figuran con cruz y no a los demás o, al contrario, excluir a los que tienen la indicación y votar a los restantes (doctrina confirmada por esta Junta en su acuerdo de 9 de junio de 2007). Por ese motivo, debe estimarse el recurso en este punto”. </w:t>
      </w:r>
    </w:p>
    <w:p w:rsidR="00DE14C9" w:rsidRDefault="00DE14C9" w:rsidP="00DE14C9">
      <w:pPr>
        <w:pStyle w:val="TextoNormal"/>
      </w:pPr>
      <w:r>
        <w:t xml:space="preserve">En aplicación de la misma doctrina, la Junta electoral central desestimó la pretensión de nulidad de las dos papeletas de voto de la mesa A de la sección 36, “en las que figura una cruz al lado del candidato número 1, sin que en nada afecte el que no conste el sobre electoral de las mismas, argumento aducido por el recurrente que confunde la nulidad por emitir el voto en papeleta sin sobre con la circunstancia de que en el expediente electoral ahora examinado no consta el sobre con el que se envió la papeleta impugnada”. </w:t>
      </w:r>
    </w:p>
    <w:p w:rsidR="00DE14C9" w:rsidRDefault="00DE14C9" w:rsidP="00DE14C9">
      <w:pPr>
        <w:pStyle w:val="TextoNormal"/>
      </w:pPr>
      <w:r>
        <w:t xml:space="preserve">Finalmente la Junta electoral central rechazó también la pretensión del partido político recurrente en amparo de que se declarase nulo el voto favorable a la candidatura del Partido Popular emitido en la mesa A, sección 72, distrito 1. </w:t>
      </w:r>
    </w:p>
    <w:p w:rsidR="00DE14C9" w:rsidRDefault="00DE14C9" w:rsidP="00DE14C9">
      <w:pPr>
        <w:pStyle w:val="TextoNormal"/>
      </w:pPr>
      <w:r>
        <w:t xml:space="preserve">e) Fruto de la decisión de la Junta electoral central, la Junta electoral de zona de Avilés, por Acuerdo de 12 de junio de 2007, procedió a la siguiente proclamación de candidatos electos a concejales del Ayuntamiento de Avilés: </w:t>
      </w:r>
    </w:p>
    <w:p w:rsidR="00DE14C9" w:rsidRDefault="00DE14C9" w:rsidP="00DE14C9">
      <w:pPr>
        <w:pStyle w:val="TextoNormal"/>
      </w:pPr>
      <w:r>
        <w:t xml:space="preserve">Candidaturas/Candidatos </w:t>
      </w:r>
    </w:p>
    <w:p w:rsidR="00DE14C9" w:rsidRDefault="00DE14C9" w:rsidP="00DE14C9">
      <w:pPr>
        <w:pStyle w:val="TextoNormal"/>
      </w:pPr>
      <w:r>
        <w:t xml:space="preserve">Votos Nº Electos Unidá Izquierda Asturiana-Los Verdes-Grupo Verde 477 0 Partido Socialista Obrero Español 17.585 11 Izquierda Unida-Bloque por Asturias-Los Verdes de Asturias 4.042 2 Agrupación Social Independiente de Avilés (ASIA) 5.902 3 Coalición Unión URAS-PAS 699 0 Partido Comunista de los Pueblos de España 152 0 Partido Popular 13.282 9 </w:t>
      </w:r>
    </w:p>
    <w:p w:rsidR="00DE14C9" w:rsidRDefault="00DE14C9" w:rsidP="00DE14C9">
      <w:pPr>
        <w:pStyle w:val="TextoNormal"/>
      </w:pPr>
      <w:r>
        <w:t>f) El demandante de amparo interpuso recurso contencioso-electoral contra el Acuerdo de proclamación de electos, que fue desestimado por la Sentencia de la Sala de lo Contencioso-Administrativo del Tribunal Superior de Justicia de Asturias núm. 2/2007, de 29 de junio.</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La fundamentación jurídica de la demanda de amparo invoca la vulneración del derecho a acceder en condiciones de igualdad a los cargos públicos (art. 23.2 CE), al considerar el partido político recurrente que ha sido aplicado indebidamente el art. 96.2 LOREG por la Junta electoral de zona y por la Junta electoral central, cuyas decisiones han sido confirmadas por la Sentencia de la Sala de lo Contencioso-Administrativo del Tribunal Superior de Justicia de Asturias, resolviendo de manera desigual dos casos idénticos, pues la Junta electoral central anula una papeleta de voto por contener una cruz o aspa junto al nombre de tres candidatos y paradójicamente mantiene la validez de dos papeletas de voto que igualmente contienen una cruz al lado del primer candidato. </w:t>
      </w:r>
    </w:p>
    <w:p w:rsidR="00DE14C9" w:rsidRDefault="00DE14C9" w:rsidP="00DE14C9">
      <w:pPr>
        <w:pStyle w:val="TextoNormal"/>
      </w:pPr>
      <w:r>
        <w:t xml:space="preserve">Con base en el tenor literal del art. 96.2 LOREG se sostiene en la demanda de amparo que al tratarse de candidaturas bloqueadas y cerradas, cualquier añadido, señalado o tachado o cualquier otra alteración invalida la papeleta de voto, por lo que en el presente supuesto han debido ser consideradas nulas las dos papeletas de voto discutidas, incidiendo las decisiones impugnadas en el resultado final de la elección. </w:t>
      </w:r>
    </w:p>
    <w:p w:rsidR="00DE14C9" w:rsidRDefault="00DE14C9" w:rsidP="00DE14C9">
      <w:pPr>
        <w:pStyle w:val="TextoNormal"/>
      </w:pPr>
      <w:r>
        <w:lastRenderedPageBreak/>
        <w:t xml:space="preserve">Tras citar en apoyo de su pretensión la Sentencia de la Sala de lo Contencioso-Administrativo del Tribunal Superior de Justicia de Valencia de 1 de julio de 2003, cuya fundamentación jurídica parcialmente reproduce, el partido político recurrente en amparo considera que la Junta electoral central debía haber mantenido idéntico criterio respecto de los votos cuya nulidad fue discutida. El hecho de que el elector señale un candidato con una cruz anula la papeleta, toda vez que se desconoce cuál es la intención del votante: si excluir al candidato número 1 y otorgar el voto al resto de los candidatos o reforzar su posición. Lo cierto es que, como es doctrina consolidada, endurecida y reforzada a partir de la LOREG, ni las juntas electorales, primero, ni los Tribunales de Justicia, después, pueden entrar a interpretar cuál es la intención del votante al señalar con un aspa a dicho candidato, pues se trataría más de una actividad adivinatoria que legal. Lo único claro es que, por alguna razón que se desconoce, los votantes quisieron señalar al candidato número 1 de la lista del Partido Popular, y desconociendo su intención la única consecuencia admisible desde el punto de vista constitucional e incluso lógico es la anulación de las papeletas de voto, utilizando el mismo criterio que la Junta electoral central ha empleado en la anulación de la papeleta de voto de la mesa 20 U. </w:t>
      </w:r>
    </w:p>
    <w:p w:rsidR="00DE14C9" w:rsidRDefault="00DE14C9" w:rsidP="00DE14C9">
      <w:pPr>
        <w:pStyle w:val="TextoNormal"/>
      </w:pPr>
      <w:r>
        <w:t xml:space="preserve">Se invoca también en la demanda el principio de seguridad jurídica, que no permite dar un tratamiento distinto a situaciones claramente idénticas, provocando un agravio comparativo, así como el principio de conservación de actos administrativos, ya que el interventor del Partido Popular en el momento en que se realizó el escrutinio en la mesa electoral no hizo constar queja o reclamación alguna en el acta de la sesión ni en el acta de escrutinio respecto a las papeletas de voto ahora discutidas que entonces fueron declaradas nulas. </w:t>
      </w:r>
    </w:p>
    <w:p w:rsidR="00DE14C9" w:rsidRDefault="00DE14C9" w:rsidP="00DE14C9">
      <w:pPr>
        <w:pStyle w:val="TextoNormal"/>
      </w:pPr>
      <w:r>
        <w:t>En la demanda de amparo se invoca en apoyo de la pretensión actora la doctrina de las SSTC 166/1991, 115/1995 y 153/2003, para concluir suplicando del Tribunal Constitucional que, tras los trámites oportunos, dicte Sentencia en la que se otorgue el amparo solicitado, se declare la nulidad de las resoluciones administrativas y judicial recurridas, así como la de las dos papeletas de voto litigiosas emitidas a favor de la candidatura del Partido Popular en la sección 36, mesa A, distrito 01 de Avilés, y el Acuerdo de la junta electoral de zona de Avilés de 12 de junio de 2007 de proclamación de candidatos electos a concejales del Ayuntamiento de Avilés.</w:t>
      </w:r>
    </w:p>
    <w:p w:rsidR="00DE14C9" w:rsidRDefault="00DE14C9" w:rsidP="00DE14C9">
      <w:pPr>
        <w:pStyle w:val="TextoNormal"/>
      </w:pPr>
    </w:p>
    <w:p w:rsidR="00DE14C9" w:rsidRDefault="00DE14C9" w:rsidP="00DE14C9">
      <w:pPr>
        <w:pStyle w:val="TextoNormal"/>
      </w:pPr>
      <w:r w:rsidRPr="00DE14C9">
        <w:rPr>
          <w:rStyle w:val="NumeroAFNegritaCaracter"/>
        </w:rPr>
        <w:t>4</w:t>
      </w:r>
      <w:r>
        <w:t>. La Sala Segunda del Tribunal Constitucional, por providencia de 3 de julio de 2007, de conformidad con lo previsto en el art. 50.1 LOTC, en la redacción dada por la Ley Orgánica 6/2007, de 24 de mayo, acordó admitir a trámite el recurso de amparo por no apreciar en un examen liminar que la demanda presentada incumpla lo dispuesto en los arts. 41 a 46 y 49 LOTC y por estimar que la especial trascendencia de su contenido justifica una decisión sobre el fondo por parte del Tribunal Constitucional; asimismo, de conformidad con el art. 112.3 LOREG y el Acuerdo del Pleno del Tribunal Constitucional de 20 de enero de 2000, recabó de la Sala de lo Contencioso-Administrativo del Tribunal Superior de Justicia de Asturias el envío de las actuaciones correspondientes, incluidos el expediente electoral, el informe emitido por la Junta electoral y la certificación acreditativa de la fecha de notificación de la Sentencia, previo emplazamiento a las partes, excepto de la recurrente en amparo, para que en el plazo de tres días pudieran personarse ante este Tribunal mediante Procurador de Madrid con poder al efecto y asistidos de Abogado, formulando las alegaciones que tuvieran por conveniente; y, en fin, dio vista de la demanda al Ministerio Fiscal para que en el plazo de cinco días pudiera efectuar las alegaciones procedentes.</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5</w:t>
      </w:r>
      <w:r>
        <w:t xml:space="preserve">. Don Joaquín Arestegui Artime, representante del Partido Popular ante la Junta electoral de zona de Avilés, evacuó el trámite de alegaciones conferido mediante escrito registrado en fecha 6 de julio de 2007, que, en lo sustancial, a continuación se resume: </w:t>
      </w:r>
    </w:p>
    <w:p w:rsidR="00DE14C9" w:rsidRDefault="00DE14C9" w:rsidP="00DE14C9">
      <w:pPr>
        <w:pStyle w:val="TextoNormal"/>
      </w:pPr>
      <w:r>
        <w:t xml:space="preserve">a) Por lo que se refiere a la denunciada vulneración del art. 23.2 CE, considera que, ni se han conculcado derechos fundamentales, ni tratado de forma desigual supuestos iguales, limitándose el demandante de amparo, en realidad, a manifestar su discrepancia con los razonamientos y decisiones de las juntas electorales y del Tribunal Superior de Justicia, utilizando el recurso de amparo electoral como una instancia de apelación, lo que ha rechazado este Tribunal Constitucional (SSTC 78/1989; 24/1990). </w:t>
      </w:r>
    </w:p>
    <w:p w:rsidR="00DE14C9" w:rsidRDefault="00DE14C9" w:rsidP="00DE14C9">
      <w:pPr>
        <w:pStyle w:val="TextoNormal"/>
      </w:pPr>
      <w:r>
        <w:t xml:space="preserve">En esta línea argumental manifiesta su conformidad con la fundamentación de las resoluciones de las juntas electorales y del Tribunal Superior de Justicia sobre la validez de las dos papeletas de voto discutidas, así como con la doctrina jurisprudencial que invocan. Por el contrario entiende que las Sentencias que en la demanda de amparo se citan en apoyo de la pretensión actora —Sentencia de la Sala de lo Contencioso-Administrativo del Tribunal Superior de Justicia de Valencia de 1 de julio de 2003 y SSTC 115/1995 y 153/2003— nada tienen que ver con el presente caso. En efecto, aquellas resoluciones, cuyos razonamientos el representante del Partido Popular sintetiza, llevan a cabo una interpretación totalmente acertada de la legislación electoral, fundada en la exigencia de conocimiento de la verdad material manifestada en las urnas por los electores y en ningún modo caen en un automatismo al interpretar el art. 96.2 LOREG, pues, como se declara en la STC 165/1991, la aplicación de las causas de nulidad contenidas en aquel precepto debe realizarse “razonadamente, una vez atendidas y ponderadas las circunstancias de cada caso”. </w:t>
      </w:r>
    </w:p>
    <w:p w:rsidR="00DE14C9" w:rsidRDefault="00DE14C9" w:rsidP="00DE14C9">
      <w:pPr>
        <w:pStyle w:val="TextoNormal"/>
      </w:pPr>
      <w:r>
        <w:t xml:space="preserve">En definitiva, las juntas electorales y el Tribunal Superior de Justicia han interpretado en el mismo sentido las papeletas de voto cuya nulidad pretende la actora, sin que quepa apreciar vulneración de derecho fundamental alguno, máxime cuando se trata de decisiones que no son arbitrarias, irrazonadas o irrazonables (SSTC 165/1991; 115/1995). </w:t>
      </w:r>
    </w:p>
    <w:p w:rsidR="00DE14C9" w:rsidRDefault="00DE14C9" w:rsidP="00DE14C9">
      <w:pPr>
        <w:pStyle w:val="TextoNormal"/>
      </w:pPr>
      <w:r>
        <w:t xml:space="preserve">b) En cuanto a la protesta de los interventores del Partido Popular respecto a las dos papeletas de voto ahora discutidas y declaradas nulas por la mesa electoral, el representante de dicho partido sostiene en su escrito de alegaciones que se hizo constar la incidencia acaecida en la mesa electoral, como figura en el anexo de incidencias que se acompaña al acta de la sesión de escrutinio (apartado 16), planteando en fecha 31 de mayo la pertinente reclamación de conformidad con lo dispuesto en el art. 108.2 LOREG. Así pues queda acreditada sobradamente la diligencia empleada por los representantes legales del Partido Popular al hacer constar con la suficiente celeridad la incidencia apreciada ante la Junta correspondiente y en el acto de escrutinio general, instando la posterior reclamación de acuerdo con el art. 108.2 LOREG. Se han utilizado, por tanto, los instrumentos de revisión que prevé la LOREG, siendo además reiterada jurisprudencia constitucional que la falta de protesta ante la mesa o ante la Junta electoral de zona en el escrutinio general no es obstáculo para acudir a la jurisdicción contenciosa, debiendo ésta resolver sobre el fondo del asunto planteado. </w:t>
      </w:r>
    </w:p>
    <w:p w:rsidR="00DE14C9" w:rsidRDefault="00DE14C9" w:rsidP="00DE14C9">
      <w:pPr>
        <w:pStyle w:val="TextoNormal"/>
      </w:pPr>
      <w:r>
        <w:t xml:space="preserve">c) El representante del Partido Popular muestra su rechazo a la aportación, junto con la demanda de amparo, del dictamen que figura como documento número 8, pues no ha sido admitido a trámite por el Tribunal Superior de Justicia en el proceso contencioso-administrativo previo. </w:t>
      </w:r>
    </w:p>
    <w:p w:rsidR="00DE14C9" w:rsidRDefault="00DE14C9" w:rsidP="00DE14C9">
      <w:pPr>
        <w:pStyle w:val="TextoNormal"/>
      </w:pPr>
      <w:r>
        <w:t>Concluye su escrito de alegaciones suplicando del Tribunal Constitucional que, tras los trámites oportunos, dicte sentencia desestimando la demanda de amparo.</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6</w:t>
      </w:r>
      <w:r>
        <w:t xml:space="preserve">. El Ministerio Fiscal evacuó el trámite de alegaciones conferido mediante escrito registrado en fecha 13 de julio de 2007, que, en lo sustancial, a continuación se resume: </w:t>
      </w:r>
    </w:p>
    <w:p w:rsidR="00DE14C9" w:rsidRDefault="00DE14C9" w:rsidP="00DE14C9">
      <w:pPr>
        <w:pStyle w:val="TextoNormal"/>
      </w:pPr>
      <w:r>
        <w:t xml:space="preserve">a) Por lo que se refiere a la denunciada falta de reclamación o protesta del interventor del Partido Popular frente a la decisión de la mesa A, de la sección 36, de declarar nulas las dos papeletas de voto ahora cuestionadas, manifiesta, tras citar la doctrina constitucional sobre la diligencia de los actores electorales (STC 157/1991), que esta queja debe decaer, pues el Partido Popular en la sesión de escrutinio celebrada en la Junta electoral de zona el día 30 de mayo solicitó la validez de dichas papeletas, lo que sostuvo ante dicha Junta al día siguiente y mantuvo posteriormente frente a las reclamaciones del demandante de amparo. </w:t>
      </w:r>
    </w:p>
    <w:p w:rsidR="00DE14C9" w:rsidRDefault="00DE14C9" w:rsidP="00DE14C9">
      <w:pPr>
        <w:pStyle w:val="TextoNormal"/>
      </w:pPr>
      <w:r>
        <w:t xml:space="preserve">b) En cuanto a la validez o nulidad de dichas papeletas de voto el Ministerio Fiscal reproduce la doctrina constitucional sentada en la STC 165/1991 y señala a continuación que es necesario determinar la entidad de la adición efectuada, consistente en este caso en añadir una cruz o aspa al lado del candidato número 1 de la candidatura, para valorar si ese añadido introduce dudas razonables sobre la voluntad del elector al depositar su voto. </w:t>
      </w:r>
    </w:p>
    <w:p w:rsidR="00DE14C9" w:rsidRDefault="00DE14C9" w:rsidP="00DE14C9">
      <w:pPr>
        <w:pStyle w:val="TextoNormal"/>
      </w:pPr>
      <w:r>
        <w:t xml:space="preserve">Recuerda al respecto que el art. 96.2 LOREG debe interpretarse en el sentido más favorable a la efectividad del derecho de sufragio (art. 23 CE; STC 74/1995), así como la necesidad de tener presente el principio de la búsqueda de la verdad material (STC 157/1991) y el principio de conservación de los actos válidamente celebrados (STC 26/1990). </w:t>
      </w:r>
    </w:p>
    <w:p w:rsidR="00DE14C9" w:rsidRDefault="00DE14C9" w:rsidP="00DE14C9">
      <w:pPr>
        <w:pStyle w:val="TextoNormal"/>
      </w:pPr>
      <w:r>
        <w:t xml:space="preserve">Pues bien, a su juicio la respuesta constitucional a la cuestión planteada debe partir de la reflexión de que la elección de la papeleta electoral supone un acto de voluntad clara sobre la candidatura a la que el votante otorga su voto, de modo que cualquier elemento extraño a la configuración tipográfica de la papeleta exige su valoración en clave de si altera o genera dudas sobre el sentido del voto que, de por sí, supone la elección de la papeleta. Juicio que está reservado a la Administración electoral y a los órganos judiciales, ya que la aplicación de la normativa electoral es una cuestión de legalidad ordinaria (STC 165/1991). En este caso la valoración efectuada por la Junta electoral central y el Tribunal Superior de Justicia de las dos papeletas de votación en liza responde a los principios enunciados y a la doctrina señalada, de modo que el razonamiento seguido para llegar a la solución adoptada que valida los votos impugnados es lógico, razonable y favorable al derecho consagrado en el art. 23.2 CE, no observándose elementos arbitrarios, irrazonables o extravagantes en la interpretación que realizan del art. 96.2 LOREG. </w:t>
      </w:r>
    </w:p>
    <w:p w:rsidR="00DE14C9" w:rsidRDefault="00DE14C9" w:rsidP="00DE14C9">
      <w:pPr>
        <w:pStyle w:val="TextoNormal"/>
      </w:pPr>
      <w:r>
        <w:t>El Ministerio Fiscal concluye su escrito de alegaciones interesando la desestimación de la demanda de amparo.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El partido político Agrupación Social Independiente de Avilés (ASIA) impugna el Acuerdo de la Junta electoral de zona de Avilés, de 12 de junio de 2007, de proclamación de candidatos electos a concejales del Ayuntamiento de Avilés, que ha sido confirmado por la Sentencia núm. 2/2007, de 29 de junio, de la Sala de lo Contencioso-Administrativo del Tribunal Superior de Justicia de Asturias, desestimatoria del recurso contencioso-electoral núm. 886-2007, promovido por el demandante de amparo contra aquel Acuerdo.</w:t>
      </w:r>
    </w:p>
    <w:p w:rsidR="00DE14C9" w:rsidRDefault="00DE14C9" w:rsidP="00DE14C9">
      <w:pPr>
        <w:pStyle w:val="TextoNormal"/>
      </w:pPr>
      <w:r>
        <w:t xml:space="preserve">En la demanda de amparo se invoca, en primer término, la lesión del derecho a acceder en condiciones de igualdad a los cargos públicos con los requisitos que señalen las leyes (art. 23.2 CE), por haberse otorgado validez a dos papeletas de voto emitidas en el distrito 1, sección 36, mesa A, a favor de la candidatura presentada por el Partido Popular, que </w:t>
      </w:r>
      <w:r>
        <w:lastRenderedPageBreak/>
        <w:t>contienen una cruz o aspa al lado del candidato número 1 de la lista, que, a juicio del recurrente en amparo, debían haber sido declaradas nulas en aplicación del art. 96.2 de la Ley Orgánica del régimen electoral general (LOREG). Se aduce también la vulneración del principio de seguridad jurídica, porque la Junta electoral central ha conferido un tratamiento distinto a situaciones claramente idénticas, pues declaró la nulidad de una papeleta de voto emitida en el distrito 1, sección 20, mesa U, a favor de la candidatura presentada por el Partido Popular, que contenía cruces escritas sobre los candidatos números 1, 2 y 6 de la lista, en tanto que, aplicando un criterio diferente, confirmó la decisión de la Junta electoral de zona de considerar válidas las dos papeletas de voto antes referidas. Y, en fin, se denuncia la infracción del principio de conservación de los actos administrativos, ya que el interventor del Partido Popular no hizo constar queja o reclamación alguna en el acta de la sesión de la mesa ni en el acta de escrutinio tras declarar la mesa electoral la nulidad de las dos papeletas de voto ya mencionadas, posteriormente consideradas válidas por la Junta electoral de zona.</w:t>
      </w:r>
    </w:p>
    <w:p w:rsidR="00DE14C9" w:rsidRDefault="00DE14C9" w:rsidP="00DE14C9">
      <w:pPr>
        <w:pStyle w:val="TextoNormal"/>
      </w:pPr>
      <w:r>
        <w:t>El representante del Partido Popular se opone a la estimación de la demanda de amparo, al considerar, por lo que se refiere a la denunciada vulneración del derecho reconocido en el art. 23.2 CE, que las Juntas electorales y el Tribunal Superior de Justicia han llevado a cabo en este caso una interpretación totalmente acertada de la legislación electoral al declarar la validez de las papeletas de voto discutidas. De otro lado estima que se han utilizado oportunamente los instrumentos de revisión que prevé la Ley Orgánica del régimen electoral general (art. 108.2) contra la decisión de la mesa electoral de anular aquellas papeletas de voto.</w:t>
      </w:r>
    </w:p>
    <w:p w:rsidR="00DE14C9" w:rsidRDefault="00DE14C9" w:rsidP="00DE14C9">
      <w:pPr>
        <w:pStyle w:val="TextoNormal"/>
      </w:pPr>
      <w:r>
        <w:t>Por su parte el Ministerio Fiscal estima que han de decaer tanto la queja relativa a la falta de reclamación o protesta del interventor del Partido Popular contra la decisión de la mesa electoral de anular ambas papeletas de voto, como la relativa a la supuesta lesión del derecho de acceso a los cargos públicos (art. 23.2 CE), ya que los razonamientos seguidos para conferir validez a dichas papeletas son lógicos, razonables y favorables al mencionado derecho fundamental.</w:t>
      </w:r>
    </w:p>
    <w:p w:rsidR="00DE14C9" w:rsidRDefault="00DE14C9" w:rsidP="00DE14C9">
      <w:pPr>
        <w:pStyle w:val="TextoNormal"/>
      </w:pPr>
    </w:p>
    <w:p w:rsidR="00DE14C9" w:rsidRDefault="00DE14C9" w:rsidP="00DE14C9">
      <w:pPr>
        <w:pStyle w:val="TextoNormal"/>
      </w:pPr>
      <w:r w:rsidRPr="00DE14C9">
        <w:rPr>
          <w:rStyle w:val="NumeroAFNegritaCaracter"/>
        </w:rPr>
        <w:t>2</w:t>
      </w:r>
      <w:r>
        <w:t>. Alterando en su examen el orden en el que se exponen en la demanda las quejas planteadas, al objeto de centrarnos en lo que constituye la cuestión nuclear en la que se sustenta la pretensión actora, hemos de comenzar por recordar una vez más que el principio de seguridad jurídica recogido en el art. 9.3 CE, por imperativo de los arts. 53.2 CE y 41.1 LOTC, queda extramuros del recurso de amparo, al no encontrarse entre los derechos y libertades reconocidos en los arts. 14 a 30 CE [SSTC 133/1989, de 19 de julio, FJ 3; 135/2004, de 5 de agosto, FJ 3 d)].</w:t>
      </w:r>
    </w:p>
    <w:p w:rsidR="00DE14C9" w:rsidRDefault="00DE14C9" w:rsidP="00DE14C9">
      <w:pPr>
        <w:pStyle w:val="TextoNormal"/>
      </w:pPr>
      <w:r>
        <w:t xml:space="preserve">De otra parte, bajo la invocación del principio de conservación de los actos administrativos, lo que el demandante en realidad denuncia, atendiendo a los términos en los que expone este motivo de amparo, es una posible falta de diligencia del interventor del Partido Popular al no formular reclamación o, en su caso, dejar constancia de su queja, en el acto de escrutinio de la mesa electoral que declaró la nulidad de las dos papeletas de voto discutidas, reclamando su validez en el posterior acto de escrutinio general. Pues bien, para desestimar cualquier atisbo de una posible falta de diligencia en el agotamiento de la vía administrativa previa al recurso contencioso-electoral, es suficiente con recordar que el art. 108.2 LOREG dispone que las reclamaciones y protestas que ante las Juntas electorales pueden presentar los representantes o apoderados de las candidaturas en el día siguiente al acto de escrutinio general pueden referirse “a incidencias recogidas en las actas de la sesión de las Mesas electorales o en el acta de la sesión de escrutinio general”. En este caso, como el recurrente </w:t>
      </w:r>
      <w:r>
        <w:lastRenderedPageBreak/>
        <w:t>reconoce expresamente en la demanda de amparo, el representante del Partido Popular reclamó la validez de las dos papeletas de voto discutidas en el acto de escrutinio general y, al no ser estimada su pretensión por la Junta electoral de zona, formuló reclamación ante ésta al día siguiente del acto de escrutinio, de conformidad con el art. 108.2 LOREG, siendo estimada por la Junta electoral de zona.  Ha de concluirse, por tanto, que por el representante de la candidatura del Partido Popular se ha agotado debidamente la vía administrativa previa al contencioso-electoral, y que, aun cuando el interventor del Partido Popular no hubiera hecho constar queja alguna en el acta de la sesión de la mesa electoral, de ningún modo cabe apreciar en este caso, de acuerdo con una reiterada doctrina constitucional, que no se hubiera observado la debida diligencia exigible a los actores del proceso electoral para denunciar en la vía administrativa las posibles irregularidades que pudieran acaecer en el procedimiento electoral (STC 156/1991, de 15 de julio, FJ 2, por todas).</w:t>
      </w:r>
    </w:p>
    <w:p w:rsidR="00DE14C9" w:rsidRDefault="00DE14C9" w:rsidP="00DE14C9">
      <w:pPr>
        <w:pStyle w:val="TextoNormal"/>
      </w:pPr>
    </w:p>
    <w:p w:rsidR="00DE14C9" w:rsidRDefault="00DE14C9" w:rsidP="00DE14C9">
      <w:pPr>
        <w:pStyle w:val="TextoNormal"/>
      </w:pPr>
      <w:r w:rsidRPr="00DE14C9">
        <w:rPr>
          <w:rStyle w:val="NumeroAFNegritaCaracter"/>
        </w:rPr>
        <w:t>3</w:t>
      </w:r>
      <w:r>
        <w:t>. La principal queja del demandante de amparo se centra en la vulneración de su derecho a acceder en condiciones de igualdad a los cargos públicos con los requisitos que señalen las leyes (art. 23.2 CE), al haberse otorgado validez a dos papeletas de voto emitidas en el distrito 1, sección 36, mesa A, a favor de la candidatura presentada por el Partido Popular que contienen una cruz o aspa al lado del candidato número 1 de la lista, las cuales, en su opinión, debían haber sido declaradas nulas en aplicación del art. 96.2 LOREG. Con base en el tenor literal del citado precepto legal sostiene que, al ser bloqueadas y cerradas las candidaturas presentadas a las elecciones municipales, cualquier añadido, señalado o tachado o cualquier otra alteración invalida la papeleta de voto, por lo que en este caso las dos papeletas de voto discutidas que inciden en el resultado final de la elección debieron considerarse nulas. Se razona al respecto en la demanda que el hecho de que el elector señale un candidato con una cruz debe implicar la anulación de la papeleta de voto, toda vez que no se puede conocer si la intención del votante es la de excluir al candidato señalado y otorgar el voto al resto de los candidatos o, por el contrario, reforzar la posición de aquél, no correspondiendo a las Juntas electorales ni a los Tribunales de Justicia interpretar cuál es la intención del votante al señalar con una cruz o una aspa un candidato, por tratarse más de una actividad adivinatoria que legal.</w:t>
      </w:r>
    </w:p>
    <w:p w:rsidR="00DE14C9" w:rsidRDefault="00DE14C9" w:rsidP="00DE14C9">
      <w:pPr>
        <w:pStyle w:val="TextoNormal"/>
      </w:pPr>
      <w:r>
        <w:t>El representante del Partido Popular rechaza la denunciada lesión del derecho reconocido en el art. 23.2 CE y manifiesta su conformidad con las decisiones de las Juntas electorales y del Tribunal Superior de Justicia sobre la validez de las papeletas de voto discutidas, ya que se basan en una interpretación fundada del art. 96.2 LOREG, que en modo alguno puede tildarse de arbitraria, irrazonada o irrazonable. En la misma línea argumental el Ministerio Fiscal no observa en la decisión de estimar válidas ambas papeletas de voto elementos arbitrarios, irrazonables o extravagantes a la interpretación del art. 96.2 LOREG.</w:t>
      </w:r>
    </w:p>
    <w:p w:rsidR="00DE14C9" w:rsidRDefault="00DE14C9" w:rsidP="00DE14C9">
      <w:pPr>
        <w:pStyle w:val="TextoNormal"/>
      </w:pPr>
    </w:p>
    <w:p w:rsidR="00DE14C9" w:rsidRDefault="00DE14C9" w:rsidP="00DE14C9">
      <w:pPr>
        <w:pStyle w:val="TextoNormal"/>
      </w:pPr>
      <w:r w:rsidRPr="00DE14C9">
        <w:rPr>
          <w:rStyle w:val="NumeroAFNegritaCaracter"/>
        </w:rPr>
        <w:t>4</w:t>
      </w:r>
      <w:r>
        <w:t>. La cuestión nuclear suscitada en el presente recurso de amparo, en la que el partido político demandante sustenta su pretensión, estriba en determinar si ha resultado lesionado, como sostiene éste, o no, como mantienen el representante del Partido Popular y el Ministerio Fiscal, el derecho a acceder en condiciones de igualdad a los cargos públicos con los requisitos que señalen las leyes (art. 23.2 CE), como consecuencia de una posible infracción por las juntas electorales y por el Tribunal Superior de Justicia de la legislación electoral vigente, en concreto, del art. 96.2 LOREG, al haber otorgado validez a dos papeletas de voto emitidas en el distrito 1, sección 36, mesa A, a favor de la candidatura del Partido Popular, que en opinión del demandante de amparo debieron ser declaradas nulas en aplicación del mencionado art. 96.2 LOREG.</w:t>
      </w:r>
    </w:p>
    <w:p w:rsidR="00DE14C9" w:rsidRDefault="00DE14C9" w:rsidP="00DE14C9">
      <w:pPr>
        <w:pStyle w:val="TextoNormal"/>
      </w:pPr>
      <w:r>
        <w:lastRenderedPageBreak/>
        <w:t>En este contexto hemos de poner ahora de manifiesto, antes de proseguir el enjuiciamiento de la queja actora, que la denunciada infracción de la legislación electoral afecta en este caso, como se indica en las resoluciones recurridas y se refleja en el expediente electoral, al resultado final de la elección, requisito para poder apreciar la existencia de una lesión real y efectiva del derecho de sufragio pasivo, pues, de serles restados a la candidatura del Partido Popular los dos votos en liza, le correspondería al demandante un puesto de concejal más de los que le han sido atribuidos en el Acuerdo de proclamación de electos en detrimento de la candidatura del Partido Popular, que obtendría un puesto de concejal menos [SSTC 185/1999, de 11 de octubre, FJ 4 c); 153/2003, de 17 de julio, FJ 3; 154/2003, de 17 de julio, FFJJJ 6 c) y 8; 135/2004, de 5 de agosto, FJ 4 c)].</w:t>
      </w:r>
    </w:p>
    <w:p w:rsidR="00DE14C9" w:rsidRDefault="00DE14C9" w:rsidP="00DE14C9">
      <w:pPr>
        <w:pStyle w:val="TextoNormal"/>
      </w:pPr>
    </w:p>
    <w:p w:rsidR="00DE14C9" w:rsidRDefault="00DE14C9" w:rsidP="00DE14C9">
      <w:pPr>
        <w:pStyle w:val="TextoNormal"/>
      </w:pPr>
      <w:r w:rsidRPr="00DE14C9">
        <w:rPr>
          <w:rStyle w:val="NumeroAFNegritaCaracter"/>
        </w:rPr>
        <w:t>5</w:t>
      </w:r>
      <w:r>
        <w:t>. El marco normativo configurador de la declaración de nulidad de las papeletas de voto viene constituido por el art. 96 LOREG, precepto ubicado en su título I, que tiene por objeto, como indica su rúbrica, las “Disposiciones comunes para las elecciones por sufragio universal” y, más concretamente, en el supuesto que aquí y ahora interesa, por el apartado 2 del citado precepto, a cuyo tenor: “En el caso de elecciones al Congreso de los Diputados, al Parlamento Europeo, a los Ayuntamientos y Cabildos Insulares serán también nulos los votos emitidos en papeletas en las que se hubiera modificado, añadido, señalado o tachado nombres de los candidatos comprendidos en ella o alterado su orden de colación, así como aquellas en las que se hubiera producido cualquier otro tipo de alteración”.</w:t>
      </w:r>
    </w:p>
    <w:p w:rsidR="00DE14C9" w:rsidRDefault="00DE14C9" w:rsidP="00DE14C9">
      <w:pPr>
        <w:pStyle w:val="TextoNormal"/>
      </w:pPr>
      <w:r>
        <w:t>Este Tribunal ha tenido ocasión de pronunciarse tanto con carácter general sobre las normas reguladoras del régimen de nulidad de los votos como, más concretamente, sobre las específicas previsiones del art. 96.2 LOREG, cuya doctrina procede ahora traer a colación:</w:t>
      </w:r>
    </w:p>
    <w:p w:rsidR="00DE14C9" w:rsidRDefault="00DE14C9" w:rsidP="00DE14C9">
      <w:pPr>
        <w:pStyle w:val="TextoNormal"/>
      </w:pPr>
      <w:r>
        <w:t>a) En relación con las normas reguladoras de la nulidad de los votos ha declarado que éstas “han de ser formuladas en términos precisos, con determinación detallada de todas las reglas especiales y de las posibles exclusiones, sin que sea preciso acudir a interpretaciones más o menos complejas sobre la aplicabilidad de cada precepto”. Esta exigencia de precisión y claridad en la redacción de aquellas normas encuentra su justificación en que su aplicación inmediata ha de ser efectuada normalmente por los componentes de las mesas electorales, integradas por ciudadanos designados por sorteo y que constituyen una Administración electoral no especializada (STC 153/2003, de 17 de julio, FJ 6).</w:t>
      </w:r>
    </w:p>
    <w:p w:rsidR="00DE14C9" w:rsidRDefault="00DE14C9" w:rsidP="00DE14C9">
      <w:pPr>
        <w:pStyle w:val="TextoNormal"/>
      </w:pPr>
      <w:r>
        <w:t>b) Asimismo, por lo que se refiere más concretamente al supuesto regulado en el art. 96.2 LOREG, este Tribunal ha declarado que el citado precepto recoge el llamado principio de inalterabilidad de la lista electoral y que lo hace de forma tal que robustece la exigencia de rigor que dicho principio implica, en relación a como aparecía enunciado en la precedente legislación electoral. En efecto, en tanto que el art. 64.2 b) del Real Decreto-ley 20/1977, de 18 de marzo, sobre normas electorales establecía que sólo era nulo “el voto para el Congreso emitido en papeleta en la que se hubiera modificado o tachado nombres de los comprendidos en ella o alterado su orden de colocación”, el art. 96.2 LOREG ha introducido una cláusula general de cierre —“cualquier otro tipo de alteración”— y ha sumado otros participios —“añadido”, “señalado”—, a los enunciados en aquel precepto, que ponen de manifiesto la “finalidad de enfatizar la prohibición de señales o manipulaciones de cualquier tipo en las papeletas de voto, precisamente por su carácter de papeletas que incorporan listas bloqueadas y cerradas en las que no es menester indicación alguna del elector al emitir el sufragio” (STC 165/1991, de 19 de julio, FJ 3; doctrina que reiteran las SSTC 115/1995, de 10 de julio, FJ 5; 153/2003, de 17 de julio, FJ 7).</w:t>
      </w:r>
    </w:p>
    <w:p w:rsidR="00DE14C9" w:rsidRDefault="00DE14C9" w:rsidP="00DE14C9">
      <w:pPr>
        <w:pStyle w:val="TextoNormal"/>
      </w:pPr>
      <w:r>
        <w:lastRenderedPageBreak/>
        <w:t>En esta línea de razonamiento el Tribunal ha destacado también en la primera de las Sentencias antes mencionadas, frente a la redacción del art. 96.2 LOREG, la mayor flexibilidad del tenor del art. 96.3 LOREG, que establece las normas de nulidad de votos para el Senado, según el cual “serán nulos los votos emitidos en papeletas en las que se hubieran señalado más de tres nombres en las circunscripciones provinciales, de dos en las circunscripciones insulares de Gran Canarias, Mallorca y Tenerife y en las poblaciones de Ceuta y Melilla y de uno en el resto de las circunscripciones insulares”. Así se declaró en aquella Sentencia que las previsiones especificas del art. 96.3 LOREG respecto de los votos nulos en las elecciones al Senado “viene[n] lógicamente condicionad[as] por la necesidad de que el elector marque con cruces los candidatos elegidos de entre los presentes en una única lista” y “[l]as circunstancias en las que se produce la emisión del voto por papeleta al Senado, con razonables posibilidades de rayas, cruces o tachaduras en virtud de errores, no son las mismas que en las demás elecciones y, por lo que aquí atañe, que en las locales” (ibidem).</w:t>
      </w:r>
    </w:p>
    <w:p w:rsidR="00DE14C9" w:rsidRDefault="00DE14C9" w:rsidP="00DE14C9">
      <w:pPr>
        <w:pStyle w:val="TextoNormal"/>
      </w:pPr>
      <w:r>
        <w:t>Precisamente con base en que en el caso de las elecciones al Congreso de los Diputados, al Parlamento Europeo, a los Ayuntamiento y Cabildos insulares, a las que se refiere el art. 96.2 LOREG, las papeletas de votación incorporan listas bloqueadas y cerradas en las que no es menester indicación alguna del elector al emitir el sufragio, a diferencia de las elecciones al Senado a las que se refiere el art. 96.3 LOREG, el Tribunal ha justificado que “haya de ser también distinto el rigor con el que se enjuicie la presencia de marcas, escritos o tachaduras en una y otra clase de papeletas”, afirmando “que la existencia constatada de marcas o tachaduras en las papeletas a las elecciones locales permite la aplicación razonada a las mismas por la Administración electoral y por los órganos de la jurisdicción contencioso-electoral de la nulidad prevista en el art. 96.2 de la LOREG, una vez atendidas y ponderadas las circunstancias de cada caso” (STC 165/1991, de 19 de julio, FJ 3). Ahora bien, hemos precisado que, si bien a la hora de aplicar las causas de nulidad del art. 96.2 LOREG no se debe caer en el automatismo, tampoco es posible eludir la existencia de adiciones, modificaciones, señales o marcas en las papeletas, negándoles todo valor (STC 153/2003, de 17 de julio, FJ 9).</w:t>
      </w:r>
    </w:p>
    <w:p w:rsidR="00DE14C9" w:rsidRDefault="00DE14C9" w:rsidP="00DE14C9">
      <w:pPr>
        <w:pStyle w:val="TextoNormal"/>
      </w:pPr>
      <w:r>
        <w:t>Distinguiendo los dos supuestos recogidos en el art. 96.2 LOREG, en la STC 153/2003, de 17 de julio, hemos dicho que “[P]arece patente que, cuando el precepto examinado se refiere a la modificación, adición, señal o tachado de los nombres de los candidatos o a la alteración de su orden, su presupuesto está conformado por las papeletas que incluyen la lista de candidatos de cada formación, en relación con las cuales puede producirse de manera patente tales operaciones. Ahora bien, en su cláusula de cierre (‘aquellas en las que se hubiera producido cualquier otro tipo de alteración’) quedan comprendidas las variaciones de toda índole que afecten a las papeletas” (FJ 7).</w:t>
      </w:r>
    </w:p>
    <w:p w:rsidR="00DE14C9" w:rsidRDefault="00DE14C9" w:rsidP="00DE14C9">
      <w:pPr>
        <w:pStyle w:val="TextoNormal"/>
      </w:pPr>
      <w:r>
        <w:t>c) El Tribunal ha declarado también que el entendimiento de cuándo procede y cuándo no la aplicación de lo dispuesto en el art. 96.2 LOREG configura normalmente un juicio de estricta legalidad electoral, que no puede ser revisado por este Tribunal una vez comprobado que la interpretación seguida por el órgano judicial ordinario no es arbitraria, irrazonada e irrazonable (STC 165/1991, de 19 de julio, FJ 3; doctrina que reitera la STC 115/1995, de 10 de julio, FJ 5).</w:t>
      </w:r>
    </w:p>
    <w:p w:rsidR="00DE14C9" w:rsidRDefault="00DE14C9" w:rsidP="00DE14C9">
      <w:pPr>
        <w:pStyle w:val="TextoNormal"/>
      </w:pPr>
      <w:r>
        <w:t xml:space="preserve">d) Finalmente, por lo que se refiere a los concretos pronunciamientos de este Tribunal en relación con la interpretación y aplicación del art. 96.2 LOREG por las juntas electorales y los órganos judiciales, ha entendido que no puede considerarse como una interpretación y aplicación irrazonada e irrazonable del citado precepto legal la decisión de la Administración electoral de estimar como una alteración de la lista electoral determinante de su nulidad </w:t>
      </w:r>
      <w:r>
        <w:lastRenderedPageBreak/>
        <w:t>papeletas de voto en las que aparecen rayados los nombres de varios candidatos mediante diversas líneas cruzadas (STC 156/1991, de 15 de julio, FJ 2); la declaración de nulidad de votos emitidos en papeletas señaladas con un aspa al lado de los candidatos, que contengan frases escritas o que presenten interlineados y recuadros (STC 165/1991, de 19 de julio, FJ 3); o, en fin, la declaración de nulidad de papeletas garabateadas (STC 115/1995, de 10 de julio, FJ 5). Asimismo, pese a que la enumeración de supuestos de nulidad del art. 96.2 LOREG no es ad exemplum, sino tasada, ha estimado que está “implícito o sobreentendido en todos ellos, y también en el resto del articulado aplicable [de la LOREG], el que en las papeletas de voto deben figurar, como es obvio, candidatos proclamados en la circunscripción y que cuando así no sea el sufragio —en realidad inexistente— queda viciado total y absolutamente” (STC 167/1991, de 19 de julio, FJ 4). Finalmente, el Tribunal también ha declarado aplicables los supuestos de nulidad de los votos del art.  96.2 LOREG a los emitidos por correspondencia por los residentes ausentes que viven en el extranjero en elecciones locales (art. 190 LOREG) y, en consecuencia, ha estimado que resulta lesiva del derecho a acceder en condiciones de igualdad a los cargos públicos con los requisitos que señalen las leyes (art. 23.2 CE) la consideración como válidos y, por consiguiente, la no anulación de tres votos emitidos por residentes ausentes que viven en el extranjero sin acomodarse a las previsiones del art. 190 LOREG, ya que en las papeletas de voto, no sólo se incluían las siglas de la candidatura a la que se otorgaba el voto, sin, además, el nombre de un candidato que no era el cabeza de lista (STC 153/2003, de 17 de julio, FJ 10).</w:t>
      </w:r>
    </w:p>
    <w:p w:rsidR="00DE14C9" w:rsidRDefault="00DE14C9" w:rsidP="00DE14C9">
      <w:pPr>
        <w:pStyle w:val="TextoNormal"/>
      </w:pPr>
    </w:p>
    <w:p w:rsidR="00DE14C9" w:rsidRDefault="00DE14C9" w:rsidP="00DE14C9">
      <w:pPr>
        <w:pStyle w:val="TextoNormal"/>
      </w:pPr>
      <w:r w:rsidRPr="00DE14C9">
        <w:rPr>
          <w:rStyle w:val="NumeroAFNegritaCaracter"/>
        </w:rPr>
        <w:t>6</w:t>
      </w:r>
      <w:r>
        <w:t>. En el presente caso, en el que de nuevo se vuelve a plantear la interpretación conforme al texto constitucional del art. 96.2 LOREG, hemos de reiterar la precedente doctrina constitucional y, ante las numerosas dudas que está suscitando la aplicación e interpretación de aquel precepto y la diversidad de soluciones que vienen siendo adoptadas por la Administración electoral y los órganos jurisdiccionales a la hora de aplicar el criterio general anteriormente expuesto en el fundamento precedente, apartado c), insistir en la necesidad de preservar y exigir el principio de inalterabilidad de las listas electorales en los supuestos a los que se refiere el art. 96.2 LOREG con el rigor con el que ha sido configurado por el legislador en la redacción que ha dado a dicho precepto, que, como este Tribunal ha declarado en la STC 165/1991, de 19 de julio, pone de manifiesto la “finalidad de enfatizar la prohibición de señales o manipulaciones de cualquier tipo en las papeletas de voto, precisamente por su carácter de papeletas que incorporan listas bloqueadas y cerradas en las que no es menester indicación alguna al emitir el sufragio” (FJ 3). De modo que la existencia de cualesquiera modificaciones, adiciones, señales, marcas, tachaduras o cualquier otro tipo de alteración o determinación en las papeletas de voto ha de conducir a la aplicación de la declaración de nulidad prevista en el art. 96.2 LOREG.</w:t>
      </w:r>
    </w:p>
    <w:p w:rsidR="00DE14C9" w:rsidRDefault="00DE14C9" w:rsidP="00DE14C9">
      <w:pPr>
        <w:pStyle w:val="TextoNormal"/>
      </w:pPr>
      <w:r>
        <w:t xml:space="preserve">Es a la Administración electoral, en primer término, y, en caso de impugnarse su decisión, a los órganos jurisdiccionales a quienes corresponde la aplicación de los supuestos del art. 96.2 LOREG, la cual, como es obvio y no puede ser de otra forma, ha de razonarse y motivarse en cada supuesto atendiendo a las circunstancias que concurran en el mismo. En este sentido hemos asimismo de reiterar que la aplicación del citado precepto legal se configura normalmente y en principio como un juicio de estricta legalidad electoral, que puede ser revisado por este Tribunal si la interpretación seguida por el órgano judicial ordinario es arbitraria, irrazonada e irrazonable y además, cuando se aduzca en la demanda de amparo un derecho fundamental distinto al de la tutela judicial efectiva (art. 24.1 CE), por la posible vulneración de ese otro derecho fundamental invocado y, de manera específica, por el derecho fundamental de carácter sustantivo a acceder en condiciones de igualdad y conforme a </w:t>
      </w:r>
      <w:r>
        <w:lastRenderedPageBreak/>
        <w:t>lo dispuesto en las Leyes a determinado cargo público (art. 23.2 CE), pues el recurso de amparo ahora planteado está ante todo al servicio de la preservación y protección de tal derecho fundamental, y la determinación de si se ha respetado requiere también por nuestra parte una indagación de carácter sustantivo, que no se cumple, por tanto, con el simple reconocimiento de la razonable interpretación que puedan exhibir las resoluciones administrativas y judiciales impugnadas [SSTC 185/1999, de 11 de octubre, FJ 3; 135/2004, de 17 de julio, FJ 4 d)]. Desde la perspectiva constitucional que nos ocupa, más en concreto, desde el ámbito del art. 23 CE, es premisa insoslayable de la conformidad a la Constitución de cualquier interpretación del art.  96.2 LOREG que la interpretación en cuestión ha de efectuarse de tal modo que los contenidos, requisitos y límites que establece la Ley Orgánica del régimen electoral general no se vean enervados o alterados por aquella interpretación, pues si así fuera quedaría en manos del intérprete y no del legislador la fijación de los contornos del derecho de acceso a los cargos públicos en condiciones de igualdad (art. 23.2 CE; SSTC 74/1995, de 12 de mayo, FJ Único; 146/1999, de 27 de julio, FJ 2; 155/2003, de 17 de julio, FJ 4).</w:t>
      </w:r>
    </w:p>
    <w:p w:rsidR="00DE14C9" w:rsidRDefault="00DE14C9" w:rsidP="00DE14C9">
      <w:pPr>
        <w:pStyle w:val="TextoNormal"/>
      </w:pPr>
      <w:r>
        <w:t>Así hemos declarado en la STC 153/2003, de 17 de julio, que no resulta admisible desde la perspectiva de los derechos fundamentales reconocidos en el art. 23 CE la interpretación judicial que conduce a que se deban computar como votos válidos los emitidos en papeletas que, por incurrir en algunas de las incorrecciones recogidas en el art. 96.2 LOREG, deberían haber dado lugar a la declaración de su nulidad, cuando como consecuencia del cómputo de aquellos votos se altere el resultado final de la elección.  En sustento de esta afirmación, razonábamos que “el derecho de acceso a los cargos públicos es un derecho de mediación legal que encuentra su regulación fundamental en la Ley Orgánica 5/1985, de 19 de junio, del régimen electoral general, la cual articula, en palabras de su preámbulo, ‘el procedimiento de emanación de la voluntad mayoritaria del pueblo en las diversas instancias representativas en que se articula el Estado español’, y en tal sentido, desde la perspectiva del derecho de sufragio pasivo, es obligado integrar en este derecho la exigencia de que las normas electorales sean cumplidas en cuanto constituyen garantía del correcto desarrollo de la elección de modo que culmine con la proclamación de los candidatos que hayan sido preferidos por el cuerpo electoral (STC 71/1989, de 20 de abril, FJ 3)” (STC 153/2003, FJ 8).</w:t>
      </w:r>
    </w:p>
    <w:p w:rsidR="00DE14C9" w:rsidRDefault="00DE14C9" w:rsidP="00DE14C9">
      <w:pPr>
        <w:pStyle w:val="TextoNormal"/>
      </w:pPr>
      <w:r>
        <w:t>El rigor que ha de observarse, en los términos expuestos, en la exigencia del principio de inalterabilidad de las listas electorales plasmado, a los efectos que aquí y ahora interesan, en el art. 96.2 LOREG, en modo alguno puede suponer el desconocimiento de la vigencia en las distintas fases del proceso electoral de los principios de conservación de actos válidamente celebrados, de interpretación más favorable a la plenitud del derecho de sufragio y de conocimiento de la verdad material manifestada en las urnas por los electores. Ahora bien, la necesidad de cohonestar el principio de inalterabilidad de las listas electorales con los principios de conservación de actos válidamente celebrados, de interpretación más favorable a la plenitud del derecho de sufragio y de conocimiento de la verdad material manifestada en las urnas por los electores tampoco puede hacerse a costa del principio de inalterabilidad de las listas electorales con el rigor y la intensidad con el que ha sido configurado por el legislador en el art. 96.2 LOREG, de modo que, en un orden lógico, a aquellos principios debe preceder el respeto a la inalterabilidad de la candidatura en la emisión del sufragio.</w:t>
      </w:r>
    </w:p>
    <w:p w:rsidR="00DE14C9" w:rsidRDefault="00DE14C9" w:rsidP="00DE14C9">
      <w:pPr>
        <w:pStyle w:val="TextoNormal"/>
      </w:pPr>
    </w:p>
    <w:p w:rsidR="00DE14C9" w:rsidRDefault="00DE14C9" w:rsidP="00DE14C9">
      <w:pPr>
        <w:pStyle w:val="TextoNormal"/>
      </w:pPr>
      <w:r w:rsidRPr="00DE14C9">
        <w:rPr>
          <w:rStyle w:val="NumeroAFNegritaCaracter"/>
        </w:rPr>
        <w:t>7</w:t>
      </w:r>
      <w:r>
        <w:t xml:space="preserve">. En este caso las dos papeletas de voto en liza emitidas en el distrito 1, sección 36, mesa A, a favor de la candidatura presentada por el Partido Popular contienen, según resulta </w:t>
      </w:r>
      <w:r>
        <w:lastRenderedPageBreak/>
        <w:t>del expediente electoral y se ha dejado constancia en los antecedentes de esta Sentencia, una cruz o aspa al lado del candidato número 1 de la lista. Se trata, por tanto, de papeletas de voto en las que el elector, al ejercer su sufragio en las elecciones locales, con infracción del principio de inalterabilidad de las listas electorales establecido en el art. 96.2 LOREG, ha desatendido la prohibición de efectuar cualquier tipo de modificación, señal, manipulación, adición, marca, tachadura o cualquier otro clase de alteración o determinación en las papeletas de voto, al tratarse precisamente de papeletas que incorporan listas bloqueadas y cerradas en las que no es menester realizar indicación alguna al emitir el sufragio, por lo que, en aplicación del mencionado art. 96.2 LOREG, debió declararse la nulidad de las dos referidas papeletas de voto. El elector, al actuar del modo como lo ha hecho, contraviniendo aquella prohibición, se ha apartado por razones únicamente a él imputables de las precisas reglas que en la legislación electoral regulan el ejercicio del voto en las elecciones locales, meridianamente claras a la hora de determinar la forma en que ha de ejercerse el voto, que excluyen cualquier tipo de señal o manipulación en las papeletas.</w:t>
      </w:r>
    </w:p>
    <w:p w:rsidR="00DE14C9" w:rsidRDefault="00DE14C9" w:rsidP="00DE14C9">
      <w:pPr>
        <w:pStyle w:val="TextoNormal"/>
      </w:pPr>
      <w:r>
        <w:t>Sentado cuanto antecede, las resoluciones administrativa y judicial impugnadas al conceder validez a esas dos papeletas de voto que debieron considerarse nulas, no sólo han incurrido en una infracción de las previsiones del art. 96.2 LOREG, sino que, además, en este caso, en la medida en que aquella decisión incide de manera determinante en el resultado final de la elección, al privar de un puesto de concejal a la candidatura presentada por el partido político recurrente en amparo en beneficio de la candidatura presentada por el Partido Popular, resultan contrarias también al derecho a acceder en condiciones de igualdad a los cargos públicos con los requisitos que señalen las leyes (art. 23.2 CE), que, como hemos señalado, incorpora como contenido “la exigencia de que las normas electorales sean cumplidas en cuando constituyen garantía del correcto desarrollo de la elección de modo que culmine con la proclamación de los candidatos que han sido preferidos por el cuerpo electoral” (SSTC 71/1989, de 20 de abril, FJ 3; 153/2003, de 17 de julio, FJ 8), vulnerándose aquel derecho cuando, como acontece en este caso, demostrada la votación mayoritaria de un candidato respecto de otro, se hace la proclamación de este último en virtud de una argumentación que contradice abiertamente el sistema electoral y la Ley Orgánica que lo regula (STC 153/2003, de 17 de julio, FJ 10).</w:t>
      </w:r>
    </w:p>
    <w:p w:rsidR="00DE14C9" w:rsidRDefault="00DE14C9" w:rsidP="00DE14C9">
      <w:pPr>
        <w:pStyle w:val="TextoNormal"/>
      </w:pPr>
    </w:p>
    <w:p w:rsidR="00DE14C9" w:rsidRDefault="00DE14C9" w:rsidP="00DE14C9">
      <w:pPr>
        <w:pStyle w:val="TextoNormal"/>
      </w:pPr>
      <w:r w:rsidRPr="00DE14C9">
        <w:rPr>
          <w:rStyle w:val="NumeroAFNegritaCaracter"/>
        </w:rPr>
        <w:t>8</w:t>
      </w:r>
      <w:r>
        <w:t>. El restablecimiento del recurrente en amparo en la integridad del derecho vulnerado requiere, no sólo la declaración de nulidad de las dos papeletas de voto discutidas, sino también la anulación del Acuerdo de la Junta electoral de zona de Avilés, de 12 de junio de 2007, de proclamación de candidatos electos a concejales del Ayuntamiento de Avilés, en cuanto a la atribución del último puesto de concejal se refiere, así como la de la Sentencia núm. 2/2007, de 29 de junio, de la Sala de lo Contencioso-Administrativo del Tribunal Superior de Justicia de Asturias, recaída en el recurso contencioso-electoral núm. 886-2007, debiendo procederse por la Junta electoral de zona a una nueva proclamación del candidato electo correspondiente al último puesto de concejal a cubrir restando dos votos a los atribuidos a la candidatura del Partido Popular en aquel Acuerdo.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lastRenderedPageBreak/>
        <w:t>Ha decidido</w:t>
      </w:r>
    </w:p>
    <w:p w:rsidR="00DE14C9" w:rsidRDefault="00DE14C9" w:rsidP="00DE14C9">
      <w:pPr>
        <w:pStyle w:val="TextoNormalCentrado"/>
        <w:keepNext/>
      </w:pPr>
    </w:p>
    <w:p w:rsidR="00DE14C9" w:rsidRDefault="00DE14C9" w:rsidP="00DE14C9">
      <w:pPr>
        <w:pStyle w:val="TextoNormal"/>
      </w:pPr>
      <w:r>
        <w:t>Estimar la demanda de amparo interpuesta por el partido político Agrupación Social Independiente de Avilés (ASIA) y, en su virtud:</w:t>
      </w:r>
    </w:p>
    <w:p w:rsidR="00DE14C9" w:rsidRDefault="00DE14C9" w:rsidP="00DE14C9">
      <w:pPr>
        <w:pStyle w:val="TextoNormal"/>
      </w:pPr>
      <w:r>
        <w:t>1º Declarar que se ha vulnerado el derecho del recurrente a acceder a los cargos públicos en condiciones de igualdad con los requisitos que señalen las leyes (art. 23.2 CE).</w:t>
      </w:r>
    </w:p>
    <w:p w:rsidR="00DE14C9" w:rsidRDefault="00DE14C9" w:rsidP="00DE14C9">
      <w:pPr>
        <w:pStyle w:val="TextoNormal"/>
      </w:pPr>
      <w:r>
        <w:t>2º Restablecerlo en su derecho y, a tal fin:</w:t>
      </w:r>
    </w:p>
    <w:p w:rsidR="00DE14C9" w:rsidRDefault="00DE14C9" w:rsidP="00DE14C9">
      <w:pPr>
        <w:pStyle w:val="TextoNormal"/>
      </w:pPr>
      <w:r>
        <w:t>a) Declarar la nulidad de las dos papeletas de voto discutidas emitidas en el distrito 1, sección 36, mesa A, a favor de la candidatura presentada por el Partido Popular.</w:t>
      </w:r>
    </w:p>
    <w:p w:rsidR="00DE14C9" w:rsidRDefault="00DE14C9" w:rsidP="00DE14C9">
      <w:pPr>
        <w:pStyle w:val="TextoNormal"/>
      </w:pPr>
      <w:r>
        <w:t>b) Anular el Acuerdo de la Junta electoral de zona de Avilés, de 12 de junio de 2007, de proclamación de candidatos electos a concejales del Ayuntamiento de Avilés, en cuanto a la atribución del último puesto de concejal se refiere, así como la de la Sentencia núm. 2/2007, de 29 de junio, de la Sala de lo Contencioso-Administrativo del Tribunal Superior de Justicia de Asturias, debiendo procederse por la Junta electoral de zona a una nueva proclamación en los términos indicados en el fundamento jurídico 8 de esta Sentencia.</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dieciocho de julio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83" w:name="SENTENCIA_2007_170"/>
      <w:r>
        <w:lastRenderedPageBreak/>
        <w:t>SENTENCIA 170/2007, de 18 de julio de 2007</w:t>
      </w:r>
    </w:p>
    <w:bookmarkEnd w:id="83"/>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200, de 21 de agosto de 2007)</w:t>
      </w:r>
    </w:p>
    <w:p w:rsidR="00DE14C9" w:rsidRDefault="00DE14C9" w:rsidP="00DE14C9">
      <w:pPr>
        <w:pStyle w:val="TtuloBOE"/>
      </w:pPr>
    </w:p>
    <w:p w:rsidR="00DE14C9" w:rsidRDefault="00DE14C9" w:rsidP="00DE14C9">
      <w:pPr>
        <w:pStyle w:val="SntesisDescriptiva"/>
      </w:pPr>
      <w:r>
        <w:t>ECLI:ES:TC:2007:170</w:t>
      </w:r>
    </w:p>
    <w:p w:rsidR="00DE14C9" w:rsidRDefault="00DE14C9" w:rsidP="00DE14C9">
      <w:pPr>
        <w:pStyle w:val="SntesisDescriptiva"/>
      </w:pPr>
    </w:p>
    <w:p w:rsidR="00DE14C9" w:rsidRDefault="00DE14C9" w:rsidP="00DE14C9">
      <w:pPr>
        <w:pStyle w:val="SntesisDescriptiva"/>
      </w:pPr>
      <w:r>
        <w:t>Recurso de amparo electoral 5956-2007. Promovido por la coalición electoral BNV-Els Verds frente a la Sentencia de la Sala de lo Contencioso-Administrativo del Tribunal Superior de Justicia de la Comunidad Valenciana que desestimó su demanda sobre proclamación de candidatos electos a concejales del Ayuntamiento de Corbera.</w:t>
      </w:r>
    </w:p>
    <w:p w:rsidR="00DE14C9" w:rsidRDefault="00DE14C9" w:rsidP="00DE14C9">
      <w:pPr>
        <w:pStyle w:val="SntesisDescriptiva"/>
      </w:pPr>
    </w:p>
    <w:p w:rsidR="00DE14C9" w:rsidRDefault="00DE14C9" w:rsidP="00DE14C9">
      <w:pPr>
        <w:pStyle w:val="SntesisAnaltica"/>
      </w:pPr>
      <w:r>
        <w:t>Vulneración del derecho a acceder a los cargos representativos: STC 168/2007 (voto en elecciones locales mediante papeletas con alteraciones).</w:t>
      </w:r>
    </w:p>
    <w:p w:rsidR="00DE14C9" w:rsidRDefault="00DE14C9" w:rsidP="00DE14C9">
      <w:pPr>
        <w:pStyle w:val="SntesisAnaltica"/>
      </w:pPr>
    </w:p>
    <w:p w:rsidR="00DE14C9" w:rsidRDefault="00DE14C9" w:rsidP="00DE14C9">
      <w:pPr>
        <w:pStyle w:val="Extracto"/>
      </w:pPr>
      <w:r>
        <w:t>1.</w:t>
      </w:r>
      <w:r>
        <w:tab/>
        <w:t>Se vulnera el derecho a acceder en condiciones de igualdad a los cargos públicos con los requisitos que señalen las leyes cuando, demostrada la votación mayoritaria de un candidato respecto de otro, se hace la proclamación de este último en virtud de una argumentación que contradice abiertamente el sistema electoral y la Ley Orgánica que lo regula (SSTC 153/2003, 168/2007) [FJ 6].</w:t>
      </w:r>
    </w:p>
    <w:p w:rsidR="00DE14C9" w:rsidRDefault="00DE14C9" w:rsidP="00DE14C9">
      <w:pPr>
        <w:pStyle w:val="Extracto"/>
      </w:pPr>
    </w:p>
    <w:p w:rsidR="00DE14C9" w:rsidRDefault="00DE14C9" w:rsidP="00DE14C9">
      <w:pPr>
        <w:pStyle w:val="Extracto"/>
      </w:pPr>
      <w:r>
        <w:t>2.</w:t>
      </w:r>
      <w:r>
        <w:tab/>
        <w:t>El que en una papeleta de voto, que incorpora una lista bloqueada y cerrada en la que no es menester realizar indicación alguna al emitir el sufragio, aparezca trazada una línea oblicua sobre la mención del Partido que presentaba la candidatura vulnera la prohibición de efectuar cualquier tipo de modificación, alteración o determinación en la misma, por lo que procede declarar su nulidad [FJ 6].</w:t>
      </w:r>
    </w:p>
    <w:p w:rsidR="00DE14C9" w:rsidRDefault="00DE14C9" w:rsidP="00DE14C9">
      <w:pPr>
        <w:pStyle w:val="Extracto"/>
      </w:pPr>
    </w:p>
    <w:p w:rsidR="00DE14C9" w:rsidRDefault="00DE14C9" w:rsidP="00DE14C9">
      <w:pPr>
        <w:pStyle w:val="Extracto"/>
      </w:pPr>
      <w:r>
        <w:t>3.</w:t>
      </w:r>
      <w:r>
        <w:tab/>
        <w:t>La denunciada infracción de la legislación electoral afecta al resultado final de la elección, requisito para poder apreciar la existencia de una lesión real y efectiva del derecho de sufragio pasivo (SSTC 185/1999, 135/2004) [FJ 3].</w:t>
      </w:r>
    </w:p>
    <w:p w:rsidR="00DE14C9" w:rsidRDefault="00DE14C9" w:rsidP="00DE14C9">
      <w:pPr>
        <w:pStyle w:val="Extracto"/>
      </w:pPr>
    </w:p>
    <w:p w:rsidR="00DE14C9" w:rsidRDefault="00DE14C9" w:rsidP="00DE14C9">
      <w:pPr>
        <w:pStyle w:val="Extracto"/>
      </w:pPr>
      <w:r>
        <w:t>4.</w:t>
      </w:r>
      <w:r>
        <w:tab/>
        <w:t>La aplicación del art. 96.2 LOREG se configura normalmente como un juicio de estricta legalidad electoral que puede ser revisado por el Tribunal Constitucional si la interpretación seguida por el órgano judicial ordinario es arbitraria, irrazonada e irrazonable y, además, cuando se aduzca en la demanda de amparo la posible vulneración del derecho fundamental a acceder en condiciones de igualdad y conforme a lo dispuesto en las leyes a determinado cargo público (SSTC 185/1999, 135/2004) [FJ 5].</w:t>
      </w:r>
    </w:p>
    <w:p w:rsidR="00DE14C9" w:rsidRDefault="00DE14C9" w:rsidP="00DE14C9">
      <w:pPr>
        <w:pStyle w:val="Extracto"/>
      </w:pPr>
    </w:p>
    <w:p w:rsidR="00DE14C9" w:rsidRDefault="00DE14C9" w:rsidP="00DE14C9">
      <w:pPr>
        <w:pStyle w:val="Extracto"/>
      </w:pPr>
      <w:r>
        <w:t>5.</w:t>
      </w:r>
      <w:r>
        <w:tab/>
        <w:t>Cualquier interpretación del art. 96.2 LOREG ha de efectuarse de tal modo que los contenidos, requisitos y límites que establece la Ley Orgánica del régimen electoral general no se vean enervados o alterados por aquella interpretación, pues si así fuera quedaría en manos del intérprete y no del legislador la fijación de los contornos del derecho de acceso a los cargos públicos en condiciones de igualdad (SSTC 74/1995, 155/2003) [FJ 5].</w:t>
      </w:r>
    </w:p>
    <w:p w:rsidR="00DE14C9" w:rsidRDefault="00DE14C9" w:rsidP="00DE14C9">
      <w:pPr>
        <w:pStyle w:val="Extracto"/>
      </w:pPr>
    </w:p>
    <w:p w:rsidR="00DE14C9" w:rsidRDefault="00DE14C9" w:rsidP="00DE14C9">
      <w:pPr>
        <w:pStyle w:val="Extracto"/>
      </w:pPr>
      <w:r>
        <w:lastRenderedPageBreak/>
        <w:t>6.</w:t>
      </w:r>
      <w:r>
        <w:tab/>
        <w:t>Es obligado integrar en el derecho de sufragio pasivo la exigencia de que las normas electorales sean cumplidas en cuanto constituyen garantía del correcto desarrollo de la elección de modo que culmine con la proclamación de los candidatos que hayan sido preferidos por el cuerpo electoral (SSTC 71/1989, 153/2003) [FJ 5].</w:t>
      </w:r>
    </w:p>
    <w:p w:rsidR="00DE14C9" w:rsidRDefault="00DE14C9" w:rsidP="00DE14C9">
      <w:pPr>
        <w:pStyle w:val="Extracto"/>
      </w:pPr>
    </w:p>
    <w:p w:rsidR="00DE14C9" w:rsidRDefault="00DE14C9" w:rsidP="00DE14C9">
      <w:pPr>
        <w:pStyle w:val="Extracto"/>
      </w:pPr>
      <w:r>
        <w:t>7.</w:t>
      </w:r>
      <w:r>
        <w:tab/>
        <w:t>El principio de inalterabilidad de las listas electorales debe preceder a los principios de conservación de actos válidamente celebrados, de interpretación más favorable a la plenitud del derecho de sufragio y de conocimiento de la verdad material manifestada en las urnas por los electores [FJ 5].</w:t>
      </w:r>
    </w:p>
    <w:p w:rsidR="00DE14C9" w:rsidRDefault="00DE14C9" w:rsidP="00DE14C9">
      <w:pPr>
        <w:pStyle w:val="Extracto"/>
      </w:pPr>
    </w:p>
    <w:p w:rsidR="00DE14C9" w:rsidRDefault="00DE14C9" w:rsidP="00DE14C9">
      <w:pPr>
        <w:pStyle w:val="Extracto"/>
      </w:pPr>
      <w:r>
        <w:t>8.</w:t>
      </w:r>
      <w:r>
        <w:tab/>
        <w:t>Doctrina sobre las normas reguladoras del régimen de nulidad de votos y, más concretamente, sobre las específicas previsiones del art. 96 de la Ley Orgánica del régimen electoral general (SSTC 165/1991, 153/2003) [FJ 4].</w:t>
      </w:r>
    </w:p>
    <w:p w:rsidR="00DE14C9" w:rsidRDefault="00DE14C9" w:rsidP="00DE14C9">
      <w:pPr>
        <w:pStyle w:val="Extracto"/>
      </w:pPr>
    </w:p>
    <w:p w:rsidR="00DE14C9" w:rsidRDefault="00DE14C9" w:rsidP="00DE14C9">
      <w:pPr>
        <w:pStyle w:val="Extracto"/>
      </w:pPr>
      <w:r>
        <w:t>9.</w:t>
      </w:r>
      <w:r>
        <w:tab/>
        <w:t>El plazo para la interposición del recurso de amparo contra los Acuerdos de proclamación de electos y de elección y proclamación de los Presidentes de las corporaciones locales es de tres días desde la notificación de las Sentencias que resuelven los recursos contencioso-electorales [FJ 2].</w:t>
      </w:r>
    </w:p>
    <w:p w:rsidR="00DE14C9" w:rsidRDefault="00DE14C9" w:rsidP="00DE14C9">
      <w:pPr>
        <w:pStyle w:val="Extracto"/>
      </w:pPr>
    </w:p>
    <w:p w:rsidR="00DE14C9" w:rsidRDefault="00DE14C9" w:rsidP="00DE14C9">
      <w:pPr>
        <w:pStyle w:val="Extracto"/>
      </w:pPr>
      <w:r>
        <w:t>10.</w:t>
      </w:r>
      <w:r>
        <w:tab/>
        <w:t>Procede declarar la nulidad de la papeleta de voto discutida, del Acuerdo de la Junta electoral de proclamación de candidatos electos a concejales, en cuanto a la atribución del último puesto de concejal, así como de la Sentencia recaída en los recursos contencioso-electorales, debiendo procederse por la Junta electoral de zona a una nueva proclamación del candidato electo correspondiente al último puesto de concejal a cubrir [FJ 7].</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 xml:space="preserve">En el recurso de amparo electoral núm. 5956-2007, promovido por la coalición electoral Bloc Nacionalista Valencià – El Verds Esquerra Ecologista del País Valencià, en cuyo nombre actúa la Procuradora doña Victoria Pérez-Mulet Díez-Picazo, y que se encuentra asistida por el Letrado don J. Luis Ferrando Calatayud, contra la Sentencia de la Sala de lo Contencioso-Administrativo (Sección Primera) del Tribunal Superior de Justicia de la Comunidad Valenciana de 29 de junio de 2007, por la que se confirma la proclamación de candidatos electos al Ayuntamiento de Corbera (Valencia) realizada por la Junta electoral de zona de </w:t>
      </w:r>
      <w:r>
        <w:lastRenderedPageBreak/>
        <w:t>Alcira el 30 de mayo de 2007. Han comparecido y formulado alegaciones el Partido Socialista Obrero Español y el Partido Popular, representados por las Procuradoras de los Tribunales doña Virginia Aragón Segura y doña Soledad Valles Rodríguez, y asistidos por los Letrados don Manuel Mata Gómez y don José Antonio Pérez Vercher, respectivamente. Ha intervenido igualmente el Ministerio Fiscal. Ha sido Ponente el Magistrado don Pascual Sala Sánchez,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este Tribunal el 2 de julio de 2007 doña Victoria Pérez-Mulet Díez-Picazo, Procuradora de los Tribunales y de la coalición electoral Bloc Nacionalista Valencià – El Verds Esquerra Ecologista del País Valencià (BNV-El Verds, en adelante), formula demanda de amparo constitucional contra las resoluciones administrativa y judicial de las que se hace mérito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Sucintamente expuestos, son hechos relevantes para la resolución del caso los que a continuación se relatan: </w:t>
      </w:r>
    </w:p>
    <w:p w:rsidR="00DE14C9" w:rsidRDefault="00DE14C9" w:rsidP="00DE14C9">
      <w:pPr>
        <w:pStyle w:val="TextoNormal"/>
      </w:pPr>
      <w:r>
        <w:t xml:space="preserve">a) En la fecha de las elecciones, el 27 de mayo, al realizar el recuento de votos en la mesa 1-lB de Corbera, los apoderados del BNV-Els Verds y del Partido Socialista Obrero Español (PSOE, en adelante) hacen constar que consideran nula una papeleta de votación, favorable al Partido Popular (PP, a partir de ahora). En la papeleta cuya validez se cuestiona se ha introducido una línea oblicua y ascendente de izquierda a derecha. La misma une el nombre de pila del primer candidato (Leopoldo Hernán Tornero, arrancando, concretamente, por encima de la “d”) al ángulo inferior izquierda del anagrama del Partido Político (PP), situado en el extremo derecho. Dicho trazo afecta a tres de las cuatro líneas existentes en la papeleta, en la que puede leerse: “Doy mi voto a la candidatura presentada por (primera línea): El meu vot és per a la candidatura presentada per: (segunda línea) PARTIDO POPULAR (tercera línea) (PP) (cuarta línea)”. Pues bien, la línea descrita se sitúa por encima de las letras “a p” (candidatura presentada), de la primera línea, de “da” (de candidatura), de la segunda y de “DO” (de PARTIDO), de la tercera. </w:t>
      </w:r>
    </w:p>
    <w:p w:rsidR="00DE14C9" w:rsidRDefault="00DE14C9" w:rsidP="00DE14C9">
      <w:pPr>
        <w:pStyle w:val="TextoNormal"/>
      </w:pPr>
      <w:r>
        <w:t xml:space="preserve">El apoderado del PP se opone a la pretensión mostrada por los representantes del PSOE y del BNV-El Verds, resolviendo finalmente la mesa considerar válida la papeleta, al entender que la misma no contiene tachadura ni de alguno de los candidatos ni de la formación política que respalda la candidatura. </w:t>
      </w:r>
    </w:p>
    <w:p w:rsidR="00DE14C9" w:rsidRDefault="00DE14C9" w:rsidP="00DE14C9">
      <w:pPr>
        <w:pStyle w:val="TextoNormal"/>
      </w:pPr>
      <w:r>
        <w:t xml:space="preserve">b) En el acta de la sesión de escrutinio de la Junta electoral de zona de Alcira, celebrada el día 30 de mayo de 2007, se reflejan idénticas protestas, manteniendo la Junta la validez de la papeleta cuestionada. </w:t>
      </w:r>
    </w:p>
    <w:p w:rsidR="00DE14C9" w:rsidRDefault="00DE14C9" w:rsidP="00DE14C9">
      <w:pPr>
        <w:pStyle w:val="TextoNormal"/>
      </w:pPr>
      <w:r>
        <w:t xml:space="preserve">Tanto el BNV-Els Verds como el PSOE realizan sendas reclamaciones ante la Junta electoral de zona de Alcira, interesando que se declare la nulidad de la papeleta, lo que permitiría alcanzar al BNV-Els Verds un concejal electo más, en detrimento de los obtenidos por el PP. La Junta desestima en su sesión celebrada el 1 de junio de 2007 dichas reclamaciones, considerando que, conforme al Acuerdo de la Junta electoral central de 2 de junio de 1995, sus facultades son las que se ejercen durante la sesión de escrutinio, sin que pueda declarar posteriormente la nulidad de un voto en su momento aceptado como válido. </w:t>
      </w:r>
    </w:p>
    <w:p w:rsidR="00DE14C9" w:rsidRDefault="00DE14C9" w:rsidP="00DE14C9">
      <w:pPr>
        <w:pStyle w:val="TextoNormal"/>
      </w:pPr>
      <w:r>
        <w:lastRenderedPageBreak/>
        <w:t xml:space="preserve">c) El BNV-El Verds y el PSOE interponen recurso electoral ante la Junta electoral central, que es desestimado por Acuerdo de 7 de junio de 2007, que confirma que la proclamación de electos en el Ayuntamiento de Cobera debe ajustarse al resultado del escrutinio general realizado en su día por la Junta electoral de zona de Alcira. </w:t>
      </w:r>
    </w:p>
    <w:p w:rsidR="00DE14C9" w:rsidRDefault="00DE14C9" w:rsidP="00DE14C9">
      <w:pPr>
        <w:pStyle w:val="TextoNormal"/>
      </w:pPr>
      <w:r>
        <w:t xml:space="preserve">La Junta electoral central entiende que no es posible afirmar que una simple raya en diagonal sea una tachadura y recuerda que “esta Junta tiene reiteradamente indicado que la declaración de nulidad es un recurso aplicable sólo y exclusivamente a aquellos supuestos en que la efectiva voluntad del elector ofrezca dudas, es decir, cuando no aparezca clara la voluntad del votante”, lo que considera que no ha sido el caso. </w:t>
      </w:r>
    </w:p>
    <w:p w:rsidR="00DE14C9" w:rsidRDefault="00DE14C9" w:rsidP="00DE14C9">
      <w:pPr>
        <w:pStyle w:val="TextoNormal"/>
      </w:pPr>
      <w:r>
        <w:t xml:space="preserve">d) Contra el Acuerdo de proclamación de candidatos electos realizado conforme a la resolución de la Junta electoral central, ambos partidos, PSOE y BNV-Els Verds, interponen recurso contencioso-electoral ante el Tribunal Superior de Justicia de la Comunidad Valenciana, solicitando que se proceda a anular la proclamación efectuada, revocando la decisión adoptada por la Junta electoral de zona de Alcira y confirmada por la Junta electoral central, respecto del voto indicado, y por tanto se declare nulo, con modificación de la proclamación de electos, anulando la proclamación del sexto candidato del PP, don José Luis Pastor Peral, y en su lugar se proclame electo al tercero del BNV-Els verds, don Sergi Cortes i Caballer. </w:t>
      </w:r>
    </w:p>
    <w:p w:rsidR="00DE14C9" w:rsidRDefault="00DE14C9" w:rsidP="00DE14C9">
      <w:pPr>
        <w:pStyle w:val="TextoNormal"/>
      </w:pPr>
      <w:r>
        <w:t xml:space="preserve">Dicho recurso es admitido a trámite, quedando registrado con el núm. 401-2007 de los de su clase, correspondiendo su conocimiento a la Sección Primera de la Sala de lo Contencioso-Administrativo del Tribunal Superior de Justicia de Valencia, que, en fecha 29 de junio de 2007, dicta Sentencia por la que desestima los recursos formalizados, declarando la validez de la proclamación de electos formulada por la Junta electoral de zona de Alcira. </w:t>
      </w:r>
    </w:p>
    <w:p w:rsidR="00DE14C9" w:rsidRDefault="00DE14C9" w:rsidP="00DE14C9">
      <w:pPr>
        <w:pStyle w:val="TextoNormal"/>
      </w:pPr>
      <w:r>
        <w:t>La Sala recuerda que, en casos como los planteados, deben darse por válidas aquéllas papeletas que no ofrezcan dudas respecto de la voluntad del elector, y proceder a la anulación exclusivamente de aquéllas que hagan dudar de la verdadera intención del votante [SSTC 21/1990 y 157/1991 (sic, está aludiendo a la STC 156/1991)]. La aplicación de estos criterios lleva al Tribunal a desestimar el recurso interpuesto por la coalición electoral recurrente en amparo, ya que (a) del “hecho de que sobre la mención del Partido que presentaba la candidatura aparezca trazada una línea oblicua no es suficiente para descartar que la voluntad del elector era emitir su voto en favor de aquélla pues el trazado de dicha línea, en cuanto no supone tachadura o supresión de la mención del referido Partido, no lleva a concluir indefectiblemente que el sentido del voto del elector era contrario a la mencionada candidatura”. Además, (b) “tal conclusión aparece reforzada por la circunstancia de que el resto de la papeleta no fuese objeto de otra alteración y, particularmente, de alguna de las expresamente previstas en el art. 96.2 LOREG (‘serán, también nulos los votos emitidos en papeletas en las que se hubiera modificado, añadido, señalado o tachado nombres de los candidatos comprendidos en ella o alterado su orden de colocación’) lo que, en todo caso, es demostrativo —en cuanto habría bastado con realizar alguna de las citadas alteraciones para excluir su validez— de que la voluntad del elector era emitir su voto a favor de los candidatos del Partido Popular y, en definitiva, de la candidatura en que estos se integraban” (FD 3).</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Según indica la formación política demandante en el escrito de demanda, el objeto del presente recurso de amparo, en el que se denuncia la vulneración de los derechos fundamentales a la igualdad (art. 14 CE) y al acceso en condiciones de igualdad a los cargos públicos (art. 23.2 CE), trae causa de conferir validez a una papeleta alterada (y que, por ello, debería ser considerada nula). Tal decisión altera el reparto de escaños en las elecciones </w:t>
      </w:r>
      <w:r>
        <w:lastRenderedPageBreak/>
        <w:t xml:space="preserve">municipales de Corbera, correspondiéndole a la coalición electoral un escaño más, por lo que entiende que la demanda presenta igualmente transcendencia constitucional. </w:t>
      </w:r>
    </w:p>
    <w:p w:rsidR="00DE14C9" w:rsidRDefault="00DE14C9" w:rsidP="00DE14C9">
      <w:pPr>
        <w:pStyle w:val="TextoNormal"/>
      </w:pPr>
      <w:r>
        <w:t xml:space="preserve">Tras recordar que en el caso que nos ocupa aparece tachada la leyenda “doy mi voto a la candidatura presentada por: Partido Popular”, la coalición electoral recurrente sostiene que debe declararse la nulidad del voto electoral emitido. Tal consecuencia debe producirse desde el momento “en el cual la intencionalidad del elector no resulta inequívoca, por cuanto que se puede interpretar que” “estaría de acuerdo con las personas presentadas, pero no con la ideología o la organización política bajo el amparo de la cual se presentan; es decir nos encontramos ante una alteración voluntaria y deliberada del elector que, ha querido convertir en nulo su voto, por la sigla bajo la que se presentaba la lista de candidatos”. </w:t>
      </w:r>
    </w:p>
    <w:p w:rsidR="00DE14C9" w:rsidRDefault="00DE14C9" w:rsidP="00DE14C9">
      <w:pPr>
        <w:pStyle w:val="TextoNormal"/>
      </w:pPr>
      <w:r>
        <w:t>La coalición electoral BNV–El Verds interesa que este Tribunal le reconozca su derecho a acceder en condiciones de igualdad a cargos y funciones públicas (arts. 14 y 23.2 CE), anule la proclamación de electos de la localidad de Corbera realizada por la Junta electoral de zona de Alcira y la Sentencia 655/2007 de la Sección Primera de la Sala de lo Contencioso-Administrativo del Tribunal Superior de Justicia de la Comunidad Valenciana dictada en recurso 401-2007, ordenando a ésta dictar una nueva Sentencia que se ajuste a los pedimentos en su día realizados.</w:t>
      </w:r>
    </w:p>
    <w:p w:rsidR="00DE14C9" w:rsidRDefault="00DE14C9" w:rsidP="00DE14C9">
      <w:pPr>
        <w:pStyle w:val="TextoNormal"/>
      </w:pPr>
    </w:p>
    <w:p w:rsidR="00DE14C9" w:rsidRDefault="00DE14C9" w:rsidP="00DE14C9">
      <w:pPr>
        <w:pStyle w:val="TextoNormal"/>
      </w:pPr>
      <w:r w:rsidRPr="00DE14C9">
        <w:rPr>
          <w:rStyle w:val="NumeroAFNegritaCaracter"/>
        </w:rPr>
        <w:t>4</w:t>
      </w:r>
      <w:r>
        <w:t>. Mediante diligencia de ordenación de 3 de julio de 2007 se tiene por recibido el actual recurso de amparo, siempre que, en el plazo de día, comparezca la parte recurrente por medio de Procurador del Colegio de Madrid, con poder al efecto (art. 81.1 LOTC), o bien otorgue representación mediante comparecencia apud acta ante el Secretario de la Sala. Dicho requerimiento fue atendido un día más tarde.</w:t>
      </w:r>
    </w:p>
    <w:p w:rsidR="00DE14C9" w:rsidRDefault="00DE14C9" w:rsidP="00DE14C9">
      <w:pPr>
        <w:pStyle w:val="TextoNormal"/>
      </w:pPr>
    </w:p>
    <w:p w:rsidR="00DE14C9" w:rsidRDefault="00DE14C9" w:rsidP="00DE14C9">
      <w:pPr>
        <w:pStyle w:val="TextoNormal"/>
      </w:pPr>
      <w:r w:rsidRPr="00DE14C9">
        <w:rPr>
          <w:rStyle w:val="NumeroAFNegritaCaracter"/>
        </w:rPr>
        <w:t>5</w:t>
      </w:r>
      <w:r>
        <w:t>. Por providencia de 4 de julio de 2007 esta Sala acuerda tener por presentado el actual recurso de amparo, de conformidad con lo previsto en el art. 50.1 LOTC, por no apreciar que la demanda incumpla lo dispuesto en los arts. 41 a 46 y 49 de la misma Ley y por estimar que la especial trascendencia de su contenido justifica una decisión sobre el fondo por parte del Tribunal Constitucional. Asimismo acuerda recabar el expediente electoral y las actuaciones judiciales de las que trae causa el presente recurso de la Sección Primera de la Sala de lo Contencioso-Administrativo del Tribunal Superior de Justicia de la Comunidad Valenciana, así como certificación acreditativa de la fecha de notificación de la Sentencia impugnada en amparo, previo emplazamiento a las partes, excepto el recurrente, para que, en el plazo de tres días, puedan personarse ante este Tribunal mediante Procurador de Madrid con poder al efecto y asistidos de Abogado, formulando las alegaciones que estimen pertinentes. Se da igualmente traslado de la demanda al Ministerio Fiscal para que en el plazo de cinco días pueda efectuar las alegaciones procedentes. Finalmente acuerda desglosar el poder aportado por la Procuradora doña María Victoria Pérez-Mulet y Díez-Picazo dejando en autos copia autorizada. Las actuaciones solicitadas al Tribunal Superior de Justicia de la Comunidad Valenciana fueron recibidas en este Tribunal el 10 de julio de 2007.</w:t>
      </w:r>
    </w:p>
    <w:p w:rsidR="00DE14C9" w:rsidRDefault="00DE14C9" w:rsidP="00DE14C9">
      <w:pPr>
        <w:pStyle w:val="TextoNormal"/>
      </w:pPr>
    </w:p>
    <w:p w:rsidR="00DE14C9" w:rsidRDefault="00DE14C9" w:rsidP="00DE14C9">
      <w:pPr>
        <w:pStyle w:val="TextoNormal"/>
      </w:pPr>
      <w:r w:rsidRPr="00DE14C9">
        <w:rPr>
          <w:rStyle w:val="NumeroAFNegritaCaracter"/>
        </w:rPr>
        <w:t>6</w:t>
      </w:r>
      <w:r>
        <w:t xml:space="preserve">. El día 9 de julio de 2007 tiene su entrada el escrito presentado por la Procuradora de los Tribunales doña Virginia Aragón Segura, en nombre y representación del Partido Socialista Obrero Español, asistido por el Letrado don Manuel Mata Gómez. En esa misma fecha se recibe igualmente en esta sede el escrito formulado por la Procuradora de los Tribunales y del Partido Popular, doña Soledad Valles Rodríguez, que ha sido redactado por el Letrado don José Antonio Pérez Vercher. </w:t>
      </w:r>
    </w:p>
    <w:p w:rsidR="00DE14C9" w:rsidRDefault="00DE14C9" w:rsidP="00DE14C9">
      <w:pPr>
        <w:pStyle w:val="TextoNormal"/>
      </w:pPr>
      <w:r>
        <w:lastRenderedPageBreak/>
        <w:t>El Secretario de Justicia de la Sección Tercera dicta una diligencia de ordenación el 12 de julio de 2007 en la que confiere un día de plazo para que las Procuradoras que representan al PSOE y al PP aporten copia de las escrituras de poder original acreditativas de las respectivas representaciones que dicen ostentar. Las deficiencias indicadas son subsanadas los días 13 y 12 de julio, respectivamente.</w:t>
      </w:r>
    </w:p>
    <w:p w:rsidR="00DE14C9" w:rsidRDefault="00DE14C9" w:rsidP="00DE14C9">
      <w:pPr>
        <w:pStyle w:val="TextoNormal"/>
      </w:pPr>
    </w:p>
    <w:p w:rsidR="00DE14C9" w:rsidRDefault="00DE14C9" w:rsidP="00DE14C9">
      <w:pPr>
        <w:pStyle w:val="TextoNormal"/>
      </w:pPr>
      <w:r w:rsidRPr="00DE14C9">
        <w:rPr>
          <w:rStyle w:val="NumeroAFNegritaCaracter"/>
        </w:rPr>
        <w:t>7</w:t>
      </w:r>
      <w:r>
        <w:t>. El Partido Socialista Obrero Español ofrece su íntegra adhesión al recurso de amparo formulado en su día por el Bloc Nacionalista Valencià – Els Verdes Esquerra Ecologista del País Valencià.</w:t>
      </w:r>
    </w:p>
    <w:p w:rsidR="00DE14C9" w:rsidRDefault="00DE14C9" w:rsidP="00DE14C9">
      <w:pPr>
        <w:pStyle w:val="TextoNormal"/>
      </w:pPr>
    </w:p>
    <w:p w:rsidR="00DE14C9" w:rsidRDefault="00DE14C9" w:rsidP="00DE14C9">
      <w:pPr>
        <w:pStyle w:val="TextoNormal"/>
      </w:pPr>
      <w:r w:rsidRPr="00DE14C9">
        <w:rPr>
          <w:rStyle w:val="NumeroAFNegritaCaracter"/>
        </w:rPr>
        <w:t>8</w:t>
      </w:r>
      <w:r>
        <w:t xml:space="preserve">. En el escrito de alegaciones presentado por el Partido Popular se interesa que este Tribunal desestime el recurso de amparo interpuesto de contrario, confirmando la validez de la papeleta cuestionada por los representantes electorales de Bloc-Verdes, en línea con lo razonado por la mesa, la Junta electoral de zona, la Junta electoral central y el Tribunal Superior de Justicia de la Comunidad Valenciana, manteniendo la proclamación de electos realizada por la Junta electoral de zona de Alcira respecto del municipio de Corbera. </w:t>
      </w:r>
    </w:p>
    <w:p w:rsidR="00DE14C9" w:rsidRDefault="00DE14C9" w:rsidP="00DE14C9">
      <w:pPr>
        <w:pStyle w:val="TextoNormal"/>
      </w:pPr>
      <w:r>
        <w:t xml:space="preserve">La formación política recuerda que el trazo detectado en la papeleta, ni excluye a ninguno de los candidatos, ni afecta a las siglas o al nombre del Partido Popular, encontrándose su mayor presencia en el espacio en blanco que se sitúa entre el nombre del primer candidato y las siglas del partido político, a través del que se está reafirmando el deseo del elector de otorgar su respaldo a la candidatura presentada por dicha formación política. Hay una línea que está escrita, pero no se aprecia ningún empeño en tachar ni el nombre de la formación política ni a ninguno de los miembros de la candidatura. </w:t>
      </w:r>
    </w:p>
    <w:p w:rsidR="00DE14C9" w:rsidRDefault="00DE14C9" w:rsidP="00DE14C9">
      <w:pPr>
        <w:pStyle w:val="TextoNormal"/>
      </w:pPr>
      <w:r>
        <w:t xml:space="preserve">En relación con lo acaecido en el escrutinio de la mesa 1-1B de Corbera el Partido Popular afirma que el debate sobre la validez de la papeleta se produjo de forma extemporánea, al conocer los apoderados del BNV-Els Verds que se había producido un empate en la adjudicación del último electoral, por lo que se fuerza una nueva discusión, en la que el apoderado del PSOE cambia de opinión y se adhiere a las posiciones mantenidas por aquéllos. </w:t>
      </w:r>
    </w:p>
    <w:p w:rsidR="00DE14C9" w:rsidRDefault="00DE14C9" w:rsidP="00DE14C9">
      <w:pPr>
        <w:pStyle w:val="TextoNormal"/>
      </w:pPr>
      <w:r>
        <w:t xml:space="preserve">Por otra parte la plena validez de la papeleta se deriva tanto de las resoluciones de la Junta electoral central (entre las que destaca la de 8 de junio de 2007) y del propio Tribunal Constitucional (STC 156/1991, de 15 de julio), entre otras instancias (cfr. Sentencias de los Tribunales Superiores de Justicia de Castilla y León, con sede en Valladolid, de 20 de julio de 1999 o de Baleares, de 16 de julio de 1999). Todas estas resoluciones, así como las SSTC 115/1995, de 10 de julio, y 153/2003, de 17 de julio, interpretadas sensu contrario (en esos casos se trataban de una papeleta que contenía un garabato y de otra en la que ha incluido el nombre de un elector, respectivamente), permite entender que el supuesto ahora contemplado es bien distinto, ya que nos encontramos en presencia de una alteración menor y que no hace sino confirmar el deseo del elector de respaldar, con su voto, a una determinada formación política. Tampoco se han introducido, como ocurre en el supuesto ventilado a través de la Sentencia del Tribunal Superior de Justicia de la Comunidad Valenciana de 1 de julio de 2003 (recurso contencioso-electoral 954-2003) unas marcas a determinados candidatos de los contenidos en la papeleta. </w:t>
      </w:r>
    </w:p>
    <w:p w:rsidR="00DE14C9" w:rsidRDefault="00DE14C9" w:rsidP="00DE14C9">
      <w:pPr>
        <w:pStyle w:val="TextoNormal"/>
      </w:pPr>
      <w:r>
        <w:t xml:space="preserve">Especial trascendencia alcanza la posición mantenida por la Junta electoral central en esta materia, partidaria de limitar la declaración de nulidad sólo y exclusivamente “a aquellos supuestos en que la efectiva voluntad del elector ofrezca dudas”. Y éste es el criterio manejado igualmente por el Tribunal Superior de Justicia de la Comunidad Valenciana, que se apoya igualmente en la jurisprudencia dictada por el propio Tribunal Constitucional. </w:t>
      </w:r>
    </w:p>
    <w:p w:rsidR="00DE14C9" w:rsidRDefault="00DE14C9" w:rsidP="00DE14C9">
      <w:pPr>
        <w:pStyle w:val="TextoNormal"/>
      </w:pPr>
      <w:r>
        <w:lastRenderedPageBreak/>
        <w:t>Finalmente el Partido Popular entiende que la demanda de amparo interpuesta por el Bloc Nacionalista es extemporánea, puesto que, habiendo sido notificada la Sentencia del Tribunal Superior de Justicia de la Comunidad Valenciana el 29 de junio de 2007, debió haber sido presentada la demanda, a más tardar, el día 1 de julio, y no un día más tarde, como así ocurrió, puesto que se ha superado el plazo de dos días conferido por el art. 2 del Acuerdo del Pleno del Tribunal Constitucional de 20 de enero de 2000, por el que se aprueban normas sobre tramitación del recurso de amparo a que se refiere el art. 114.2 LOREG.</w:t>
      </w:r>
    </w:p>
    <w:p w:rsidR="00DE14C9" w:rsidRDefault="00DE14C9" w:rsidP="00DE14C9">
      <w:pPr>
        <w:pStyle w:val="TextoNormal"/>
      </w:pPr>
    </w:p>
    <w:p w:rsidR="00DE14C9" w:rsidRDefault="00DE14C9" w:rsidP="00DE14C9">
      <w:pPr>
        <w:pStyle w:val="TextoNormal"/>
      </w:pPr>
      <w:r w:rsidRPr="00DE14C9">
        <w:rPr>
          <w:rStyle w:val="NumeroAFNegritaCaracter"/>
        </w:rPr>
        <w:t>9</w:t>
      </w:r>
      <w:r>
        <w:t xml:space="preserve">. El Fiscal evacúa su escrito de alegaciones el 13 de julio de 2007, interesando que este Tribunal acuerde la estimación del amparo solicitado, declarando la vulneración del derecho de acceso a los cargos públicos electivos del art. 23.2 CE, declare la nulidad del voto controvertido y anule el escrutinio del municipio de Corbera. </w:t>
      </w:r>
    </w:p>
    <w:p w:rsidR="00DE14C9" w:rsidRDefault="00DE14C9" w:rsidP="00DE14C9">
      <w:pPr>
        <w:pStyle w:val="TextoNormal"/>
      </w:pPr>
      <w:r>
        <w:t xml:space="preserve">El Fiscal entiende que la demanda de amparo afecta directamente al derecho fundamental del candidato tercero de la coalición electoral recurrente, así como al sexto de la candidatura presentada por el PP, dependiendo de que se conceda o no validez a la papeleta alterada. Para pronunciarse sobre tal cuestión es preciso recordar que la doctrina constitucional “se ha mostrado proclive a observar y respetar la voluntad popular manifestada a través del ejercicio del derecho de sufragio, tanto activo como pasivo, a través de la tesis de que, ante todo, el análisis ha de ir encaminado a la búsqueda de la verdad material en el proceso electoral, localizada en casos como el que ahora se suscitan en la determinación de cuál fue la voluntad del elector que depositó” la papeleta cuya validez ahora se cuestiona. </w:t>
      </w:r>
    </w:p>
    <w:p w:rsidR="00DE14C9" w:rsidRDefault="00DE14C9" w:rsidP="00DE14C9">
      <w:pPr>
        <w:pStyle w:val="TextoNormal"/>
      </w:pPr>
      <w:r>
        <w:t xml:space="preserve">Pues bien, el art. 96.2 LOREG establece que “serán también nulos los votos emitidos en papeletas en las que se hubiera modificado, añadido, señalado o tachado nombres de los candidatos comprendidos en ellas o alterado su orden de colocación, así como aquellas en las que se hubiera producido cualquier tipo de alteración”. El rigor del precepto trascrito se pone de manifiesto, a juicio del Fiscal, por el aserto final empleado, que alude a “cualquier tipo de alteración”, si bien es cierto que el mismo ha sido matizado, en su alcance, en virtud del principio de búsqueda y primacía de la verdad material manifestada en las urnas (“puesto que, a través del proceso electoral, se manifiesta la voluntad popular, fundamento mismo del principio democrático que informa la Constitución” —“entre otras, SSTC 157/1991, de 15 de julio, FJ 4, 87/1999, de 25 de mayo, FJ 3, y 155/2003, FJ 7”), principio que guía la actuación judicial y ha anidado también en la interpretación de la Junta electoral central (como acreditan los Acuerdos de 10 y 22 de junio de 1999, 7 de junio y 5 de mayo de 1995, entre otros). </w:t>
      </w:r>
    </w:p>
    <w:p w:rsidR="00DE14C9" w:rsidRDefault="00DE14C9" w:rsidP="00DE14C9">
      <w:pPr>
        <w:pStyle w:val="TextoNormal"/>
      </w:pPr>
      <w:r>
        <w:t xml:space="preserve">El Fiscal recuerda que este Tribunal se ha ocupado del principio de inalterabilidad de la lista electoral en diversas ocasiones, considerando que no vulnera ningún derecho fundamental el que se declare la nulidad de una papeleta electoral que ha sido alterada: SSTC 165/1991 y 115/1995. En la última Sentencia citada este Tribunal ha recordado que el tenor empleado en el art. 96.2 LOREG es mucho más riguroso que el contenido anteriormente en el art. 64.2 b) del Real Decreto-ley 20/1977, de 18 de marzo, sobre normas electorales. Por otra parte, hasta este momento el Tribunal se ha limitado a confirmar la regularidad de resoluciones judiciales que acordaron la nulidad de papeletas que contenían aspas al lado de candidatos, frases escritas o que presentaban interlineados y recuadros (STC 165/1991, FFJJ 3, 4 y 7), garabatos (STC 115/1995, FJ 5) o en las que aparecía subrayado y marcado con un aspa el nombre del cabeza de lista (STC 155/2003). </w:t>
      </w:r>
    </w:p>
    <w:p w:rsidR="00DE14C9" w:rsidRDefault="00DE14C9" w:rsidP="00DE14C9">
      <w:pPr>
        <w:pStyle w:val="TextoNormal"/>
      </w:pPr>
      <w:r>
        <w:t xml:space="preserve">A la vista de estos datos el Ministerio Fiscal afirma que puede sintetizarse la doctrina constitucional partiendo de una “regla general, de formulación legal, que supone que toda alteración provoca la nulidad del voto. Como toda regla general, admite alguna excepción, </w:t>
      </w:r>
      <w:r>
        <w:lastRenderedPageBreak/>
        <w:t xml:space="preserve">concretamente, con la finalidad de preservar el derecho a votar, si la voluntad del ciudadano es incuestionable, y a favor de entregar su sufragio a los candidatos de la lista, deberá acordarse la validez del voto. Corresponde a los órganos electorales, administrativos y jurisdiccionales, el examen de la legalidad del voto, que supone analizar si la voluntad del votante se desprende de forma indubitada o no, limitándose el control constitucional al llamado aspecto externo de la resolución, es decir, a comprobar que está motivada de forma no arbitraria o manifiestamente errónea”. </w:t>
      </w:r>
    </w:p>
    <w:p w:rsidR="00DE14C9" w:rsidRDefault="00DE14C9" w:rsidP="00DE14C9">
      <w:pPr>
        <w:pStyle w:val="TextoNormal"/>
      </w:pPr>
      <w:r>
        <w:t xml:space="preserve">La aplicación de esta doctrina al supuesto de hecho planteado en el presente proceso constitucional debe conducir, a juicio del Fiscal, a la estimación del amparo solicitado. Como la coalición electoral recurrente sostiene existe una contradicción interna en la argumentación contenida en la Sentencia de la Sala de lo Contencioso-Administrativo (Sección Primera) del Tribunal Superior de Justicia de la Comunidad Valenciana de 29 de junio de 2007, ya que, en el supuesto de que exista una mínima duda acerca de la voluntad del elector, debería haberse anulado la papeleta. </w:t>
      </w:r>
    </w:p>
    <w:p w:rsidR="00DE14C9" w:rsidRDefault="00DE14C9" w:rsidP="00DE14C9">
      <w:pPr>
        <w:pStyle w:val="TextoNormal"/>
      </w:pPr>
      <w:r>
        <w:t xml:space="preserve">Como se recordará, la desestimación del recurso contencioso-electoral se adopta con base en dos criterios. El primero de ellos es que “el hecho de que sobre la mención del Partido que presentaba la candidatura aparezca trazada una línea oblicua no es suficiente, por sí mismo, para descartar que la voluntad del elector era emitir su voto a favor de aquella pues el trazado de dicha línea, en cuanto no supone tachadura o supresión de la mención de referido Partido, no lleva a concluir indefectiblemente que el sentido del voto del elector era contrario a la mencionada candidatura”. Con esta argumentación, la Sala parece “confundir los términos, ya que no es la existencia de la voluntad contraria al partido que consta en la papeleta lo que procede acreditar para declarar la nulidad, y sí la voluntad, de forma indubitada, favorable al partido para declarar la validez”. El Fiscal entiende, bien al contrario, que dicho trazo puede mostrar “cierta reserva sobre el voto a dicho partido”, en la medida en que puede servir para eliminar de la papeleta lo marcado. </w:t>
      </w:r>
    </w:p>
    <w:p w:rsidR="00DE14C9" w:rsidRDefault="00DE14C9" w:rsidP="00DE14C9">
      <w:pPr>
        <w:pStyle w:val="TextoNormal"/>
      </w:pPr>
      <w:r>
        <w:t xml:space="preserve">El segundo razonamiento expresado por la Sala para entender que la papeleta no es nula es que “tal conclusión aparece reforzada por la circunstancia de que el resto de la papeleta no fuese objeto de otra alteración y, particularmente, de alguna de las expresamente previstas en el art. 96.2 LOREG (‘serán, también nulos los votos emitidos en papeletas en las que se hubiera modificado, añadido, señalado o tachado nombres de los candidatos comprendidos en ella o alterado su orden de colocación’) lo que, en todo caso, es demostrativo —en cuanto habría bastado con realizar alguna de las citadas alteraciones para excluir su validez— de que la voluntad del elector era emitir su voto a favor de los candidatos del Partido Popular y, en definitiva, de la candidatura en que estos se integraban”. El Fiscal tampoco considera convincente dicha argumentación, en la que parece aludirse a la facilidad que tenía el votante para anular su papeleta mediante alteraciones más agresivas y al dato de que ninguna modificación se realizó sobre los candidatos de la lista. Lo cierto es, de un lado, que la línea oblicua constituye “cualquier tipo de alteración” (art. 96. 2 LOREG) de la papeleta, por lo que permite abrigar dudas sobre la intención del elector, dudas que deberían haberse concretado en su anulación. De otro, es evidente que en un sistema de listas cerradas y bloqueadas debe entenderse que los miembros de la candidatura y el partido o coalición que la presentan constituyen un todo, por lo que es irrelevante que la alteración afecte a los candidatos o a las fuerzas políticos que los proponen. </w:t>
      </w:r>
    </w:p>
    <w:p w:rsidR="00DE14C9" w:rsidRDefault="00DE14C9" w:rsidP="00DE14C9">
      <w:pPr>
        <w:pStyle w:val="TextoNormal"/>
      </w:pPr>
      <w:r>
        <w:t xml:space="preserve">A la vista de estas consideraciones el Fiscal concluye que, tanto por la existencia de una contradicción interna en la motivación de la Sentencia recurrida, como por la errónea formulación del silogismo deductivo que elabora el órgano judicial, la Sentencia carece de racionalidad en la interpretación realizada. Dicho con otros términos, el Fiscal estima que </w:t>
      </w:r>
      <w:r>
        <w:lastRenderedPageBreak/>
        <w:t>no resulta de forma clara y manifiesta cuál es la voluntad del elector, sino que existen dudas sobre la misma, motivo por el que debería haber estimado el recurso contencioso-electoral en su día interpuesto por la coalición electoral recurrente en amparo.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 coalición electoral recurrente en amparo impugna el Acuerdo de la Junta electoral de zona de Alcira, de 11 de junio de 2007, de proclamación de candidatos electos a concejales del Ayuntamiento de Corbera (Valencia), confirmado por la Sentencia núm.  655/2007, de 29 de junio, de la Sección Primera de la Sala de lo Contencioso-Administrativo del Tribunal Superior de Justicia de la Comunidad Valenciana, que desestimó el recurso contencioso-electoral promovido por la demandante contra aquel acuerdo.</w:t>
      </w:r>
    </w:p>
    <w:p w:rsidR="00DE14C9" w:rsidRDefault="00DE14C9" w:rsidP="00DE14C9">
      <w:pPr>
        <w:pStyle w:val="TextoNormal"/>
      </w:pPr>
      <w:r>
        <w:t>En la demanda de amparo se invoca la lesión de los derechos fundamentales a la igualdad (art. 14 CE) y a acceder en condiciones de igualdad a los cargos públicos con los requisitos que señalen las leyes (art. 23.2 CE), por haberse otorgado validez a una papeleta de voto emitida en el distrito 1, sección 1, mesa 1-1B de Corbera, a favor de la candidatura presentada por el Partido Popular, en la que, según afirma la recurrente, “aparece una línea oblicua a bolígrafo situada por debajo de la leyenda ‘doy mi voto a la candidatura presentada por: Partido Popular’”, y que, a su juicio, debió ser declarada nula en aplicación del art. 96.2 de la Ley Orgánica del régimen electoral general (LOREG), ya que se trata de una alteración voluntaria y deliberada del elector que ha querido convertir en nulo su voto por la sigla bajo la que se presentaba la lista de candidatos.</w:t>
      </w:r>
    </w:p>
    <w:p w:rsidR="00DE14C9" w:rsidRDefault="00DE14C9" w:rsidP="00DE14C9">
      <w:pPr>
        <w:pStyle w:val="TextoNormal"/>
      </w:pPr>
      <w:r>
        <w:t>La representación procesal del Partido Socialista Obrero Español se adhiere al recurso de amparo.</w:t>
      </w:r>
    </w:p>
    <w:p w:rsidR="00DE14C9" w:rsidRDefault="00DE14C9" w:rsidP="00DE14C9">
      <w:pPr>
        <w:pStyle w:val="TextoNormal"/>
      </w:pPr>
      <w:r>
        <w:t>El Ministerio Fiscal se pronuncia a favor de la estimación de la pretensión actora al considerar que en este caso la línea oblicua que contiene la papeleta de voto debe subsumirse en el supuesto de “cualquier tipo de alteración” del art. 96.2 LOREG, lo que debía haber determinado su nulidad.</w:t>
      </w:r>
    </w:p>
    <w:p w:rsidR="00DE14C9" w:rsidRDefault="00DE14C9" w:rsidP="00DE14C9">
      <w:pPr>
        <w:pStyle w:val="TextoNormal"/>
      </w:pPr>
      <w:r>
        <w:t>Por su parte, la representación del Partido Popular aduce como causa de inadmisión de la demanda de amparo su extemporaneidad y, en cuanto a la cuestión de fondo planteada, estima que en este caso el trazo detectado en la papeleta de votación es una alteración menor, que no hace sino confirmar el deseo del elector de respaldar con su voto a determinada formación política.</w:t>
      </w:r>
    </w:p>
    <w:p w:rsidR="00DE14C9" w:rsidRDefault="00DE14C9" w:rsidP="00DE14C9">
      <w:pPr>
        <w:pStyle w:val="TextoNormal"/>
      </w:pPr>
    </w:p>
    <w:p w:rsidR="00DE14C9" w:rsidRDefault="00DE14C9" w:rsidP="00DE14C9">
      <w:pPr>
        <w:pStyle w:val="TextoNormal"/>
      </w:pPr>
      <w:r w:rsidRPr="00DE14C9">
        <w:rPr>
          <w:rStyle w:val="NumeroAFNegritaCaracter"/>
        </w:rPr>
        <w:t>2</w:t>
      </w:r>
      <w:r>
        <w:t>. Antes de proceder a enjuiciar el asunto de fondo sometido a nuestra consideración, debemos dar respuesta al óbice procesal alegado por la representación del Partido Popular, quien sostiene que la demanda de amparo es extemporánea, al haber sido presentada transcurrido el plazo de dos días que establece el art. 2 del Acuerdo del Pleno del Tribunal Constitucional de 20 de enero de 2000, por el que se aprueban normas sobre tramitación de los recursos de amparo a que se refiere la Ley Orgánica 5/1985, de 19 de junio, del régimen electoral general.</w:t>
      </w:r>
    </w:p>
    <w:p w:rsidR="00DE14C9" w:rsidRDefault="00DE14C9" w:rsidP="00DE14C9">
      <w:pPr>
        <w:pStyle w:val="TextoNormal"/>
      </w:pPr>
      <w:r>
        <w:t xml:space="preserve">Para rechazar el anterior óbice basta con reparar que el plazo para la interposición del recurso de amparo contra los Acuerdos de proclamación de electos y de elección y proclamación de los Presidentes de las corporaciones locales es de tres días desde la notificación de las Sentencias que resuelven los recursos contencioso-electorales, de conformidad con lo dispuesto en el art. 114.2 LOREG y en el art. 3 del citado Acuerdo del Pleno del Tribunal Constitucional de 20 de enero de 2000, y no de dos como sostiene la representación del </w:t>
      </w:r>
      <w:r>
        <w:lastRenderedPageBreak/>
        <w:t>Partido Popular, que con la invocación del art. 2 del referido Acuerdo ha confundido el plazo para interponer el recurso de amparo electoral contra los Acuerdos de proclamación de electos y Presidentes de las corporaciones locales con el plazo para la interposición del recurso de amparo electoral contra los Acuerdos de proclamación de candidaturas y candidatos, que es el regulado en el mencionado art. 2.</w:t>
      </w:r>
    </w:p>
    <w:p w:rsidR="00DE14C9" w:rsidRDefault="00DE14C9" w:rsidP="00DE14C9">
      <w:pPr>
        <w:pStyle w:val="TextoNormal"/>
      </w:pPr>
      <w:r>
        <w:t>En este caso, como admite la representación del Partido Popular, la Sentencia del Tribunal Superior de Justicia ha sido notificada el día 29 de junio de 2007 y la demanda de amparo se ha interpuesto el día 2 de julio de 2007 mediante escrito presentado en el Registro General de este Tribunal, dentro, por lo tanto, del plazo de tres días que establece el art. 114.2 LOREG y el art. 3 del Acuerdo del Pleno del Tribunal Constitucional de 20 de enero de 2000.</w:t>
      </w:r>
    </w:p>
    <w:p w:rsidR="00DE14C9" w:rsidRDefault="00DE14C9" w:rsidP="00DE14C9">
      <w:pPr>
        <w:pStyle w:val="TextoNormal"/>
      </w:pPr>
    </w:p>
    <w:p w:rsidR="00DE14C9" w:rsidRDefault="00DE14C9" w:rsidP="00DE14C9">
      <w:pPr>
        <w:pStyle w:val="TextoNormal"/>
      </w:pPr>
      <w:r w:rsidRPr="00DE14C9">
        <w:rPr>
          <w:rStyle w:val="NumeroAFNegritaCaracter"/>
        </w:rPr>
        <w:t>3</w:t>
      </w:r>
      <w:r>
        <w:t>. La cuestión suscitada en el presente recurso de amparo estriba en determinar si ha resultado lesionado, como sostienen la demandante de amparo y el Ministerio Fiscal, o no, como mantiene el Partido Popular, el derecho a acceder en condiciones de igualdad a los cargos públicos con los requisitos que señalen las leyes (art. 23.2 CE), al que ha de reconducirse la denunciada violación del art. 14 CE (STC 193/1989, de 16 de noviembre, FJ 3, por todas), como consecuencia de una posible infracción por las Juntas electorales y por el Tribunal Superior de Justicia de la legislación electoral vigente, en concreto, del art. 96.2 LOREG, al haber otorgado validez a la referida papeleta de voto emitida en el distrito 1, sección 1, mesa 1-1B de Corbera, a favor de la candidatura presentada por el Partido Popular, que, en opinión de la demandante de amparo, debió ser declarada nula en aplicación del mencionado art. 96.2 LOREG.</w:t>
      </w:r>
    </w:p>
    <w:p w:rsidR="00DE14C9" w:rsidRDefault="00DE14C9" w:rsidP="00DE14C9">
      <w:pPr>
        <w:pStyle w:val="TextoNormal"/>
      </w:pPr>
      <w:r>
        <w:t>En este contexto hemos de poner ahora de manifiesto, antes de proseguir el enjuiciamiento de la queja actora, que la denunciada infracción de la legislación electoral afecta en este caso, como se indica en las resoluciones recurridas y se refleja en el expediente electoral, al resultado final de la elección, requisito para poder apreciar la existencia de una lesión real y efectiva del derecho de sufragio pasivo, pues, de serle restado a la candidatura del Partido Popular el voto en liza, le correspondería a la demandante un puesto de concejal más de los que le han sido atribuidos en el Acuerdo de proclamación de electos en detrimento de la candidatura del Partido Popular, que obtendría un puesto de concejal menos [SSTC 185/1999, de 11 de octubre, FJ 4 c); 153/2003, de 17 de julio, FJ 3; 154/2003, de 17 de julio, FFJJJ 6 c) y 8; 135/2004, de 5 de agosto, FJ 4 c)].</w:t>
      </w:r>
    </w:p>
    <w:p w:rsidR="00DE14C9" w:rsidRDefault="00DE14C9" w:rsidP="00DE14C9">
      <w:pPr>
        <w:pStyle w:val="TextoNormal"/>
      </w:pPr>
    </w:p>
    <w:p w:rsidR="00DE14C9" w:rsidRDefault="00DE14C9" w:rsidP="00DE14C9">
      <w:pPr>
        <w:pStyle w:val="TextoNormal"/>
      </w:pPr>
      <w:r w:rsidRPr="00DE14C9">
        <w:rPr>
          <w:rStyle w:val="NumeroAFNegritaCaracter"/>
        </w:rPr>
        <w:t>4</w:t>
      </w:r>
      <w:r>
        <w:t>. El marco normativo configurador de la declaración de nulidad de las papeletas de voto viene constituido por el art. 96 LOREG, precepto ubicado en su título I, que tiene por objeto, como indica su rúbrica, las “Disposiciones comunes para las elecciones por sufragio universal” y, más concretamente, en el supuesto que aquí y ahora interesa, por el apartado 2 del citado precepto, a cuyo tenor: “En el caso de elecciones al Congreso de los Diputados, al Parlamento Europeo, a los Ayuntamientos y Cabildos Insulares serán también nulos los votos emitidos en papeletas en las que se hubiera modificado, añadido, señalado o tachado nombres de los candidatos comprendidos en ella o alterado su orden de colocación, así como aquellas en las que se hubiera producido cualquier otro tipo de alteración”.</w:t>
      </w:r>
    </w:p>
    <w:p w:rsidR="00DE14C9" w:rsidRDefault="00DE14C9" w:rsidP="00DE14C9">
      <w:pPr>
        <w:pStyle w:val="TextoNormal"/>
      </w:pPr>
      <w:r>
        <w:t>Este Tribunal ha tenido ocasión de pronunciarse tanto con carácter general sobre las normas reguladoras del régimen de nulidad de los votos como, más concretamente, sobre las específicas previsiones del art. 96.2 LOREG, cuya doctrina procede ahora traer a colación:</w:t>
      </w:r>
    </w:p>
    <w:p w:rsidR="00DE14C9" w:rsidRDefault="00DE14C9" w:rsidP="00DE14C9">
      <w:pPr>
        <w:pStyle w:val="TextoNormal"/>
      </w:pPr>
      <w:r>
        <w:t xml:space="preserve">a) En relación con las normas reguladoras de la nulidad de los votos ha declarado que éstas “han de ser formuladas en términos precisos, con determinación detallada de todas las reglas especiales y de las posibles exclusiones, sin que sea preciso acudir a interpretaciones </w:t>
      </w:r>
      <w:r>
        <w:lastRenderedPageBreak/>
        <w:t>más o menos complejas sobre la aplicabilidad de cada precepto”. Esta exigencia de precisión y claridad en la redacción de aquellas normas encuentra su justificación en que su aplicación inmediata ha de ser efectuada normalmente por los componentes de las mesas electorales, integradas por ciudadanos designados por sorteo y que constituyen una Administración electoral no especializada (STC 153/2003, de 17 de julio, FJ 6).</w:t>
      </w:r>
    </w:p>
    <w:p w:rsidR="00DE14C9" w:rsidRDefault="00DE14C9" w:rsidP="00DE14C9">
      <w:pPr>
        <w:pStyle w:val="TextoNormal"/>
      </w:pPr>
      <w:r>
        <w:t>b) Asimismo, por lo que se refiere más concretamente al supuesto regulado en el art. 96.2 LOREG, este Tribunal ha declarado que el citado precepto recoge el llamado principio de inalterabilidad de la lista electoral, y que lo hace de forma tal que robustece la exigencia de rigor que dicho principio implica en relación a como aparecía enunciado en la precedente legislación electoral. En efecto, en tanto que el art. 64.2 b) del Real Decreto-ley 20/1977, de 18 de marzo, sobre normas electorales, establecía que sólo era nulo “el voto para el Congreso emitido en papeleta en la que se hubiera modificado o tachado nombres de los comprendidos en ella o alterado su orden de colocación”, el art. 96.2 LOREG ha introducido una cláusula general de cierre —“cualquier otro tipo de alteración”— y ha sumado otros participios —“añadido”, “señalado”—, a los enunciados en aquel precepto, que ponen de manifiesto la “finalidad de enfatizar la prohibición de señales o manipulaciones de cualquier tipo en las papeletas de voto, precisamente por su carácter de papeletas que incorporan listas bloqueadas y cerradas en las que no es menester indicación alguna del elector al emitir el sufragio” (STC 165/1991, de 19 de julio, FJ 3; doctrina que reiteran las SSTC 115/1995, de 10 de julio, FJ 5; 153/2003, de 17 de julio, FJ 7).</w:t>
      </w:r>
    </w:p>
    <w:p w:rsidR="00DE14C9" w:rsidRDefault="00DE14C9" w:rsidP="00DE14C9">
      <w:pPr>
        <w:pStyle w:val="TextoNormal"/>
      </w:pPr>
      <w:r>
        <w:t>En esta línea de razonamiento el Tribunal ha destacado también en la primera de las Sentencias antes mencionadas, frente a la redacción del art. 96.2 LOREG, la mayor flexibilidad del tenor del art. 96.3 LOREG, que establece las normas de nulidad de votos para el Senado, según el cual “serán nulos los votos emitidos en papeletas en las que se hubieran señalado más de tres nombres en las circunscripciones provinciales, de dos en las circunscripciones insulares de Gran Canarias, Mallorca y Tenerife y en las poblaciones de Ceuta y Melilla y de uno en el resto de las circunscripciones insulares”. Así se declaró en aquella Sentencia que las previsiones especificas del art. 96.3 LOREG respecto de los votos nulos en las elecciones al Senado “viene[n] lógicamente condicionad[as] por la necesidad de que el elector marque con cruces los candidatos elegidos de entre los presentes en una única lista” y “[l]as circunstancias en las que se produce la emisión del voto por papeleta al Senado, con razonables posibilidades de rayas, cruces o tachaduras en virtud de errores, no son las mismas que en las demás elecciones y, por lo que aquí atañe, que en las locales” (ibidem).</w:t>
      </w:r>
    </w:p>
    <w:p w:rsidR="00DE14C9" w:rsidRDefault="00DE14C9" w:rsidP="00DE14C9">
      <w:pPr>
        <w:pStyle w:val="TextoNormal"/>
      </w:pPr>
      <w:r>
        <w:t xml:space="preserve">Precisamente con base en que en el caso de las elecciones al Congreso de los Diputados, al Parlamento Europeo, a los Ayuntamientos y Cabildos insulares, a las que se refiere el art. 96.2 LOREG, las papeletas de votación incorporan listas bloqueadas y cerradas en las que no es menester indicación alguna del elector al emitir el sufragio, a diferencia de las elecciones al Senado a las que se refiere el art. 96.3 LOREG, el Tribunal ha justificado que “haya de ser también distinto el rigor con el que se enjuicie la presencia de marcas, escritos o tachaduras en una y otra clase de papeletas”, afirmando “que la existencia constatada de marcas o tachaduras en las papeletas a las elecciones locales permite la aplicación razonada a las mismas por la Administración electoral y por los órganos de la jurisdicción contencioso-electoral de la nulidad prevista en el art. 96.2 LOREG, una vez atendidas y ponderadas las circunstancias de cada caso” (STC 165/1991, de 19 de julio, FJ 3). Ahora bien, hemos precisado que, si bien a la hora de aplicar las causas de nulidad del art. 96.2 LOREG no se </w:t>
      </w:r>
      <w:r>
        <w:lastRenderedPageBreak/>
        <w:t>debe caer en el automatismo, tampoco es posible eludir la existencia de adiciones, modificaciones, señales o marcas en las papeletas, negándoles todo valor (STC 153/2003, de 17 de julio, FJ 9).</w:t>
      </w:r>
    </w:p>
    <w:p w:rsidR="00DE14C9" w:rsidRDefault="00DE14C9" w:rsidP="00DE14C9">
      <w:pPr>
        <w:pStyle w:val="TextoNormal"/>
      </w:pPr>
      <w:r>
        <w:t>Distinguiendo los dos supuestos recogidos en el art. 96.2 LOREG, en la STC 153/2003, de 17 de julio, hemos dicho que “[P]arece patente que, cuando el precepto examinado se refiere a la modificación, adición, señal o tachado de los nombres de los candidatos o a la alteración de su orden, su presupuesto está conformado por las papeletas que incluyen la lista de candidatos de cada formación, en relación con las cuales puede producirse de manera patente tales operaciones. Ahora bien, en su cláusula de cierre (‘aquellas en las que se hubiera producido cualquier otro tipo de alteración’) quedan comprendidas las variaciones de toda índole que afecten a las papeletas”(FJ 7).</w:t>
      </w:r>
    </w:p>
    <w:p w:rsidR="00DE14C9" w:rsidRDefault="00DE14C9" w:rsidP="00DE14C9">
      <w:pPr>
        <w:pStyle w:val="TextoNormal"/>
      </w:pPr>
      <w:r>
        <w:t>c) El Tribunal ha declarado también que el entendimiento de cuándo procede y cuándo no la aplicación de lo dispuesto en el art. 96.2 LOREG configura normalmente un juicio de estricta legalidad electoral que no puede ser revisado por este Tribunal una vez comprobado que la interpretación seguida por el órgano judicial ordinario no es arbitraria, irrazonada e irrazonable (STC 165/1991, de 19 de julio, FJ 3; doctrina que reitera la STC 115/1995, de 10 de julio, FJ 5).</w:t>
      </w:r>
    </w:p>
    <w:p w:rsidR="00DE14C9" w:rsidRDefault="00DE14C9" w:rsidP="00DE14C9">
      <w:pPr>
        <w:pStyle w:val="TextoNormal"/>
      </w:pPr>
      <w:r>
        <w:t>d) Finalmente, por lo que se refiere a los concretos pronunciamientos de este Tribunal en relación con la interpretación y aplicación del art. 96.2 LOREG por las juntas electorales y los órganos judiciales, ha entendido que no puede considerarse como una interpretación y aplicación irrazonada e irrazonable del citado precepto legal la decisión de la Administración electoral de estimar como una alteración de la lista electoral determinante de su nulidad papeletas de voto en las que aparecen rayados los nombres de varios candidatos mediante diversas líneas cruzadas (STC 156/1991, de 15 de julio, FJ 2); la declaración de nulidad de votos emitidos en papeletas señaladas con un aspa al lado de los candidatos, que contengan frases escritas o que presenten interlineados y recuadros (STC 165/1991, de 19 de julio, FJ 3); o, en fin, la declaración de nulidad de papeletas garabateadas (STC 115/1995, de 10 de julio, FJ 5). Asimismo, pese a que la enumeración de supuestos de nulidad del art. 96.2 LOREG no es ad exemplum, sino tasada, ha estimado que está “implícito o sobreentendido en todos ellos, y también en el resto del articulado aplicable [de la LOREG], el que en las papeletas de voto deben figurar, como es obvio, candidatos proclamados en la circunscripción y que cuando así no sea el sufragio —en realidad inexistente— queda viciado total y absolutamente” (STC 167/1991, de 19 de julio, FJ 4). Finalmente, el Tribunal también ha declarado aplicables los supuestos de nulidad de los votos del art.  96.2 LOREG a los emitidos por correspondencia por los residentes ausentes que viven en el extranjero en elecciones locales (art. 190 LOREG) y, en consecuencia, ha estimado que resulta lesiva del derecho a acceder en condiciones de igualdad a los cargos públicos con los requisitos que señalen las leyes (art. 23.2 CE) la consideración como válidos y, por consiguiente, la no anulación de tres votos emitidos por residentes ausentes que viven en el extranjero sin acomodarse a las previsiones del art. 190 LOREG, ya que en las papeletas de voto, no sólo se incluían las siglas de la candidatura a la que se otorgaba el voto, sino, además, el nombre de un candidato que no era el cabeza de lista (STC 153/2003, de 17 de julio, FJ 10).</w:t>
      </w:r>
    </w:p>
    <w:p w:rsidR="00DE14C9" w:rsidRDefault="00DE14C9" w:rsidP="00DE14C9">
      <w:pPr>
        <w:pStyle w:val="TextoNormal"/>
      </w:pPr>
    </w:p>
    <w:p w:rsidR="00DE14C9" w:rsidRDefault="00DE14C9" w:rsidP="00DE14C9">
      <w:pPr>
        <w:pStyle w:val="TextoNormal"/>
      </w:pPr>
      <w:r w:rsidRPr="00DE14C9">
        <w:rPr>
          <w:rStyle w:val="NumeroAFNegritaCaracter"/>
        </w:rPr>
        <w:t>5</w:t>
      </w:r>
      <w:r>
        <w:t>. En el presente caso, en el que de nuevo se vuelve a plantear la interpretación, conforme al texto constitucional, del art. 96.2 LOREG, hemos de reiterar la precedente doctrina constitucional y, ante las numerosas dudas que está suscitando la aplicación e interpretación de aquel precepto y la diversidad de soluciones que vienen siendo adoptadas por la Adminis</w:t>
      </w:r>
      <w:r>
        <w:lastRenderedPageBreak/>
        <w:t>tración electoral y los órganos jurisdiccionales a la hora de aplicar el criterio general anteriormente expresado en el apartado c) del fundamento precedente, insistir, con mayor intensidad aún, en la necesidad de preservar y exigir el principio de inalterabilidad de las listas electorales en los supuestos a los que se refiere el art. 96.2 LOREG con el rigor con el que ha sido configurado por el legislador en la redacción que ha dado a dicho precepto, que, como este Tribunal ha declarado en la STC 165/1991, de 19 de julio, pone de manifiesto la “finalidad de enfatizar la prohibición de señales o manipulaciones de cualquier tipo en las papeletas de voto, precisamente por su carácter de papeletas que incorporan listas bloqueadas y cerradas en las que no es menester indicación alguna al emitir el sufragio” (FJ 3). De modo que la existencia de cualesquiera modificaciones, adiciones, señales, marcas, tachaduras o cualquier otro tipo de alteración o determinación en las papeletas de voto ha de conducir a la aplicación de la declaración de nulidad prevista en el art. 96.2 LOREG.</w:t>
      </w:r>
    </w:p>
    <w:p w:rsidR="00DE14C9" w:rsidRDefault="00DE14C9" w:rsidP="00DE14C9">
      <w:pPr>
        <w:pStyle w:val="TextoNormal"/>
      </w:pPr>
      <w:r>
        <w:t>Es a la Administración electoral, en primer término, y, en caso de impugnarse su decisión, a los órganos jurisdiccionales, a quienes corresponde la aplicación de los supuestos del art. 96.2 LOREG, la cual, como es obvio y no puede ser de otra forma, ha de razonarse y motivarse en cada supuesto atendiendo a las circunstancias que concurran en el mismo. En este sentido hemos asimismo de reiterar que la aplicación del citado precepto legal se configura normalmente y en principio como un juicio de estricta legalidad electoral, que puede ser revisado por este Tribunal si la interpretación seguida por el órgano judicial ordinario es arbitraria, irrazonada e irrazonable y además, cuando se aduzca en la demanda de amparo un derecho fundamental, distinto al de la tutela judicial efectiva (art. 24.1 CE), por la posible vulneración de ese otro derecho fundamental invocado y, de manera específica, por el derecho fundamental de carácter sustantivo a acceder en condiciones de igualdad y conforme a lo dispuesto en las Leyes a determinado cargo público (art. 23.2 CE). En efecto el recurso de amparo ahora planteado está ante todo al servicio de la preservación y protección de tal derecho fundamental, y la determinación de si se ha respetado requiere también por nuestra parte una indagación de carácter sustantivo, que no se cumple, por tanto, con el simple reconocimiento de la razonable interpretación que puedan exhibir las resoluciones administrativas y judiciales impugnadas [SSTC 185/1999, de 11 de octubre, FJ 3; 135/2004, de 17 de julio, FJ 4 d)]. Desde la perspectiva constitucional que nos ocupa, más en concreto, desde el ámbito del art. 23 CE, es premisa insoslayable de la conformidad a la Constitución de cualquier interpretación del art.  96.2 LOREG que la interpretación en cuestión ha de efectuarse de tal modo que los contenidos, requisitos y limites que establece la Ley Orgánica del régimen electoral general no se vean enervados o alterados por aquella interpretación, pues si así fuera quedaría en manos del intérprete y no del legislador la fijación de los contornos del derecho de acceso a los cargos públicos en condiciones de igualdad (art. 23.2 CE; SSTC 74/1995, de 12 de mayo, FJ único; 146/1999, de 27 de julio, FJ 2; 155/2003, de 17 de julio, FJ 4).</w:t>
      </w:r>
    </w:p>
    <w:p w:rsidR="00DE14C9" w:rsidRDefault="00DE14C9" w:rsidP="00DE14C9">
      <w:pPr>
        <w:pStyle w:val="TextoNormal"/>
      </w:pPr>
      <w:r>
        <w:t>Así hemos declarado en la STC 153/2003, de 17 de julio, que no resulta admisible desde la perspectiva de los derechos fundamentales reconocidos en el art. 23 CE la interpretación judicial que conduce a que se deban computar como votos válidos los emitidos en papeletas que, por incurrir en algunas de las incorrecciones recogidas en el art. 96.2 LOREG, deberían haber dado lugar a la declaración de su nulidad, cuando como consecuencia del cómputo de aquellos votos se altere el resultado final de la elección.  En sustento de esta afirmación razonábamos que “el derecho de acceso a los cargos públicos es un derecho de mediación legal que encuentra su regulación fundamental en la Ley Orgánica 5/1985, de 19 de junio, del régimen electoral general, la cual articula, en palabras de su preámbulo, ‘el procedi</w:t>
      </w:r>
      <w:r>
        <w:lastRenderedPageBreak/>
        <w:t>miento de emanación de la voluntad mayoritaria del pueblo en las diversas instancias representativas en que se articula el Estado español’, y en tal sentido, desde la perspectiva del derecho de sufragio pasivo, es obligado integrar en este derecho la exigencia de que las normas electorales sean cumplidas en cuanto constituyen garantía del correcto desarrollo de la elección de modo que culmine con la proclamación de los candidatos que hayan sido preferidos por el cuerpo electoral (STC 71/1989, de 20 de abril, FJ 3)” (STC 153/2003, FJ 8).</w:t>
      </w:r>
    </w:p>
    <w:p w:rsidR="00DE14C9" w:rsidRDefault="00DE14C9" w:rsidP="00DE14C9">
      <w:pPr>
        <w:pStyle w:val="TextoNormal"/>
      </w:pPr>
      <w:r>
        <w:t>El rigor que ha de observarse, en los términos expuestos, en la exigencia del principio de inalterabilidad de las listas electorales plasmado, a los efectos que aquí y ahora interesan en el art. 96.2 LOREG, en modo alguno puede suponer el desconocimiento de la vigencia en las distintas fases del proceso electoral de los principios de conservación de actos válidamente celebrados, de interpretación más favorable a la plenitud del derecho de sufragio y de conocimiento de la verdad material manifestada en las urnas por los electores. Ahora bien, la necesidad de cohonestar el principio de inalterabilidad de las listas electorales con los principios de conservación de actos válidamente celebrados, de interpretación más favorable a la plenitud del derecho de sufragio y de conocimiento de la verdad material manifestada en las urnas por los electores tampoco puede hacerse a costa del principio de inalterabilidad de las listas electorales con el rigor y la intensidad con el que ha sido configurado por el legislador en el art. 96.2 LOREG, de modo que, en un orden lógico, a aquellos principios debe preceder el respeto a la inalterabilidad de la candidatura en la emisión del sufragio.</w:t>
      </w:r>
    </w:p>
    <w:p w:rsidR="00DE14C9" w:rsidRDefault="00DE14C9" w:rsidP="00DE14C9">
      <w:pPr>
        <w:pStyle w:val="TextoNormal"/>
      </w:pPr>
    </w:p>
    <w:p w:rsidR="00DE14C9" w:rsidRDefault="00DE14C9" w:rsidP="00DE14C9">
      <w:pPr>
        <w:pStyle w:val="TextoNormal"/>
      </w:pPr>
      <w:r w:rsidRPr="00DE14C9">
        <w:rPr>
          <w:rStyle w:val="NumeroAFNegritaCaracter"/>
        </w:rPr>
        <w:t>6</w:t>
      </w:r>
      <w:r>
        <w:t>. En este caso, la papeleta de voto en liza, emitida en el distrito 1, sección 1, mesa 1-1B de Corbera, a favor de la candidatura presentada por el Partido Popular, contiene, según se afirma en la Sentencia del Tribunal Superior de Justicia, permite constatar el expediente electoral y se ha dejado detallado en los antecedentes de esta Sentencia, “trazada una línea oblicua” “sobre la mención del Partido que presentaba la candidatura”. Se trata, por tanto, de una papeleta de voto en la que el elector, al ejercer su sufragio en las elecciones locales, con infracción del principio de inalterabilidad de las listas electorales establecido en el art. 96.2 LOREG, ha desatendido la prohibición de efectuar cualquier tipo de modificación, señal, manipulación, adición, marca, tachadura o cualquier otro clase de alteración o determinación en las papeletas de voto, al tratarse precisamente de papeletas que incorporan listas bloqueadas y cerradas en las que no es menester realizar indicación alguna al emitir el sufragio, por lo que, en aplicación del mencionado art. 96.2 LOREG, debió declararse la nulidad de la referida papeleta de voto. El elector, al actuar del modo como lo ha hecho, contraviniendo aquella prohibición, se ha apartado por razones únicamente a él imputables de las precisas reglas que en la legislación electoral regulan el ejercicio del voto en las elecciones locales, meridianamente claras a la hora de determinar la forma en que ha de ejercerse el voto, que excluyen cualquier tipo de señal o manipulación en las papeletas.</w:t>
      </w:r>
    </w:p>
    <w:p w:rsidR="00DE14C9" w:rsidRDefault="00DE14C9" w:rsidP="00DE14C9">
      <w:pPr>
        <w:pStyle w:val="TextoNormal"/>
      </w:pPr>
      <w:r>
        <w:t xml:space="preserve">Sentado cuanto antecede, las resoluciones administrativa y judicial impugnadas, al conceder validez a esa papeleta de voto que debió considerarse nula, no sólo han incurrido en una infracción de las previsiones del art. 96.2 LOREG, sino que, además, en este caso, en la medida en que aquella decisión incide de manera determinante en el resultado final de la elección, al privar de un puesto de concejal a la candidatura presentada por la coalición electoral recurrente en amparo en beneficio de la candidatura presentada por el Partido Popular, resultan contrarias también al derecho a acceder en condiciones de igualdad a los cargos públicos con los requisitos que señalen las leyes (art. 23.2 CE), que, como hemos </w:t>
      </w:r>
      <w:r>
        <w:lastRenderedPageBreak/>
        <w:t>señalado, incorpora como contenido “la exigencia de que las normas electorales sean cumplidas en cuando constituyen garantía del correcto desarrollo de la elección de modo que culmine con la proclamación de los candidatos que han sido preferidos por el cuerpo electoral” (SSTC 71/1989, de 20 de abril, FJ 3; 153/2003, de 17 de julio, FJ 8), vulnerándose aquel derecho cuando, como acontece en este caso, demostrada la votación mayoritaria de un candidato respecto de otro, se hace la proclamación de este último en virtud de una argumentación que contradice abiertamente el sistema electoral y la Ley Orgánica que lo regula (STC 153/2003, de 17 de julio, FJ 10).</w:t>
      </w:r>
    </w:p>
    <w:p w:rsidR="00DE14C9" w:rsidRDefault="00DE14C9" w:rsidP="00DE14C9">
      <w:pPr>
        <w:pStyle w:val="TextoNormal"/>
      </w:pPr>
    </w:p>
    <w:p w:rsidR="00DE14C9" w:rsidRDefault="00DE14C9" w:rsidP="00DE14C9">
      <w:pPr>
        <w:pStyle w:val="TextoNormal"/>
      </w:pPr>
      <w:r w:rsidRPr="00DE14C9">
        <w:rPr>
          <w:rStyle w:val="NumeroAFNegritaCaracter"/>
        </w:rPr>
        <w:t>7</w:t>
      </w:r>
      <w:r>
        <w:t>. El restablecimiento de la coalición electoral recurrente en amparo en la integridad del derecho vulnerado requiere, no sólo la declaración de nulidad de la papeleta de voto discutida, sino también la anulación del Acuerdo de la Junta electoral de zona de Alcira, de 11 de junio de 2007, de proclamación de candidatos electos a concejales del Ayuntamiento de Corbera (Valencia), en cuanto a la atribución del último puesto de concejal se refiere, así como la de la Sentencia núm.  665/2007, de 29 de junio, de la Sección Primera de la Sala de lo Contencioso-Administrativo del Tribunal Superior de Justicia de la Comunidad Valenciana, recaída en los recursos contencioso-electorales tramitados con el núm. 401-2007, debiendo procederse por la Junta electoral de zona a una nueva proclamación del candidato electo correspondiente al último puesto de concejal a cubrir restando un voto a los atribuidos a la candidatura del Partido Popular en aquel Acuerdo.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Estimar la demanda de amparo interpuesta por la coalición electoral Bloc Nacionalista Valencià - Els Verds Ezquerra Ecologista del País Valencià y, en su virtud:</w:t>
      </w:r>
    </w:p>
    <w:p w:rsidR="00DE14C9" w:rsidRDefault="00DE14C9" w:rsidP="00DE14C9">
      <w:pPr>
        <w:pStyle w:val="TextoNormal"/>
      </w:pPr>
      <w:r>
        <w:t>1º Declarar que se ha vulnerado el derecho de la recurrente en amparo a acceder a los cargos públicos en condiciones de igualdad con los requisitos que señalen las leyes (art. 23.2 CE).</w:t>
      </w:r>
    </w:p>
    <w:p w:rsidR="00DE14C9" w:rsidRDefault="00DE14C9" w:rsidP="00DE14C9">
      <w:pPr>
        <w:pStyle w:val="TextoNormal"/>
      </w:pPr>
      <w:r>
        <w:t>2º Restablecerla en su derecho y, a tal fin:</w:t>
      </w:r>
    </w:p>
    <w:p w:rsidR="00DE14C9" w:rsidRDefault="00DE14C9" w:rsidP="00DE14C9">
      <w:pPr>
        <w:pStyle w:val="TextoNormal"/>
      </w:pPr>
      <w:r>
        <w:t>a) Declarar la nulidad de la papeleta de voto discutida emitida en el distrito 1, sección 1, mesa 1-1B de Corbera, a favor de la candidatura presentada por el Partido Popular.</w:t>
      </w:r>
    </w:p>
    <w:p w:rsidR="00DE14C9" w:rsidRDefault="00DE14C9" w:rsidP="00DE14C9">
      <w:pPr>
        <w:pStyle w:val="TextoNormal"/>
      </w:pPr>
      <w:r>
        <w:t>b) Anular el Acuerdo de la Junta electoral de zona de Alcira, de 11 de junio de 2007, de proclamación de candidatos electos a concejales del Ayuntamiento de Corbera (Valencia), en cuanto a la atribución del último puesto de concejal se refiere, así como la de la Sentencia núm. 655/2007, de 29 de junio, de la Sección Primera de la Sala de lo Contencioso-Administrativo del Tribunal Superior de Justicia de la Comunidad Valenciana, debiendo procederse por la Junta electoral de zona a una nueva proclamación en los términos indicados en el fundamento jurídico 7 de esta Sentencia.</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dieciocho de julio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84" w:name="SENTENCIA_2007_171"/>
      <w:r>
        <w:lastRenderedPageBreak/>
        <w:t>SENTENCIA 171/2007, de 23 de julio de 2007</w:t>
      </w:r>
    </w:p>
    <w:bookmarkEnd w:id="84"/>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200, de 21 de agosto de 2007)</w:t>
      </w:r>
    </w:p>
    <w:p w:rsidR="00DE14C9" w:rsidRDefault="00DE14C9" w:rsidP="00DE14C9">
      <w:pPr>
        <w:pStyle w:val="TtuloBOE"/>
      </w:pPr>
    </w:p>
    <w:p w:rsidR="00DE14C9" w:rsidRDefault="00DE14C9" w:rsidP="00DE14C9">
      <w:pPr>
        <w:pStyle w:val="SntesisDescriptiva"/>
      </w:pPr>
      <w:r>
        <w:t>ECLI:ES:TC:2007:171</w:t>
      </w:r>
    </w:p>
    <w:p w:rsidR="00DE14C9" w:rsidRDefault="00DE14C9" w:rsidP="00DE14C9">
      <w:pPr>
        <w:pStyle w:val="SntesisDescriptiva"/>
      </w:pPr>
    </w:p>
    <w:p w:rsidR="00DE14C9" w:rsidRDefault="00DE14C9" w:rsidP="00DE14C9">
      <w:pPr>
        <w:pStyle w:val="SntesisDescriptiva"/>
      </w:pPr>
      <w:r>
        <w:t>Recurso de amparo 82-2004. Promovido por doña Rosa María Pérez Yanes y otro frente a los Autos de la Audiencia Provincial de Alicante que aclaran la Sentencia en pleito sobre cuota de participación en gastos de la comunidad.</w:t>
      </w:r>
    </w:p>
    <w:p w:rsidR="00DE14C9" w:rsidRDefault="00DE14C9" w:rsidP="00DE14C9">
      <w:pPr>
        <w:pStyle w:val="SntesisDescriptiva"/>
      </w:pPr>
    </w:p>
    <w:p w:rsidR="00DE14C9" w:rsidRDefault="00DE14C9" w:rsidP="00DE14C9">
      <w:pPr>
        <w:pStyle w:val="SntesisAnaltica"/>
      </w:pPr>
      <w:r>
        <w:t>Vulneración del derecho a la tutela judicial efectiva (inmodificabilidad): rectificación del porcentaje litigioso, de una centésima por ciento, que no es un error aritmético.</w:t>
      </w:r>
    </w:p>
    <w:p w:rsidR="00DE14C9" w:rsidRDefault="00DE14C9" w:rsidP="00DE14C9">
      <w:pPr>
        <w:pStyle w:val="SntesisAnaltica"/>
      </w:pPr>
    </w:p>
    <w:p w:rsidR="00DE14C9" w:rsidRDefault="00DE14C9" w:rsidP="00DE14C9">
      <w:pPr>
        <w:pStyle w:val="Extracto"/>
      </w:pPr>
      <w:r>
        <w:t>1.</w:t>
      </w:r>
      <w:r>
        <w:tab/>
        <w:t>La decisión adoptada en la Sentencia de apelación sobre la cuota de participación los locales en determinados gastos de la comunidad ha sido adoptada sobre la base de la aplicación de los criterios de valoración jurídica y fáctica que tuvo a bien asumir el órgano judicial, lo que es suficiente para descartar que se esté ante un error aritmético que justifique una alteración del sentido del fallo de una resolución por la vía de la aclaración [FJ 4].</w:t>
      </w:r>
    </w:p>
    <w:p w:rsidR="00DE14C9" w:rsidRDefault="00DE14C9" w:rsidP="00DE14C9">
      <w:pPr>
        <w:pStyle w:val="Extracto"/>
      </w:pPr>
    </w:p>
    <w:p w:rsidR="00DE14C9" w:rsidRDefault="00DE14C9" w:rsidP="00DE14C9">
      <w:pPr>
        <w:pStyle w:val="Extracto"/>
      </w:pPr>
      <w:r>
        <w:t>2.</w:t>
      </w:r>
      <w:r>
        <w:tab/>
        <w:t>Doctrina sobre la inmodificabilidad de las resoluciones judiciales, como garantía del derecho a la tutela judicial efectiva (STC 139/2006) [FJ 2].</w:t>
      </w:r>
    </w:p>
    <w:p w:rsidR="00DE14C9" w:rsidRDefault="00DE14C9" w:rsidP="00DE14C9">
      <w:pPr>
        <w:pStyle w:val="Extracto"/>
      </w:pPr>
    </w:p>
    <w:p w:rsidR="00DE14C9" w:rsidRDefault="00DE14C9" w:rsidP="00DE14C9">
      <w:pPr>
        <w:pStyle w:val="Extracto"/>
      </w:pPr>
      <w:r>
        <w:t>3.</w:t>
      </w:r>
      <w:r>
        <w:tab/>
        <w:t>Doctrina sobre la rectificación de los errores materiales manifiestos o aritméticos (STC 357/2006) [FJ 2].</w:t>
      </w:r>
    </w:p>
    <w:p w:rsidR="00DE14C9" w:rsidRDefault="00DE14C9" w:rsidP="00DE14C9">
      <w:pPr>
        <w:pStyle w:val="Extracto"/>
      </w:pPr>
    </w:p>
    <w:p w:rsidR="00DE14C9" w:rsidRDefault="00DE14C9" w:rsidP="00DE14C9">
      <w:pPr>
        <w:pStyle w:val="Extracto"/>
      </w:pPr>
      <w:r>
        <w:t>4.</w:t>
      </w:r>
      <w:r>
        <w:tab/>
        <w:t>Procede declarar la nulidad del Auto de aclaración que modifica el sentido del fallo en lo referente a la cuota de participación y del Auto de aclaración que acordó modificar por segunda vez el fallo en lo relativo a que no existía especial pronunciamiento sobre las costas de apelación, debido a que su presupuesto lógico fue exclusivamente la primera aclaración, que resulta contraria a las exigencias del art. 24.1 CE [FJ 4].</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lastRenderedPageBreak/>
        <w:t>SENTENCIA</w:t>
      </w:r>
    </w:p>
    <w:p w:rsidR="00DE14C9" w:rsidRDefault="00DE14C9" w:rsidP="00DE14C9">
      <w:pPr>
        <w:pStyle w:val="TextoNormalCentrado"/>
        <w:keepNext/>
      </w:pPr>
    </w:p>
    <w:p w:rsidR="00DE14C9" w:rsidRDefault="00DE14C9" w:rsidP="00DE14C9">
      <w:pPr>
        <w:pStyle w:val="TextoNormal"/>
      </w:pPr>
      <w:r>
        <w:t>En el recurso de amparo núm. 82-2004, promovido por doña Rosa María Pérez Yanes y don Manuel Pérez Vaca, representados por el Procurador de los Tribunales don Gonzalo Ruiz de Velasco Martínez de Ercilla y bajo la dirección de la Letrada doña María Ángeles Moraga García, contra los Autos de la Sección Quinta de la Audiencia Provincial de Alicante de 17 de marzo de 2003 —confirmado por Auto de 30 de mayo de 2003— y de 2 de julio de 2003, por los que se aclara la Sentencia de 13 de febrero de 2003, dictada en el rollo de apelación civil núm. 520-2002. Ha comparecido la comunidad de propietarios del edificio Alacant-1 de Alicante, representada por el Procurador de los Tribunales don Federico Pinilla Romeo y bajo la dirección del Letrado don Pedro Sorribes de Madaría. Ha intervenido el Ministerio Fiscal. Ha sido Ponente el Magistrado don Pablo Pérez Tremps,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registrado en este Tribunal el 7 de enero de 2004, el Procurador de los Tribunales don Gonzalo Ruiz de Velasco Martínez de Ercilla, actuando en nombre y representación de doña Rosa María Pérez Yanes y don Manuel Pérez Vaca, y bajo la dirección de la Letrada doña María Ángeles Moraga García, interpuso recurso de amparo contra las resoluciones judiciales citadas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El recurso tiene su origen en los siguientes antecedentes: </w:t>
      </w:r>
    </w:p>
    <w:p w:rsidR="00DE14C9" w:rsidRDefault="00DE14C9" w:rsidP="00DE14C9">
      <w:pPr>
        <w:pStyle w:val="TextoNormal"/>
      </w:pPr>
      <w:r>
        <w:t xml:space="preserve">a) Los recurrentes en amparo, en su condición de propietarios de los locales 9 y 10, respectivamente, del edificio Alacant 1 de Alicante, interpusieron demanda civil contra la comunidad de propietarios de dicho edificio, instando la nulidad de determinados acuerdos aprobados por junta de 19 de febrero de 2000, relativos a la aprobación de gastos, al distribuir su pago aplicando una cuota de participación distinta de la fijada en el título constitutivo, y solicitando que se declarara que el coeficiente de contribución a los gastos de escaleras y ascensores a aplicar a sus locales es del 0,01 por 100. A estos efectos, se argumentó que ambos locales tenían establecido expresamente en sus inscripciones registrales que contribuirían a los gastos de escalera y ascensor “con una centésima por ciento”, por lo que resultaban nulos los acuerdos alcanzados relativos a que debían contribuir a dichos gastos en un 1 por 100. La demanda dio lugar al juicio de menor cuantía núm. 336-2000, que fue tramitado por el Juzgado de Primera Instancia núm. 1 de Alicante. La parte demandada alegó en su escrito de contestación, entre otros extremos, que siendo cierto lo afirmado en la inscripción registral sobre la cuota de participación de los locales de los demandantes, no lo es menos que la comunidad procedió a establecer nuevos coeficientes de participación desde 1964, que se han venido aplicando pacíficamente, siendo un pacto lícito establecer que la cuota de participación en gastos no sea la misma cuota que la que los comuneros tiene escriturada en el total del inmueble. </w:t>
      </w:r>
    </w:p>
    <w:p w:rsidR="00DE14C9" w:rsidRDefault="00DE14C9" w:rsidP="00DE14C9">
      <w:pPr>
        <w:pStyle w:val="TextoNormal"/>
      </w:pPr>
      <w:r>
        <w:t xml:space="preserve">b) Por Sentencia de 3 de diciembre de 2001 se estimó íntegramente la demanda presentada, declarándose nulos los acuerdos impugnados y que “el coeficiente de contribución que debe ser aplicado a los locales 9 y 10 de edificio es de una centésima, es decir de 0,01 %, debiendo la comunidad demandada estar y pasar por la declaración”. En dicha Sentencia se argumenta que de acuerdo con la prueba documental practicada “la participación de los locales de los que son propietarios los actores en cuanto a los gastos de escalera y ascensor </w:t>
      </w:r>
      <w:r>
        <w:lastRenderedPageBreak/>
        <w:t xml:space="preserve">no es del 1,000 % como sostiene la parte demandada sino de una centésima por ciento como sostiene la parte actora”, y se destaca que “figurando la cuota de participación de los locales de los actores en cuanto a los gastos de escalera y ascensor en una centésima, tal y como consta en las inscripciones de sus locales y en la inscripción de la escritura de obra nueva y división de propiedad horizontal y en los estatutos de la comunidad, por tanto, no cabe aprobar acuerdo alguno que contraríe lo que consta en los mismos” (fundamento jurídico segundo). </w:t>
      </w:r>
    </w:p>
    <w:p w:rsidR="00DE14C9" w:rsidRDefault="00DE14C9" w:rsidP="00DE14C9">
      <w:pPr>
        <w:pStyle w:val="TextoNormal"/>
      </w:pPr>
      <w:r>
        <w:t xml:space="preserve">c) La comunidad demandada interpuso recurso de apelación insistiendo, entre otros extremos, en la existencia de un acuerdo modificando el porcentaje de participación que se venía aplicando desde 1964. El recurso dio lugar al rollo núm. 520-2002, que fue tramitado por la Sección Quinta de la Audiencia Provincial de Alicante. En dicho rollo la comunidad presentó diversos escritos en relación con el pronunciamiento de la Sentencia de instancia sobre la determinación de los coeficientes de participación. Así, por escrito de 12 de diciembre de 2002 solicitó, al amparo del art. 267 LOPJ, la rectificación de errores materiales en que habría incurrido la Sentencia apelada en cuanto a la determinación de dichos coeficientes y, por escrito de 13 de diciembre de 2002, se tuviera por aportado informe realizado por economista en cuanto al análisis de la escritura de obra nueva y división horizontal y de la inscripción registral de dicha escritura. Por providencia de 20 de diciembre de 2002, en relación con el primer escrito y la alegación de error material sobre los coeficientes, se afirma que “será en la sentencia que se dicte al resolver este recurso cuando se decidirá” y, en relación con el segundo escrito, se acuerda la devolución del documento por tener naturaleza probatoria sin perjuicio de que “podrá ser requerido para que lo presenten si se entendiera que debe así efectuarse por diligencias finales”. La comunidad de propietarios volvió a presentar nuevo escrito de 27 de diciembre de 2002, aportando un dictamen señalando, que es “absolutamente coincidente con nuestra afirmación atinente a que el Juzgador a quo incurrió en un error material cuando equipara centésima a 0,01 % que matemáticamente hablando es igual a una diezmilésima”. Por providencia de 9 de enero de 2003 se acordó devolver el informe aportado y estar a lo acordado en providencia de 20 de diciembre de 2002 sobre la posibilidad de practicar, si se entiende oportuno, diligencias finales de prueba. </w:t>
      </w:r>
    </w:p>
    <w:p w:rsidR="00DE14C9" w:rsidRDefault="00DE14C9" w:rsidP="00DE14C9">
      <w:pPr>
        <w:pStyle w:val="TextoNormal"/>
      </w:pPr>
      <w:r>
        <w:t xml:space="preserve">d) El recurso de apelación fue desestimado por Sentencia de la Sección Quinta de la Audiencia Provincial de Alicante de 13 de febrero de 2003, argumentando que “el fondo del asunto planteado por la parte actora está referido a la nulidad de los acuerdos antes indicados tomados en la citada Junta de Propietarios que tiene intima relación con el coeficiente que se tiene en cuenta para fijar las sumas que los actores deben abonar por gastos de escalera y ascensor y que en concreto se determina para esos destinos en el 1 % según comunicación que efectúa el administrador de la comunidad. Por ésta se establece esta cuota de participación sin ofrecer soporte o justificación en la que se sustente. Por el contrario, en las escrituras de compraventa de los locales y en las correspondientes certificaciones registrales consta que la participación en gastos por escalera y ascensor de dichos locales es una centésima, es decir, el 0,01 %”. Igualmente, se señala que “lo cierto es que las cuotas de participación de dichos locales son las que han quedado dichas y no las que indica el administrador que han servido para efectuar un cálculo de participación en gastos inadecuado. Si se entiende que el coeficiente asignado en dichos documentos es erróneo puede fijarse definitivamente planteando esa cuestión en el proceso correspondiente”. Por último, en ese mismo fundamento de derecho tercero se pone de manifiesto que “debe únicamente adicionarse en relación con los documentos que la comunidad tenía interés en unir a las actuaciones y así lo indicó cuando estaba tramitándose este recurso y este Tribunal decidió su devolución dejando dicho que si se entendía de interés podía acordarse su unión como diligencias </w:t>
      </w:r>
      <w:r>
        <w:lastRenderedPageBreak/>
        <w:t xml:space="preserve">finales, que al tener en consideración la prueba practicada en el proceso, dichos documentos son innecesarios en cuanto no existe duda alguna para formar convicción sobre la materia planteada, y como no deben unirse no es procedente acordar sobre la practica de esas diligencias”. </w:t>
      </w:r>
    </w:p>
    <w:p w:rsidR="00DE14C9" w:rsidRDefault="00DE14C9" w:rsidP="00DE14C9">
      <w:pPr>
        <w:pStyle w:val="TextoNormal"/>
      </w:pPr>
      <w:r>
        <w:t xml:space="preserve">e) La comunidad de propietarios solicitó, al amparo del art. 267 LOPJ, aclaración de la Sentencia para que fuera rectificado el error material cometido en el fundamento jurídico tercero como es la identificación entre la expresión una centésima con el valor 0,01 por 100, argumentando que el título constitutivo dice que el coeficiente de contribución es de una centésima (1 por 100) y no 0,01 por 100 que es el valor de una de diez mil. La solicitud de aclaración fue impugnada por los recurrentes en amparo señalando que lo que se pretendía con ella era que una vez más se entrara en el fondo del asunto, el cual ya había sido resuelto. Por Auto de 17 de marzo de 2003 se acordó rectificar la Sentencia “aclarando que la participación de los locales 9 y 10 mencionados, en gastos de escalera y ascensor es del 1 por ciento”. Así, se argumenta que “para resolver esta cuestión debe hacerse un detallado análisis de los datos que obran en las respectivas escrituras públicas de compraventa y de la correspondiente inscripción registral. En la escritura pública de compraventa de 24 de abril de 1999, el actor señor Pérez Vaca compró dichos locales, y en la misma se puede leer, sobre su participación en gastos de escalera y ascensor ‘se le asigna a cada uno una participación de su (sic) entero por ciento’. En las inscripciones registrales consta, en la respectiva inscripción de cada local una participación de ‘una centésima por ciento’ (documentos 3 y 5 de la demanda) y en el documento 6 de la misma, cuando se refiere a los gastos de escalera y ascensor, se dice que contribuirán, textualmente, con una centésima los uno-cuatro-seis-siete-ocho-nueve-diez-once, con cincuenta centésimas de entero el tres, una y media centésimas el dos, dos centésimas el cinco (aquí está entre renglones ‘todas por ciento’)” (fundamento de derecho segundo). En el fundamento de derecho tercero se añade que “de cuanto queda dicho se desprende que al fijarse en la parte dispositiva de la Sentencia de instancia como coeficiente de participación ‘una centésima, es decir 0´01 %’, que luego se confirmó por la que se dictó en apelación, no se hizo el cálculo con arreglo a lo que indican los títulos respectivos. En el texto de la sentencia de instancia, es de ver que se habla de una centésima sin más, pero esa parte es distinta si se refiere a unidad o centena. La centésima parte de uno es 0,01 pero la centésima de 100 es 1. Las escrituras públicas de venta y sus inscripciones registrales dicen ‘una centésima por ciento’ y en el mencionado documento 6, la inicial omisión que se produce cuando se dice una centésima ya se ha dicho que se corrige adicionando entre líneas ‘todas por ciento’”. </w:t>
      </w:r>
    </w:p>
    <w:p w:rsidR="00DE14C9" w:rsidRDefault="00DE14C9" w:rsidP="00DE14C9">
      <w:pPr>
        <w:pStyle w:val="TextoNormal"/>
      </w:pPr>
      <w:r>
        <w:t xml:space="preserve">f) Los recurrentes en amparo solicitaron, en virtud de lo establecido en los arts. 214 y 215 LEC, en relación con el art. 267 LOPJ, aclaración del error material en que denuncian habría incurrido el Auto de aclaración. Así, argumentan que en dicho Auto “se indica de forma expresa que las escrituras públicas de venta y sus inscripciones registrales dicen ‘una centésima por ciento’ y en el mencionado documento 6, la inicial omisión que se produce cuando solo dice ‘una centésima’, ya se ha dicho que se corrige adicionando entre líneas ‘todas por ciento’; y sin embargo a continuación, se afirma que la cuota de participación es de un entero por ciento (1 %), y no de una centésima por ciento (0,01 %), como había señalado anteriormente”. Igualmente, denuncian la vulneración del principio de intangibilidad de las resoluciones judiciales, ya que, consistiendo el fondo del asunto, precisamente, en dictaminar si la cuota era del 1 por 100 o del 0,01 por 100, no cabe afirmar que se ha incurrido en error aritmético al establecer dicha cuota. Por último, añaden que con el complemento del Auto de aclaración la Sentencia de apelación incurriría en incongruencia, ya que, </w:t>
      </w:r>
      <w:r>
        <w:lastRenderedPageBreak/>
        <w:t xml:space="preserve">declarando que los porcentajes de participación son del 1 por 100, sin embargo, mantiene la anulación de los acuerdos en los que se aplicó ese porcentaje. </w:t>
      </w:r>
    </w:p>
    <w:p w:rsidR="00DE14C9" w:rsidRDefault="00DE14C9" w:rsidP="00DE14C9">
      <w:pPr>
        <w:pStyle w:val="TextoNormal"/>
      </w:pPr>
      <w:r>
        <w:t xml:space="preserve">g) El órgano judicial de apelación, por providencia de 15 de abril de 2003, expuso que “dado que se discute una cuestión aritmética para determinar la participación de los locales en los gastos comunes, que es esencial en la pretensión ejercitada, se concede a las partes un término común de cinco días para que puedan indicar al tribunal si debe decretarse la nulidad de actuaciones desde la sentencia de 13 de febrero de 2003 que llevaría a dictar otra, en la cual se podría tener en cuenta el resultado de una prueba pericial en diligencias finales realizadas por un profesor de aritmética o por otro técnico en la materia, ya que si dicha prueba en algunos casos es aconsejable, en el presente supuesto es necesaria”. La comunidad de propietarios alegó la procedencia y necesidad de someter la cuestión litigiosa a la prueba pericial indicada. Los recurrentes en amparo se opusieron a que se anulara la Sentencia de apelación al no existir en la misma ningún defecto que pudiera dar lugar a dicha nulidad, señalando que la única resolución nula de plena derecho sería el Auto de aclaración que ha vulnerado el principio de intangibilidad de las resoluciones judiciales. Por Auto de 30 de mayo de 2003 se acordó confirmar íntegramente el Auto de aclaración, insistiendo que en el mismo se limitaba a rectificar un error aritmético dentro de los márgenes que para ello establece el art. 267 LOPJ. La comunidad solicitó nueva aclaración en el sentido de rectificar el pronunciamiento sobre costas procesales en ambas instancias, acordándose por Auto de 2 de julio de 2003 que “como la principal petición que la comunidad de propietarios efectuó en su recurso tuvo favorable acogida en virtud de lo dispuesto en el auto de 17 de marzo de 2003, no se hace especial declaración sobre pago de las costas procesales del mencionado recurso de apelación”. </w:t>
      </w:r>
    </w:p>
    <w:p w:rsidR="00DE14C9" w:rsidRDefault="00DE14C9" w:rsidP="00DE14C9">
      <w:pPr>
        <w:pStyle w:val="TextoNormal"/>
      </w:pPr>
      <w:r>
        <w:t>h) Los recurrentes en amparo solicitaron que se tuviera por preparado recurso de casación, denegándose por Auto de 11 de julio de 2003, que fue confirmado en reposición por otro de 1 de octubre de 2003. Interpuesto recurso de queja, tramitado con el núm. 1310-2003, fue desestimado por Auto de la Sala de lo Civil del Tribunal Supremo de 9 de diciembre de 2003.</w:t>
      </w:r>
    </w:p>
    <w:p w:rsidR="00DE14C9" w:rsidRDefault="00DE14C9" w:rsidP="00DE14C9">
      <w:pPr>
        <w:pStyle w:val="TextoNormal"/>
      </w:pPr>
    </w:p>
    <w:p w:rsidR="00DE14C9" w:rsidRDefault="00DE14C9" w:rsidP="00DE14C9">
      <w:pPr>
        <w:pStyle w:val="TextoNormal"/>
      </w:pPr>
      <w:r w:rsidRPr="00DE14C9">
        <w:rPr>
          <w:rStyle w:val="NumeroAFNegritaCaracter"/>
        </w:rPr>
        <w:t>3</w:t>
      </w:r>
      <w:r>
        <w:t>. Los recurrentes aducen que se ha vulnerado su derecho a la tutela judicial efectiva (art. 24.1 CE), en su vertiente de intangibilidad de las resoluciones judiciales. Argumentan que el Auto de 17 de marzo de 2003, confirmado por el de 30 de mayo de 2003, y el Auto de 2 de julio de 2003, han modificado el fallo de la Sentencia de 13 de febrero de 2003, en lo relativo a establecer que la cuota de participación en gastos era del 1 por 100 y no del 0,01 por 100 y que no existía especial pronunciamiento sobre las costas, respectivamente, sin que concurriera ninguna de las causas legales para ello. Así, señalan que no puede afirmarse que se hubiera incurrido en un error aritmético al establecer las cuotas de participación en el 0,01 por 100, en vez de en el 1 por 100, cuando ese era, precisamente, el objeto de la controversia. Igualmente, alegan la vulneración del art. 24.1 CE, ya que mediante las aclaraciones impugnadas se ha producido en la Sentencia aclarada un vicio de incongruencia en el fallo, pues contiene pronunciamientos contradictorios, como son mantener la anulación de los acuerdos de la junta de propietarios, en tanto que prorrateó los gastos asignando una cuota del 1 por 100 y no del 0,01 por 100, y declarar que su cuota es del 1 por 100.</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La Sección Segunda de este Tribunal, por providencia de 31 de mayo de 2004, acordó admitir a trámite la demanda de amparo y, en aplicación de lo dispuesto en el art. 51 LOTC, requerir atentamente del órgano judicial la remisión del testimonio de las actuaciones y el </w:t>
      </w:r>
      <w:r>
        <w:lastRenderedPageBreak/>
        <w:t>emplazamiento de quienes hubieran sido parte en el procedimiento para que pudiesen comparecer en el plazo de diez días en el presente proceso de amparo. Igualmente se acordó formar la correspondiente pieza separada de suspensión, en la que, tras los trámites oportunos, se dictó por la Sala Primera de este Tribunal el ATC 272/2004, de 12 de julio, denegando la suspensión solicitada.</w:t>
      </w:r>
    </w:p>
    <w:p w:rsidR="00DE14C9" w:rsidRDefault="00DE14C9" w:rsidP="00DE14C9">
      <w:pPr>
        <w:pStyle w:val="TextoNormal"/>
      </w:pPr>
    </w:p>
    <w:p w:rsidR="00DE14C9" w:rsidRDefault="00DE14C9" w:rsidP="00DE14C9">
      <w:pPr>
        <w:pStyle w:val="TextoNormal"/>
      </w:pPr>
      <w:r w:rsidRPr="00DE14C9">
        <w:rPr>
          <w:rStyle w:val="NumeroAFNegritaCaracter"/>
        </w:rPr>
        <w:t>5</w:t>
      </w:r>
      <w:r>
        <w:t>. La Secretaria de Justicia de la Sala Primera de este Tribunal, por diligencia de ordenación de 14 de julio de 2004, tuvo por recibido el testimonio de las actuaciones y por personado al Procurador de los Tribunales don Federico Pinilla Romeo, en nombre y representación de la comunidad de propietarios del edificio Alacant-1 de Alicante. Asimismo acordó, a tenor de lo dispuesto en el art. 52 LOTC, dar vista de todas las actuaciones al Ministerio Fiscal y a las partes personadas por plazo común de veinte días para presentar las alegaciones que estimasen pertinentes.</w:t>
      </w:r>
    </w:p>
    <w:p w:rsidR="00DE14C9" w:rsidRDefault="00DE14C9" w:rsidP="00DE14C9">
      <w:pPr>
        <w:pStyle w:val="TextoNormal"/>
      </w:pPr>
    </w:p>
    <w:p w:rsidR="00DE14C9" w:rsidRDefault="00DE14C9" w:rsidP="00DE14C9">
      <w:pPr>
        <w:pStyle w:val="TextoNormal"/>
      </w:pPr>
      <w:r w:rsidRPr="00DE14C9">
        <w:rPr>
          <w:rStyle w:val="NumeroAFNegritaCaracter"/>
        </w:rPr>
        <w:t>6</w:t>
      </w:r>
      <w:r>
        <w:t>. El Ministerio Fiscal, por escrito registrado el 7 de septiembre de 2004, interesó que se otorgara el amparo por vulneración del derecho a la tutela judicial efectiva (art. 24.1 CE) y se anularan los Autos de 17 de marzo, 30 de mayo y 2 de julio de 2003. A esos efectos se argumenta que la modificación acordada por el Auto de aclaración de 17 de marzo de 2003, posteriormente confirmada por el de 30 de mayo de 2003, en el sentido de que la cuota de participación era del 1 por 100 y no del 0,01 por 100, no cabe incluirse dentro del concepto de error aritmético del art. 267 LOPJ. En primer lugar, el objeto del pleito versaba precisamente sobre una diferencia del cálculo de porcentaje que se debía abonar por los actores, siendo la aceptación de una u otra cifra lo que llevaba a la estimación o desestimación de las pretensiones. Y, en segundo lugar, el cambio obedece no a un desajuste de la fundamentación o razonamiento sino al cambio de que esté apoyado en una diferente valoración de la misma prueba que sirvió para desestimar la apelación. También, destaca el Ministerio Fiscal que la interposición del recurso de casación es un intento razonable de agotar la vía judicial previa.</w:t>
      </w:r>
    </w:p>
    <w:p w:rsidR="00DE14C9" w:rsidRDefault="00DE14C9" w:rsidP="00DE14C9">
      <w:pPr>
        <w:pStyle w:val="TextoNormal"/>
      </w:pPr>
    </w:p>
    <w:p w:rsidR="00DE14C9" w:rsidRDefault="00DE14C9" w:rsidP="00DE14C9">
      <w:pPr>
        <w:pStyle w:val="TextoNormal"/>
      </w:pPr>
      <w:r w:rsidRPr="00DE14C9">
        <w:rPr>
          <w:rStyle w:val="NumeroAFNegritaCaracter"/>
        </w:rPr>
        <w:t>7</w:t>
      </w:r>
      <w:r>
        <w:t>. La parte comparecida no presentó alegaciones.</w:t>
      </w:r>
    </w:p>
    <w:p w:rsidR="00DE14C9" w:rsidRDefault="00DE14C9" w:rsidP="00DE14C9">
      <w:pPr>
        <w:pStyle w:val="TextoNormal"/>
      </w:pPr>
    </w:p>
    <w:p w:rsidR="00DE14C9" w:rsidRDefault="00DE14C9" w:rsidP="00DE14C9">
      <w:pPr>
        <w:pStyle w:val="TextoNormal"/>
      </w:pPr>
      <w:r w:rsidRPr="00DE14C9">
        <w:rPr>
          <w:rStyle w:val="NumeroAFNegritaCaracter"/>
        </w:rPr>
        <w:t>8</w:t>
      </w:r>
      <w:r>
        <w:t>. Los recurrentes, por escrito registrado el 15 de septiembre de 2004, solicitaron que se tuvieran por reproducidas las alegaciones contenidas en la demanda de amparo.</w:t>
      </w:r>
    </w:p>
    <w:p w:rsidR="00DE14C9" w:rsidRDefault="00DE14C9" w:rsidP="00DE14C9">
      <w:pPr>
        <w:pStyle w:val="TextoNormal"/>
      </w:pPr>
    </w:p>
    <w:p w:rsidR="00DE14C9" w:rsidRDefault="00DE14C9" w:rsidP="00DE14C9">
      <w:pPr>
        <w:pStyle w:val="TextoNormal"/>
      </w:pPr>
      <w:r w:rsidRPr="00DE14C9">
        <w:rPr>
          <w:rStyle w:val="NumeroAFNegritaCaracter"/>
        </w:rPr>
        <w:t>9</w:t>
      </w:r>
      <w:r>
        <w:t>. Por providencia de fecha 20 de julio de 2007 se señaló para deliberación y votación de la presente Sentencia el día 23 del mismo mes y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xml:space="preserve">. El objeto del presente recurso de amparo es determinar si se ha vulnerado el derecho de los recurrentes a la tutela judicial efectiva (art. 24.1 CE), en su vertiente de intangibilidad o inmodificabilidad de las resoluciones judiciales, por haberse extralimitado el órgano judicial de apelación en sus facultades de aclaración en los Autos de 17 de marzo de 2003 —confirmado por el de 30 de mayo de 2003— y de 2 de julio de 2003, al modificar el fallo de la Sentencia de 13 de febrero de 2003, en los extremos relativos a establecer, el primero, que la cuota de participación de los locales en determinados gastos de la comunidad era del </w:t>
      </w:r>
      <w:r>
        <w:lastRenderedPageBreak/>
        <w:t>1 por 100, y no del 0,01 por 100, y, el segundo, que no existía especial pronunciamiento sobre las costas en la apelación. Sólo subsidiariamente, en caso no de apreciarse dicha vulneración, será preciso analizar si la Sentencia, con el complemento de los Autos de aclaración, incurre en la vulneración aducida por los recurrente del derecho a la tutela judicial efectiva (art. 24.1 CE) por contener pronunciamientos contradictorios entre sí.</w:t>
      </w:r>
    </w:p>
    <w:p w:rsidR="00DE14C9" w:rsidRDefault="00DE14C9" w:rsidP="00DE14C9">
      <w:pPr>
        <w:pStyle w:val="TextoNormal"/>
      </w:pPr>
    </w:p>
    <w:p w:rsidR="00DE14C9" w:rsidRDefault="00DE14C9" w:rsidP="00DE14C9">
      <w:pPr>
        <w:pStyle w:val="TextoNormal"/>
      </w:pPr>
      <w:r w:rsidRPr="00DE14C9">
        <w:rPr>
          <w:rStyle w:val="NumeroAFNegritaCaracter"/>
        </w:rPr>
        <w:t>2</w:t>
      </w:r>
      <w:r>
        <w:t>. Este Tribunal ha reiterado que la protección constitucional de la inmodificabilidad de las resoluciones judiciales, como garantía contenida en el derecho a la tutela judicial efectiva (art. 24.1 CE), implica que los órganos judiciales no puedan revisar sus decisiones al margen de los supuestos y casos taxativamente previstos por la Ley, incluso en la hipótesis de que con posterioridad entendiesen que su decisión no se ajusta a la legalidad. Igualmente, se ha destacado que el mecanismo arbitrado por el legislador en el art. 267 de la Ley Orgánica del Poder Judicial (LOPJ), que posibilita a los órganos judiciales aclarar algún concepto oscuro, suplir cualquier omisión o corregir algún error material o aritmético deslizado en sus resoluciones, es plenamente compatible con el principio de invariabilidad o inmodificabilidad, puesto que, siendo un instrumento para garantizar la tutela judicial, no integra tal derecho el beneficiarse de oscuridades, omisiones o errores materiales en que se hubiera podido incurrir en las resoluciones judiciales (por todas, STC 139/2006, de 8 de mayo, FJ 2).</w:t>
      </w:r>
    </w:p>
    <w:p w:rsidR="00DE14C9" w:rsidRDefault="00DE14C9" w:rsidP="00DE14C9">
      <w:pPr>
        <w:pStyle w:val="TextoNormal"/>
      </w:pPr>
      <w:r>
        <w:t>Más en concreto, por lo que se refiere a la rectificación de los errores materiales manifiestos o aritméticos, este Tribunal ha señalado, por un lado, que como tales sólo cabe considerar aquellos cuya corrección no implica un juicio valorativo, ni exige operaciones de calificación jurídica o nuevas y distintas apreciaciones de la prueba, ni supone resolver cuestiones discutibles y opinables por evidenciarse el error directamente al deducirse, con toda certeza, del propio texto de la resolución o del contexto procesal en la que se inscribe, sin necesidad de hipótesis, deducciones o interpretaciones. Y, por otro, que, en la medida en que la corrección del error material entraña siempre algún tipo de modificación, no cabe excluir la posibilidad de que comporte incluso una revisión del sentido del fallo de la resolución judicial rectificada, si se evidencia que el órgano judicial simplemente se equivocó al trasladar el resultado de su juicio al fallo (por todas, STC 357/2006, de 18 de diciembre, FJ 2).</w:t>
      </w:r>
    </w:p>
    <w:p w:rsidR="00DE14C9" w:rsidRDefault="00DE14C9" w:rsidP="00DE14C9">
      <w:pPr>
        <w:pStyle w:val="TextoNormal"/>
      </w:pPr>
    </w:p>
    <w:p w:rsidR="00DE14C9" w:rsidRDefault="00DE14C9" w:rsidP="00DE14C9">
      <w:pPr>
        <w:pStyle w:val="TextoNormal"/>
      </w:pPr>
      <w:r w:rsidRPr="00DE14C9">
        <w:rPr>
          <w:rStyle w:val="NumeroAFNegritaCaracter"/>
        </w:rPr>
        <w:t>3</w:t>
      </w:r>
      <w:r>
        <w:t>. En el presente caso, no es controvertido que la Audiencia Provincial procedió por dos veces a rectificar el fallo de su Sentencia de 13 de febrero de 2003. La primera, por Auto de 17 de marzo de 2003, confirmado por el de 30 de mayo de 2003, alegando haberse producido un error aritmético al establecer que la cuota de participación era del 1 por 100 y no del 0,01 por 100. La segunda, por Auto de 2 de julio de 2003, para, en lógica con el anterior, acordar que no existía especial pronunciamiento sobre las costas en la apelación. Por el contrario, lo determinante para poder valorar la existencia de una extralimitación en las facultades judiciales de rectificación que prevé el art. 267 LOPJ y, por tanto, si ha existido la aducida vulneración del art.  24.1 CE, es comprobar si modificar la referencia al 0,01 por 100 por la del 1 por 100 era el producto de un mero error aritmético judicial. Para ello resulta ineludible, conforme a la jurisprudencia señalada, acudir al contenido de la propia resolución y a su contexto procesal.</w:t>
      </w:r>
    </w:p>
    <w:p w:rsidR="00DE14C9" w:rsidRDefault="00DE14C9" w:rsidP="00DE14C9">
      <w:pPr>
        <w:pStyle w:val="TextoNormal"/>
      </w:pPr>
      <w:r>
        <w:t xml:space="preserve">Como se ha expuesto en los antecedentes con más detenimiento, en las actuaciones se constata, en lo relativo al marco procesal, que la controversia que dio lugar al proceso civil era dilucidar la cuota de participación de los locales de los recurrentes en determinados gastos de la comunidad. Así, los escritos iniciales de demanda y contestación evidencian que mientras los recurrentes mantenían que dicha cuota era del 0,01 por 100, toda vez que </w:t>
      </w:r>
      <w:r>
        <w:lastRenderedPageBreak/>
        <w:t>los títulos constitutivos inscritos registralmente expresamente fijaban dicha cuota en “una centésima por ciento”, la comunidad sostenía que, con independencia de lo que se estableciera en los dichos títulos, la cuota de participación era del 1 por 100, por haber sido modificada dicha cuota por la junta de propietarios en virtud de su libre capacidad de pactos. La Sentencia de 3 de diciembre de 2001 dio la razón a los recurrentes acordando en el fallo que “el coeficiente de contribución que debe ser aplicado a los locales 9 y 10 de edificio es de una centésima, es decir de 0,01 %”, argumentando que, de acuerdo con la prueba documental practicada, “la participación de los locales de los que son propietarios los actores en cuanto a los gastos de escalera y ascensor no es del 1,000 % como sostiene la parte demandada sino de una centésima por ciento como sostiene la parte actora” (fundamento jurídico segundo).</w:t>
      </w:r>
    </w:p>
    <w:p w:rsidR="00DE14C9" w:rsidRDefault="00DE14C9" w:rsidP="00DE14C9">
      <w:pPr>
        <w:pStyle w:val="TextoNormal"/>
      </w:pPr>
      <w:r>
        <w:t>Igualmente se pone de manifiesto, por un lado, que la comunidad insistió en su recurso de apelación, entre otros extremos, en la existencia de un acuerdo modificando el porcentaje de participación establecido en el título constitutivo de la división horizontal y, por otro, que fue en el rollo de apelación, una vez que ya habían sido presentados los escritos de apelación y de oposición, cuando la comunidad aduce un supuesto error aritmético en que habría incurrido la Sentencia de instancia al identificar la expresión “una centésima por ciento”, contenida en las inscripciones registrales, con su traslación numérica a “0,01 %”, entendiendo que aritméticamente se corresponde con “1 %”. Así, son diversos los escritos que la comunidad intenta aportar respecto de ese particular, acordándose, por providencia de 20 de diciembre de 2002, en relación con la alegación de error material sobre los coeficientes, que en la Sentencia de apelación se decidiría y, en relación con los informes periciales sobre la cuestión aritmética, que podría ser requerido, si fuera necesario, por diligencia final.</w:t>
      </w:r>
    </w:p>
    <w:p w:rsidR="00DE14C9" w:rsidRDefault="00DE14C9" w:rsidP="00DE14C9">
      <w:pPr>
        <w:pStyle w:val="TextoNormal"/>
      </w:pPr>
      <w:r>
        <w:t>La actuaciones judiciales también permiten constatar, en lo relativo al contenido de la sentencia de apelación, que la Audiencia Provincial, por Sentencia de 13 de febrero de 2003, desestimó el recurso poniendo de manifiesto que “en las escrituras de compraventa de los locales y en las correspondientes certificaciones registrales consta que la participación en gastos por escalera y ascensor de dichos locales es una centésima, es decir, el 0,01 %”, y que “en relación con los documentos que la comunidad tenía interés en unir a las actuaciones ... dichos documentos son innecesarios en cuanto no existe duda alguna para formar convicción sobre la materia planteada, y como no deben unirse no es procedente acordar sobre la práctica de esas diligencias” (fundamento de derecho tercero).</w:t>
      </w:r>
    </w:p>
    <w:p w:rsidR="00DE14C9" w:rsidRDefault="00DE14C9" w:rsidP="00DE14C9">
      <w:pPr>
        <w:pStyle w:val="TextoNormal"/>
      </w:pPr>
      <w:r>
        <w:t xml:space="preserve">Por último, en lo referido a las concretas incidencias de las sucesivas aclaraciones, cabe destacar que la comunidad de propietarios, al amparo del art. 267 LOPJ, insistió en la existencia del error aritmético, acordándose por Auto de 17 de marzo de 2003 rectificar la Sentencia “aclarando que la participación de los locales 9 y 10 mencionados, en gastos de escalera y ascensor es del 1 por ciento”. En dicho Auto se argumenta que “para resolver esta cuestión debe hacerse un detallado análisis de los datos que obran en las respectivas escrituras públicas de compraventa y de la correspondiente inscripción registral. En la escritura pública de compraventa de 24 de abril de 1999, el actor señor Pérez Vaca compró dichos locales, y en la misma se puede leer, sobre su participación en gastos de escalera y ascensor ‘se le asigna a cada uno una participación de su (sic) entero por ciento’. En las inscripciones registrales consta, en la respectiva inscripción de cada local una participación de ‘una centésima por ciento’ (documentos 3 y 5 de la demanda) y en el documento 6 de la misma, cuando se refiere a los gastos de escalera y ascensor, se dice que contribuirán, textualmente, ‘con una centésima los uno-cuatro-seis-siete-ocho-nueve-diez-once, con cincuenta centésimas de entero el tres, una y media centésimas el dos, dos centésimas el cinco (aquí está entre </w:t>
      </w:r>
      <w:r>
        <w:lastRenderedPageBreak/>
        <w:t>renglones ‘todas por ciento’)” (fundamento de derecho segundo). En el fundamento de derecho tercero se añade que “de cuanto queda dicho se desprende que al fijarse en la parte dispositiva de la sentencia de instancia como coeficiente de participación ‘una centésima, es decir 0´01 %’, que luego se confirmó por la que se dictó en apelación, no se hizo el cálculo con arreglo a lo que indican los títulos respectivos. En el texto de la sentencia de instancia, es de ver que se habla de una centésima sin más, pero esa parte es distinta si se refiere a unidad o centena. La centésima parte de uno es 0,01 pero la centésima de 100 es 1. Las escrituras públicas de venta y sus inscripciones registrales dicen ‘una centésima por ciento’ y en el mencionado documento 6, la inicial omisión que se produce cuando se dice `una centésima ya se ha dicho que se corrige adicionando entre líneas ‘todas por ciento”. Este Auto fue confirmado por otro de 30 de mayo de 2003, pero antes de ello la Audiencia Provincial, por providencia de 15 de abril de 2003, concedió a las partes un trámite de alegaciones sobre la posibilidad de anular la Sentencia de 13 de febrero de 2003 para que se practicara una pericial aritmética sobre la determinación de la cuota participación de los locales en los gastos comunes. Posteriormente, recayó un segundo Auto de aclaración  de 2 de julio de 2003 en el sentido de no hacer especial declaración de condena en constas en la apelación.</w:t>
      </w:r>
    </w:p>
    <w:p w:rsidR="00DE14C9" w:rsidRDefault="00DE14C9" w:rsidP="00DE14C9">
      <w:pPr>
        <w:pStyle w:val="TextoNormal"/>
      </w:pPr>
    </w:p>
    <w:p w:rsidR="00DE14C9" w:rsidRDefault="00DE14C9" w:rsidP="00DE14C9">
      <w:pPr>
        <w:pStyle w:val="TextoNormal"/>
      </w:pPr>
      <w:r w:rsidRPr="00DE14C9">
        <w:rPr>
          <w:rStyle w:val="NumeroAFNegritaCaracter"/>
        </w:rPr>
        <w:t>4</w:t>
      </w:r>
      <w:r>
        <w:t>. En atención a las circunstancias expuestas, es concluyente que la rectificación del fallo de la Sentencia de 13 de febrero de 2003, operada por el Auto de 17 de marzo de 2003, en el sentido de determinar que la cuota de participación de los locales de los recurrentes era del 1 por 100 y no del 0,01 por 100 no puede considerarse un mero error aritmético del órgano judicial, al expresar numéricamente la referencia a “una centésima por ciento”, que quepa deducir de manera inequívoca de su contenido y del contexto del procedimiento. Por tanto, dicha rectificación no se acoge a los estrictos términos establecidos por el art. 267 LOPJ, lo que implica que se ha vulnerado el derecho de los recurrentes a la tutela judicial efectiva (art. 24.1 CE), desde la perspectiva del derecho de la intangibilidad de las resoluciones judiciales.</w:t>
      </w:r>
    </w:p>
    <w:p w:rsidR="00DE14C9" w:rsidRDefault="00DE14C9" w:rsidP="00DE14C9">
      <w:pPr>
        <w:pStyle w:val="TextoNormal"/>
      </w:pPr>
      <w:r>
        <w:t xml:space="preserve">En efecto, son diversos los elementos presentes en las actuaciones que permiten concluir que la rectificación efectuada no respondía a un mero error aritmético. En primer lugar, más allá de la evidencia de que la cuestión de fondo litigiosa era, desde un principio, si la cuota de participación era del 1 por 100 o del 0,01 por 100, aunque con fundamento distinto en los problemas aritméticos de cuál es la traslación numérica de la expresión una centésima por ciento, en las Sentencias de instancia y apelación se estimaron la pretensión de los recurrentes de que su cuota de participación, en expresión numérica, era del 0,01 por 100 y no del 1 por 100. En segundo lugar, es manifiesto que antes de resolverse la apelación ya era expreso para la Audiencia Provincial la existencia de eventuales problemas técnicos de traslación numérica de la expresión “centésima por ciento” y la posibilidad de que por diligencias finales pudiera articularse una prueba pericial al respecto. Sin embargo, ambas cuestiones fueron objeto de respuesta directa en la Sentencia de apelación en el sentido de que era innecesario practicar dicha prueba al no existir duda alguna en el Tribunal para formar convicción sobre la materia planteada. En tercer lugar, también se evidencia con la lectura del Auto de aclaración que el argumento para proceder a la rectificación del fallo de la Sentencia desde el 0,01 por 100 de cuota al 1 por 100 no residía en una mera cuestión aritmética, sino, como también indica el Ministerio Fiscal, en una nueva valoración de los elementos de prueba como es el contenido de las inscripciones registrales en torno a la determinación de cuál era la base de la expresión centésima. Amén de ello, y en último lugar, también es un elemento relevante a los efectos de determinar que no se está ante un mero </w:t>
      </w:r>
      <w:r>
        <w:lastRenderedPageBreak/>
        <w:t>error aritmético sino ante una cuestión de fondo, que la Audiencia Provincial tras acceder a la rectificación, y en respuesta a una solicitud de aclaración de los recurrentes, pretendiera declarar la nulidad de oficio de la Sentencia aclarada para proceder, ahora sí, como diligencia final a la práctica de la prueba pericial que en dicha Sentencia ya expresamente se había desechado por ser innecesaria para formar su convicción.</w:t>
      </w:r>
    </w:p>
    <w:p w:rsidR="00DE14C9" w:rsidRDefault="00DE14C9" w:rsidP="00DE14C9">
      <w:pPr>
        <w:pStyle w:val="TextoNormal"/>
      </w:pPr>
      <w:r>
        <w:t>Por tanto, con independencia de la cuestión sobre si la mención que se hace en las diversas pruebas documentales a una centésima lo es sobre la base de uno o de cien y sobre cuál deba ser la expresión aritmética de dicha expresión, lo cierto es que, desde la exclusiva perspectiva que ahora se debe analizar, ha quedado acreditado que la decisión adoptada en la Sentencia de apelación sobre que la cuota de participación controvertida era del 0,01 por 100 y no del 1 por 100 lo había sido de manera consciente sobre la base de la aplicación de los criterios de valoración jurídica y fáctica que tuvo a bien asumir el órgano judicial a partir de los diversos documentos probatorios. Ello es suficiente para descartar que se esté ante un supuesto de error aritmético que justifique una alteración del sentido del fallo de una resolución por la vía de la aclaración, lo que determina que deba estimarse el amparo solicitado y anularse el Auto de aclaración de la Sección Quinta de la Audiencia Provincial de Alicante de 17 de marzo de 2003, así como el de 30 de mayo de 2003 que lo confirmó.</w:t>
      </w:r>
    </w:p>
    <w:p w:rsidR="00DE14C9" w:rsidRDefault="00DE14C9" w:rsidP="00DE14C9">
      <w:pPr>
        <w:pStyle w:val="TextoNormal"/>
      </w:pPr>
      <w:r>
        <w:t>El Auto de aclaración de 2 de julio de 2003, que acordó modificar por segunda vez el fallo de la Sentencia de 13 de febrero de 2003, en esta ocasión en el extremo relativo a que no existía especial pronunciamiento sobre las costas en la apelación, también debe ser anulado. En efecto, si bien esta nueva modificación no puede concluirse que, en sí misma considerada, quede al margen de la vía de aclaración del art. 267 LOPJ, sin embargo, es indubitado, por haberse hecho así expreso en dicho Auto, que su presupuesto lógico fue exclusivamente la primera aclaración que, como se ha argumentado, resulta contraria a las exigencias del art. 24.1 CE. Ello implica que para el restablecimiento de los recurrentes en la integridad de su derecho a la tutela judicial efectiva, en los términos expuestos en el art. 55.1 c) LOTC, deba, igualmente, procederse a su anulación.</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a doña Rosa María Pérez Yanes y don Manuel Pérez Vaca el amparo solicitado y, en consecuencia:</w:t>
      </w:r>
    </w:p>
    <w:p w:rsidR="00DE14C9" w:rsidRDefault="00DE14C9" w:rsidP="00DE14C9">
      <w:pPr>
        <w:pStyle w:val="TextoNormal"/>
      </w:pPr>
      <w:r>
        <w:t>1º Reconocer su derecho a la tutela judicial efectiva en su dimensión de derecho a la inmodificabilidad o intangibilidad de las resoluciones judiciales (art. 24.1 CE).</w:t>
      </w:r>
    </w:p>
    <w:p w:rsidR="00DE14C9" w:rsidRDefault="00DE14C9" w:rsidP="00DE14C9">
      <w:pPr>
        <w:pStyle w:val="TextoNormal"/>
      </w:pPr>
      <w:r>
        <w:t>2º Declarar la nulidad de los Autos de la Sección Quinta de la Audiencia Provincial de Alicante de 17 de marzo, 30 de mayo y 2 de julio de 2003, dictados en el rollo de apelación civil núm. 520-2002.</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veintitrés de julio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85" w:name="SENTENCIA_2007_172"/>
      <w:r>
        <w:lastRenderedPageBreak/>
        <w:t>SENTENCIA 172/2007, de 23 de julio de 2007</w:t>
      </w:r>
    </w:p>
    <w:bookmarkEnd w:id="85"/>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200, de 21 de julio de 2007)</w:t>
      </w:r>
    </w:p>
    <w:p w:rsidR="00DE14C9" w:rsidRDefault="00DE14C9" w:rsidP="00DE14C9">
      <w:pPr>
        <w:pStyle w:val="TtuloBOE"/>
      </w:pPr>
    </w:p>
    <w:p w:rsidR="00DE14C9" w:rsidRDefault="00DE14C9" w:rsidP="00DE14C9">
      <w:pPr>
        <w:pStyle w:val="SntesisDescriptiva"/>
      </w:pPr>
      <w:r>
        <w:t>ECLI:ES:TC:2007:172</w:t>
      </w:r>
    </w:p>
    <w:p w:rsidR="00DE14C9" w:rsidRDefault="00DE14C9" w:rsidP="00DE14C9">
      <w:pPr>
        <w:pStyle w:val="SntesisDescriptiva"/>
      </w:pPr>
    </w:p>
    <w:p w:rsidR="00DE14C9" w:rsidRDefault="00DE14C9" w:rsidP="00DE14C9">
      <w:pPr>
        <w:pStyle w:val="SntesisDescriptiva"/>
      </w:pPr>
      <w:r>
        <w:t>Recurso de amparo 133-2004. Promovido por don José Manuel Crespo Proupín respecto al Auto del Tribunal Supremo y a las Sentencias del Tribunal Superior de Justicia de Galicia y de un Juzgado de lo Social de Santiago de Compostela que inadmitieron su demanda contra Feiraco por despido.</w:t>
      </w:r>
    </w:p>
    <w:p w:rsidR="00DE14C9" w:rsidRDefault="00DE14C9" w:rsidP="00DE14C9">
      <w:pPr>
        <w:pStyle w:val="SntesisDescriptiva"/>
      </w:pPr>
    </w:p>
    <w:p w:rsidR="00DE14C9" w:rsidRDefault="00DE14C9" w:rsidP="00DE14C9">
      <w:pPr>
        <w:pStyle w:val="SntesisAnaltica"/>
      </w:pPr>
      <w:r>
        <w:t>Vulneración del derecho a la tutela judicial efectiva (acceso a la justicia): inadmisión de demanda social por no formular reclamación previa en la cooperativa, cuando se había celebrado conciliación y no se requirió la subsanación.</w:t>
      </w:r>
    </w:p>
    <w:p w:rsidR="00DE14C9" w:rsidRDefault="00DE14C9" w:rsidP="00DE14C9">
      <w:pPr>
        <w:pStyle w:val="SntesisAnaltica"/>
      </w:pPr>
    </w:p>
    <w:p w:rsidR="00DE14C9" w:rsidRDefault="00DE14C9" w:rsidP="00DE14C9">
      <w:pPr>
        <w:pStyle w:val="Extracto"/>
      </w:pPr>
      <w:r>
        <w:t>1.</w:t>
      </w:r>
      <w:r>
        <w:tab/>
        <w:t>Que el órgano judicial negara todo valor al intento de cumplimiento de los requisitos preprocesales, omitiendo otorgar un plazo de subsanación a la obligación de la reclamación previa ante el órgano correspondiente de la cooperativa, pone de manifiesto la aplicación desproporcionada de este óbice procesal, impidiendo con ello un pronunciamiento sobre el fondo de la pretensión ejercitada vulnerando el derecho a la tutela judicial efectiva [FJ 4].</w:t>
      </w:r>
    </w:p>
    <w:p w:rsidR="00DE14C9" w:rsidRDefault="00DE14C9" w:rsidP="00DE14C9">
      <w:pPr>
        <w:pStyle w:val="Extracto"/>
      </w:pPr>
    </w:p>
    <w:p w:rsidR="00DE14C9" w:rsidRDefault="00DE14C9" w:rsidP="00DE14C9">
      <w:pPr>
        <w:pStyle w:val="Extracto"/>
      </w:pPr>
      <w:r>
        <w:t>2.</w:t>
      </w:r>
      <w:r>
        <w:tab/>
        <w:t>Doctrina sobre el derecho a la tutela judicial efectiva en su vertiente del derecho de acceso a la jurisdicción (SSTC 274/2006, 131/2007) [FJ 2].</w:t>
      </w:r>
    </w:p>
    <w:p w:rsidR="00DE14C9" w:rsidRDefault="00DE14C9" w:rsidP="00DE14C9">
      <w:pPr>
        <w:pStyle w:val="Extracto"/>
      </w:pPr>
    </w:p>
    <w:p w:rsidR="00DE14C9" w:rsidRDefault="00DE14C9" w:rsidP="00DE14C9">
      <w:pPr>
        <w:pStyle w:val="Extracto"/>
      </w:pPr>
      <w:r>
        <w:t>3.</w:t>
      </w:r>
      <w:r>
        <w:tab/>
        <w:t>Doctrina sobre los requisitos preprocesales de la conciliación y de la reclamación administrativa previa en el ámbito de la jurisdicción laboral (SSTC 330/2006, 119/2007) [FJ 2].</w:t>
      </w:r>
    </w:p>
    <w:p w:rsidR="00DE14C9" w:rsidRDefault="00DE14C9" w:rsidP="00DE14C9">
      <w:pPr>
        <w:pStyle w:val="Extracto"/>
      </w:pPr>
    </w:p>
    <w:p w:rsidR="00DE14C9" w:rsidRDefault="00DE14C9" w:rsidP="00DE14C9">
      <w:pPr>
        <w:pStyle w:val="Extracto"/>
      </w:pPr>
      <w:r>
        <w:t>4.</w:t>
      </w:r>
      <w:r>
        <w:tab/>
        <w:t>Procede la anulación de las resoluciones judiciales impugnadas, incluyendo el Auto del Tribunal Supremo, aunque sólo en la medida en que declaró la firmeza de la Sentencia de suplicación recurrida, así como la retroacción de actuaciones para que se dicte nueva resolución con respecto al derecho constitucional reconocido (STC 140/2006) [FJ 4].</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lastRenderedPageBreak/>
        <w:t>SENTENCIA</w:t>
      </w:r>
    </w:p>
    <w:p w:rsidR="00DE14C9" w:rsidRDefault="00DE14C9" w:rsidP="00DE14C9">
      <w:pPr>
        <w:pStyle w:val="TextoNormalCentrado"/>
        <w:keepNext/>
      </w:pPr>
    </w:p>
    <w:p w:rsidR="00DE14C9" w:rsidRDefault="00DE14C9" w:rsidP="00DE14C9">
      <w:pPr>
        <w:pStyle w:val="TextoNormal"/>
      </w:pPr>
      <w:r>
        <w:t>En el recurso de amparo núm. 133-2004, promovido por don José Manuel Crespo Proupín, representado por el Procurador de los Tribunales don Miguel Torres Álvarez y bajo la dirección del Letrado don Pedro Blanco Lobeiras, contra el Auto de la Sala de lo Social del Tribunal Supremo de 3 de noviembre de 2003, por el que se inadmite el recurso de casación para la unificación de doctrina núm. 2696-2002, interpuesto contra la Sentencia de la Sala de lo Social del Tribunal Superior de Justicia de Galicia de 16 de mayo de 2002, por la que se desestima el recurso de suplicación núm. 1961-2002, interpuesto contra la Sentencia del Juzgado de lo Social núm. 2 de Santiago de Compostela de 7 de febrero de 2002, dictada en procedimiento por despido núm. 823-2001. Ha comparecido Feiraco, sociedad cooperativa limitada, representada por la Procuradora de los Tribunales doña Olga Romojaro Casado y bajo la dirección del Letrado don Juan Gerpe Castro. Ha intervenido el Ministerio Fiscal. Ha sido Ponente el Magistrado don Pablo Pérez Tremps,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registrado en este Tribunal el 8 de enero de 2004, el Procurador de los Tribunales don Miguel Torres Álvarez, en nombre y representación de don José Manuel Crespo Proupín, y bajo la dirección del Letrado don Pedro Blanco Loberías, interpuso recurso de amparo contra las resoluciones judiciales que se mencionan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El recurso tiene su origen en los siguientes antecedentes: </w:t>
      </w:r>
    </w:p>
    <w:p w:rsidR="00DE14C9" w:rsidRDefault="00DE14C9" w:rsidP="00DE14C9">
      <w:pPr>
        <w:pStyle w:val="TextoNormal"/>
      </w:pPr>
      <w:r>
        <w:t xml:space="preserve">a) La Dirección General de Feiraco, sociedad cooperativa limitada, mediante escrito de 6 de noviembre de 2001, notificó al recurrente en amparo la decisión, ratificada por el Consejo Rector, de proceder a su despido disciplinario, al amparo de lo previsto en el art. 54 LET. El recurrente presentó papeleta de conciliación el 7 de noviembre de 2001, celebrándose el acto de conciliación el 26 de noviembre de 2001 sin avenencia. El 11 de diciembre de 2001 interpuso demanda por despido, que fue admitida a trámite por Auto del Juzgado de lo Social núm. 2 de Santiago de Compostela, dando lugar al procedimiento núm. 823-2001. </w:t>
      </w:r>
    </w:p>
    <w:p w:rsidR="00DE14C9" w:rsidRDefault="00DE14C9" w:rsidP="00DE14C9">
      <w:pPr>
        <w:pStyle w:val="TextoNormal"/>
      </w:pPr>
      <w:r>
        <w:t xml:space="preserve">b) La cooperativa demandada opuso en el acto del juicio que, al ser el actor socio-trabajador de la cooperativa, los arts. 13.4 y 87.3 de la Ley 27/1999, de 16 de julio, de cooperativas, y los arts. 108.4 y 21.2 de la Ley 5/1998, de 18 de diciembre, de cooperativas de Galicia, le exigían la interposición de reclamación ante los órganos rectores de la cooperativa, con carácter previo al acceso al proceso. De tal modo que, al no haber cumplido ese requisito, que fue sustituido inadecuadamente por la presentación de papeleta de conciliación, la acción de despido había caducado por haber transcurrido más de veinte días entre la fecha del acto extintivo y la de presentación de la demanda. </w:t>
      </w:r>
    </w:p>
    <w:p w:rsidR="00DE14C9" w:rsidRDefault="00DE14C9" w:rsidP="00DE14C9">
      <w:pPr>
        <w:pStyle w:val="TextoNormal"/>
      </w:pPr>
      <w:r>
        <w:t xml:space="preserve">c) El Juzgado de lo Social núm. 2 de Santiago de Compostela, por Sentencia de 7 de febrero de 2002, desestimó la demanda al considerar que concurrían las excepciones de falta de reclamación previa y caducidad de la acción del despido. A esos efectos se argumentaba que era de aplicación el art. 108 de la Ley 5/1998, de 18 de diciembre, de cooperativas de Galicia, en virtud del cual, impuesta una sanción, competencia que corresponde al Consejo Rector, procede su impugnación ante el comité de recursos o, en su defecto, ante la Asamblea General en el plazo de quince días desde su notificación, resultando que sólo después de ello cabe instar su revisión ante la jurisdicción del orden social. </w:t>
      </w:r>
    </w:p>
    <w:p w:rsidR="00DE14C9" w:rsidRDefault="00DE14C9" w:rsidP="00DE14C9">
      <w:pPr>
        <w:pStyle w:val="TextoNormal"/>
      </w:pPr>
      <w:r>
        <w:lastRenderedPageBreak/>
        <w:t xml:space="preserve">d) El recurrente en amparo interpuso recurso de suplicación, que fue tramitado por la Sala de lo Social del Tribunal Superior de Justicia de Galicia con el núm. 1961-2002. En dicho recurso se invocó el derecho a la tutela judicial efectiva (art. 24.1 CE), con fundamento, entre otras razones, en que la cooperativa demandada en el acto de conciliación no alegó su improcedencia, lo que evidenciaba el fraude de ley procesal cometido, resultando que, en todo caso, la demandada tuvo conocimiento de la pretensión, finalidad última tanto de la reclamación previa como de la conciliación, y que el órgano judicial no advirtió de la pertinencia o no de la vía previa utilizada para posibilitar su subsanación. </w:t>
      </w:r>
    </w:p>
    <w:p w:rsidR="00DE14C9" w:rsidRDefault="00DE14C9" w:rsidP="00DE14C9">
      <w:pPr>
        <w:pStyle w:val="TextoNormal"/>
      </w:pPr>
      <w:r>
        <w:t>e) El recurso fue desestimado por Sentencia de 16 de mayo de 2002, argumentando que la interpretación constitucional que atenúa el rigor en el cumplimiento de las normas procesales no resultaba aplicable, pues si bien la cooperativa conoció la eventual acción por despido en el acto de conciliación sin manifestar entonces la inadecuación de este trámite, el demandante no observó la normativa específica que rige la materia, seleccionando un procedimiento previo inadecuado que llevó a la caducidad de la acción de despido entablada. Interpuesto recurso de casación para la unificación de doctrina fue inadmitido por Auto de la Sala de lo Social del Tribunal Supremo, de 3 de noviembre de 2003, por falta de contradicción.</w:t>
      </w:r>
    </w:p>
    <w:p w:rsidR="00DE14C9" w:rsidRDefault="00DE14C9" w:rsidP="00DE14C9">
      <w:pPr>
        <w:pStyle w:val="TextoNormal"/>
      </w:pPr>
    </w:p>
    <w:p w:rsidR="00DE14C9" w:rsidRDefault="00DE14C9" w:rsidP="00DE14C9">
      <w:pPr>
        <w:pStyle w:val="TextoNormal"/>
      </w:pPr>
      <w:r w:rsidRPr="00DE14C9">
        <w:rPr>
          <w:rStyle w:val="NumeroAFNegritaCaracter"/>
        </w:rPr>
        <w:t>3</w:t>
      </w:r>
      <w:r>
        <w:t>. El recurrente aduce en la demanda de amparo que se ha vulnerado su derecho fundamental a la tutela judicial efectiva (art. 24.1 CE), en su vertiente de derecho de acceso a la jurisdicción. A esos efectos argumenta que las resoluciones impugnadas han hecho una interpretación y aplicación de la normativa referida a las exigencias de reclamación previa excesivamente rigorista y desproporcionada, en tanto que debió posibilitarse un periodo de subsanación, ya que no se trataba de un incumplimiento absoluto, sino un mero defecto en dicho requisito procesal de agotamiento, respecto de cuya observancia se demostró una clara voluntad de cumplimiento. Igualmente, destaca que en el presente caso no se ha llevado a cabo una correcta ponderación en vía judicial respecto de la exigencia del adecuado agotamiento de la vía conciliatoria previa, ya que, en la medida en que la finalidad de la reclamación previa se satisfizo, tampoco puede entenderse afectado el derecho de defensa de la cooperativa, quien acudió al acto de conciliación y, por tanto, pudo conocer la intención de impugnar el despido.</w:t>
      </w:r>
    </w:p>
    <w:p w:rsidR="00DE14C9" w:rsidRDefault="00DE14C9" w:rsidP="00DE14C9">
      <w:pPr>
        <w:pStyle w:val="TextoNormal"/>
      </w:pPr>
    </w:p>
    <w:p w:rsidR="00DE14C9" w:rsidRDefault="00DE14C9" w:rsidP="00DE14C9">
      <w:pPr>
        <w:pStyle w:val="TextoNormal"/>
      </w:pPr>
      <w:r w:rsidRPr="00DE14C9">
        <w:rPr>
          <w:rStyle w:val="NumeroAFNegritaCaracter"/>
        </w:rPr>
        <w:t>4</w:t>
      </w:r>
      <w:r>
        <w:t>. La Sección Segunda de este Tribunal, por providencia de 23 de marzo de 2004, acordó admitir a trámite la demanda de amparo y, en aplicación de lo dispuesto en el art. 51 LOTC, requerir atentamente de los órganos judiciales respectivos el testimonio de las actuaciones judiciales y el emplazamiento de quienes hubieran sido parte en el procedimiento, a excepción del recurrente, para que pudiesen comparecer en el plazo de diez días en el presente proceso de amparo.</w:t>
      </w:r>
    </w:p>
    <w:p w:rsidR="00DE14C9" w:rsidRDefault="00DE14C9" w:rsidP="00DE14C9">
      <w:pPr>
        <w:pStyle w:val="TextoNormal"/>
      </w:pPr>
    </w:p>
    <w:p w:rsidR="00DE14C9" w:rsidRDefault="00DE14C9" w:rsidP="00DE14C9">
      <w:pPr>
        <w:pStyle w:val="TextoNormal"/>
      </w:pPr>
      <w:r w:rsidRPr="00DE14C9">
        <w:rPr>
          <w:rStyle w:val="NumeroAFNegritaCaracter"/>
        </w:rPr>
        <w:t>5</w:t>
      </w:r>
      <w:r>
        <w:t>. La Secretaría de Justicia de la Sala Primera de este Tribunal, por diligencia de ordenación de 6 de mayo de 2004, tuvo por personada y parte a la Procuradora de los Tribunales doña Olga Romojaro Casado, en nombre y representación de Feiraco, Sociedad Cooperativa Limitada, y, de conformidad con el art. 52 LOTC, dio vista de las actuaciones al Ministerio Fiscal y a las partes personadas por plazo común de veinte días para que presentaran las alegaciones que estimasen pertinentes.</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6</w:t>
      </w:r>
      <w:r>
        <w:t>. La parte comparecida, en escrito registrado el 7 de junio de 2004, solicitó la denegación del amparo. A esos efectos, argumenta que el recurrente no cumplió con el requisito legal de la reclamación previa ante el Consejo Rector de la cooperativa, indispensable para que quedara abierta la vía judicial y que la eventual advertencia del órgano judicial respecto de la falta de reclamación previa carecía de relevancia práctica, ya que, no teniendo efectos suspensivos el inadecuado intento de conciliación previa, el plazo de caducidad de 20 días previsto en la Ley ya había sido superado en el momento de presentarse la demanda el 11 de diciembre de 2001, pues el despido se produjo el 6 de noviembre de 2001.</w:t>
      </w:r>
    </w:p>
    <w:p w:rsidR="00DE14C9" w:rsidRDefault="00DE14C9" w:rsidP="00DE14C9">
      <w:pPr>
        <w:pStyle w:val="TextoNormal"/>
      </w:pPr>
    </w:p>
    <w:p w:rsidR="00DE14C9" w:rsidRDefault="00DE14C9" w:rsidP="00DE14C9">
      <w:pPr>
        <w:pStyle w:val="TextoNormal"/>
      </w:pPr>
      <w:r w:rsidRPr="00DE14C9">
        <w:rPr>
          <w:rStyle w:val="NumeroAFNegritaCaracter"/>
        </w:rPr>
        <w:t>7</w:t>
      </w:r>
      <w:r>
        <w:t>. El Ministerio Fiscal, en escrito registrado el 25 de mayo de 2004, interesó que se otorgara el amparo por vulneración del derecho a la tutela judicial efectiva (art. 24.1 CE), con declaración de nulidad de las resoluciones impugnadas y retroacción de actuaciones para que se dictara otra respetuosa con el derecho fundamental vulnerado. En primer lugar, argumenta que es aplicable al presente caso la jurisprudencia establecida por el Tribunal Constitucional respecto de la subsanabilidad en los supuestos en los que, siendo procedente la reclamación previa en vía administrativa, se acude a la conciliación. A partir de ello, señala que de lo actuado se deduce que no se ha llevado a cabo una correcta ponderación al valorar la concurrencia de la caducidad. Así, destaca que la carta de despido impugnada se entregó como si fuera una relación laboral común, que el trabajador había formulado anteriormente otras dos demandas contra la empresa, siguiendo siempre la misma vía previa, siendo una de esas demandas también de materia disciplinaria y muy próxima en el tiempo, sin que en ninguna ocasión por la cooperativa se manifestase ni objetase nada, como así se desprende del examen de la Sentencia de 14 de noviembre de 2001, del mismo Juzgado de lo Social, dictada en los autos núm. 624-2001, seguidos por sanción. Igualmente, pone de manifiesto que la cooperativa acudió a la conciliación sin alegar nada al respecto; que ésta en modo alguno había seguido el procedimiento disciplinario establecido en la Ley de cooperativas de Galicia, cuyo incumplimiento por el trabajador sin embargo aduce, por cuanto ni inició expediente sancionador, con audiencia previa, ni indicó al trabajador la vía de recurso, ni especificó los artículos de los estatutos de la cooperativa en que se tipificaban las faltas imputadas. Por el contrario, se limitó a entregar la carta de despido y a poner a su disposición el finiquito. En estas circunstancias, argumenta el Ministerio Fiscal, no parece razonable desestimar la demanda por vicios formales alegados por quien había incumplido palmariamente la normativa que aducía, había tolerado en anteriores controversias la vía elegida por el trabajador y se había abstenido de toda alegación hasta que el defecto se tornó en insubsanable; ello es así en especial porque ni se fundamenta que la finalidad de la reclamación previa no se haya cumplido, ni tampoco que con la actuación del actor se impidiese la posibilidad de llegar a un acuerdo.</w:t>
      </w:r>
    </w:p>
    <w:p w:rsidR="00DE14C9" w:rsidRDefault="00DE14C9" w:rsidP="00DE14C9">
      <w:pPr>
        <w:pStyle w:val="TextoNormal"/>
      </w:pPr>
    </w:p>
    <w:p w:rsidR="00DE14C9" w:rsidRDefault="00DE14C9" w:rsidP="00DE14C9">
      <w:pPr>
        <w:pStyle w:val="TextoNormal"/>
      </w:pPr>
      <w:r w:rsidRPr="00DE14C9">
        <w:rPr>
          <w:rStyle w:val="NumeroAFNegritaCaracter"/>
        </w:rPr>
        <w:t>8</w:t>
      </w:r>
      <w:r>
        <w:t>. El recurrente, en escrito registrado el 25 de mayo de 2004, presentó alegaciones reiterando, en esencia, lo expuesto en su demanda de amparo.</w:t>
      </w:r>
    </w:p>
    <w:p w:rsidR="00DE14C9" w:rsidRDefault="00DE14C9" w:rsidP="00DE14C9">
      <w:pPr>
        <w:pStyle w:val="TextoNormal"/>
      </w:pPr>
    </w:p>
    <w:p w:rsidR="00DE14C9" w:rsidRDefault="00DE14C9" w:rsidP="00DE14C9">
      <w:pPr>
        <w:pStyle w:val="TextoNormal"/>
      </w:pPr>
      <w:r w:rsidRPr="00DE14C9">
        <w:rPr>
          <w:rStyle w:val="NumeroAFNegritaCaracter"/>
        </w:rPr>
        <w:t>9</w:t>
      </w:r>
      <w:r>
        <w:t>. Por providencia de 20 de julio de 2007 se señaló para deliberación y votación de la presente Sentencia el día 23 del mismo mes y año.</w:t>
      </w:r>
    </w:p>
    <w:p w:rsidR="00DE14C9" w:rsidRDefault="00DE14C9" w:rsidP="00DE14C9">
      <w:pPr>
        <w:pStyle w:val="TextoNormal"/>
      </w:pPr>
    </w:p>
    <w:p w:rsidR="00DE14C9" w:rsidRDefault="00DE14C9" w:rsidP="00DE14C9">
      <w:pPr>
        <w:pStyle w:val="TextoNormalNegritaCentrado"/>
        <w:keepNext/>
      </w:pPr>
      <w:r>
        <w:lastRenderedPageBreak/>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El objeto del presente recurso es determinar si las resoluciones judiciales impugnadas han vulnerado el derecho del recurrente a la tutela judicial efectiva (art. 24.1 CE), desde la perspectiva del derecho de acceso a la jurisdicción, por haber dejado imprejuzgado el fondo de la pretensión planteada, al considerar concurrente las excepciones de falta de reclamación previa ante el Consejo Rector de cooperativa y de caducidad de la acción de despido.</w:t>
      </w:r>
    </w:p>
    <w:p w:rsidR="00DE14C9" w:rsidRDefault="00DE14C9" w:rsidP="00DE14C9">
      <w:pPr>
        <w:pStyle w:val="TextoNormal"/>
      </w:pPr>
    </w:p>
    <w:p w:rsidR="00DE14C9" w:rsidRDefault="00DE14C9" w:rsidP="00DE14C9">
      <w:pPr>
        <w:pStyle w:val="TextoNormal"/>
      </w:pPr>
      <w:r w:rsidRPr="00DE14C9">
        <w:rPr>
          <w:rStyle w:val="NumeroAFNegritaCaracter"/>
        </w:rPr>
        <w:t>2</w:t>
      </w:r>
      <w:r>
        <w:t>. Este Tribunal ha reiterado que es un elemento esencial del derecho a la tutela judicial efectiva (art. 24.1 CE) obtener del órgano judicial una resolución sobre el fondo de las pretensiones, derecho que también se satisface con una decisión de inadmisión que impida entrar en el fondo de la cuestión planteada cuando se fundamente dicha inadmisión en la existencia de una causa legal que resulte aplicada de forma razonable. Se ha resaltado que el primer contenido, en un orden lógico y cronológico, del derecho a la tutela judicial efectiva es el derecho de acceso a la jurisdicción, con respecto al cual opera el principio pro actione, por lo que las decisiones de inadmisión sólo serán conformes con el art. 24.1 CE cuando no eliminen u obstaculicen injustificadamente el derecho a que un órgano judicial conozca y resuelva la pretensión formulada, lo que, en cualquier caso, no debe entenderse como la forzosa selección de la interpretación más favorable a la admisión de entre todas las posibles de las normas que la regulan (STC 131/2007, de 4 de junio, FJ 2, por ejemplo).</w:t>
      </w:r>
    </w:p>
    <w:p w:rsidR="00DE14C9" w:rsidRDefault="00DE14C9" w:rsidP="00DE14C9">
      <w:pPr>
        <w:pStyle w:val="TextoNormal"/>
      </w:pPr>
      <w:r>
        <w:t>En particular, este Tribunal ha destacado que, si bien la aplicación de los plazos de prescripción y de caducidad es una cuestión de mera legalidad ordinaria, nada impide que adquiera una dimensión constitucional cuando resulte arbitraria, irrazonable o incursa en error patente. En todo caso, se ha hecho especial incidencia en que si dicha decisión, además, supone cerrar la posibilidad de obtener una primera resolución judicial sobre el fondo, también adquiere relevancia constitucional cuando sea el resultado de una interpretación y aplicación legal que por su rigorismo, formalismo excesivo o desproporción entre los fines que preservan y la consecuencia de cierre del proceso, se conviertan en un obstáculo injustificado para resolver sobre la pretensión deducida (por todas, STC 274/2006, de 25 de septiembre, FJ 5).</w:t>
      </w:r>
    </w:p>
    <w:p w:rsidR="00DE14C9" w:rsidRDefault="00DE14C9" w:rsidP="00DE14C9">
      <w:pPr>
        <w:pStyle w:val="TextoNormal"/>
      </w:pPr>
      <w:r>
        <w:t xml:space="preserve">Más en concreto, y por lo que se refiere a la proyección que de esta doctrina se ha realizado en relación con la existencia de los requisitos preprocesales de la conciliación y de la reclamación administrativa previa en el ámbito de la jurisdicción laboral, este Tribunal ha señalado que la finalidad que inspiran es la de evitación del proceso, asegurando que las partes hayan tenido oportunidad de, antes de tramitarse aquél, bien someter la controversia a solución extrajudicial, en el caso de la conciliación previa, bien resolver directamente el litigio, evitando el uso de los mecanismos jurisdiccionales, en el caso de la reclamación administrativa previa (por todas, STC 119/2007, de 21 de mayo, FJ 3). Por otra parte, este Tribunal se ha decantado por una flexible aplicación del requisito en cuestión y ha optado por el criterio de favorecer la subsanabilidad del mismo a lo largo del proceso, para evitar la ausencia de un pronunciamiento judicial sobre el fondo del asunto, es decir, acerca de la procedencia o improcedencia de la pretensión ejercitada ante los órganos jurisdiccionales. Esta subsanación, en el ámbito laboral, y en relación con el art. 81 de la Ley de procedimiento laboral, ha sido considerada con carácter general como un deber legal del órgano judicial. La interpretación favorable a la subsanación se ha mantenido no sólo cuando no se ha acreditado la realización de la reclamación o conciliación previa, sino también en caso </w:t>
      </w:r>
      <w:r>
        <w:lastRenderedPageBreak/>
        <w:t>de ausencia de la misma, admitiendo su subsanación con carácter ex post, permitiendo rectificar en el plazo de subsanación el requisito procesal incumplido o el acto procesal defectuosamente realizado.  En cualquier caso, también se hecho especial incidencia en que no se trate de un incumplimiento absoluto derivado de una opuesta voluntad a su realización por la parte procesal obligada a ello, en cuyo caso la consecuencia sería la pérdida del derecho a que se anudaba la observancia, pues este tipo de incumplimientos no genera los mismos efectos que aquellos consistentes en una irregularidad formal o vicio de escasa importancia por cumplimiento defectuoso debido a un error o equivocación disculpable y no malicioso, sin consecuencias definitivas, respecto de los que debe favorecerse la técnica de la subsanación (por todas, STC 330/2006, de 20 de noviembre, FJ 3).</w:t>
      </w:r>
    </w:p>
    <w:p w:rsidR="00DE14C9" w:rsidRDefault="00DE14C9" w:rsidP="00DE14C9">
      <w:pPr>
        <w:pStyle w:val="TextoNormal"/>
      </w:pPr>
    </w:p>
    <w:p w:rsidR="00DE14C9" w:rsidRDefault="00DE14C9" w:rsidP="00DE14C9">
      <w:pPr>
        <w:pStyle w:val="TextoNormal"/>
      </w:pPr>
      <w:r w:rsidRPr="00DE14C9">
        <w:rPr>
          <w:rStyle w:val="NumeroAFNegritaCaracter"/>
        </w:rPr>
        <w:t>3</w:t>
      </w:r>
      <w:r>
        <w:t>. En el presente caso, como ha sido expuesto con más detenimiento en los antecedentes, las actuaciones judiciales remitidas acreditan los siguientes extremos: en primer lugar, que mediante escrito de 6 de noviembre de 2001 se notificó al recurrente la decisión de la Dirección General de la cooperativa, ratificada por el Consejo Rector, de proceder a su despido disciplinario, al amparo de lo previsto en el art. 54 de la Ley del estatuto de los trabajadores (LET), presentándose papeleta de conciliación el 7 de noviembre de 2001, que dio lugar a la celebración de acto de conciliación que resultó sin avenencia y en el que la cooperativa no realizó objeción alguna sobre el procedimiento de conciliación seleccionado. En segundo lugar, también queda acreditado que, interpuesta demanda por despido, que fue admitida a trámite por Auto del Juzgado de lo Social núm. 2 de Santiago de Compostela, la cooperativa alegó como causa de oposición que, siendo el recurrente socio-trabajador de la cooperativa, y conforme al art. 108 de la Ley 5/1998, de 18 de diciembre, de cooperativas de Galicia, era exigible que con carácter previo al acceso al proceso hubiera interpuesto reclamación ante los órganos rectores de la cooperativa, lo que, al no haberse verificado, determinaba la caducidad de la acción de despido.</w:t>
      </w:r>
    </w:p>
    <w:p w:rsidR="00DE14C9" w:rsidRDefault="00DE14C9" w:rsidP="00DE14C9">
      <w:pPr>
        <w:pStyle w:val="TextoNormal"/>
      </w:pPr>
      <w:r>
        <w:t>Por último, también se extrae de los actuaciones recibidas que por Sentencia de 7 de febrero de 2002 se desestimó la demanda acogiendo las excepciones de falta de reclamación previa y de caducidad de la acción del despido alegadas por la cooperativa, lo que fue ratificado en suplicación por Sentencia de la Sala de lo Social del Tribunal Superior de Justicia de Galicia de 16 de mayo de 2002, reiterando que si bien la cooperativa conoció la eventual acción por despido en el acto de conciliación sin manifestar entonces la inadecuación de este trámite, el demandante no observó la normativa específica que rige la materia, seleccionando un procedimiento previo inadecuado que llevó a la caducidad de la acción de despido entablada.</w:t>
      </w:r>
    </w:p>
    <w:p w:rsidR="00DE14C9" w:rsidRDefault="00DE14C9" w:rsidP="00DE14C9">
      <w:pPr>
        <w:pStyle w:val="TextoNormal"/>
      </w:pPr>
    </w:p>
    <w:p w:rsidR="00DE14C9" w:rsidRDefault="00DE14C9" w:rsidP="00DE14C9">
      <w:pPr>
        <w:pStyle w:val="TextoNormal"/>
      </w:pPr>
      <w:r w:rsidRPr="00DE14C9">
        <w:rPr>
          <w:rStyle w:val="NumeroAFNegritaCaracter"/>
        </w:rPr>
        <w:t>4</w:t>
      </w:r>
      <w:r>
        <w:t>. En atención a estos antecedentes, y tal como también ha sostenido el Ministerio Fiscal, debe concluirse que las resoluciones impugnadas han vulnerado el derecho del recurrente a la tutela judicial efectiva (art. 24.1 CE), desde la concreta perspectiva del derecho de acceso a la jurisdicción. En efecto, sin perjuicio de que la interpretación realizada por los órganos judiciales sobre la exigibilidad de la previa reclamación intracooperativa no puede calificarse de arbitraria ni de irrazonable, al venir establecida en el art. 108 de la Ley de cooperativas de Galicia, sin embargo, resulta desproporcionado que los órganos judiciales hayan apreciado las excepciones de falta de reclamación previa y caducidad de la acción del despido sin haber ofrecido al recurrente en ningún momento la posibilidad de subsanar el defecto procesal apreciado.</w:t>
      </w:r>
    </w:p>
    <w:p w:rsidR="00DE14C9" w:rsidRDefault="00DE14C9" w:rsidP="00DE14C9">
      <w:pPr>
        <w:pStyle w:val="TextoNormal"/>
      </w:pPr>
      <w:r>
        <w:lastRenderedPageBreak/>
        <w:t>La obligación de la reclamación previa ante el órgano correspondiente de la cooperativa, de la misma manera que sucede con la conciliación previa, que fue el procedimiento intentado por el actor, y con la reclamación administrativa previa, queda configurada legalmente como una solución extrajudicial del conflicto cuya finalidad es la evitación del proceso laboral. En virtud de ello, le es directamente aplicable la misma doctrina jurisprudencial expuesta anteriormente sobre la exigencia constitucional impuesta por el art. 24.1 CE de posibilitar la subsanabilidad de la ausencia de conciliación o reclamación administrativa previa en los casos en que no se aprecia una opuesta voluntad a su realización por la parte procesal obligada a ello.</w:t>
      </w:r>
    </w:p>
    <w:p w:rsidR="00DE14C9" w:rsidRDefault="00DE14C9" w:rsidP="00DE14C9">
      <w:pPr>
        <w:pStyle w:val="TextoNormal"/>
      </w:pPr>
      <w:r>
        <w:t>A esos efectos, siendo indubitado que en ningún momento de la vía judicial se posibilitó que el recurrente subsanara la ausencia de impugnación ante el órgano interno de la cooperativa, las circunstancias concurrentes en el presente caso no sólo permiten constatar que no hubo una opuesta voluntad del recurrente al cumplimiento de la finalidad legal prevista en dicha impugnación, sino que, por el contrario, se evidencia un comportamiento no malicioso que ni ha lesionado la integridad del procedimiento o los derechos de la otra parte, ni tampoco ha defraudado la finalidad que inspira la exigencia del requisito legal incumplido. Así, es de destacar, por un lado, que la sociedad cooperativa se limitó a notificar al recurrente una carta que calificaba su despido como disciplinario, con cita del art. 54 LET, como si se tratase de una relación laboral ordinaria, omitiendo indicación alguna sobre las vías de recurso ante el órgano correspondiente de la cooperativa y, por otro, que en reacción a ello el recurrente posibilitó la consecución de un acuerdo extrajudicial presentando una papeleta de conciliación que dio lugar a un efectivo acto de conciliación que, si bien tuvo el resultado de sin avenencia, sin embargo, no lo fue porque la cooperativa hubiera considerado en aquel momento que era un trámite inadecuado.</w:t>
      </w:r>
    </w:p>
    <w:p w:rsidR="00DE14C9" w:rsidRDefault="00DE14C9" w:rsidP="00DE14C9">
      <w:pPr>
        <w:pStyle w:val="TextoNormal"/>
      </w:pPr>
      <w:r>
        <w:t>En este contexto, al derivarse de las actuaciones obrantes en poder del órgano judicial de instancia que no existía ni pasividad en el cumplimiento de los requisitos previos al proceso, ni resistencia a cumplir con la obligación de intentar una resolución extrajudicial del conflicto, que dicho órgano judicial negara todo valor al intento de cumplimiento de los requisitos preprocesales, omitiendo otorgar un plazo de subsanación, pone de manifiesto la aplicación desproporcionada de este óbice procesal, provocando con ello que, al haber impedido un pronunciamiento sobre el fondo de la pretensión ejercitada en el proceso laboral, deba concluirse que concurre la vulneración aducida del derecho a la tutela judicial efectiva (art. 24.1 CE).</w:t>
      </w:r>
    </w:p>
    <w:p w:rsidR="00DE14C9" w:rsidRDefault="00DE14C9" w:rsidP="00DE14C9">
      <w:pPr>
        <w:pStyle w:val="TextoNormal"/>
      </w:pPr>
      <w:r>
        <w:t>El restablecimiento de este derecho exige la anulación de las resoluciones judiciales impugnadas, incluyendo el Auto del Tribunal Supremo, aunque sólo en la medida en que declaró la firmeza de la Sentencia de suplicación recurrida (por todas, STC 140/2006, de 8 de mayo, FJ 7), así como la retroacción de actuaciones para que se dicte nueva resolución con respeto al derecho constitucional reconocido.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a don José Manuel Crespo Proupín el amparo solicitado y, en consecuencia:</w:t>
      </w:r>
    </w:p>
    <w:p w:rsidR="00DE14C9" w:rsidRDefault="00DE14C9" w:rsidP="00DE14C9">
      <w:pPr>
        <w:pStyle w:val="TextoNormal"/>
      </w:pPr>
      <w:r>
        <w:lastRenderedPageBreak/>
        <w:t>1º Reconocer su derecho a la tutela judicial efectiva (art. 24.1 CE).</w:t>
      </w:r>
    </w:p>
    <w:p w:rsidR="00DE14C9" w:rsidRDefault="00DE14C9" w:rsidP="00DE14C9">
      <w:pPr>
        <w:pStyle w:val="TextoNormal"/>
      </w:pPr>
      <w:r>
        <w:t>2º Declarar la nulidad de las Sentencias del Juzgado de lo Social núm. 2 de Santiago de Compostela de 7 de febrero de 2002, dictada en el procedimiento de despido núm. 823- 2001 y de la Sala de lo Social del Tribunal Superior de Justicia de Galicia de 16 de mayo de 2002, dictada en el recurso de suplicación núm. 1961-2002, y del Auto de la Sala de lo Social del Tribunal Supremo de 3 de noviembre de 2003, dictado en el recurso de casación para la unificación de doctrina núm. 2696-2002.</w:t>
      </w:r>
    </w:p>
    <w:p w:rsidR="00DE14C9" w:rsidRDefault="00DE14C9" w:rsidP="00DE14C9">
      <w:pPr>
        <w:pStyle w:val="TextoNormal"/>
      </w:pPr>
      <w:r>
        <w:t>3º Retrotraer las actuaciones al momento anterior al de dictarse la primera de las Sentencias anuladas para que se dicte nueva resolución respetuosa con el derecho fundamental reconocido.</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veintitrés de julio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86" w:name="SENTENCIA_2007_173"/>
      <w:r>
        <w:lastRenderedPageBreak/>
        <w:t>SENTENCIA 173/2007, de 23 de julio de 2007</w:t>
      </w:r>
    </w:p>
    <w:bookmarkEnd w:id="86"/>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200, de 21 de agosto de 2007)</w:t>
      </w:r>
    </w:p>
    <w:p w:rsidR="00DE14C9" w:rsidRDefault="00DE14C9" w:rsidP="00DE14C9">
      <w:pPr>
        <w:pStyle w:val="TtuloBOE"/>
      </w:pPr>
    </w:p>
    <w:p w:rsidR="00DE14C9" w:rsidRDefault="00DE14C9" w:rsidP="00DE14C9">
      <w:pPr>
        <w:pStyle w:val="SntesisDescriptiva"/>
      </w:pPr>
      <w:r>
        <w:t>ECLI:ES:TC:2007:173</w:t>
      </w:r>
    </w:p>
    <w:p w:rsidR="00DE14C9" w:rsidRDefault="00DE14C9" w:rsidP="00DE14C9">
      <w:pPr>
        <w:pStyle w:val="SntesisDescriptiva"/>
      </w:pPr>
    </w:p>
    <w:p w:rsidR="00DE14C9" w:rsidRDefault="00DE14C9" w:rsidP="00DE14C9">
      <w:pPr>
        <w:pStyle w:val="SntesisDescriptiva"/>
      </w:pPr>
      <w:r>
        <w:t>Recurso de amparo 3257-2004. Promovido por doña Carmen Guisande Martínez frente a las Sentencias de la Sala de lo Contencioso-Administrativo del Tribunal Supremo y del Tribunal Superior de Justicia de Galicia que inadmitieron su demanda contra el Ayuntamiento de Nigrán y otros sobre urbanización.</w:t>
      </w:r>
    </w:p>
    <w:p w:rsidR="00DE14C9" w:rsidRDefault="00DE14C9" w:rsidP="00DE14C9">
      <w:pPr>
        <w:pStyle w:val="SntesisDescriptiva"/>
      </w:pPr>
    </w:p>
    <w:p w:rsidR="00DE14C9" w:rsidRDefault="00DE14C9" w:rsidP="00DE14C9">
      <w:pPr>
        <w:pStyle w:val="SntesisAnaltica"/>
      </w:pPr>
      <w:r>
        <w:t>Supuesta vulneración del derecho a la tutela judicial efectiva (acceso a la justicia): conjunto de actos administrativos declarado firme y consentido por no haber impugnado judicialmente la desestimación expresa de uno de los recursos administrativos.</w:t>
      </w:r>
    </w:p>
    <w:p w:rsidR="00DE14C9" w:rsidRDefault="00DE14C9" w:rsidP="00DE14C9">
      <w:pPr>
        <w:pStyle w:val="SntesisAnaltica"/>
      </w:pPr>
    </w:p>
    <w:p w:rsidR="00DE14C9" w:rsidRDefault="00DE14C9" w:rsidP="00DE14C9">
      <w:pPr>
        <w:pStyle w:val="Extracto"/>
      </w:pPr>
      <w:r>
        <w:t>1.</w:t>
      </w:r>
      <w:r>
        <w:tab/>
        <w:t>El órgano judicial ponderó la protección del principio de seguridad jurídica, teniendo en cuenta la cuestionable diligencia del particular que no recurrió en tiempo hábil, no existiendo, pues, una decisión que por su rigorismo, formalismo excesivo o cualquier otra razón revele una clara desproporción entre los fines y los intereses que se protegen y los que se sacrifican, no apreciándose por tanto una lesión constitucional (SSTC 195/1999, 19/2003) [FJ 4].</w:t>
      </w:r>
    </w:p>
    <w:p w:rsidR="00DE14C9" w:rsidRDefault="00DE14C9" w:rsidP="00DE14C9">
      <w:pPr>
        <w:pStyle w:val="Extracto"/>
      </w:pPr>
    </w:p>
    <w:p w:rsidR="00DE14C9" w:rsidRDefault="00DE14C9" w:rsidP="00DE14C9">
      <w:pPr>
        <w:pStyle w:val="Extracto"/>
      </w:pPr>
      <w:r>
        <w:t>2.</w:t>
      </w:r>
      <w:r>
        <w:tab/>
        <w:t>Consentido el acto de ejecución, no cabe en modo alguno reclamar contra el acto del que trae causa y a cuyos efectos el propio acto consentido va ligado [FJ 4].</w:t>
      </w:r>
    </w:p>
    <w:p w:rsidR="00DE14C9" w:rsidRDefault="00DE14C9" w:rsidP="00DE14C9">
      <w:pPr>
        <w:pStyle w:val="Extracto"/>
      </w:pPr>
    </w:p>
    <w:p w:rsidR="00DE14C9" w:rsidRDefault="00DE14C9" w:rsidP="00DE14C9">
      <w:pPr>
        <w:pStyle w:val="Extracto"/>
      </w:pPr>
      <w:r>
        <w:t>3.</w:t>
      </w:r>
      <w:r>
        <w:tab/>
        <w:t>Doctrina sobre el control constitucional de las resoluciones judiciales que declaran extemporáneos recursos contencioso-administrativos contra peticiones presuntamente desestimadas a través de la ficción del silencio administrativo (SSTC 39/2006, 27/2007) [FJ 2].</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 xml:space="preserve">En el recurso de amparo núm. 3257-2004, promovido por doña Carmen Guisande Martínez, representada por el Procurador de los Tribunales don Luís Arredondo Sanz y asistida por el Abogado don Miguel Angel Viñas Gismero, contra Sentencia de 18 de febrero de </w:t>
      </w:r>
      <w:r>
        <w:lastRenderedPageBreak/>
        <w:t>2004 de la Sala de lo Contencioso-Administrativo del Tribunal Supremo, que desestima el recurso de casación núm. 3388-2001 y confirma la inadmisión por extemporaneidad, en virtud del art. 58.2 de la Ley de la jurisdicción contencioso-administrativa de 1956, que había decidido el Tribunal Superior de Justicia de Galicia en Sentencia de 15 de febrero de 2001. Han intervenido el Ministerio Fiscal, el Abogado del Estado, la Xunta de Galicia y la Entidad Urbanística Colaboradora del término municipal de Nigrán. Ha sido Ponente el Magistrado don Eugeni Gay Montalvo,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este Tribunal el 21 de mayo de 2004 el Procurador de los Tribunales don Luis Arredondo Sanz, en nombre y representación de doña Carmen Guisande Martínez y asistido por el Letrado don Miguel Angel Viñas Gismero, interpuso recurso de amparo contra la Sentencia de 18 de febrero de 2004 de la Sala de lo Contencioso-Administrativo del Tribunal Supremo, que desestimó el recurso de casación núm. 3388-2001 y confirmó la inadmisión por extemporaneidad, en virtud del art. 58 de la Ley de la jurisdicción contencioso-administrativa de 1956, que había decidido el Tribunal Superior de Justicia de Galicia en Sentencia de 15 de febrero de 2001.</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de los que trae causa la demanda de amparo son, en síntesis, los siguientes: </w:t>
      </w:r>
    </w:p>
    <w:p w:rsidR="00DE14C9" w:rsidRDefault="00DE14C9" w:rsidP="00DE14C9">
      <w:pPr>
        <w:pStyle w:val="TextoNormal"/>
      </w:pPr>
      <w:r>
        <w:t xml:space="preserve">a) La Comisión Provincial de Urbanismo de Pontevedra, el Ayuntamiento de Nigrán y la Junta de Compensación SAU-6 adoptaron diversos acuerdos urbanísticos. Entre ellos el Acuerdo de delimitación del Sector 1 y el Acuerdo por el que se aprobaron los estatutos y bases de actuación de la Junta de compensación de 15 de marzo de 1991 y 18 de diciembre de 1992, respectivamente, que incluían la finca propiedad de la recurrente en el área de suelo apto para urbanizar. Contra ellos la recurrente interpuso recurso de reposición, pues entendía que concurrían en su finca todas las condiciones precisas para clasificarla como suelo urbano. Conforme lo expuesto en la demanda, dicho recurso no fue expresamente resuelto. </w:t>
      </w:r>
    </w:p>
    <w:p w:rsidR="00DE14C9" w:rsidRDefault="00DE14C9" w:rsidP="00DE14C9">
      <w:pPr>
        <w:pStyle w:val="TextoNormal"/>
      </w:pPr>
      <w:r>
        <w:t xml:space="preserve">b) Con fecha 3 de julio de 1997 la demandante de amparo impugnó ambos acuerdos mediante recurso contencioso-administrativo ante el Tribunal Superior de Justicia de Galicia. Su pretensión era extraer su finca del área del suelo apto para urbanizar. </w:t>
      </w:r>
    </w:p>
    <w:p w:rsidR="00DE14C9" w:rsidRDefault="00DE14C9" w:rsidP="00DE14C9">
      <w:pPr>
        <w:pStyle w:val="TextoNormal"/>
      </w:pPr>
      <w:r>
        <w:t xml:space="preserve">c) En Sentencia de 15 de febrero de 2001 la Sección Segunda de la Sala de lo Contencioso-Administrativo del Tribunal Superior de Justicia de Galicia declaró el recurso inadmisible por extemporáneo. </w:t>
      </w:r>
    </w:p>
    <w:p w:rsidR="00DE14C9" w:rsidRDefault="00DE14C9" w:rsidP="00DE14C9">
      <w:pPr>
        <w:pStyle w:val="TextoNormal"/>
      </w:pPr>
      <w:r>
        <w:t xml:space="preserve">En relación con el Acuerdo de delimitación del Sector 1, de 15 de marzo de 1991, fundamenta su decisión en que para los supuestos de denegación presunta del recurso de reposición -como el presente caso- el art. 58.2 de la Ley jurisdiccional a la sazón aplicable -LJCA de 1956- disponía un plazo de un año para la interposición del recurso contencioso-administrativo, plazo que había sido sobradamente superado por la demandante. </w:t>
      </w:r>
    </w:p>
    <w:p w:rsidR="00DE14C9" w:rsidRDefault="00DE14C9" w:rsidP="00DE14C9">
      <w:pPr>
        <w:pStyle w:val="TextoNormal"/>
      </w:pPr>
      <w:r>
        <w:t xml:space="preserve">Por lo que afecta al Acuerdo por el que se aprobaron los estatutos y bases de actuación de la Junta de compensación, de 18 de diciembre de 1992, el órgano judicial lo considera igualmente extemporáneo, pero incorpora en su argumentación un dato fáctico muy relevante, omitido tanto en la demanda de instancia como en la presente demanda de amparo: el recurso de reposición contra este acto fue expresamente desestimado el 30 de junio de 1994, lo que se notificó a la parte recurrente el 19 de julio del mismo año, con expresa indicación del régimen de recursos admisibles. </w:t>
      </w:r>
    </w:p>
    <w:p w:rsidR="00DE14C9" w:rsidRDefault="00DE14C9" w:rsidP="00DE14C9">
      <w:pPr>
        <w:pStyle w:val="TextoNormal"/>
      </w:pPr>
      <w:r>
        <w:lastRenderedPageBreak/>
        <w:t xml:space="preserve">d) Contra la Sentencia del Tribunal Superior de Justicia de Galicia, la recurrente en amparo interpuso recurso de casación el 7 de junio de 2001, mediante el que solicitaba al órgano judicial, en primer lugar, que declarara el recurso interpuesto en tiempo y forma adecuados y, en segundo término, examinara las cuestiones de fondo y dictara Sentencia que estimara el suplico de la demandante. Subsidiariamente solicitaba que el Tribunal Supremo casara y revocara la Sentencia de instancia, devolviendo los autos a la Sala de instancia para que resolviera lo procedente en cuanto al fondo del asunto. </w:t>
      </w:r>
    </w:p>
    <w:p w:rsidR="00DE14C9" w:rsidRDefault="00DE14C9" w:rsidP="00DE14C9">
      <w:pPr>
        <w:pStyle w:val="TextoNormal"/>
      </w:pPr>
      <w:r>
        <w:t xml:space="preserve">e) La Sala de lo Contencioso-Administrativo del Tribunal Supremo desestimó el recurso de casación en Sentencia de 28 de febrero de 2004. En ella afirma que la suerte de la impugnación del recurrente está ligada, ciertamente, al valor que se le conceda a la desestimación presunta por silencio en la LJCA de 1956 (art. 58.2), si bien es imprescindible armonizar la interpretación de dicho precepto con la interpretación de él realizada por el Tribunal Constitucional en sus SSTC 6/1986, de 21 de enero, y 294/1987, de 21 de diciembre. El órgano judicial estima que, de acuerdo con los pronunciamientos del Tribunal Constitucional, en estos casos de silencio negativo puede entenderse, como máximo, que el particular conoce el texto íntegro del acto -la denegación por silencio-, pero no los demás extremos que deben constar en toda notificación, por lo que considera que puede calificarse de razonable entender que se hubiera producido una notificación defectuosa, la cual, conforme a la Ley de procedimiento administrativo de 1958, solo surtirá efecto bien a partir de la fecha en que se haga manifestación expresa en tal sentido por el interesado o se interponga el recurso pertinente (art. 79.3), o bien por el transcurso de seis meses (art. 79.4). Para el Tribunal Supremo el razonamiento anterior da lugar, en presente caso, a la aplicación del art. 79.4 LPA y, por tanto, a una ampliación del plazo de un año del art. 58.2 LJCA por seis meses más. Así, en su Sentencia dirá: "lo que no existe en la jurisprudencia analizada del Tribunal Constitucional es la posibilidad de considerar indefinidamente abierto el plazo para recurrir en caso de denegación presunta del recurso de reposición, con olvido de los límites impuestos por el referido artículo 58.2 y del principio de seguridad jurídica a que responde". </w:t>
      </w:r>
    </w:p>
    <w:p w:rsidR="00DE14C9" w:rsidRDefault="00DE14C9" w:rsidP="00DE14C9">
      <w:pPr>
        <w:pStyle w:val="TextoNormal"/>
      </w:pPr>
      <w:r>
        <w:t xml:space="preserve">Y retomando el argumento del Tribunal Superior de Justicia de Galicia, el Tribunal Supremo añade: </w:t>
      </w:r>
    </w:p>
    <w:p w:rsidR="00DE14C9" w:rsidRDefault="00DE14C9" w:rsidP="00DE14C9">
      <w:pPr>
        <w:pStyle w:val="TextoNormal"/>
      </w:pPr>
      <w:r>
        <w:t xml:space="preserve">"a mayor abundamiento, nada se dice por la recurrente en relación con la desestimación expresa, de 30 de junio de 1994, del recurso de reposición en relación con el Acuerdo por el que se aprobaron los Estatutos y bases de actuación de la Junta de Compensación; desestimación que le fue notificada con indicación de recursos y que dejó firme y consentida". </w:t>
      </w:r>
    </w:p>
    <w:p w:rsidR="00DE14C9" w:rsidRDefault="00DE14C9" w:rsidP="00DE14C9">
      <w:pPr>
        <w:pStyle w:val="TextoNormal"/>
      </w:pPr>
      <w:r>
        <w:t>El Tribunal Supremo rechaza, así, la denunciada infracción de los arts. 8.2 LJCA y 79 LPA y ratifica la inadmisión por extemporaneidad que el Tribunal Superior de Justicia de Galicia había decidido en relación con estos extremos del recurso (recurso núm. 5946-1996).</w:t>
      </w:r>
    </w:p>
    <w:p w:rsidR="00DE14C9" w:rsidRDefault="00DE14C9" w:rsidP="00DE14C9">
      <w:pPr>
        <w:pStyle w:val="TextoNormal"/>
      </w:pPr>
    </w:p>
    <w:p w:rsidR="00DE14C9" w:rsidRDefault="00DE14C9" w:rsidP="00DE14C9">
      <w:pPr>
        <w:pStyle w:val="TextoNormal"/>
      </w:pPr>
      <w:r w:rsidRPr="00DE14C9">
        <w:rPr>
          <w:rStyle w:val="NumeroAFNegritaCaracter"/>
        </w:rPr>
        <w:t>3</w:t>
      </w:r>
      <w:r>
        <w:t>. La demanda de amparo imputa a la última resolución judicial vulneración de la tutela judicial efectiva en su vertiente de acceso a la jurisdicción (art. 24.1 CE). A juicio de la recurrente la interpretación realizada por el órgano judicial vulnera el principio pro actione, en la medida en que éste no ha desplegado toda su eficacia, al no haberse optado por la interpretación más favorable para la efectividad del derecho fundamental. Además, la parte recurrente alega que el silencio administrativo negativo no puede empeorar la situación de ciudadano que sufre la pasividad de la Administración. El recurso se apoya en abundante jurisprudencia constitucional.</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4</w:t>
      </w:r>
      <w:r>
        <w:t>. Mediante providencia de 19 de diciembre de 2006 la Sala Segunda de este Tribunal acordó la admisión a trámite de la demanda de amparo formulada y con base en el art. 51 LOTC se requirió al Tribunal Supremo, Sala de lo Contencioso-Administrativa, Sección Quinta, a fin de que remitiera las actuaciones del procedimiento. Igualmente se pidieron las actuaciones correspondientes a la Sala de lo Contencioso-Administrativo del Tribunal Superior de Justicia de Galicia y se solicitó por dicho órgano judicial el emplazamiento de las partes en el procedimiento para que en el plazo de diez días pudieran, si lo desearan, comparecer en el presente recurso de amparo.</w:t>
      </w:r>
    </w:p>
    <w:p w:rsidR="00DE14C9" w:rsidRDefault="00DE14C9" w:rsidP="00DE14C9">
      <w:pPr>
        <w:pStyle w:val="TextoNormal"/>
      </w:pPr>
    </w:p>
    <w:p w:rsidR="00DE14C9" w:rsidRDefault="00DE14C9" w:rsidP="00DE14C9">
      <w:pPr>
        <w:pStyle w:val="TextoNormal"/>
      </w:pPr>
      <w:r w:rsidRPr="00DE14C9">
        <w:rPr>
          <w:rStyle w:val="NumeroAFNegritaCaracter"/>
        </w:rPr>
        <w:t>5</w:t>
      </w:r>
      <w:r>
        <w:t>. Con fechas 9 de enero, 29 de enero y 8 de febrero de 2007 se personaron en el procedimiento el Abogado del Estado, pese a no haber sido parte en la vía previa, el Procurador don Argimiro Vázquez Guillén, en nombre y representación de la Xunta de Galicia, y la Procuradora doña Ana Barallat López, en nombre y representación de la Entidad Urbanística Colaboradora del término municipal de Nigrán.</w:t>
      </w:r>
    </w:p>
    <w:p w:rsidR="00DE14C9" w:rsidRDefault="00DE14C9" w:rsidP="00DE14C9">
      <w:pPr>
        <w:pStyle w:val="TextoNormal"/>
      </w:pPr>
    </w:p>
    <w:p w:rsidR="00DE14C9" w:rsidRDefault="00DE14C9" w:rsidP="00DE14C9">
      <w:pPr>
        <w:pStyle w:val="TextoNormal"/>
      </w:pPr>
      <w:r w:rsidRPr="00DE14C9">
        <w:rPr>
          <w:rStyle w:val="NumeroAFNegritaCaracter"/>
        </w:rPr>
        <w:t>6</w:t>
      </w:r>
      <w:r>
        <w:t>. Con fecha 16 de enero y 13 de febrero de 2007 fueron remitidos por el Tribunal Supremo y el Tribunal Superior de Galicia, respectivamente, los testimonios de las actuaciones judiciales solicitados.</w:t>
      </w:r>
    </w:p>
    <w:p w:rsidR="00DE14C9" w:rsidRDefault="00DE14C9" w:rsidP="00DE14C9">
      <w:pPr>
        <w:pStyle w:val="TextoNormal"/>
      </w:pPr>
    </w:p>
    <w:p w:rsidR="00DE14C9" w:rsidRDefault="00DE14C9" w:rsidP="00DE14C9">
      <w:pPr>
        <w:pStyle w:val="TextoNormal"/>
      </w:pPr>
      <w:r w:rsidRPr="00DE14C9">
        <w:rPr>
          <w:rStyle w:val="NumeroAFNegritaCaracter"/>
        </w:rPr>
        <w:t>7</w:t>
      </w:r>
      <w:r>
        <w:t>. Mediante diligencia de ordenación de 5 de marzo de 2007, y con base en el art. 52.1 LOTC, se acordó otorgar un plazo común de veinte días al Ministerio Fiscal y a las partes para que alegaran lo que a su derecho conviniera.</w:t>
      </w:r>
    </w:p>
    <w:p w:rsidR="00DE14C9" w:rsidRDefault="00DE14C9" w:rsidP="00DE14C9">
      <w:pPr>
        <w:pStyle w:val="TextoNormal"/>
      </w:pPr>
    </w:p>
    <w:p w:rsidR="00DE14C9" w:rsidRDefault="00DE14C9" w:rsidP="00DE14C9">
      <w:pPr>
        <w:pStyle w:val="TextoNormal"/>
      </w:pPr>
      <w:r w:rsidRPr="00DE14C9">
        <w:rPr>
          <w:rStyle w:val="NumeroAFNegritaCaracter"/>
        </w:rPr>
        <w:t>8</w:t>
      </w:r>
      <w:r>
        <w:t xml:space="preserve">. Con fecha 30 de marzo de 2007 el Abogado del Estado presentó escrito de alegaciones. En él, argumentaba de la siguiente forma: </w:t>
      </w:r>
    </w:p>
    <w:p w:rsidR="00DE14C9" w:rsidRDefault="00DE14C9" w:rsidP="00DE14C9">
      <w:pPr>
        <w:pStyle w:val="TextoNormal"/>
      </w:pPr>
      <w:r>
        <w:t xml:space="preserve">a) Reiteraba los argumentos del Tribunal Supremo en relación con la razonabilidad de adicionar al plazo del art. 58.2 LJCA seis meses más y la desestimación expresa de uno de los actos recurridos, si bien extemporáneamente. </w:t>
      </w:r>
    </w:p>
    <w:p w:rsidR="00DE14C9" w:rsidRDefault="00DE14C9" w:rsidP="00DE14C9">
      <w:pPr>
        <w:pStyle w:val="TextoNormal"/>
      </w:pPr>
      <w:r>
        <w:t xml:space="preserve">b) Hacía una llamada al interés de terceros en la resolución del conflicto: los propietarios integrados en la Junta de compensación, cuya seguridad jurídica debe ser considerada y protegida, pues resultarían afectados en la anulación del Acuerdo por el que se aprobaron los estatutos y bases de actuación de la Junta de compensación. A su juicio ello debe ser tenido en cuenta en la aplicación de la máxima según la cual "la Administración no debe beneficiarse del incumplimiento de su obligación de no resolver expresamente". </w:t>
      </w:r>
    </w:p>
    <w:p w:rsidR="00DE14C9" w:rsidRDefault="00DE14C9" w:rsidP="00DE14C9">
      <w:pPr>
        <w:pStyle w:val="TextoNormal"/>
      </w:pPr>
      <w:r>
        <w:t xml:space="preserve">c) Cuestionaba la diligencia del particular que deja pasar más de un quinquenio sin acudir a la vía jurisdiccional desde que pudo entender desestimado por silencio su recurso de reposición contra el acuerdo que delimitó el sector. Por añadidura, recordaba que la desestimación de dicho acuerdo estaba también implícita en la desestimación expresa de varios actos municipales que presuponían la validez de la delimitación del sector, que la actora también recurrió en vía contenciosa y respecto de los que no prosperaron sus pretensiones. </w:t>
      </w:r>
    </w:p>
    <w:p w:rsidR="00DE14C9" w:rsidRDefault="00DE14C9" w:rsidP="00DE14C9">
      <w:pPr>
        <w:pStyle w:val="TextoNormal"/>
      </w:pPr>
      <w:r>
        <w:t>d) Afirmaba la necesidad de tener en cuenta que la anulación parcial de las Sentencias del Tribunal Superior de Justicia de Galicia y del Tribunal Supremo no alteraría la respuesta negativa a la pretensión de la demandante de amparo, pues nunca podría afectar a los otros actos administrativos recurridos y confirmados, cuyos efectos van anudados a los del acto recurrido.</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9</w:t>
      </w:r>
      <w:r>
        <w:t>. Con fecha 4 y 10 de abril de 2007 el Procurador don Argimiro Vázquez Guillén, en nombre y representación de la Xunta de Galicia, y la Procuradora doña Ana Barallat López, en nombre y representación de la Entidad Urbanística Colaboradora del término municipal de Nigrán, respectivamente, presentaron alegaciones en las que retoman los argumentos del Tribunal Superior de Justicia de Galicia así como los del Tribunal Supremo. La Procuradora doña Ana Barallat López, ha puesto, además, de manifiesto las contradicciones materiales en relación con la pretensión de la actora: el acuerdo de delimitación del sector tenía su causa en el Plan parcial, que fue confirmado por la jurisdicción contenciosa-administrativa y, por otro lado, la finca de la actora nunca podría haber sido calificada como suelo urbano, pues estaba carente de la totalidad de los servicios urbanísticos, de acuerdo con lo afirmado por la Sala de instancia y el Tribunal Supremo.</w:t>
      </w:r>
    </w:p>
    <w:p w:rsidR="00DE14C9" w:rsidRDefault="00DE14C9" w:rsidP="00DE14C9">
      <w:pPr>
        <w:pStyle w:val="TextoNormal"/>
      </w:pPr>
    </w:p>
    <w:p w:rsidR="00DE14C9" w:rsidRDefault="00DE14C9" w:rsidP="00DE14C9">
      <w:pPr>
        <w:pStyle w:val="TextoNormal"/>
      </w:pPr>
      <w:r w:rsidRPr="00DE14C9">
        <w:rPr>
          <w:rStyle w:val="NumeroAFNegritaCaracter"/>
        </w:rPr>
        <w:t>10</w:t>
      </w:r>
      <w:r>
        <w:t>. Igualmente, con fecha de entrada en este Tribunal de 10 de abril de 2007, el Procurador don Luis Arredondo Sans, en nombre y representación de la demandante de amparo, presentó escrito de alegaciones en el que reiteraba los argumentos de la demanda y de la jurisprudencia constitucional que reproducía en la demanda, relativa al control constitucional de las resoluciones judiciales impugnadas en amparo, por declarar extemporáneos los recursos contencioso-administrativos contra peticiones tácitamente desestimadas a través de la ficción del silencio administrativo.</w:t>
      </w:r>
    </w:p>
    <w:p w:rsidR="00DE14C9" w:rsidRDefault="00DE14C9" w:rsidP="00DE14C9">
      <w:pPr>
        <w:pStyle w:val="TextoNormal"/>
      </w:pPr>
    </w:p>
    <w:p w:rsidR="00DE14C9" w:rsidRDefault="00DE14C9" w:rsidP="00DE14C9">
      <w:pPr>
        <w:pStyle w:val="TextoNormal"/>
      </w:pPr>
      <w:r w:rsidRPr="00DE14C9">
        <w:rPr>
          <w:rStyle w:val="NumeroAFNegritaCaracter"/>
        </w:rPr>
        <w:t>11</w:t>
      </w:r>
      <w:r>
        <w:t>. El Ministerio Fiscal, por escrito registrado en este Tribunal el 18 de abril de 2007, interesó la estimación del amparo. A su parecer las SSTC 204/1987 y 188/2003 desechan la aplicación analógica del artículo 79.4 LJCA a supuestos como el que nos ocupa y a la vista de la conexión de las obligaciones legales incumplidas por la Administración de resolver expresamente y brindar una información adecuada a los derechos de los administrados, la utilización por el órgano judicial del principio de seguridad jurídica resulta inaceptable y desproporcionado, máxime cuando está en juego el primero de los derechos del art. 24.1 CE: el acceso a la jurisdicción. Añade que, en el presente caso, la omisión de un pronunciamiento sobre el fondo, imputable a las Sentencias objeto de esta queja, ha desvirtuado la finalidad de la institución del silencio administrativo, transformando en una posición procesal de ventaja lo que es, en su origen, el incumplimiento de un deber de la Administración, como el de dar respuesta expresa a las solicitudes de los ciudadanos, permitiendo así que, pese a la persistente negativa o resistencia a tal deber por parte del ente público, éste quede inmune al control jurisdiccional plenario que viene exigido por el artículo 106.1 CE.</w:t>
      </w:r>
    </w:p>
    <w:p w:rsidR="00DE14C9" w:rsidRDefault="00DE14C9" w:rsidP="00DE14C9">
      <w:pPr>
        <w:pStyle w:val="TextoNormal"/>
      </w:pPr>
    </w:p>
    <w:p w:rsidR="00DE14C9" w:rsidRDefault="00DE14C9" w:rsidP="00DE14C9">
      <w:pPr>
        <w:pStyle w:val="TextoNormal"/>
      </w:pPr>
      <w:r w:rsidRPr="00DE14C9">
        <w:rPr>
          <w:rStyle w:val="NumeroAFNegritaCaracter"/>
        </w:rPr>
        <w:t>12</w:t>
      </w:r>
      <w:r>
        <w:t>. Por providencia de 19 de julio de 2007 se señaló para deliberación y votación de la presente Sentencia el día 23 del mismo mes y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La parte recurrente, bajo la invocación del derecho fundamental a la tutela judicial efectiva sin indefensión, solicita la anulación de la Sentencia dictada por la Sección Quinta de la Sala de lo Contencioso-Administrativo del Tribunal Supremo de 18 de febrero de 2004, que desestimó el recurso de casación interpuesto por la recurrente en amparo.</w:t>
      </w:r>
    </w:p>
    <w:p w:rsidR="00DE14C9" w:rsidRDefault="00DE14C9" w:rsidP="00DE14C9">
      <w:pPr>
        <w:pStyle w:val="TextoNormal"/>
      </w:pPr>
      <w:r>
        <w:t xml:space="preserve">Como ha quedado expuesto con mayor detalle en los antecedentes de esta resolución el Tribunal Supremo consideró razonable entender que, en este supuesto, el silencio negativo </w:t>
      </w:r>
      <w:r>
        <w:lastRenderedPageBreak/>
        <w:t>de la Administración equivale a una notificación defectuosa que debe dar lugar a la aplicación del art. 79.4 LPA y, por tanto, a una ampliación del plazo de un año del art. 58.2 de la Ley reguladora de la jurisdicción contencioso-administrativa de 1956 (LJCA) por seis meses más. El órgano judicial considera ese plazo más que suficiente, sobre todo teniendo en cuenta que la Administración había procedido, si bien extemporáneamente, a la desestimación expresa de uno de los actos recurridos. El Tribunal Supremo añade también que "a mayor abundamiento, nada se dice por la recurrente en relación con la desestimación expresa del recurso de reposición en relación con la constitución de la Junta de compensación; desestimación que le fue notificada con indicación de recursos y que dejó consentida y firme".</w:t>
      </w:r>
    </w:p>
    <w:p w:rsidR="00DE14C9" w:rsidRDefault="00DE14C9" w:rsidP="00DE14C9">
      <w:pPr>
        <w:pStyle w:val="TextoNormal"/>
      </w:pPr>
      <w:r>
        <w:t>La demandante de amparo, al igual que el Ministerio Fiscal, especialmente éste último, estiman que la Sentencia del Tribunal Supremo lesiona el art. 24.1 CE al haber optado por la interpretación más restrictiva de la normativa procesal -frente al art.  79.3 de la Ley de procedimiento administrativo de 1958 (LPA), que dispone que sólo surtirá efecto a partir de la fecha en que se haga manifestación expresa en tal sentido por el interesado, o se interponga el recurso pertinente-, contrariando así el principio pro actione y favoreciendo con ello el silencio de la Administración en contra de su obligación de resolver.</w:t>
      </w:r>
    </w:p>
    <w:p w:rsidR="00DE14C9" w:rsidRDefault="00DE14C9" w:rsidP="00DE14C9">
      <w:pPr>
        <w:pStyle w:val="TextoNormal"/>
      </w:pPr>
      <w:r>
        <w:t>Por el contrario las demás partes personadas -el Abogado del Estado, el Procurador don Argimiro Vázquez Guillén, en nombre y representación de la Xunta de Galicia, y la Procuradora doña Ana Barallat López, en nombre y representación de la Entidad Urbanística Colaboradora del término municipal de Nigrán- sostienen la inexistencia de la citada vulneración y la corrección de las resoluciones judiciales.</w:t>
      </w:r>
    </w:p>
    <w:p w:rsidR="00DE14C9" w:rsidRDefault="00DE14C9" w:rsidP="00DE14C9">
      <w:pPr>
        <w:pStyle w:val="TextoNormal"/>
      </w:pPr>
    </w:p>
    <w:p w:rsidR="00DE14C9" w:rsidRDefault="00DE14C9" w:rsidP="00DE14C9">
      <w:pPr>
        <w:pStyle w:val="TextoNormal"/>
      </w:pPr>
      <w:r w:rsidRPr="00DE14C9">
        <w:rPr>
          <w:rStyle w:val="NumeroAFNegritaCaracter"/>
        </w:rPr>
        <w:t>2</w:t>
      </w:r>
      <w:r>
        <w:t>. El problema que plantea el presente recurso de amparo se concreta en resolver si la Sentencia dictada por el Tribunal Supremo, al rechazar la posibilidad de considerar indefinidamente abierto el plazo para recurrir supuestos de denegación presunta y estimar que tal posibilidad olvida los límites impuestos por el art. 58.2 LJCA de 1956 y el principio de seguridad jurídica a que dicho precepto responde, lesiona el derecho fundamental de la parte recurrente a la tutela judicial efectiva en su vertiente de acceso a la jurisdicción.</w:t>
      </w:r>
    </w:p>
    <w:p w:rsidR="00DE14C9" w:rsidRDefault="00DE14C9" w:rsidP="00DE14C9">
      <w:pPr>
        <w:pStyle w:val="TextoNormal"/>
      </w:pPr>
      <w:r>
        <w:t>En relación con el control constitucional de las resoluciones judiciales que declaran extemporáneos recursos contencioso-administrativos contra peticiones presuntamente desestimadas a través de la ficción del silencio administrativo, este Tribunal tiene elaborado un extenso cuerpo doctrinal cuya evolución ha sido recogida y sintetizada en las últimas SSTC 14/2006, de 16 de enero, 39/2006, de 13 de febrero, 186/2006, de 19 de junio, y 27/2007, de 12 de febrero. En todas ellas se pone de manifiesto que aun cuando la cuestión relativa a la caducidad de la acción constituye un problema de legalidad ordinaria, adquiere relevancia constitucional cuando en la decisión judicial se haya utilizado un criterio interpretativo que por su rigorismo, formalismo excesivo o cualquier otra razón se revele desfavorable para la efectividad del derecho a la tutela judicial efectiva, especialmente si la caducidad de la acción se está apreciando en el acceso a una primera resolución judicial sobre el fondo.</w:t>
      </w:r>
    </w:p>
    <w:p w:rsidR="00DE14C9" w:rsidRDefault="00DE14C9" w:rsidP="00DE14C9">
      <w:pPr>
        <w:pStyle w:val="TextoNormal"/>
      </w:pPr>
    </w:p>
    <w:p w:rsidR="00DE14C9" w:rsidRDefault="00DE14C9" w:rsidP="00DE14C9">
      <w:pPr>
        <w:pStyle w:val="TextoNormal"/>
      </w:pPr>
      <w:r w:rsidRPr="00DE14C9">
        <w:rPr>
          <w:rStyle w:val="NumeroAFNegritaCaracter"/>
        </w:rPr>
        <w:t>3</w:t>
      </w:r>
      <w:r>
        <w:t>. Sin perjuicio de esta doctrina debemos comprobar, previamente al examen de la queja planteada por la actora, si existe o no, en este caso, una lesión efectiva y actual del derecho fundamental del demandante de amparo a la tutela judicial efectiva (art.  24.1 CE) en el momento de interponer su demanda.</w:t>
      </w:r>
    </w:p>
    <w:p w:rsidR="00DE14C9" w:rsidRDefault="00DE14C9" w:rsidP="00DE14C9">
      <w:pPr>
        <w:pStyle w:val="TextoNormal"/>
      </w:pPr>
      <w:r>
        <w:t xml:space="preserve">Ciertamente en que en el presente caso existió una respuesta expresa -si bien tardía- de uno de los actos impugnados -concretamente el Acuerdo por el que se aprobaron los estatutos y bases de actuación de la Junta de compensación de 18 de diciembre de 1992-, siendo </w:t>
      </w:r>
      <w:r>
        <w:lastRenderedPageBreak/>
        <w:t>especialmente relevante el momento temporal en que esa respuesta expresa se produjo: antes de la interposición del recurso contencioso- administrativo. Ello significa que en el momento en que la demandante interpone su recurso no había, en puridad, una situación de petición presuntamente desestimada a través de la ficción del silencio administrativo.</w:t>
      </w:r>
    </w:p>
    <w:p w:rsidR="00DE14C9" w:rsidRDefault="00DE14C9" w:rsidP="00DE14C9">
      <w:pPr>
        <w:pStyle w:val="TextoNormal"/>
      </w:pPr>
      <w:r>
        <w:t>Así pues la demandante de amparo recibió una respuesta -aunque tardía- del recurso de reposición por ella interpuesto y, pese a ello, no acudió a la vía contenciosa -como estaba facultada- contra dicha resolución expresa, sino que, obviando el plazo de impugnación de la misma y superando éste ampliamente, interpuso recurso contencioso-administrativo contra lo que supuestamente continuaba siendo una petición presuntamente desestimada a través de la ficción del silencio administrativo. Por lo demás hay que advertir que omitió indicar en la demanda la existencia de dicha resolución expresa posterior que desestimaba su petitum.</w:t>
      </w:r>
    </w:p>
    <w:p w:rsidR="00DE14C9" w:rsidRDefault="00DE14C9" w:rsidP="00DE14C9">
      <w:pPr>
        <w:pStyle w:val="TextoNormal"/>
      </w:pPr>
      <w:r>
        <w:t>Queda claro que, en el presente caso, cuando se presenta el recurso ante la jurisdicción contenciosa-administrativa -3 de julio de 1997- que pretendía, entre otras pretensiones, la anulación del acuerdo por el que se aprobaron los estatutos y bases de actuación de la Junta de compensación de 18 de diciembre de 1992, ya no existía el acto presunto negativo, pues había sido expresamente desestimado el 30 de junio de 1994. En ese sentido argumentaron tanto la Sentencia de 15 de febrero de 2001 de la Sala de lo Contencioso-Administrativo del Tribunal Superior de Justicia de Galicia como el Tribunal Supremo en su Sentencia de 18 de febrero de 2004, dejando entrever la equívoca actitud del demandante al haber omitido la existencia de dicha respuesta expresa recibida con carácter previo a la interposición de su recurso contencioso- administrativo. El acto de desestimación expreso de 30 de junio de 1994 abrió la posibilidad de que la jurisdicción ordinaria reparase la vulneración que hoy se dice sufrida en la demanda de amparo -el acceso a la jurisdicción.</w:t>
      </w:r>
    </w:p>
    <w:p w:rsidR="00DE14C9" w:rsidRDefault="00DE14C9" w:rsidP="00DE14C9">
      <w:pPr>
        <w:pStyle w:val="TextoNormal"/>
      </w:pPr>
    </w:p>
    <w:p w:rsidR="00DE14C9" w:rsidRDefault="00DE14C9" w:rsidP="00DE14C9">
      <w:pPr>
        <w:pStyle w:val="TextoNormal"/>
      </w:pPr>
      <w:r w:rsidRPr="00DE14C9">
        <w:rPr>
          <w:rStyle w:val="NumeroAFNegritaCaracter"/>
        </w:rPr>
        <w:t>4</w:t>
      </w:r>
      <w:r>
        <w:t>. Queda pendiente entonces si la Sentencia dictada por el Tribunal Supremo, al inadmitir por extemporáneo el recurso contencioso-administrativo interpuesto contra el segundo de los actos impugnados -el Acuerdo de delimitación del sector, de 15 de marzo de 1991-, lesiona el derecho fundamental de la parte recurrente a la tutela judicial efectiva en su vertiente de acceso a la jurisdicción.</w:t>
      </w:r>
    </w:p>
    <w:p w:rsidR="00DE14C9" w:rsidRDefault="00DE14C9" w:rsidP="00DE14C9">
      <w:pPr>
        <w:pStyle w:val="TextoNormal"/>
      </w:pPr>
      <w:r>
        <w:t>En relación con esta cuestión no podemos dejar de compartir uno de los argumentos utilizados por el Abogado del Estado en sus alegaciones, concretamente el que se refiere a que la desestimación del recurso de reposición interpuesto contra el Acuerdo de delimitación del sector estaba implícita en la desestimación expresa de varios actos municipales que presuponían la validez de la delimitación del sector, los cuales también fueron recurridos por la actora en vía contenciosa y respecto de los que no prosperaron sus pretensiones.</w:t>
      </w:r>
    </w:p>
    <w:p w:rsidR="00DE14C9" w:rsidRDefault="00DE14C9" w:rsidP="00DE14C9">
      <w:pPr>
        <w:pStyle w:val="TextoNormal"/>
      </w:pPr>
      <w:r>
        <w:t>En este mismo sentido es importante señalar que la validez del acuerdo por el que se aprobaron los estatutos y bases de actuación de la Junta de compensación de 18 de diciembre de 1992, confirmada en la desestimación expresa del recurso de reposición de 30 de junio de 1994, tampoco resulta intrascendente. Y ello porque los estatutos y bases de actuación de la Junta de compensación no son sino la consecuencia lógica y necesaria para la ejecución del Acuerdo de delimitación del sector. Es pues razonable entender que la desestimación del recurso de reposición del demandante contra el Acuerdo por el que se aprobaron los estatutos y bases de actuación de la Junta de compensación de 20 de julio de 1994 abría la posibilidad de impugnar ante la jurisdicción contenciosa-administrativa, no solo dicho acuerdo, sino igualmente el Acuerdo de delimitación del sector, del que sin duda resulta complementario. Asimismo, cabe concluir que el acuerdo por el que se aprobaron los esta</w:t>
      </w:r>
      <w:r>
        <w:lastRenderedPageBreak/>
        <w:t>tutos y la Junta de compensación debe reputarse como consentido, al no haber sido interpuesto contra él recurso alguno en tiempo y forma oportunos. Así lo afirmó el Tribunal Supremo en su Sentencia de 18 de febrero de 2004: "desestimación que le fue notificada con indicación de recursos y que dejó consentida y firme". Consentido el acto de ejecución, no cabe en modo alguno reclamar contra el acto del que trae causa y a cuyos efectos el propio acto consentido va ligado.  La resolución judicial impugnada reposa, pues, en el consentimiento, y el fallo se funda en el hecho incontrovertible efectuado por la demandante de no recurrir en tiempo hábil. Así el órgano judicial sin pretender proteger la legalidad objetiva -el cuestionado plazo de un año del art. 58.2 LJCA-, sino defender la efectiva tutela de los derechos del administrado, víctima del incumplimiento por parte de la Administración del deber de respuesta expresa a las solicitudes de los ciudadanos, pondera también la protección del otro principio en conflicto -el principio de seguridad jurídica-, teniendo en cuenta, en el presente caso, la cuestionable diligencia del particular. No existe, pues, una decisión que por su rigorismo, por su formalismo excesivo o por cualquier otra razón revele una clara desproporción entre los fines y los intereses que se protegen y los que se sacrifican (SSTC 195/1999, de 25 de octubre, FJ 2; 206/2002, de 11 de noviembre, FJ 2; 19/2003, de 30 de enero, FJ 2) y, en definitiva, no existe una lesión constitucional.</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Desestimar la demanda de amparo interpuesta por doña Carmen Guisande Martínez.</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veintitrés de julio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87" w:name="SENTENCIA_2007_174"/>
      <w:r>
        <w:lastRenderedPageBreak/>
        <w:t>SENTENCIA 174/2007, de 23 de julio de 2007</w:t>
      </w:r>
    </w:p>
    <w:bookmarkEnd w:id="87"/>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200, de 21 de agosto de 2007)</w:t>
      </w:r>
    </w:p>
    <w:p w:rsidR="00DE14C9" w:rsidRDefault="00DE14C9" w:rsidP="00DE14C9">
      <w:pPr>
        <w:pStyle w:val="TtuloBOE"/>
      </w:pPr>
    </w:p>
    <w:p w:rsidR="00DE14C9" w:rsidRDefault="00DE14C9" w:rsidP="00DE14C9">
      <w:pPr>
        <w:pStyle w:val="SntesisDescriptiva"/>
      </w:pPr>
      <w:r>
        <w:t>ECLI:ES:TC:2007:174</w:t>
      </w:r>
    </w:p>
    <w:p w:rsidR="00DE14C9" w:rsidRDefault="00DE14C9" w:rsidP="00DE14C9">
      <w:pPr>
        <w:pStyle w:val="SntesisDescriptiva"/>
      </w:pPr>
    </w:p>
    <w:p w:rsidR="00DE14C9" w:rsidRDefault="00DE14C9" w:rsidP="00DE14C9">
      <w:pPr>
        <w:pStyle w:val="SntesisDescriptiva"/>
      </w:pPr>
      <w:r>
        <w:t>Recurso de amparo 7928-2004. Promovido por doña María de la Paz Romero García respecto a la Sentencia de un Juzgado de lo Contencioso-Administrativo de Granada que desestimó su demanda contra el Ayuntamiento de Granada sobre sanción de tráfico.</w:t>
      </w:r>
    </w:p>
    <w:p w:rsidR="00DE14C9" w:rsidRDefault="00DE14C9" w:rsidP="00DE14C9">
      <w:pPr>
        <w:pStyle w:val="SntesisDescriptiva"/>
      </w:pPr>
    </w:p>
    <w:p w:rsidR="00DE14C9" w:rsidRDefault="00DE14C9" w:rsidP="00DE14C9">
      <w:pPr>
        <w:pStyle w:val="SntesisAnaltica"/>
      </w:pPr>
      <w:r>
        <w:t>Alegada vulneración del derecho de defensa en el procedimiento administrativo sancionador: inadmisión del recurso de amparo por fuera de plazo, que no se reinicia al comunicar la sentencia.</w:t>
      </w:r>
    </w:p>
    <w:p w:rsidR="00DE14C9" w:rsidRDefault="00DE14C9" w:rsidP="00DE14C9">
      <w:pPr>
        <w:pStyle w:val="SntesisAnaltica"/>
      </w:pPr>
    </w:p>
    <w:p w:rsidR="00DE14C9" w:rsidRDefault="00DE14C9" w:rsidP="00DE14C9">
      <w:pPr>
        <w:pStyle w:val="Extracto"/>
      </w:pPr>
      <w:r>
        <w:t>1.</w:t>
      </w:r>
      <w:r>
        <w:tab/>
        <w:t>En atención a las importantes razones de seguridad jurídica y de igualdad en la aplicación de la ley que imponen la exigencia del requisito de tempestividad y que hacen que el plazo para acudir a esta jurisdicción de amparo sea de caducidad, improrrogable y no susceptible de suspensión y, por consiguiente, de inexorable cumplimiento, procede acordar la inadmisión del presente recurso de amparo (SSTC 159/1998, 85/2004, 204/2005) [FJ único].</w:t>
      </w:r>
    </w:p>
    <w:p w:rsidR="00DE14C9" w:rsidRDefault="00DE14C9" w:rsidP="00DE14C9">
      <w:pPr>
        <w:pStyle w:val="Extracto"/>
      </w:pPr>
    </w:p>
    <w:p w:rsidR="00DE14C9" w:rsidRDefault="00DE14C9" w:rsidP="00DE14C9">
      <w:pPr>
        <w:pStyle w:val="Extracto"/>
      </w:pPr>
      <w:r>
        <w:t>2.</w:t>
      </w:r>
      <w:r>
        <w:tab/>
        <w:t>Los defectos insubsanables de que pudiera estar afectado el recurso de amparo no resultan sanados porque el recurso haya sido inicialmente admitido a trámite, de forma que la comprobación de los presupuestos procesales para la viabilidad de la acción pueden reabordarse o reconsiderarse en la Sentencia, dando lugar a un pronunciamiento de inadmisión por la falta de tales presupuestos (SSTC 69/2004, 56/2006) [FJ único].</w:t>
      </w:r>
    </w:p>
    <w:p w:rsidR="00DE14C9" w:rsidRDefault="00DE14C9" w:rsidP="00DE14C9">
      <w:pPr>
        <w:pStyle w:val="Extracto"/>
      </w:pPr>
    </w:p>
    <w:p w:rsidR="00DE14C9" w:rsidRDefault="00DE14C9" w:rsidP="00DE14C9">
      <w:pPr>
        <w:pStyle w:val="Extracto"/>
      </w:pPr>
      <w:r>
        <w:t>3.</w:t>
      </w:r>
      <w:r>
        <w:tab/>
        <w:t>El dies a quo para el cómputo del plazo no es el siguiente al de notificación del Auto posterior de comunicación de la Sentencia, que acuerda la ejecución voluntaria, sino el correspondiente a la notificación de la Sentencia, ya que el Auto ni se integra en la vía judicial de amparo ni tiene por objeto la declaración de firmeza de la Sentencia, que sólo ésta realiza y que es el condicionante previo de dicho Auto [FJ único].</w:t>
      </w:r>
    </w:p>
    <w:p w:rsidR="00DE14C9" w:rsidRDefault="00DE14C9" w:rsidP="00DE14C9">
      <w:pPr>
        <w:pStyle w:val="Extracto"/>
      </w:pPr>
    </w:p>
    <w:p w:rsidR="00DE14C9" w:rsidRDefault="00DE14C9" w:rsidP="00DE14C9">
      <w:pPr>
        <w:pStyle w:val="Extracto"/>
      </w:pPr>
      <w:r>
        <w:t>4.</w:t>
      </w:r>
      <w:r>
        <w:tab/>
        <w:t>El Auto de comunicación era recurrible en súplica, como se informaba en el pie del mismo, y dado que tal recurso no fue interpuesto, caso de integrar la vía judicial de amparo, habría que concluir que el Auto no era el punto final de tal vía y que por lo tanto la misma no habría quedado agotada [FJ único].</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lastRenderedPageBreak/>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7928-2004, promovido por doña María de la Paz Romero García, representada por la Procuradora de los Tribunales doña Belén Jiménez Torrecillas y asistida por el Abogado don Francisco M. Mingorance Álvarez, contra la Sentencia del Juzgado de lo Contencioso-Administrativo núm. 2 de Granada 286/2004, de 12 de noviembre, desestimatoria del recurso contencioso-administrativo contra la Resolución del Ayuntamiento de Granada de 19 de febrero de 2004, confirmatoria en reposición de la Resolución de 12 de enero de 2004, sancionadora por falta de identificación del conductor del vehículo con el que se cometió una infracción de tráfico. Ha comparecido el Ayuntamiento de Granada, representado por el Procurador de los Tribunales don José María Martín Rodríguez y asistido por el Abogado don Luis García-Trevijano Rodríguez. Ha intervenido el Ministerio Fiscal. Ha sido Ponente la Presidenta doña María Emilia Casas Baamonde,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registrado en este Tribunal el día 30 de diciembre de 2004, la Procuradora de los Tribunales doña Belén Jiménez Torrecillas interpone recurso de amparo en nombre de doña María de la Paz Romero García contra las resoluciones, administrativas y judicial, que se mencionan en el encabezamiento.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relevantes para el examen de la pretensión de amparo son, sucintamente relatados, los siguientes: </w:t>
      </w:r>
    </w:p>
    <w:p w:rsidR="00DE14C9" w:rsidRDefault="00DE14C9" w:rsidP="00DE14C9">
      <w:pPr>
        <w:pStyle w:val="TextoNormal"/>
      </w:pPr>
      <w:r>
        <w:t xml:space="preserve">a) Mediante Decreto de la Alcaldía de 12 de enero de 2004, el Ayuntamiento de Granada resolvía sancionar a la ahora recurrente de amparo con una multa de 301 euros “por el incumplimiento de identificación del conductor responsable de la infracción de conformidad con lo establecido en el art. 72.3 de la Ley sobre Tráfico, Circulación de Vehículos a Motor y Seguridad Vial”. </w:t>
      </w:r>
    </w:p>
    <w:p w:rsidR="00DE14C9" w:rsidRDefault="00DE14C9" w:rsidP="00DE14C9">
      <w:pPr>
        <w:pStyle w:val="TextoNormal"/>
      </w:pPr>
      <w:r>
        <w:t xml:space="preserve">El expediente se había iniciado mediante una denuncia de la policía local por aparcamiento indebido del vehículo del que era titular la denunciada. La notificación del hecho denunciado, con el requerimiento de identificación del conductor del vehículo cuando se cometió la infracción, fue devuelta por ausencia de la titular del vehículo en dos ocasiones en el domicilio al que le fue dirigida la comunicación. La notificación del expediente sancionador se realizó mediante edicto del Ayuntamiento de 9 de mayo de 2003, expuesto en el tablón de anuncios del mismo y publicado en el “Boletín Oficial de la Provincia” núm. 120 de 2003, de 28 de mayo. </w:t>
      </w:r>
    </w:p>
    <w:p w:rsidR="00DE14C9" w:rsidRDefault="00DE14C9" w:rsidP="00DE14C9">
      <w:pPr>
        <w:pStyle w:val="TextoNormal"/>
      </w:pPr>
      <w:r>
        <w:t xml:space="preserve">También fue devuelta la notificación de denuncia por falta de identificación del conductor. En los dos nuevos intentos al mismo domicilio figura como causa de la falta de la entrega que el destinatario era “desconocido”. La nueva notificación se realiza mediante edicto </w:t>
      </w:r>
      <w:r>
        <w:lastRenderedPageBreak/>
        <w:t xml:space="preserve">del Ayuntamiento de 31 de octubre de 2003, expuesto en el tablón de anuncios del mismo y publicado en el “Boletín Oficial de la Provincia” núm. 266 de 2003, de 19 de noviembre. </w:t>
      </w:r>
    </w:p>
    <w:p w:rsidR="00DE14C9" w:rsidRDefault="00DE14C9" w:rsidP="00DE14C9">
      <w:pPr>
        <w:pStyle w:val="TextoNormal"/>
      </w:pPr>
      <w:r>
        <w:t xml:space="preserve">La notificación de la sanción se produjo en día 29 de enero de 2004 en un domicilio distinto al que se habían dirigido las anteriores comunicaciones. </w:t>
      </w:r>
    </w:p>
    <w:p w:rsidR="00DE14C9" w:rsidRDefault="00DE14C9" w:rsidP="00DE14C9">
      <w:pPr>
        <w:pStyle w:val="TextoNormal"/>
      </w:pPr>
      <w:r>
        <w:t xml:space="preserve">b) Frente a la resolución sancionadora, la sancionada interpuso recurso de reposición, que fue desestimado mediante Resolución del Ayuntamiento de Granada de 17 de febrero de 2004. </w:t>
      </w:r>
    </w:p>
    <w:p w:rsidR="00DE14C9" w:rsidRDefault="00DE14C9" w:rsidP="00DE14C9">
      <w:pPr>
        <w:pStyle w:val="TextoNormal"/>
      </w:pPr>
      <w:r>
        <w:t xml:space="preserve">c) La sancionada interpuso entonces un recurso contencioso-administrativo contra la resolución sancionadora invocando que había padecido indefensión, pues ningún trámite del expediente sancionador —sólo la sanción en vía de apremio— se le habría notificado en su domicilio a pesar de que estaba debidamente empadronada en la localidad. </w:t>
      </w:r>
    </w:p>
    <w:p w:rsidR="00DE14C9" w:rsidRDefault="00DE14C9" w:rsidP="00DE14C9">
      <w:pPr>
        <w:pStyle w:val="TextoNormal"/>
      </w:pPr>
      <w:r>
        <w:t xml:space="preserve">Mediante Sentencia 268/2004, de 12 de noviembre, el Juzgado de lo Contencioso-Administrativo núm. 2 de Granada desestima el recurso. Considera que el desconocimiento del procedimiento sancionador sólo es imputable a la recurrente, que no informó de su cambio de domicilio a la Administración, que procedió a las notificaciones, según dispone el art. 78.1 de la Ley sobre tráfico, circulación de vehículos a motor y seguridad vial, en el domicilio “que los interesados hayan expresamente indicado y, en su defecto, el que figure en los Registros de Conductores e Infractores, y en el de Vehículos, respectivamente”, para los conductores y para los titulares del vehículo, que “están obligados a comunicar los cambios de domicilio”. Esta Sentencia, que proclama su firmeza, fue notificada a la Procuradora de la recurrente el día 22 de noviembre de 2004. </w:t>
      </w:r>
    </w:p>
    <w:p w:rsidR="00DE14C9" w:rsidRDefault="00DE14C9" w:rsidP="00DE14C9">
      <w:pPr>
        <w:pStyle w:val="TextoNormal"/>
      </w:pPr>
      <w:r>
        <w:t>d) Mediante Auto de 29 de noviembre de 2004, notificado el siguiente 1 de diciembre, el Juzgado de lo Contencioso-administrativo núm. 2 de Granada, razona que, “siendo firme la Sentencia … al no caber contra la misma recurso alguno, procede, conforme a los arts. 103 y ss. LJCA, la ejecución voluntaria”, y acuerda la comunicación de la Sentencia al órgano que haya realizado la actividad recurrida para que la lleve a efecto, la devolución del expediente administrativo y el archivo de las actuaciones.</w:t>
      </w:r>
    </w:p>
    <w:p w:rsidR="00DE14C9" w:rsidRDefault="00DE14C9" w:rsidP="00DE14C9">
      <w:pPr>
        <w:pStyle w:val="TextoNormal"/>
      </w:pPr>
    </w:p>
    <w:p w:rsidR="00DE14C9" w:rsidRDefault="00DE14C9" w:rsidP="00DE14C9">
      <w:pPr>
        <w:pStyle w:val="TextoNormal"/>
      </w:pPr>
      <w:r w:rsidRPr="00DE14C9">
        <w:rPr>
          <w:rStyle w:val="NumeroAFNegritaCaracter"/>
        </w:rPr>
        <w:t>3</w:t>
      </w:r>
      <w:r>
        <w:t>. En el suplico de la demanda de amparo se solicita que se declare que se ha vulnerado el derecho a la tutela judicial efectiva de la recurrente (art. 24.1 CE) y que en consecuencia se anulen tanto las resoluciones administrativas dictadas en el procedimiento que ha concluido con la sanción de la recurrente y en el expediente administrativo de apremio, como la Sentencia que resolvía el recurso contencioso-administrativo. La razón en la que el recurso sostiene esta pretensión consiste en que no se han notificado en el domicilio de la recurrente ninguna de las resoluciones administrativas previas a la sanción, impidiendo totalmente su defensa, a pesar de que “el cambio de domicilio sí fue comunicado al Ayuntamiento, como lo prueba en empadronamiento de la misma en Granada, donde fijó su domicilio a todos los efectos desde el año 1996, y en el que se le han practicado algunas notificaciones, como lo prueba el requerimiento de pago de la sanción”. Apoya su argumentación en las SSTC 145/2004, de 13 de septiembre, y 54/2003, de 24 de marzo.</w:t>
      </w:r>
    </w:p>
    <w:p w:rsidR="00DE14C9" w:rsidRDefault="00DE14C9" w:rsidP="00DE14C9">
      <w:pPr>
        <w:pStyle w:val="TextoNormal"/>
      </w:pPr>
    </w:p>
    <w:p w:rsidR="00DE14C9" w:rsidRDefault="00DE14C9" w:rsidP="00DE14C9">
      <w:pPr>
        <w:pStyle w:val="TextoNormal"/>
      </w:pPr>
      <w:r w:rsidRPr="00DE14C9">
        <w:rPr>
          <w:rStyle w:val="NumeroAFNegritaCaracter"/>
        </w:rPr>
        <w:t>4</w:t>
      </w:r>
      <w:r>
        <w:t>. Mediante providencia de 29 de marzo de 2006, la Sección Primera de este Tribunal acuerda admitir a trámite la demanda de amparo, sin perjuicio de lo que resulte de los antecedentes, y, conforme a lo previsto en el art. 51 LOTC, requerir del Juzgado de lo Contencioso-Administrativo núm. 2 de Granada y del Ayuntamiento de Granada testimonio de las actuaciones del procedimiento y del expediente administrativo, respectivamente, que originan el presente recurso, interesando al mismo tiempo el emplazamiento de quienes fueron parte en los mismos para posibilitar su comparecencia en el presente proceso constitucional.</w:t>
      </w:r>
    </w:p>
    <w:p w:rsidR="00DE14C9" w:rsidRDefault="00DE14C9" w:rsidP="00DE14C9">
      <w:pPr>
        <w:pStyle w:val="TextoNormal"/>
      </w:pPr>
    </w:p>
    <w:p w:rsidR="00DE14C9" w:rsidRDefault="00DE14C9" w:rsidP="00DE14C9">
      <w:pPr>
        <w:pStyle w:val="TextoNormal"/>
      </w:pPr>
      <w:r w:rsidRPr="00DE14C9">
        <w:rPr>
          <w:rStyle w:val="NumeroAFNegritaCaracter"/>
        </w:rPr>
        <w:t>5</w:t>
      </w:r>
      <w:r>
        <w:t>. Mediante diligencia de ordenación de su Secretaría de Justicia de 21 de febrero de 2007, la Sección Primera de este Tribunal tiene por recibidas las actuaciones solicitadas y por personado al Procurador don José María Martín Rodríguez en representación del Ayuntamiento de Granada. Asimismo acuerda dar vista de todas las actuaciones del presente proceso al Ministerio Fiscal y a las partes personadas, con concesión de un plazo de veinte días para la presentación de las alegaciones previstas en el artículo 52.1 LOTC.</w:t>
      </w:r>
    </w:p>
    <w:p w:rsidR="00DE14C9" w:rsidRDefault="00DE14C9" w:rsidP="00DE14C9">
      <w:pPr>
        <w:pStyle w:val="TextoNormal"/>
      </w:pPr>
    </w:p>
    <w:p w:rsidR="00DE14C9" w:rsidRDefault="00DE14C9" w:rsidP="00DE14C9">
      <w:pPr>
        <w:pStyle w:val="TextoNormal"/>
      </w:pPr>
      <w:r w:rsidRPr="00DE14C9">
        <w:rPr>
          <w:rStyle w:val="NumeroAFNegritaCaracter"/>
        </w:rPr>
        <w:t>6</w:t>
      </w:r>
      <w:r>
        <w:t xml:space="preserve">. La representación del Ayuntamiento de Granada solicita la denegación del amparo. En su parecer, las notificaciones de iniciación de procedimientos sancionadores en materia de tráfico con conductor ausente han de hacerse, según el art. 78.1 de la Ley sobre tráfico, circulación de vehículos a motor y seguridad vial, en el lugar en el que resulte domiciliado el vehículo y, según el Tribunal Constitucional, para mayor garantía, “en cualquier otro que pueda aparecer en el expediente administrativo”. Esto es lo que habría hecho el Ayuntamiento en el presente expediente; si luego realizó la notificación del expediente de apremio en un lugar distinto es porque se trataba ya de un procedimiento distinto regido por una normativa distinta. En todo caso es responsabilidad del ciudadano la comunicación de los cambios de domicilio (art. 78.1 Ley sobre tráfico), sin que la falta de diligencia del ciudadano al respecto pueda ser utilizada por él mismo en su propio beneficio. </w:t>
      </w:r>
    </w:p>
    <w:p w:rsidR="00DE14C9" w:rsidRDefault="00DE14C9" w:rsidP="00DE14C9">
      <w:pPr>
        <w:pStyle w:val="TextoNormal"/>
      </w:pPr>
      <w:r>
        <w:t>Considera que no puede pretenderse que el Ayuntamiento busque el domicilio en todos sus archivos, so pena de una gran inseguridad jurídica en relación con los domicilios fijados en la ley, de riesgo de caducidad de los expedientes sancionadores, de graves inconvenientes materiales y de dotar de mayor garantías a los residentes “en el municipio que emite la sanción” que a los no residentes. Argumenta, en fin, que tal exigencia de agotamiento de la “diligencia notificadora” supondría graves inconvenientes si se trasladara a la Administración del Estado.</w:t>
      </w:r>
    </w:p>
    <w:p w:rsidR="00DE14C9" w:rsidRDefault="00DE14C9" w:rsidP="00DE14C9">
      <w:pPr>
        <w:pStyle w:val="TextoNormal"/>
      </w:pPr>
    </w:p>
    <w:p w:rsidR="00DE14C9" w:rsidRDefault="00DE14C9" w:rsidP="00DE14C9">
      <w:pPr>
        <w:pStyle w:val="TextoNormal"/>
      </w:pPr>
      <w:r w:rsidRPr="00DE14C9">
        <w:rPr>
          <w:rStyle w:val="NumeroAFNegritaCaracter"/>
        </w:rPr>
        <w:t>7</w:t>
      </w:r>
      <w:r>
        <w:t>. En su escrito de 26 de marzo de 2007 insiste la representación de la recurrente en la situación de indefensión que a ésta le ha ocasionado la Administración, “al no emplazarla personalmente en el procedimiento administrativo sancionador pese a tener conocimiento de su verdadero domicilio”, pues estaba en los registros que ella misma custodia. Se cumplen así los requisitos que exigiría la jurisprudencia constitucional para constatar la correspondiente vulneración del derecho a la tutela judicial efectiva: la resolución sancionadora afecta a los derechos e intereses legítimos de la recurrente; no fue su falta de diligencia lo que determinó la indefensión, pues la afectada sólo tuvo conocimiento del procedimiento cuando le fue notificada la providencia de apremio; podía ser identificada a partir de los datos que obraban en el expediente administrativo, pues constaría en el mismo su domicilio desde el año 1996.</w:t>
      </w:r>
    </w:p>
    <w:p w:rsidR="00DE14C9" w:rsidRDefault="00DE14C9" w:rsidP="00DE14C9">
      <w:pPr>
        <w:pStyle w:val="TextoNormal"/>
      </w:pPr>
    </w:p>
    <w:p w:rsidR="00DE14C9" w:rsidRDefault="00DE14C9" w:rsidP="00DE14C9">
      <w:pPr>
        <w:pStyle w:val="TextoNormal"/>
      </w:pPr>
      <w:r w:rsidRPr="00DE14C9">
        <w:rPr>
          <w:rStyle w:val="NumeroAFNegritaCaracter"/>
        </w:rPr>
        <w:t>8</w:t>
      </w:r>
      <w:r>
        <w:t xml:space="preserve">. El Ministerio Fiscal concluye su escrito de alegaciones, de 28 de marzo de 2007, interesando la inadmisión del recurso por extemporaneidad de la demanda, pues entre la fecha de la notificación de la Sentencia que puso fin al procedimiento judicial (22 de noviembre de 2004) y la fecha de presentación de la demanda de amparo (30 de diciembre de 2004) han transcurrido más de los veinte días de plazo legal de caducidad para la interposición del recurso de amparo. A ello no puede oponerse que el cómputo del plazo debió iniciarse al día siguiente de la notificación del Auto de 29 de noviembre de 2004, pues el mismo no </w:t>
      </w:r>
      <w:r>
        <w:lastRenderedPageBreak/>
        <w:t xml:space="preserve">acuerda la firmeza de la Sentencia, sino que parte de la misma para su comunicación a la Administración concernida por la resolución judicial. </w:t>
      </w:r>
    </w:p>
    <w:p w:rsidR="00DE14C9" w:rsidRDefault="00DE14C9" w:rsidP="00DE14C9">
      <w:pPr>
        <w:pStyle w:val="TextoNormal"/>
      </w:pPr>
      <w:r>
        <w:t>Subsidiariamente se interesa el otorgamiento del amparo por vulneración del derecho a la tutela judicial efectiva y la anulación de las resoluciones administrativas y judicial. Invoca para ello el Fiscal los precedentes de las SSTC 54/2003, de 24 de marzo, y 145/2004, de 13 de septiembre: también aquí se habría producido una falta de emplazamiento personal “en el procedimiento administrativo sancionador pese a tener conocimiento, o, al menos, evidente posibilidad de adquirirlo, del verdadero domicilio de aquélla”, con falta de diligencia de la Administración y generación de una situación de indefensión constitucionalmente relevante. Considera que “un incumplimiento por la actora del deber específico de comunicar su cambio de domicilio al registro de conductores … no puede servir de justificación racional a la circunstancia de que, tratándose de una infracción grave sancionada con una multa de relevante cuantía, la Administración no haya extremado su diligencia hasta el punto de no haber consultado en su momento otro de los registros que estaba a su directa disposición como era el Padrón Municipal, para haber agotado toda posibilidad de localización de la actora, lo que, paradójicamente, sí hizo cuando llegó la hora de notificarle la resolución que imponía la multa, con vistas a su recaudación ejecutiva”.</w:t>
      </w:r>
    </w:p>
    <w:p w:rsidR="00DE14C9" w:rsidRDefault="00DE14C9" w:rsidP="00DE14C9">
      <w:pPr>
        <w:pStyle w:val="TextoNormal"/>
      </w:pPr>
    </w:p>
    <w:p w:rsidR="00DE14C9" w:rsidRDefault="00DE14C9" w:rsidP="00DE14C9">
      <w:pPr>
        <w:pStyle w:val="TextoNormal"/>
      </w:pPr>
      <w:r w:rsidRPr="00DE14C9">
        <w:rPr>
          <w:rStyle w:val="NumeroAFNegritaCaracter"/>
        </w:rPr>
        <w:t>9</w:t>
      </w:r>
      <w:r>
        <w:t>. Mediante providencia de 20 de julio de 2007 se señaló para deliberación y votación de la presente Sentencia el día 23 del mismo mes y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CD3611">
        <w:rPr>
          <w:rStyle w:val="NumeroAFNegritaCaracter"/>
        </w:rPr>
        <w:t>Único.</w:t>
      </w:r>
      <w:r>
        <w:t xml:space="preserve"> De acuerdo con lo interesado por el Ministerio Fiscal, la cuestión de fondo del presente recurso de amparo, atinente a si vulneraba los derechos de la recurrente a la tutela judicial efectiva y a no padecer indefensión el modo en el que la</w:t>
      </w:r>
    </w:p>
    <w:p w:rsidR="00DE14C9" w:rsidRDefault="00DE14C9" w:rsidP="00DE14C9">
      <w:pPr>
        <w:pStyle w:val="TextoNormal"/>
      </w:pPr>
      <w:r>
        <w:t>Administración le notificó la incoación del procedimiento que terminó con su sanción, no puede ser abordada porque se ha planteado fuera del plazo de previsto a tal efecto en el art. 43.2 LOTC. Concurre, pues, en la demanda el defecto de extemporaneidad</w:t>
      </w:r>
    </w:p>
    <w:p w:rsidR="00DE14C9" w:rsidRDefault="00DE14C9" w:rsidP="00DE14C9">
      <w:pPr>
        <w:pStyle w:val="TextoNormal"/>
      </w:pPr>
      <w:r>
        <w:t>que el art. 50.1 a) LOTC prevé como causa de inadmisión.</w:t>
      </w:r>
    </w:p>
    <w:p w:rsidR="00DE14C9" w:rsidRDefault="00DE14C9" w:rsidP="00DE14C9">
      <w:pPr>
        <w:pStyle w:val="TextoNormal"/>
      </w:pPr>
      <w:r>
        <w:t>En efecto, incumplida por la recurrente su carga procesal de acreditar en la demanda la propia tempestividad de la misma, la recepción de las actuaciones muestra que la resolución que agotaba la vía procedente para solicitar el amparo judicial, que era la Sentencia del Juzgado de lo Contencioso-Administrativo núm. 2 de Granada 286/2004, de 12 de noviembre, fue notificada a la entonces Procuradora de la recurrente el siguiente día 22 (folio 41). Como la demanda de amparo se registró en este Tribunal el día 30 de diciembre de 2004, resulta que entre esta fecha y la siguiente a la notificación habían transcurrido un número holgadamente mayor de días hábiles que el de veinte que constituye el plazo de caducidad para la interposición del recurso de amparo.</w:t>
      </w:r>
    </w:p>
    <w:p w:rsidR="00DE14C9" w:rsidRDefault="00DE14C9" w:rsidP="00DE14C9">
      <w:pPr>
        <w:pStyle w:val="TextoNormal"/>
      </w:pPr>
      <w:r>
        <w:t xml:space="preserve">A esta conclusión no puede oponérsele ni que el dies a quo para el cómputo del plazo era el siguiente al de notificación del Auto posterior de comunicación de la Sentencia a la Administración concernida, ni que, en cualquier caso, la demanda de amparo había sido ya admitida por la Sección Primera de este Tribunal a través de su providencia de 29 de marzo de 2006. La primera objeción, sugerida en la demanda, no resulta convincente porque la resolución a la que se refiere, dictada en aplicación del art.  104 de la Ley de la jurisdicción contencioso-administrativa (LJCA), ni se integra en la vía judicial de amparo, sino que presupone su final, ni tiene por objeto la declaración de firmeza de la Sentencia, que sólo ésta </w:t>
      </w:r>
      <w:r>
        <w:lastRenderedPageBreak/>
        <w:t>realiza y que es de nuevo el condicionante previo del Auto. En todo caso, y a mayor abundamiento, procede señalar que este Auto de comunicación era recurrible en súplica, como se informaba en el pie del mismo, y que tal recurso no fue interpuesto, por lo que, de integrar la vía judicial de amparo, habría que concluir que el Auto no era el punto final de tal vía y que por lo tanto la misma no habría quedado agotada.</w:t>
      </w:r>
    </w:p>
    <w:p w:rsidR="00DE14C9" w:rsidRDefault="00DE14C9" w:rsidP="00DE14C9">
      <w:pPr>
        <w:pStyle w:val="TextoNormal"/>
      </w:pPr>
      <w:r>
        <w:t>Tampoco puede oponerse a esta decisión de inadmisión, en segundo lugar, que se adopte en este momento procesal, tras la inicial admisión de la demanda de amparo, y mediante Sentencia. Este Tribunal “ha declarado en constante jurisprudencia que los defectos insubsanables de que pudiera estar afectado el recurso de amparo no resultan sanados porque el recurso haya sido inicialmente admitido a trámite (SSTC 129/2000, de 16 de mayo, FJ 2; 69/2004, de 19 de abril, FJ 3, entre otras), de forma que la comprobación de los presupuestos procesales para la viabilidad de la acción pueden reabordarse o reconsiderarse en la Sentencia, de oficio o a instancia de parte, dando lugar a un pronunciamiento de inadmisión por la falta de tales presupuestos, sin que para ello constituya obstáculo el carácter tasado de los pronunciamientos previstos en el art. 53 LOTC (por todas, SSTC 146/1998, de 30 de junio, FJ 2 ó 69/2004, de 19 de abril, FJ 3)” (STC 56/2006, de 27 de febrero). En diversas ocasiones hemos matizado que “[u]na cosa es la admisión a trámite de una demanda, que no precluye ni determina su final admisibilidad, y otra este pronunciamiento específico, equivalente en más de un caso a la desestimación pero distinto por su fundamento formal, que permite matizar el pronunciamiento con más rigor jurídico y con efectos peculiares desde más de una perspectiva” (SSTC 123/2000, de 16 de mayo, FJ 3; 12/2001, de 29 de enero, FJ 4; 118/2005, de 9 de mayo, FJ 3; también, STC 247/1994, de 19 de septiembre, FJ 3).</w:t>
      </w:r>
    </w:p>
    <w:p w:rsidR="00DE14C9" w:rsidRDefault="00DE14C9" w:rsidP="00DE14C9">
      <w:pPr>
        <w:pStyle w:val="TextoNormal"/>
      </w:pPr>
      <w:r>
        <w:t>En atención pues a “las importantes razones de seguridad jurídica y de igualdad en la aplicación de la Ley que imponen la exigencia del requisito de tempestividad” (SSTC 159/1998, de 13 de julio; 204/2005, de 18 de julio, FJ 2), y que hacen que el plazo para acudir a esta jurisdicción de amparo sea “de caducidad, improrrogable y no susceptible de suspensión, y, por consiguiente, de inexorable cumplimiento” (por todas, STC 85/2004, de 10 de mayo, FJ 2), procede acordar la inadmisión del presente recurso de amparo.</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Inadmitir el recurso de amparo promovido por doña María de la Paz Romero García.</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veintitrés de julio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88" w:name="SENTENCIA_2007_175"/>
      <w:r>
        <w:lastRenderedPageBreak/>
        <w:t>SENTENCIA 175/2007, de 23 de julio de 2007</w:t>
      </w:r>
    </w:p>
    <w:bookmarkEnd w:id="88"/>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200, de 21 de agosto de 2007)</w:t>
      </w:r>
    </w:p>
    <w:p w:rsidR="00DE14C9" w:rsidRDefault="00DE14C9" w:rsidP="00DE14C9">
      <w:pPr>
        <w:pStyle w:val="TtuloBOE"/>
      </w:pPr>
    </w:p>
    <w:p w:rsidR="00DE14C9" w:rsidRDefault="00DE14C9" w:rsidP="00DE14C9">
      <w:pPr>
        <w:pStyle w:val="SntesisDescriptiva"/>
      </w:pPr>
      <w:r>
        <w:t>ECLI:ES:TC:2007:175</w:t>
      </w:r>
    </w:p>
    <w:p w:rsidR="00DE14C9" w:rsidRDefault="00DE14C9" w:rsidP="00DE14C9">
      <w:pPr>
        <w:pStyle w:val="SntesisDescriptiva"/>
      </w:pPr>
    </w:p>
    <w:p w:rsidR="00DE14C9" w:rsidRDefault="00DE14C9" w:rsidP="00DE14C9">
      <w:pPr>
        <w:pStyle w:val="SntesisDescriptiva"/>
      </w:pPr>
      <w:r>
        <w:t>Recurso de amparo 1655-2005. Promovido por don Manuel Giménez Martínez respecto a la Sentencia de un Juzgado Central de lo Contencioso-Administrativo que desestimó su demanda contra el Ministerio de Agricultura, Pesca y Alimentación sobre sanción por pescar en la reserva marina de la isla de Tavarca.</w:t>
      </w:r>
    </w:p>
    <w:p w:rsidR="00DE14C9" w:rsidRDefault="00DE14C9" w:rsidP="00DE14C9">
      <w:pPr>
        <w:pStyle w:val="SntesisDescriptiva"/>
      </w:pPr>
    </w:p>
    <w:p w:rsidR="00DE14C9" w:rsidRDefault="00DE14C9" w:rsidP="00DE14C9">
      <w:pPr>
        <w:pStyle w:val="SntesisAnaltica"/>
      </w:pPr>
      <w:r>
        <w:t>Vulneración del derecho de defensa en el procedimiento administrativo sancionador: emplazamiento edictal del denunciado por error de la Administración al consignar su domicilio (STC 54/2003).</w:t>
      </w:r>
    </w:p>
    <w:p w:rsidR="00DE14C9" w:rsidRDefault="00DE14C9" w:rsidP="00DE14C9">
      <w:pPr>
        <w:pStyle w:val="SntesisAnaltica"/>
      </w:pPr>
    </w:p>
    <w:p w:rsidR="00DE14C9" w:rsidRDefault="00DE14C9" w:rsidP="00DE14C9">
      <w:pPr>
        <w:pStyle w:val="Extracto"/>
      </w:pPr>
      <w:r>
        <w:t>1.</w:t>
      </w:r>
      <w:r>
        <w:tab/>
        <w:t>La Administración no emplazó personalmente al demandante de amparo en el procedimiento administrativo sancionador pese a tener conocimiento de su domicilio por lo que, al haberle impuesto una sanción sin procedimiento contradictorio alguno, ha privado al demandante de toda posibilidad de defensa, infringiendo el art. 24.2 CE (STC 54/2003) [FJ 5].</w:t>
      </w:r>
    </w:p>
    <w:p w:rsidR="00DE14C9" w:rsidRDefault="00DE14C9" w:rsidP="00DE14C9">
      <w:pPr>
        <w:pStyle w:val="Extracto"/>
      </w:pPr>
    </w:p>
    <w:p w:rsidR="00DE14C9" w:rsidRDefault="00DE14C9" w:rsidP="00DE14C9">
      <w:pPr>
        <w:pStyle w:val="Extracto"/>
      </w:pPr>
      <w:r>
        <w:t>2.</w:t>
      </w:r>
      <w:r>
        <w:tab/>
        <w:t>En el procedimiento administrativo sancionador debe garantizarse el ejercicio sin trabas de las garantías de defensa de relieve constitucional, por lo que no subsana la vulneración del derecho el hecho de que el demandante de amparo disfrutara en el proceso judicial de la posibilidad de alegar y probar cuanto consideró oportuno para la defensa de sus derechos e intereses (STC 35/2006) [FJ 6].</w:t>
      </w:r>
    </w:p>
    <w:p w:rsidR="00DE14C9" w:rsidRDefault="00DE14C9" w:rsidP="00DE14C9">
      <w:pPr>
        <w:pStyle w:val="Extracto"/>
      </w:pPr>
    </w:p>
    <w:p w:rsidR="00DE14C9" w:rsidRDefault="00DE14C9" w:rsidP="00DE14C9">
      <w:pPr>
        <w:pStyle w:val="Extracto"/>
      </w:pPr>
      <w:r>
        <w:t>3.</w:t>
      </w:r>
      <w:r>
        <w:tab/>
        <w:t>La estimación de la falta de emplazamiento personal del recurrente en el procedimiento sancionador hace innecesario el pronunciamiento concerniente al derecho a la presunción de inocencia (SSTC 96/2000, 316/2006) [FJ 4].</w:t>
      </w:r>
    </w:p>
    <w:p w:rsidR="00DE14C9" w:rsidRDefault="00DE14C9" w:rsidP="00DE14C9">
      <w:pPr>
        <w:pStyle w:val="Extracto"/>
      </w:pPr>
    </w:p>
    <w:p w:rsidR="00DE14C9" w:rsidRDefault="00DE14C9" w:rsidP="00DE14C9">
      <w:pPr>
        <w:pStyle w:val="Extracto"/>
      </w:pPr>
      <w:r>
        <w:t>4.</w:t>
      </w:r>
      <w:r>
        <w:tab/>
        <w:t>Doctrina sobre la traslación de las garantías constitucionales consagradas en el art. 24 CE a los procedimientos administrativos sancionadores (SSTC 18/1981, 272/2006) [FFJJ 3, 5].</w:t>
      </w:r>
    </w:p>
    <w:p w:rsidR="00DE14C9" w:rsidRDefault="00DE14C9" w:rsidP="00DE14C9">
      <w:pPr>
        <w:pStyle w:val="Extracto"/>
      </w:pPr>
    </w:p>
    <w:p w:rsidR="00DE14C9" w:rsidRDefault="00DE14C9" w:rsidP="00DE14C9">
      <w:pPr>
        <w:pStyle w:val="Extracto"/>
      </w:pPr>
      <w:r>
        <w:t>5.</w:t>
      </w:r>
      <w:r>
        <w:tab/>
        <w:t>Doctrina sobre los presupuestos del derecho de defensa en el procedimiento administrativo sancionador (STC 291/2000) [FJ 4].</w:t>
      </w:r>
    </w:p>
    <w:p w:rsidR="00DE14C9" w:rsidRDefault="00DE14C9" w:rsidP="00DE14C9">
      <w:pPr>
        <w:pStyle w:val="Extracto"/>
      </w:pPr>
    </w:p>
    <w:p w:rsidR="00DE14C9" w:rsidRDefault="00DE14C9" w:rsidP="00DE14C9">
      <w:pPr>
        <w:pStyle w:val="Extracto"/>
      </w:pPr>
      <w:r>
        <w:t>6.</w:t>
      </w:r>
      <w:r>
        <w:tab/>
        <w:t>Doctrina sobre los requisitos para que revista relevancia constitucional la falta de emplazamiento personal en un expediente sancionador (SSTC 54/2003, 145/2004) [FJ 4].</w:t>
      </w:r>
    </w:p>
    <w:p w:rsidR="00DE14C9" w:rsidRDefault="00DE14C9" w:rsidP="00DE14C9">
      <w:pPr>
        <w:pStyle w:val="Extracto"/>
      </w:pPr>
    </w:p>
    <w:p w:rsidR="00DE14C9" w:rsidRDefault="00DE14C9" w:rsidP="00DE14C9">
      <w:pPr>
        <w:pStyle w:val="Extracto"/>
      </w:pPr>
      <w:r>
        <w:t>7.</w:t>
      </w:r>
      <w:r>
        <w:tab/>
        <w:t>Procede la anulación de las Resoluciones del Ministerio de Agricultura, Pesa y Alimentación y de la Dirección de Recursos Pesqueros, dictadas en el expediente sancionador, aunlación que ha de extenderse a la Sentencia del Juzgado de lo contencioso-administrativo, debido a que no reparó la lesión aducida por el recurrente en amparo [FJ 6].</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1655-2005, promovido por don Manuel Giménez Martínez, representado por la Procuradora de los Tribunales doña María Angeles Oliva Yanes y asistido por la Abogada doña Antonia Luisa Sánchez Fernández, contra la Sentencia del Juzgado Central de lo Contencioso-Administrativo núm. 7 recaída el 4 de febrero de 2005 en el procedimiento abreviado núm. 278-2004 y contra la Resolución del Ministerio de Agricultura, Pesca y Alimentación de 29 de agosto de 2003, que desestimó el recurso de alzada interpuesto contra la dictada por la Dirección General de Recursos Pesqueros, de 23 de diciembre de 2002, en el expediente sancionador núm. 74-2002. Ha intervenido el Ministerio Fiscal. Ha sido parte el Abogado del Estado en la representación que ostenta. Ha sido Ponente el Magistrado don Jorge Rodríguez-Zapata Pérez,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el Registro General de este Tribunal el 9 de marzo de 2005, la Procuradora de los Tribunales doña María Angeles Oliva Yanes, en nombre y representación de don Manuel Giménez Martínez, interpuso recurso de amparo contra las Resoluciones de las que se hace mención en el encabezamiento de esta Sentencia.</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fundamentos de hecho de la demanda de amparo, relevantes para la resolución de este recurso, son los siguientes: </w:t>
      </w:r>
    </w:p>
    <w:p w:rsidR="00DE14C9" w:rsidRDefault="00DE14C9" w:rsidP="00DE14C9">
      <w:pPr>
        <w:pStyle w:val="TextoNormal"/>
      </w:pPr>
      <w:r>
        <w:t xml:space="preserve">a) El demandante de amparo fue denunciado el 2 de octubre de 1999 por el Servicio de Guardapescas de Alicante por pescar en una zona no permitida de la reserva marina de la isla de Tabarca. La Dirección General de Recursos Pesqueros abrió el correspondiente procedimiento sancionador, cuya incoación se intentó notificar al interesado mediante comunicación dirigida a la calle Maestro Albéniz, 16, 6-1 de Elche, sin resultado positivo ya que su domicilio estaba en el núm. 12 de la misma calle. Tras ello se publicaron edictos en el “Boletín Oficial de la Provincia de Alicante” y el 23 de diciembre de 2002 el Director General de Recursos Pesqueros dictó resolución imponiendo al denunciado una multa de mil euros. Esta resolución le fue notificada el 2 de enero de 2003 a través de su esposa —pese ir dirigida a la dirección equivocada— como consecuencia de haber sido localizada la dirección correcta por el empleado postal. </w:t>
      </w:r>
    </w:p>
    <w:p w:rsidR="00DE14C9" w:rsidRDefault="00DE14C9" w:rsidP="00DE14C9">
      <w:pPr>
        <w:pStyle w:val="TextoNormal"/>
      </w:pPr>
      <w:r>
        <w:lastRenderedPageBreak/>
        <w:t xml:space="preserve">b) El sancionado recurrió en alzada aduciendo, entre otros extremos, que hasta ese momento no había tenido conocimiento previo de la existencia del procedimiento sancionador. El recurso de alzada fue desestimado por Resolución de 29 de agosto de 2003, dictada por el Ministerio de Agricultura, Pesca y Alimentación. </w:t>
      </w:r>
    </w:p>
    <w:p w:rsidR="00DE14C9" w:rsidRDefault="00DE14C9" w:rsidP="00DE14C9">
      <w:pPr>
        <w:pStyle w:val="TextoNormal"/>
      </w:pPr>
      <w:r>
        <w:t>c) Finalmente, el demandante interpuso recurso contencioso-administrativo, que fue desestimado por el Juzgado Central de lo Contencioso-Administrativo núm. 7 mediante Sentencia de 4 de febrero de 2005. El órgano judicial argumenta que “se comprueba en el expediente que la Administración remitió la notificación de la nueva incoación del expediente al domicilio que le constaba del interesado, domicilio en el que recibió las posteriores de las resoluciones sancionadora y desestimatoria de la alzada dictadas con posterioridad, de donde resulta que, además de que la Administración ha cumplido las prescripciones contenidas a estos efectos en el art. 59.4 LRJAP y PAC, cualquier perjuicio que haya podido sufrir el interesado ha sido derivado de su propia actuación impeditiva de que el acto de comunicación llegara a su poder debidamente”.</w:t>
      </w:r>
    </w:p>
    <w:p w:rsidR="00DE14C9" w:rsidRDefault="00DE14C9" w:rsidP="00DE14C9">
      <w:pPr>
        <w:pStyle w:val="TextoNormal"/>
      </w:pPr>
    </w:p>
    <w:p w:rsidR="00DE14C9" w:rsidRDefault="00DE14C9" w:rsidP="00DE14C9">
      <w:pPr>
        <w:pStyle w:val="TextoNormal"/>
      </w:pPr>
      <w:r w:rsidRPr="00DE14C9">
        <w:rPr>
          <w:rStyle w:val="NumeroAFNegritaCaracter"/>
        </w:rPr>
        <w:t>3</w:t>
      </w:r>
      <w:r>
        <w:t>. En la demanda de amparo se alega, en primer lugar, la vulneración del derecho de defensa, invocando el art. 24.1 CE, como consecuencia de que el emplazamiento personal en el expediente sancionador se intentó en un domicilio equivocado, pese a que el órgano administrativo disponía de datos suficientes para poder intentar sin esfuerzo un nuevo emplazamiento personal, ya que la dirección correcta constaba en otros expedientes administrativos tramitados con anterioridad. Sólo la resolución sancionadora de 23 de diciembre de 2002 le fue notificada a través de su esposa, pese a ir dirigida a la dirección equivocada, como consecuencia de la diligencia del personal de Correos. En segundo lugar, se aduce la vulneración del derecho a la presunción de inocencia (art. 24.2 CE) a causa de que la Administración fundamenta su resolución sancionadora en un acta de denuncia carente de cobertura normativa, al ser múltiples e insubsanables los errores de que adolece, careciendo por ello de valor probatorio alguno.</w:t>
      </w:r>
    </w:p>
    <w:p w:rsidR="00DE14C9" w:rsidRDefault="00DE14C9" w:rsidP="00DE14C9">
      <w:pPr>
        <w:pStyle w:val="TextoNormal"/>
      </w:pPr>
    </w:p>
    <w:p w:rsidR="00DE14C9" w:rsidRDefault="00DE14C9" w:rsidP="00DE14C9">
      <w:pPr>
        <w:pStyle w:val="TextoNormal"/>
      </w:pPr>
      <w:r w:rsidRPr="00DE14C9">
        <w:rPr>
          <w:rStyle w:val="NumeroAFNegritaCaracter"/>
        </w:rPr>
        <w:t>4</w:t>
      </w:r>
      <w:r>
        <w:t>. Por providencia de 16 de noviembre de 2006 la Sección Segunda de este Tribunal admitió a trámite la demanda de amparo y, en aplicación del art. 51 LOTC, obrando ya en la Secretaría las actuaciones correspondientes al procedimiento abreviado núm. 278-2004 del Juzgado Central de lo Contencioso-Administrativo núm. 7 y el expediente administrativo de la Subdirección General de Recursos y Asuntos Jurídicos del Ministerio de Agricultura, Pesca y Alimentación, se emplazó al Abogado del Estado y se dio traslado a las partes para que en el plazo de veinte días pudieran formular alegaciones, de conformidad con lo dispuesto en el art. 52.1 LOTC.</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La Sección Segunda, por providencia de 16 de noviembre de 2006, acordó formar la oportuna pieza para la tramitación del incidente de suspensión y, de conformidad con lo dispuesto en el art. 56 LOTC, conceder un plazo común de tres días a las partes para que formulasen las alegaciones que tuvieran por conveniente sobre la suspensión solicitada. El Abogado del Estado, mediante escrito presentado el 28 de noviembre de 2006, solicitó la denegación de la suspensión interesada en consideración a que tiene una proyección meramente económica y la demanda no ofrece justificación alguna de su procedencia. En su escrito de alegaciones, presentado el 4 de diciembre de 2006, el Ministerio Fiscal se opone a la suspensión solicitada por entender que el demandante no especifica qué perjuicios le causaría la no suspensión de la resolución impugnada, añadiendo que, en cualquier caso, el </w:t>
      </w:r>
      <w:r>
        <w:lastRenderedPageBreak/>
        <w:t>pronunciamiento judicial tiene un contenido exclusivamente pecuniario y, por tanto, fácilmente reparable. La representación procesal del recurrente no formuló alegaciones. Finalmente esta Sala, mediante el ATC 63/2007, de 26 de febrero, acordó denegar la suspensión solicitada.</w:t>
      </w:r>
    </w:p>
    <w:p w:rsidR="00DE14C9" w:rsidRDefault="00DE14C9" w:rsidP="00DE14C9">
      <w:pPr>
        <w:pStyle w:val="TextoNormal"/>
      </w:pPr>
    </w:p>
    <w:p w:rsidR="00DE14C9" w:rsidRDefault="00DE14C9" w:rsidP="00DE14C9">
      <w:pPr>
        <w:pStyle w:val="TextoNormal"/>
      </w:pPr>
      <w:r w:rsidRPr="00DE14C9">
        <w:rPr>
          <w:rStyle w:val="NumeroAFNegritaCaracter"/>
        </w:rPr>
        <w:t>6</w:t>
      </w:r>
      <w:r>
        <w:t>. A través de escrito presentado en el Registro General del Tribunal el 28 de noviembre de 2006, el Abogado del Estado solicitó su personación en el presente proceso de amparo, cumplimentando el trámite de alegaciones mediante escrito registrado el 18 de diciembre de 2006, en el que se opone a la estimación del recurso de amparo. Señala al respecto que la ausencia del interesado en las fases iniciales del procedimiento fue debida, como indica la Sentencia impugnada, a la exclusiva actuación del recurrente, sin que a la Administración pueda reprochársele la infracción de las normas legales sobre el régimen de notificaciones. En relación con el derecho a la presunción de inocencia, el Abogado del Estado señala que el recurrente no ha contradicho los datos concretos resultantes del expediente administrativo.</w:t>
      </w:r>
    </w:p>
    <w:p w:rsidR="00DE14C9" w:rsidRDefault="00DE14C9" w:rsidP="00DE14C9">
      <w:pPr>
        <w:pStyle w:val="TextoNormal"/>
      </w:pPr>
    </w:p>
    <w:p w:rsidR="00DE14C9" w:rsidRDefault="00DE14C9" w:rsidP="00DE14C9">
      <w:pPr>
        <w:pStyle w:val="TextoNormal"/>
      </w:pPr>
      <w:r w:rsidRPr="00DE14C9">
        <w:rPr>
          <w:rStyle w:val="NumeroAFNegritaCaracter"/>
        </w:rPr>
        <w:t>7</w:t>
      </w:r>
      <w:r>
        <w:t>. La representación procesal del demandante de amparo presentó el 13 de diciembre de 2006 un escrito manifestando que se ratificaba en la demanda.</w:t>
      </w:r>
    </w:p>
    <w:p w:rsidR="00DE14C9" w:rsidRDefault="00DE14C9" w:rsidP="00DE14C9">
      <w:pPr>
        <w:pStyle w:val="TextoNormal"/>
      </w:pPr>
    </w:p>
    <w:p w:rsidR="00DE14C9" w:rsidRDefault="00DE14C9" w:rsidP="00DE14C9">
      <w:pPr>
        <w:pStyle w:val="TextoNormal"/>
      </w:pPr>
      <w:r w:rsidRPr="00DE14C9">
        <w:rPr>
          <w:rStyle w:val="NumeroAFNegritaCaracter"/>
        </w:rPr>
        <w:t>8</w:t>
      </w:r>
      <w:r>
        <w:t>. El Ministerio Fiscal presentó su escrito de alegaciones el 29 de diciembre de 2006. En él, tras recordar la doctrina de este Tribunal acerca de la aplicación a los procedimientos administrativos sancionadores de los principios recogidos en el art. 24 CE, y de la excepcionalidad del emplazamiento mediante edictos, sostiene que en el presente caso resulta irracional la conclusión a la que llega el órgano judicial de imputar la fallida notificación al particular, sin explicar las razones que le llevan a tal respuesta. En este sentido, la Sentencia no sólo no restablece en su derecho al demandante sino que empeora su situación al hacer recaer sobre él, de forma inmotivada, la responsabilidad de no haberse practicado la notificación. Por el contrario, el Ministerio Fiscal no considera que se haya vulnerado el derecho a la presunción de inocencia del demandante, dado que los hechos han sido declarados probados con base en el acta de infracción levantada por dos guardapescas y en la declaración ampliatoria de los mismos. A su juicio, el demandante de amparo pretende una nueva valoración de la prueba, función que no compete a este Tribunal Constitucional.</w:t>
      </w:r>
    </w:p>
    <w:p w:rsidR="00DE14C9" w:rsidRDefault="00DE14C9" w:rsidP="00DE14C9">
      <w:pPr>
        <w:pStyle w:val="TextoNormal"/>
      </w:pPr>
    </w:p>
    <w:p w:rsidR="00DE14C9" w:rsidRDefault="00DE14C9" w:rsidP="00DE14C9">
      <w:pPr>
        <w:pStyle w:val="TextoNormal"/>
      </w:pPr>
      <w:r w:rsidRPr="00DE14C9">
        <w:rPr>
          <w:rStyle w:val="NumeroAFNegritaCaracter"/>
        </w:rPr>
        <w:t>9</w:t>
      </w:r>
      <w:r>
        <w:t>. Por providencia de 20 de julio de 2007 se señaló para la deliberación y votación de la presente Sentencia el día 23 del mismo mes y año, trámite que ha finalizado en el día de hoy.</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xml:space="preserve">. La demanda de amparo se dirige contra la Sentencia del Juzgado Central de lo Contencioso-Administrativo núm. 7, de 4 de febrero de 2005, que desestimó el recurso contencioso-administrativo interpuesto contra la Resolución del Ministerio de Agricultura, Pesca y Alimentación de 29 de agosto de 2003, desestimatoria, a su vez, del recurso de alzada presentado contra la dictada el 23 de diciembre de 2002 por la Dirección General de Recursos Pesqueros en el expediente administrativo sancionador núm.  74-2002, por la que se </w:t>
      </w:r>
      <w:r>
        <w:lastRenderedPageBreak/>
        <w:t>impuso al demandante de amparo una multa de mil euros, por realizar labores de pesca en una zona no permitida de la reserva marina de la isla de Tabarca.</w:t>
      </w:r>
    </w:p>
    <w:p w:rsidR="00DE14C9" w:rsidRDefault="00DE14C9" w:rsidP="00DE14C9">
      <w:pPr>
        <w:pStyle w:val="TextoNormal"/>
      </w:pPr>
      <w:r>
        <w:t>El recurso de amparo debe entenderse formulado por el cauce del art. 43 LOTC, y no por el previsto en el art. 44 LOTC, ya que las infracciones constitucionales que se denuncian se imputan directamente a las resoluciones recaídas en el procedimiento administrativo sancionador, y sólo indirectamente, en la medida en que no las ha reparado, a la Sentencia del Juzgado Central de lo Contencioso-Administrativo núm. 7.</w:t>
      </w:r>
    </w:p>
    <w:p w:rsidR="00DE14C9" w:rsidRDefault="00DE14C9" w:rsidP="00DE14C9">
      <w:pPr>
        <w:pStyle w:val="TextoNormal"/>
      </w:pPr>
    </w:p>
    <w:p w:rsidR="00DE14C9" w:rsidRDefault="00DE14C9" w:rsidP="00DE14C9">
      <w:pPr>
        <w:pStyle w:val="TextoNormal"/>
      </w:pPr>
      <w:r w:rsidRPr="00DE14C9">
        <w:rPr>
          <w:rStyle w:val="NumeroAFNegritaCaracter"/>
        </w:rPr>
        <w:t>2</w:t>
      </w:r>
      <w:r>
        <w:t>. El demandante de amparo alega la vulneración de su derecho de defensa, con invocación del art. 24.1 CE, a causa de que en el expediente sancionador no fue emplazado personalmente, sino mediante edictos, pese a que su domicilio obraba en conocimiento de la Administración. En segundo lugar, aduce la vulneración del derecho a la presunción de inocencia (art. 24.2 CE) al considerar que la Administración fundamenta su resolución sancionadora en un acta de denuncia sin cobertura normativa, al ser múltiples e insubsanables los errores de que adolece, careciendo por ello de valor probatorio alguno.</w:t>
      </w:r>
    </w:p>
    <w:p w:rsidR="00DE14C9" w:rsidRDefault="00DE14C9" w:rsidP="00DE14C9">
      <w:pPr>
        <w:pStyle w:val="TextoNormal"/>
      </w:pPr>
      <w:r>
        <w:t>El Ministerio Fiscal rechaza que se haya conculcado la presunción de inocencia del demandante, ya que los hechos han sido declarados probados con base en el acta de infracción levantada por dos guardapescas y en la declaración ampliatoria de los mismos.  Pero sostiene que resulta irrazonable la conclusión a la que llega el órgano judicial, de imputar al interesado la fallida notificación de la incoación del expediente sin explicar las razones que le llevan a tal respuesta, por lo que solicita el otorgamiento del amparo en este punto. A ello se opone el Abogado del Estado por entender que la ausencia del interesado en las fases iniciales del procedimiento sancionador se debió a su exclusiva actuación, sin que pueda reprocharse a la Administración la infracción de las normas legales sobre el régimen de notificaciones. Y, en relación con el derecho a la presunción de inocencia, señala que el recurrente no ha contradicho los datos concretos resultantes del expediente administrativo.</w:t>
      </w:r>
    </w:p>
    <w:p w:rsidR="00DE14C9" w:rsidRDefault="00DE14C9" w:rsidP="00DE14C9">
      <w:pPr>
        <w:pStyle w:val="TextoNormal"/>
      </w:pPr>
    </w:p>
    <w:p w:rsidR="00DE14C9" w:rsidRDefault="00DE14C9" w:rsidP="00DE14C9">
      <w:pPr>
        <w:pStyle w:val="TextoNormal"/>
      </w:pPr>
      <w:r w:rsidRPr="00DE14C9">
        <w:rPr>
          <w:rStyle w:val="NumeroAFNegritaCaracter"/>
        </w:rPr>
        <w:t>3</w:t>
      </w:r>
      <w:r>
        <w:t>. Así delimitado el objeto del presente proceso de amparo, el examen de las quejas expuestas en la demanda debe ir necesariamente precedido del recordatorio de nuestra doctrina sobre la traslación a los procedimientos administrativos sancionadores de las garantías constitucionales consagradas en el art. 24 CE. Desde la STC 18/1981, de 8 de junio (FJ 2), hemos declarado, no sólo la aplicabilidad a las sanciones administrativas de los principios sustantivos derivados del art. 25.1 CE —considerando que los principios inspiradores del orden penal son de aplicación con ciertos matices al Derecho administrativo sancionador, dado que ambos son manifestaciones del ius puniendi del Estado— sino que también hemos proyectado sobre las actuaciones dirigidas a ejercer las potestades sancionadoras de la Administración las garantías procedimentales ínsitas en el art. 24.2 CE; no mediante su aplicación literal, sino en la medida necesaria para preservar los valores esenciales que se encuentran en la base del precepto y la seguridad jurídica que garantiza el art. 9.3 CE.</w:t>
      </w:r>
    </w:p>
    <w:p w:rsidR="00DE14C9" w:rsidRDefault="00DE14C9" w:rsidP="00DE14C9">
      <w:pPr>
        <w:pStyle w:val="TextoNormal"/>
      </w:pPr>
      <w:r>
        <w:t xml:space="preserve">Así, partiendo del inicial reproche a la imposición de sanciones sin observar procedimiento alguno, se ha ido elaborando progresivamente una doctrina que asume la vigencia en el seno del procedimiento administrativo sancionador de un amplio abanico de garantías del art. 24.2 CE. Sin ánimo de exhaustividad, cabe citar el derecho a la defensa, que proscribe cualquier indefensión; el derecho a la asistencia letrada, trasladable con ciertas condiciones; el derecho a ser informado de la acusación, con la ineludible consecuencia de la inalterabilidad de los hechos imputados; el derecho a la presunción de inocencia, que implica que la carga de la prueba de los hechos constitutivos de la infracción recaiga sobre la Administración, con la prohibición de la utilización de pruebas obtenidas con vulneración </w:t>
      </w:r>
      <w:r>
        <w:lastRenderedPageBreak/>
        <w:t>de derechos fundamentales; el derecho a no declarar contra sí mismo; y, en fin, el derecho a utilizar los medios de prueba adecuados para la defensa, del que se deriva que vulnera el art. 24.2 CE la denegación inmotivada de medios de prueba (por todas, SSTC 7/1998, de 13 de enero, FJ 5; 14/1999, de 22 de febrero, FJ 3.a; 276/2000, de 16 de noviembre, FJ 7; 117/2002, de 20 de mayo, FJ 5; y 272/2006, de 25 de septiembre, FJ 2).</w:t>
      </w:r>
    </w:p>
    <w:p w:rsidR="00DE14C9" w:rsidRDefault="00DE14C9" w:rsidP="00DE14C9">
      <w:pPr>
        <w:pStyle w:val="TextoNormal"/>
      </w:pPr>
    </w:p>
    <w:p w:rsidR="00DE14C9" w:rsidRDefault="00DE14C9" w:rsidP="00DE14C9">
      <w:pPr>
        <w:pStyle w:val="TextoNormal"/>
      </w:pPr>
      <w:r w:rsidRPr="00DE14C9">
        <w:rPr>
          <w:rStyle w:val="NumeroAFNegritaCaracter"/>
        </w:rPr>
        <w:t>4</w:t>
      </w:r>
      <w:r>
        <w:t>. Descendiendo al concreto examen de las infracciones constitucionales denunciadas, debemos dilucidar, en primer lugar, la referida a la falta de emplazamiento personal del recurrente en el procedimiento sancionador, tanto por su carácter procesal como porque su estimación haría innecesario nuestro pronunciamiento sobre la concerniente al derecho a la presunción de inocencia (SSTC 96/2000, de 10 de abril, FJ 1; 229/2003, de 18 de diciembre, FJ 2; 41/2005, de 28 de febrero, FJ 6; 54/2006, de 27 de febrero, FJ 4; y 316/2006, de 15 de noviembre, FJ 2, por todas).</w:t>
      </w:r>
    </w:p>
    <w:p w:rsidR="00DE14C9" w:rsidRDefault="00DE14C9" w:rsidP="00DE14C9">
      <w:pPr>
        <w:pStyle w:val="TextoNormal"/>
      </w:pPr>
      <w:r>
        <w:t>Pues bien, el ejercicio del derecho de defensa en el seno de un procedimiento administrativo sancionador presupone que el implicado sea emplazado o le sea notificada debidamente la incoación del procedimiento, pues sólo así podrá disfrutar de una efectiva posibilidad de defensa frente a la infracción que se le imputa, previa a la toma de decisión; y, por ende, que la Administración siga un procedimiento en el que el denunciado tenga oportunidad de aportar y proponer las pruebas que estime pertinentes, así como de alegar lo que a su derecho convenga. En este sentido, el Pleno de este Tribunal en la STC 291/2000, de 30 de noviembre, ha declarado —con base en la referida doctrina constitucional sobre la extensión de las garantías del art.  24.2 CE al procedimiento administrativo sancionador— que los posibles defectos en la notificación o emplazamiento administrativo, cuando se trate, como en este supuesto acontece, de un acto administrativo sancionador, revisten relevancia constitucional desde la perspectiva del art. 24 CE (FJ 4).</w:t>
      </w:r>
    </w:p>
    <w:p w:rsidR="00DE14C9" w:rsidRDefault="00DE14C9" w:rsidP="00DE14C9">
      <w:pPr>
        <w:pStyle w:val="TextoNormal"/>
      </w:pPr>
      <w:r>
        <w:t>Ahora bien, con arreglo a nuestra propia jurisprudencia han de concurrir los siguientes requisitos para que revista relevancia constitucional la falta de emplazamiento personal en un expediente sancionador: en primer lugar, que el no emplazado tenga un derecho subjetivo o interés legítimo que pueda verse afectado por la resolución que se adopte; en segundo lugar, que el no emplazado personalmente haya padecido una situación de indefensión a pesar de haber mantenido una actitud diligente; y, por último, que el interesado pueda ser identificado a partir de los datos que obren en el expediente (SSTC 54/2003, de 24 de marzo, FJ 3; y 145/2004, de 13 de septiembre, FJ 4).</w:t>
      </w:r>
    </w:p>
    <w:p w:rsidR="00DE14C9" w:rsidRDefault="00DE14C9" w:rsidP="00DE14C9">
      <w:pPr>
        <w:pStyle w:val="TextoNormal"/>
      </w:pPr>
    </w:p>
    <w:p w:rsidR="00DE14C9" w:rsidRDefault="00DE14C9" w:rsidP="00DE14C9">
      <w:pPr>
        <w:pStyle w:val="TextoNormal"/>
      </w:pPr>
      <w:r w:rsidRPr="00DE14C9">
        <w:rPr>
          <w:rStyle w:val="NumeroAFNegritaCaracter"/>
        </w:rPr>
        <w:t>5</w:t>
      </w:r>
      <w:r>
        <w:t>. El examen de las actuaciones de las que trae causa el presente proceso de amparo revela que se cumplen aquí los requisitos expuestos. Es patente, en primer término, que la resolución sancionadora recaída en el procedimiento administrativo sancionador afecta a derechos e intereses legítimos del demandante. En segundo término, no cabe apreciar en el recurrente en amparo una falta de diligencia determinante de la situación de indefensión padecida, pues ningún dato existe en las actuaciones que permita afirmar que tuvo conocimiento del procedimiento administrativo sancionador antes de que hubiera concluido. El tercero de los requisitos aludidos —que el domicilio del interesado pudiera ser identificado a partir de los datos obrantes en el expediente— también debe entenderse cumplido. En efecto, el examen de las actuaciones permite constatar que en el acta de denuncia que motiva la incoación del expediente figura consignado correctamente el domicilio del denunciado, a lo que se añade que la propia Administración incorporó al expediente una resolución recaída en otro procedimiento sancionador (el núm. 31-1999) en la que también figuraba la direc</w:t>
      </w:r>
      <w:r>
        <w:lastRenderedPageBreak/>
        <w:t>ción correcta. El error material surge en la resolución que acuerda iniciar el expediente sancionador —en la que se hace errónea mención del domicilio del denunciado— y se repite a lo largo de la actuación administrativa, sin que fuera reconocido por la Administración como tal error ni siquiera cuando fue puesto de manifiesto por el interesado al interponer recurso de alzada contra la resolución sancionadora.</w:t>
      </w:r>
    </w:p>
    <w:p w:rsidR="00DE14C9" w:rsidRDefault="00DE14C9" w:rsidP="00DE14C9">
      <w:pPr>
        <w:pStyle w:val="TextoNormal"/>
      </w:pPr>
      <w:r>
        <w:t>La circunstancia de que una copia de la resolución sancionadora (pese ir dirigida a la dirección errónea) hubiera sido finalmente entregada a la esposa del sancionado (lo que el demandante atribuye a la diligencia del cartero, que averiguó que la persona a notificar vivía dos portales más allá de la dirección que figuraba en el sobre remitido) obviamente no puede subsanar la previa ausencia de contradicción a lo largo del procedimiento, como pretende la Sentencia del Juzgado Central de lo Contencioso-Administrativo.</w:t>
      </w:r>
    </w:p>
    <w:p w:rsidR="00DE14C9" w:rsidRDefault="00DE14C9" w:rsidP="00DE14C9">
      <w:pPr>
        <w:pStyle w:val="TextoNormal"/>
      </w:pPr>
      <w:r>
        <w:t>En definitiva, la sanción se ha impuesto sin respetar procedimiento contradictorio alguno y, por tanto, privando al demandante de toda posibilidad de defensa durante la tramitación del procedimiento administrativo sancionador (SSTC 291/2000, de 30 de noviembre, FJ 12; y 54/2003, de 24 de marzo, FJ 4), siendo reiterada doctrina de este Tribunal desde la STC 18/1981, de 8 de junio, que los valores esenciales que se encuentran en la base del art. 24.2 CE “no quedarían salvaguardados si se admitiera que la Administración ... puede incidir en la esfera jurídica de los ciudadanos imponiéndoles una sanción sin observar procedimiento alguno y, por tanto, sin posibilidad de defensa previa a la toma de la decisión”, pues “la garantía del orden constitucional exige que el acuerdo se adopte a través de un procedimiento en el que el presunto inculpado tenga oportunidad de aportar y proponer las pruebas que estime pertinentes y alegar lo que a su derecho convenga” (FJ 3).</w:t>
      </w:r>
    </w:p>
    <w:p w:rsidR="00DE14C9" w:rsidRDefault="00DE14C9" w:rsidP="00DE14C9">
      <w:pPr>
        <w:pStyle w:val="TextoNormal"/>
      </w:pPr>
      <w:r>
        <w:t>Ha de concluirse, pues, que la Administración, al no haber emplazado personalmente al demandante de amparo en el procedimiento administrativo sancionador, pese a tener conocimiento de su domicilio, y haberle impuesto una sanción sin procedimiento contradictorio alguno, ha infringido el art. 24.2 CE.</w:t>
      </w:r>
    </w:p>
    <w:p w:rsidR="00DE14C9" w:rsidRDefault="00DE14C9" w:rsidP="00DE14C9">
      <w:pPr>
        <w:pStyle w:val="TextoNormal"/>
      </w:pPr>
    </w:p>
    <w:p w:rsidR="00DE14C9" w:rsidRDefault="00DE14C9" w:rsidP="00DE14C9">
      <w:pPr>
        <w:pStyle w:val="TextoNormal"/>
      </w:pPr>
      <w:r w:rsidRPr="00DE14C9">
        <w:rPr>
          <w:rStyle w:val="NumeroAFNegritaCaracter"/>
        </w:rPr>
        <w:t>6</w:t>
      </w:r>
      <w:r>
        <w:t>. Por otra parte debe advertirse que, al haberse producido una efectiva vulneración del derecho de defensa durante la tramitación de un procedimiento administrativo sancionador, tal vulneración no podía ser sanada en la vía contencioso-administrativa, pues, como señala la STC 59/2004, de 19 de abril (FJ 3), “el posterior proceso contencioso-administrativo no puede servir nunca para remediar las posibles lesiones de garantías constitucionales causadas por la Administración en el ejercicio de su potestad sancionadora”. Ello es así, entre otras razones, porque como recuerda la STC 89/1995, de 6 de junio (FJ 4), y subrayan a su vez las SSTC 7/1998, de 13 de enero (FJ 6), y 59/2004, de 19 de abril (FJ 3), no existe un proceso contencioso-administrativo sancionador en donde haya de actuarse el ius puniendi del Estado, sino un proceso contencioso-administrativo cuyo objeto lo constituye la revisión de un acto administrativo de imposición de una sanción. En consecuencia, no es posible concluir que sean los Tribunales contencioso-administrativos los que, al modo de lo que sucede en el orden jurisdiccional penal, “condenen” al administrado. Muy al contrario, la sanción administrativa la impone siempre la Administración pública en el ejercicio de la potestad que le reconoce la Constitución. De otra manera no se respetaría la exigencia constitucional de que toda sanción administrativa “se adopte a través de un procedimiento que respete los principios esenciales reflejados en el art. 24 CE” (STC 125/1983, de 26 de diciembre, FJ 3).</w:t>
      </w:r>
    </w:p>
    <w:p w:rsidR="00DE14C9" w:rsidRDefault="00DE14C9" w:rsidP="00DE14C9">
      <w:pPr>
        <w:pStyle w:val="TextoNormal"/>
      </w:pPr>
      <w:r>
        <w:t xml:space="preserve">Por consiguiente, el hecho de que el demandante de amparo disfrutara en el proceso judicial de la posibilidad de alegar y probar cuanto consideró oportuno para la mejor defensa de sus derechos e intereses, no subsana la vulneración del derecho de defensa (art. 24.2 CE) </w:t>
      </w:r>
      <w:r>
        <w:lastRenderedPageBreak/>
        <w:t>en el procedimiento administrativo sancionador. Pues la vigencia del principio de contradicción, al igual que sucede con el resto de las garantías constitucionales que ordenan el ejercicio de la potestad sancionadora de la Administración, se predica precisamente del procedimiento administrativo sancionador, en el que debe garantizarse el ejercicio sin trabas de las garantías de defensa de relieve constitucional (STC 35/2006, de 13 de febrero, FJ 4). Al no haber sido reparada dicha lesión por el Juzgado Central de lo Contencioso-Administrativo, cuya Sentencia desestimó la pretensión del recurrente en amparo, el reproche ha de extenderse a la propia Sentencia.</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Estimar el recurso de amparo presentado por don Manuel Giménez Martínez y, en su virtud:</w:t>
      </w:r>
    </w:p>
    <w:p w:rsidR="00DE14C9" w:rsidRDefault="00DE14C9" w:rsidP="00DE14C9">
      <w:pPr>
        <w:pStyle w:val="TextoNormal"/>
      </w:pPr>
      <w:r>
        <w:t>1º Reconocer su derecho a la defensa en el procedimiento administrativo sancionador (art. 24.2 CE).</w:t>
      </w:r>
    </w:p>
    <w:p w:rsidR="00DE14C9" w:rsidRDefault="00DE14C9" w:rsidP="00DE14C9">
      <w:pPr>
        <w:pStyle w:val="TextoNormal"/>
      </w:pPr>
      <w:r>
        <w:t>2º Anular la Sentencia del Juzgado Central de lo Contencioso-Administrativo núm. 7, recaída el 4 de febrero de 2005 en el procedimiento abreviado núm. 278-2004, así como las Resoluciones del Ministerio de Agricultura, Pesca y Alimentación de 29 de agosto de 2003 y de la Dirección General de Recursos Pesqueros de 23 de diciembre de 2002, dictadas en el expediente sancionador núm. 74-2002.</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veintitrés de julio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89" w:name="SENTENCIA_2007_176"/>
      <w:r>
        <w:lastRenderedPageBreak/>
        <w:t>SENTENCIA 176/2007, de 23 de julio de 2007</w:t>
      </w:r>
    </w:p>
    <w:bookmarkEnd w:id="89"/>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200, de 21 de agosto de 2007)</w:t>
      </w:r>
    </w:p>
    <w:p w:rsidR="00DE14C9" w:rsidRDefault="00DE14C9" w:rsidP="00DE14C9">
      <w:pPr>
        <w:pStyle w:val="TtuloBOE"/>
      </w:pPr>
    </w:p>
    <w:p w:rsidR="00DE14C9" w:rsidRDefault="00DE14C9" w:rsidP="00DE14C9">
      <w:pPr>
        <w:pStyle w:val="SntesisDescriptiva"/>
      </w:pPr>
      <w:r>
        <w:t>ECLI:ES:TC:2007:176</w:t>
      </w:r>
    </w:p>
    <w:p w:rsidR="00DE14C9" w:rsidRDefault="00DE14C9" w:rsidP="00DE14C9">
      <w:pPr>
        <w:pStyle w:val="SntesisDescriptiva"/>
      </w:pPr>
    </w:p>
    <w:p w:rsidR="00DE14C9" w:rsidRDefault="00DE14C9" w:rsidP="00DE14C9">
      <w:pPr>
        <w:pStyle w:val="SntesisDescriptiva"/>
      </w:pPr>
      <w:r>
        <w:t>Recurso de amparo 3980-2005. Promovido por don Antonio José Izquierdo Ariño frente al Auto y la providencia de nulidad de la Audiencia Provincial de Valencia que, en grado de apelación, confirmó la denegación de la suspensión de condena en causa por delito de estafa.</w:t>
      </w:r>
    </w:p>
    <w:p w:rsidR="00DE14C9" w:rsidRDefault="00DE14C9" w:rsidP="00DE14C9">
      <w:pPr>
        <w:pStyle w:val="SntesisDescriptiva"/>
      </w:pPr>
    </w:p>
    <w:p w:rsidR="00DE14C9" w:rsidRDefault="00DE14C9" w:rsidP="00DE14C9">
      <w:pPr>
        <w:pStyle w:val="SntesisAnaltica"/>
      </w:pPr>
      <w:r>
        <w:t>Vulneración del derecho a la tutela judicial efectiva (incongruencia omisiva): sentencia de apelación penal que deja sin resolver un motivo del recurso, acerca de la sustitución de la pena de prisión impuesta.</w:t>
      </w:r>
    </w:p>
    <w:p w:rsidR="00DE14C9" w:rsidRDefault="00DE14C9" w:rsidP="00DE14C9">
      <w:pPr>
        <w:pStyle w:val="SntesisAnaltica"/>
      </w:pPr>
    </w:p>
    <w:p w:rsidR="00DE14C9" w:rsidRDefault="00DE14C9" w:rsidP="00DE14C9">
      <w:pPr>
        <w:pStyle w:val="Extracto"/>
      </w:pPr>
      <w:r>
        <w:t>1.</w:t>
      </w:r>
      <w:r>
        <w:tab/>
        <w:t>Resultaba exigible que la Audiencia Provincial hubiera dado respuesta expresa a la pretensión subsidiaria de sustitución de pena, al tratarse de una pretensión específica y no de una mera alegación, que está relacionada de manera inmediata con el derecho fundamental a la libertad personal [FJ 4].</w:t>
      </w:r>
    </w:p>
    <w:p w:rsidR="00DE14C9" w:rsidRDefault="00DE14C9" w:rsidP="00DE14C9">
      <w:pPr>
        <w:pStyle w:val="Extracto"/>
      </w:pPr>
    </w:p>
    <w:p w:rsidR="00DE14C9" w:rsidRDefault="00DE14C9" w:rsidP="00DE14C9">
      <w:pPr>
        <w:pStyle w:val="Extracto"/>
      </w:pPr>
      <w:r>
        <w:t>2.</w:t>
      </w:r>
      <w:r>
        <w:tab/>
        <w:t>Doctrina sobre la incongruencia omisiva con relevancia constitucional (SSTC 29/1978, 85/2000, 85/2006) [FJ 2].</w:t>
      </w:r>
    </w:p>
    <w:p w:rsidR="00DE14C9" w:rsidRDefault="00DE14C9" w:rsidP="00DE14C9">
      <w:pPr>
        <w:pStyle w:val="Extracto"/>
      </w:pPr>
    </w:p>
    <w:p w:rsidR="00DE14C9" w:rsidRDefault="00DE14C9" w:rsidP="00DE14C9">
      <w:pPr>
        <w:pStyle w:val="Extracto"/>
      </w:pPr>
      <w:r>
        <w:t>3.</w:t>
      </w:r>
      <w:r>
        <w:tab/>
        <w:t>Doctrina sobre la exigencia de una respuesta judicial expresa cuando se alega la vulneración de derechos fundamentales (SSTC 25/1981, 27/2002, 53/2001) [FJ 2].</w:t>
      </w:r>
    </w:p>
    <w:p w:rsidR="00DE14C9" w:rsidRDefault="00DE14C9" w:rsidP="00DE14C9">
      <w:pPr>
        <w:pStyle w:val="Extracto"/>
      </w:pPr>
    </w:p>
    <w:p w:rsidR="00DE14C9" w:rsidRDefault="00DE14C9" w:rsidP="00DE14C9">
      <w:pPr>
        <w:pStyle w:val="Extracto"/>
      </w:pPr>
      <w:r>
        <w:t>4.</w:t>
      </w:r>
      <w:r>
        <w:tab/>
        <w:t>Procede declarar la nulidad de las resoluciones impugnadas, ordenando que se retrotraigan las actuaciones para que la Audiencia Provincial se pronuncie sobre la pretensión subsidiaria del recurrente, relativa a la aplicación del beneficio de sustitución de pena [FJ 4].</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 xml:space="preserve">En el recurso de amparo núm. 3980-2005, promovido por don Antonio José Izquierdo Ariño, representado por la Procuradora de los Tribunales doña Gracia Esteban Guadalix y asistido por el Abogado don José Vicente La Paz García, contra el Auto de la Sección Primera de la Audiencia Provincial de Valencia de 15 de marzo de 2005, dictado en el recurso </w:t>
      </w:r>
      <w:r>
        <w:lastRenderedPageBreak/>
        <w:t>de apelación núm. 288-2005, dimanante de la ejecutoria núm. 6412-2003 del Juzgado de lo Penal núm. 13 de Valencia, así como contra la providencia de 3 de mayo de 2005, que inadmite el incidente de nulidad promovido contra el anterior Auto. Ha intervenido el Ministerio Fiscal. Ha sido Ponente el Magistrado don Manuel Aragón Reyes,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registrado en este Tribunal el 31 de mayo de 2005 la Procuradora de los Tribunales doña Gracia Esteban Guadalix, en nombre y representación de don Antonio José Izquierdo Ariño, interpuso recurso de amparo contra las resoluciones judiciales mencionadas en el encabezamiento de esta Sentencia.</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de los que trae causa el presente recurso de amparo, relevantes para la resolución del mismo, son los siguientes: </w:t>
      </w:r>
    </w:p>
    <w:p w:rsidR="00DE14C9" w:rsidRDefault="00DE14C9" w:rsidP="00DE14C9">
      <w:pPr>
        <w:pStyle w:val="TextoNormal"/>
      </w:pPr>
      <w:r>
        <w:t xml:space="preserve">a) El recurrente fue condenado por Sentencia del Juzgado de lo Penal núm. 8 de Valencia de 21 de julio de 2003, declarada firme, como autor de un delito de estafa, a la pena de siete meses de prisión, así como a indemnizar al perjudicado en concepto de responsabilidad civil con la suma de 2.992,97 euros, dictándose Auto de declaración de insolvencia con fecha 26 de mayo de 2004. </w:t>
      </w:r>
    </w:p>
    <w:p w:rsidR="00DE14C9" w:rsidRDefault="00DE14C9" w:rsidP="00DE14C9">
      <w:pPr>
        <w:pStyle w:val="TextoNormal"/>
      </w:pPr>
      <w:r>
        <w:t xml:space="preserve">b) Por Auto de 15 de septiembre de 2004 el Juzgado de lo Penal núm. 13 de Valencia, en ejecutoria núm. 6412-2003, acordó denegarle el beneficio de suspensión de la condena, habida cuenta de que el recurrente tiene antecedentes penales no cancelados y no ha satisfecho la responsabilidad civil impuesta. </w:t>
      </w:r>
    </w:p>
    <w:p w:rsidR="00DE14C9" w:rsidRDefault="00DE14C9" w:rsidP="00DE14C9">
      <w:pPr>
        <w:pStyle w:val="TextoNormal"/>
      </w:pPr>
      <w:r>
        <w:t xml:space="preserve">Contra este Auto interpuso el demandante de amparo recurso de reforma, solicitando como pretensión principal la suspensión de la condena y como pretensión subsidiaria la sustitución por la pena de multa, conforme al art. 88 del Código penal (CP). Por Auto de 25 de octubre de 2004 el Juzgado desestimó el recurso, ratificando la improcedencia del beneficio de suspensión de la condena por no cumplirse los requisitos del art. 81 CP, dado que tiene antecedentes penales no cancelados y no ha satisfecho la responsabilidad civil, rechazando el Juzgado asimismo la sustitución de la pena de siete meses de prisión por la de multa, conforme al art. 88 CP, toda vez que consta que cobra un sueldo de 634,20 euros mensuales, el cual ya sufre una retención judicial de 78 euros hasta cubrir la responsabilidad civil de 26.924 euros por otra condena, habiendo sido el recurrente declarado insolvente, por lo que resulta inviable la sustitución por la pena de multa que se pretende. </w:t>
      </w:r>
    </w:p>
    <w:p w:rsidR="00DE14C9" w:rsidRDefault="00DE14C9" w:rsidP="00DE14C9">
      <w:pPr>
        <w:pStyle w:val="TextoNormal"/>
      </w:pPr>
      <w:r>
        <w:t xml:space="preserve">c) Contra este Auto interpuso recurso de apelación el demandante de amparo, en el que hacía constar, entre otros extremos, respecto a la pretensión subsidiaria de sustitución de la pena de siete meses de prisión por la de multa, que había realizado ya diversos pagos parciales para satisfacer la responsabilidad civil de 2.992,97 euros a la que fue condenado, alcanzando ya tales ingresos la suma de 1.100 euros y siendo su intención completar el resto para reparar el daño causado. Con posterioridad a la interposición del recurso el recurrente completó, en efecto, el abono del resto de la indemnización, expidiendo el Juzgado mandamiento de entrega al perjudicado. Empero, el recurso de apelación, tramitado con el núm. 288-2005, fue desestimado por Auto de 15 de marzo de 2005 de la Sección Primera de la Audiencia Provincial de Valencia, en el que se razona que la resolución de instancia debe ser confirmada, por no cumplir el recurrente los requisitos de los arts. 80 y 81 CP, toda vez </w:t>
      </w:r>
      <w:r>
        <w:lastRenderedPageBreak/>
        <w:t xml:space="preserve">que tiene antecedentes penales sin cancelar, lo que hace apreciable en el recurrente el rasgo de peligrosidad. </w:t>
      </w:r>
    </w:p>
    <w:p w:rsidR="00DE14C9" w:rsidRDefault="00DE14C9" w:rsidP="00DE14C9">
      <w:pPr>
        <w:pStyle w:val="TextoNormal"/>
      </w:pPr>
      <w:r>
        <w:t xml:space="preserve">d) Frente a este Auto interpuso el recurrente incidente de nulidad de actuaciones al amparo del art. 241 LOPJ, alegando incongruencia omisiva por falta de respuesta expresa a la petición subsidiaria de sustitución de la pena de siete meses de prisión por la de multa. </w:t>
      </w:r>
    </w:p>
    <w:p w:rsidR="00DE14C9" w:rsidRDefault="00DE14C9" w:rsidP="00DE14C9">
      <w:pPr>
        <w:pStyle w:val="TextoNormal"/>
      </w:pPr>
      <w:r>
        <w:t>Mediante providencia de 3 de mayo de 2005 la Sección Primera de la Audiencia Provincial de Valencia inadmitió el incidente de nulidad por entender que no existía incongruencia en el fallo del Auto de 15 de marzo de 2005, toda vez que el requisito de congruencia de las resoluciones judiciales no permite exigir contestación a todas las alegaciones de las partes, y señalando además que “el Auto cuestionado no obstante alude al apoyo legal de la resolución antecedente y a la discrecionalidad que asiste al Juez en la concesión tanto del beneficio de la suspensión como el de la sustitución de la pena”.</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En la demanda de amparo se alega que el Auto de 15 de marzo de 2005 y la providencia de 3 de mayo de 2005 de la Sección Primera de la Audiencia Provincial de Valencia han lesionado el derecho del recurrente a la tutela judicial efectiva sin indefensión (art. 24.1 CE), porque el Auto, que resuelve el recurso de apelación interpuesto contra el Auto dictado por el Juzgado de lo Penal núm. 13 de Valencia en ejecutoria núm. 6412-2003, incurre en incongruencia omisiva, al no dar respuesta a la pretensión subsidiaria relativa a la solicitud de sustitución de la pena de siete meses de prisión por la de multa, sin que esta vulneración haya sido remediada con ocasión del incidente de nulidad promovido por el recurrente, al haber sido inadmitido a trámite de manera infundada por la posterior providencia. </w:t>
      </w:r>
    </w:p>
    <w:p w:rsidR="00DE14C9" w:rsidRDefault="00DE14C9" w:rsidP="00DE14C9">
      <w:pPr>
        <w:pStyle w:val="TextoNormal"/>
      </w:pPr>
      <w:r>
        <w:t xml:space="preserve">En consecuencia, solicita el recurrente que le otorguemos el amparo, reconociendo su derecho a la tutela judicial efectiva sin indefensión (art. 24.1 CE), declarando la nulidad de las resoluciones judiciales impugnadas y ordenando que se retrotraigan las actuaciones al momento anterior a dictarse el Auto resolutorio del recurso de apelación, a fin de que por la Sección Primera de la Audiencia Provincial de Valencia se dicte nueva resolución con pleno respeto al derecho fundamental lesionado. </w:t>
      </w:r>
    </w:p>
    <w:p w:rsidR="00DE14C9" w:rsidRDefault="00DE14C9" w:rsidP="00DE14C9">
      <w:pPr>
        <w:pStyle w:val="TextoNormal"/>
      </w:pPr>
      <w:r>
        <w:t>Mediante otrosí, de conformidad con el art. 56.1 LOTC, el demandante de amparo solicitó que se acordase la suspensión de la ejecución de la pena de prisión impuesta en el procedimiento penal en el que fue condenado, toda vez que, a la vista de la corta duración de la pena impuesta, la ejecución de la sentencia condenatoria haría perder al amparo su finalidad.</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Por providencias de 13 de julio de 2005 la Sección Primera de este Tribunal acordó la admisión a trámite del presente recurso de amparo, así como, de conformidad con lo dispuesto en el art. 51 LOTC, requerir a los órganos judiciales de instancia y de apelación para que en el plazo máximo de diez días remitieran testimonio de las actuaciones respectivas, interesando al propio tiempo el emplazamiento de quienes, a excepción del demandante de amparo, ya personado, fueron parte en el procedimiento antecedente para que, en un plazo máximo de diez días, pudieran comparecer en este proceso constitucional. </w:t>
      </w:r>
    </w:p>
    <w:p w:rsidR="00DE14C9" w:rsidRDefault="00DE14C9" w:rsidP="00DE14C9">
      <w:pPr>
        <w:pStyle w:val="TextoNormal"/>
      </w:pPr>
      <w:r>
        <w:t>Asimismo se ordenó la formación de la pieza separada de suspensión, la cual, una vez tramitada, concluyó mediante ATC 328/2005, de 12 de septiembre, por el que se acuerda suspender la ejecución de la pena de siete meses de prisión impuesta al demandante de amparo.</w:t>
      </w:r>
    </w:p>
    <w:p w:rsidR="00DE14C9" w:rsidRDefault="00DE14C9" w:rsidP="00DE14C9">
      <w:pPr>
        <w:pStyle w:val="TextoNormal"/>
      </w:pPr>
    </w:p>
    <w:p w:rsidR="00DE14C9" w:rsidRDefault="00DE14C9" w:rsidP="00DE14C9">
      <w:pPr>
        <w:pStyle w:val="TextoNormal"/>
      </w:pPr>
      <w:r w:rsidRPr="00DE14C9">
        <w:rPr>
          <w:rStyle w:val="NumeroAFNegritaCaracter"/>
        </w:rPr>
        <w:lastRenderedPageBreak/>
        <w:t>5</w:t>
      </w:r>
      <w:r>
        <w:t>. Por diligencia de ordenación de la Secretaria de Justicia de la Sala Primera de 20 de septiembre de 2005 se tuvieron por recibidos los testimonios de las actuaciones solicitados, dándose vista de las mismas a la representante procesal del demandante de amparo y al Ministerio Fiscal para que, de conformidad con lo dispuesto en el art. 52 LOTC, en un plazo común de veinte días formularan las alegaciones que estimasen pertinentes.</w:t>
      </w:r>
    </w:p>
    <w:p w:rsidR="00DE14C9" w:rsidRDefault="00DE14C9" w:rsidP="00DE14C9">
      <w:pPr>
        <w:pStyle w:val="TextoNormal"/>
      </w:pPr>
    </w:p>
    <w:p w:rsidR="00DE14C9" w:rsidRDefault="00DE14C9" w:rsidP="00DE14C9">
      <w:pPr>
        <w:pStyle w:val="TextoNormal"/>
      </w:pPr>
      <w:r w:rsidRPr="00DE14C9">
        <w:rPr>
          <w:rStyle w:val="NumeroAFNegritaCaracter"/>
        </w:rPr>
        <w:t>6</w:t>
      </w:r>
      <w:r>
        <w:t xml:space="preserve">. El Ministerio Fiscal presentó sus alegaciones mediante escrito registrado el 7 de octubre de 2005 en el que concluía interesando que se otorgara al recurrente el amparo solicitado, reconociendo su derecho a la tutela judicial efectiva y acordando la nulidad de las resoluciones judiciales impugnadas y ordenando que se retrotraigan las actuaciones al momento anterior a dictarse el Auto resolutorio del recurso de apelación, a fin de que la Sección Primera de la Audiencia Provincial de Valencia se pronuncie con pleno respeto al derecho a la tutela judicial efectiva del recurrente en relación con la pretensión subsidiaria de su recurso de apelación de que le sea aplicado el beneficio de sustitución de penas establecido en el art. 88 CP. </w:t>
      </w:r>
    </w:p>
    <w:p w:rsidR="00DE14C9" w:rsidRDefault="00DE14C9" w:rsidP="00DE14C9">
      <w:pPr>
        <w:pStyle w:val="TextoNormal"/>
      </w:pPr>
      <w:r>
        <w:t xml:space="preserve">Tras referirse el Ministerio Fiscal a la doctrina sentada por este Tribunal en relación con el vicio de incongruencia omisiva (cita a título de ejemplo las SSTC 77/1986, 82/2001 y 8/2004), argumenta que el análisis del supuesto de autos permite advertir, en efecto, que el escrito de interposición del recurso de apelación presentado por el demandante de amparo incluía, junto a la solicitud principal de que le fueran aplicados los beneficios de la suspensión condicional de la pena privativa de libertad impuesta y para el caso de que ésta no fuera tenida en cuenta, la pretensión subsidiaria de que le fuera aplicado el mecanismo de sustitución de penas previsto en el art. 88 CP. La lectura del razonamiento jurídico único del Auto de 15 de marzo de 2005 que resolvió el recurso de apelación desestimándolo evidencia que la Sala no se ha pronunciado de modo expreso en relación con esa segunda pretensión planteada de modo subsidiario por el recurrente. Además, tampoco del tenor literal de su redacción es posible deducir que haya existido una desestimación por remisión a lo que el Juzgado de lo Penal había razonado al respecto, sino que, simplemente, guarda silencio sobre la pretensión subsidiaria, no tomando ninguna decisión. Por otra parte, tampoco es posible deducir del Auto una desestimación tácita de la pretensión subsidiaria, pues las instituciones penales cuya aplicación solicitaba de forma escalonada el recurrente son de diferente naturaleza, ya que mientras que el beneficio de la suspensión de condena entraña la paralización temporal de toda aplicación de pena durante el período de suspensión previsto en la ley y apreciado por el órgano judicial, condicionando su definitiva ejecución o inejecución a que el reo no delinca en el período de suspensión, en el beneficio de sustitución de penas el penado tiene que cumplir una pena de naturaleza pecuniaria, operando una simple sustitución de la más gravosa, que es la privativa de libertad, por otra menos onerosa para el derecho a la libertad personal, como es la pecuniaria, pero en todo caso con el cumplimiento efectivo de una sanción penal. Por tanto —concluye el Fiscal— el Auto impugnado ha generado al recurrente una real y efectiva indefensión, pues la Sala ha dejado imprejuzgada la pretensión subsidiaria oportunamente planteada, provocando una denegación de justicia lesiva del art. 24.1 CE. </w:t>
      </w:r>
    </w:p>
    <w:p w:rsidR="00DE14C9" w:rsidRDefault="00DE14C9" w:rsidP="00DE14C9">
      <w:pPr>
        <w:pStyle w:val="TextoNormal"/>
      </w:pPr>
      <w:r>
        <w:t xml:space="preserve">Finalmente, aduce el Ministerio Fiscal que la providencia de 3 de mayo de 2005 que inadmite el incidente de nulidad de actuaciones planteado por el recurrente no ha reparado la vulneración apreciada, aunque aluda a una eventual motivación por remisión a los argumentos esgrimidos por el Juzgado de lo Penal para rechazar la aplicación del beneficio de sustitución de la pena. A esta conclusión se llega por dos razones: en primer lugar, porque el Auto de 15 de marzo de 2005 era ya firme cuando se dicta la providencia de 3 de mayo </w:t>
      </w:r>
      <w:r>
        <w:lastRenderedPageBreak/>
        <w:t>de 2005 y el derecho a la intangibilidad de las resoluciones judiciales firmes quedaría vulnerado si la Sala, mediante esa providencia, tratara de dar respuesta a la pretensión del recurrente cuando antes no lo ha hecho en su momento procesal; y, en segundo término, porque, frente a lo que se afirma en la providencia, en el Auto no se hace mención alguna al enjuiciamiento y resolución de la pretensión subsidiaria, que resulta completamente ignorada.</w:t>
      </w:r>
    </w:p>
    <w:p w:rsidR="00DE14C9" w:rsidRDefault="00DE14C9" w:rsidP="00DE14C9">
      <w:pPr>
        <w:pStyle w:val="TextoNormal"/>
      </w:pPr>
    </w:p>
    <w:p w:rsidR="00DE14C9" w:rsidRDefault="00DE14C9" w:rsidP="00DE14C9">
      <w:pPr>
        <w:pStyle w:val="TextoNormal"/>
      </w:pPr>
      <w:r w:rsidRPr="00DE14C9">
        <w:rPr>
          <w:rStyle w:val="NumeroAFNegritaCaracter"/>
        </w:rPr>
        <w:t>7</w:t>
      </w:r>
      <w:r>
        <w:t>. La representación procesal del recurrente en amparo presentó su escrito de alegaciones con fecha 21 de octubre de 2005, en el que se remitía a las formuladas en la demanda de amparo.</w:t>
      </w:r>
    </w:p>
    <w:p w:rsidR="00DE14C9" w:rsidRDefault="00DE14C9" w:rsidP="00DE14C9">
      <w:pPr>
        <w:pStyle w:val="TextoNormal"/>
      </w:pPr>
    </w:p>
    <w:p w:rsidR="00DE14C9" w:rsidRDefault="00DE14C9" w:rsidP="00DE14C9">
      <w:pPr>
        <w:pStyle w:val="TextoNormal"/>
      </w:pPr>
      <w:r w:rsidRPr="00DE14C9">
        <w:rPr>
          <w:rStyle w:val="NumeroAFNegritaCaracter"/>
        </w:rPr>
        <w:t>8</w:t>
      </w:r>
      <w:r>
        <w:t>. Por providencia de 20 de julio de 2007 se señaló para deliberación y votación de la presente Sentencia el día 23 del mismo mes y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El presente recurso de amparo tiene por objeto determinar si, como sostienen el recurrente y el Ministerio Fiscal, el Auto dictado por la Sección Primera de la Audiencia Provincial de Valencia el 15 de marzo de 2005 en el recurso de apelación dimanante de la ejecutoria núm. 6412-2003 del Juzgado de lo Penal núm. 13 de Valencia, ha vulnerado el derecho a la tutela judicial efectiva sin indefensión (art. 24.1 CE) por incurrir en incongruencia omisiva, al no haberse pronunciado sobre la pretensión subsidiaria del recurrente relativa a la sustitución de la pena de siete meses de prisión por la de multa, incongruencia que, también a juicio del demandante de amparo y del Ministerio Fiscal, la Audiencia no remedió al inadmitir a trámite mediante providencia de 3 de mayo de 2005 el incidente de nulidad promovido por el recurrente contra el anterior Auto.</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De acuerdo con nuestra reiterada doctrina, para poder apreciar que existe incongruencia omisiva con relevancia constitucional debe constatarse, en primer lugar, que la cuestión cuyo conocimiento y decisión se dice que quedó imprejuzgada fue efectivamente planteada ante el órgano judicial en el momento procesal oportuno (por todas, SSTC 85/2000, de 27 de marzo, FJ 3; 8/2004, de 9 de febrero, FJ 4; 246/2004, de 20 de diciembre, FJ 7; y 85/2006, de 27 de marzo, FJ 5). Una vez comprobado el expresado extremo, es preciso ponderar las circunstancias concurrentes en cada caso para determinar si el silencio de la resolución judicial representa una auténtica lesión del art. 24.1 CE o, por el contrario, puede interpretarse razonablemente como una desestimación tácita que satisface las exigencias del derecho a la tutela judicial efectiva.  A estos efectos hemos señalado que hay que distinguir entre las alegaciones aducidas por las partes para fundamentar sus pretensiones y las pretensiones en sí mismas consideradas. Respecto de estas últimas hemos sostenido que las exigencias de congruencia son más estrictas y por ello hemos afirmado que para poder apreciar que del conjunto de razonamientos contenidos en la resolución judicial existe una respuesta tácita es preciso no sólo que de los referidos razonamientos pueda deducirse que el órgano judicial ha valorado la pretensión sostenida, sino, además, que de ellos puedan deducirse también los motivos en los que esta respuesta tácita se fundamenta. Por el contrario, respecto de las meras alegaciones, la satisfacción del derecho a la tutela judicial efectiva no exige, en principio, una contestación explícita y pormenorizada a todas y cada una de ellas, pudiendo </w:t>
      </w:r>
      <w:r>
        <w:lastRenderedPageBreak/>
        <w:t>bastar, en atención a las circunstancias particulares concurrentes, con una respuesta global o genérica al problema planteado (entre otras muchas, SSTC 29/1987, de 6 de marzo, FJ 3; 175/1990, de 11 de noviembre, FJ 2; 88/1992, de 8 de junio, FJ 2; 91/1995, de 19 de junio, FJ 4; 26/1997, de 11 de febrero, FJ 4; 16/1998, de 26 de enero, FJ 4; 23/2000, de 31 de enero, FJ 2; 85/2000, de 27 de marzo, FJ 3; y 5/2001, de 15 de enero, FJ 4).</w:t>
      </w:r>
    </w:p>
    <w:p w:rsidR="00DE14C9" w:rsidRDefault="00DE14C9" w:rsidP="00DE14C9">
      <w:pPr>
        <w:pStyle w:val="TextoNormal"/>
      </w:pPr>
      <w:r>
        <w:t>No obstante, existen casos en los que la falta de respuesta expresa a las alegaciones formuladas ha de examinarse con mayor rigor. Así sucede con las alegaciones sustanciales que vertebran el razonamiento de las partes, esto es “cuando la cuestión puesta de manifiesto no es una simple alegación secundaria, instrumental en el razonamiento jurídico, sino un alegato sustancial que contiene los hechos o argumentos jurídicos básicos y fundamentales que nutren la pretensión”, en cuyo caso “dicha cuestión integra la razón por la que se pide, debiendo ser tratada en forma expresa o, en su caso, considerada en forma siquiera implícita por la Sentencia, pues de otro modo se desatiende la defensa esgrimida por la parte en un aspecto con posible incidencia sobre el fallo, dando lugar a una denegación de justicia” (SSTC 4/2006, de 16 de enero, FJ 3, y 85/2006, de 27 de marzo, FJ 5).</w:t>
      </w:r>
    </w:p>
    <w:p w:rsidR="00DE14C9" w:rsidRDefault="00DE14C9" w:rsidP="00DE14C9">
      <w:pPr>
        <w:pStyle w:val="TextoNormal"/>
      </w:pPr>
      <w:r>
        <w:t>Y así sucede también en los supuestos en los que se alega la vulneración de derechos fundamentales. En estos casos la exigencia de una respuesta judicial expresa, como ha señalado reiteradamente este Tribunal (SSTC 34/1997, de 25 de febrero, FJ 2; 153/1998, de 13 de julio, FJ 2; 67/2000, de 13 de marzo, FJ 3; 53/2001, de 26 de febrero, FJ 3; 27/2002, de 11 de febrero, FFJJ 3 y 6; y 9/2003, de 20 de enero, FJ 5, entre otras), se fundamenta no sólo en el lugar ocupado por los derechos fundamentales en nuestro ordenamiento (art. 10.1 CE), resaltada desde la STC 25/1981, de 14 de julio, FJ 5, sino además en que a través de ella se preserva “la posición de subsidiariedad en que el constituyente ha situado este recurso de amparo ante el Tribunal Constitucional, que lleva a configurarlo de forma tal que los órganos judiciales tengan la posibilidad —y al tiempo la obligación— de subsanar en vía ordinaria las lesiones de derechos fundamentales que ante ellos se alegan, o desestimar motivadamente tales pretensiones cuando carezcan de fundamento” (SSTC 83/1998, de 20 de abril, FJ 3, y 27/2002, de 11 de febrero, FJ 3).</w:t>
      </w:r>
    </w:p>
    <w:p w:rsidR="00DE14C9" w:rsidRDefault="00DE14C9" w:rsidP="00DE14C9">
      <w:pPr>
        <w:pStyle w:val="TextoNormal"/>
      </w:pPr>
    </w:p>
    <w:p w:rsidR="00DE14C9" w:rsidRDefault="00DE14C9" w:rsidP="00DE14C9">
      <w:pPr>
        <w:pStyle w:val="TextoNormal"/>
      </w:pPr>
      <w:r w:rsidRPr="00DE14C9">
        <w:rPr>
          <w:rStyle w:val="NumeroAFNegritaCaracter"/>
        </w:rPr>
        <w:t>3</w:t>
      </w:r>
      <w:r>
        <w:t>. Del examen de las actuaciones se desprende que el escrito de interposición del recurso de apelación presentado por el demandante de amparo contra el Auto del Juzgado de lo Penal núm. 13 de Valencia incluía, como pretensión principal, que le fueran aplicados los beneficios de la suspensión condicional de la pena privativa de libertad impuesta y para el caso de que ésta no fuera tenida en cuenta, la pretensión de que le fuera aplicado el beneficio de sustitución de penas previsto en el art.  88 del Código penal (CP). A su vez, la lectura del razonamiento jurídico único del Auto de 15 de marzo de 2005 que desestima el recurso de apelación evidencia, frente a lo que se afirma en la providencia de 3 de mayo de 2005 de inadmisión del incidente de nulidad, que la Audiencia Provincial sólo ha dado respuesta a la pretensión principal (suspensión de la condena), pero no a la pretensión subsidiaria (sustitución de la pena de prisión por la de multa), que resulta completamente ignorada en el Auto impugnado.</w:t>
      </w:r>
    </w:p>
    <w:p w:rsidR="00DE14C9" w:rsidRDefault="00DE14C9" w:rsidP="00DE14C9">
      <w:pPr>
        <w:pStyle w:val="TextoNormal"/>
      </w:pPr>
      <w:r>
        <w:t xml:space="preserve">En efecto, la Audiencia dio respuesta en su Auto a la pretensión principal, denegando la suspensión de la condena, en razón a que el recurrente no cumple los requisitos de los arts.  80 y 81 CP, ya que posee antecedentes penales no cancelados.  Sin embargo, en cuanto a la pretensión subsidiaria de sustitución de pena el Auto guarda silencio, sin que del tenor literal de su redacción sea posible deducir que exista una desestimación por remisión a los razonamientos del Auto del Juzgado de lo Penal al respecto, ni tampoco una desestimación tácita de la pretensión subsidiaria, pues, como señala el Ministerio Fiscal, las instituciones penales </w:t>
      </w:r>
      <w:r>
        <w:lastRenderedPageBreak/>
        <w:t>cuya aplicación solicitaba de forma escalonada el recurrente son de diferente naturaleza, ya que mientras que el beneficio de la suspensión de condena entraña la paralización temporal de toda aplicación de pena durante el período de suspensión previsto en la ley y apreciado por el órgano judicial, condicionando su definitiva ejecución o inejecución a que el reo no vuelva a delinquir en el período de suspensión, en el beneficio de sustitución de penas el penado tiene que cumplir en todo caso una pena, de naturaleza pecuniaria, operando una simple sustitución de la pena más gravosa (la privativa de libertad) por otra menos onerosa para el derecho a la libertad personal (la multa).</w:t>
      </w:r>
    </w:p>
    <w:p w:rsidR="00DE14C9" w:rsidRDefault="00DE14C9" w:rsidP="00DE14C9">
      <w:pPr>
        <w:pStyle w:val="TextoNormal"/>
      </w:pPr>
      <w:r>
        <w:t>Así pues, el Auto de 15 de marzo de 2005 incurre en incongruencia omisiva, al no dar respuesta a pretensión subsidiaria del demandante de sustitución de la pena privativa de libertad por la pena de multa, vicio de incongruencia que no fue remediado por la providencia de 3 de mayo de 2005, que inadmite el incidente de nulidad formulado por el demandante de amparo contra dicho Auto.</w:t>
      </w:r>
    </w:p>
    <w:p w:rsidR="00DE14C9" w:rsidRDefault="00DE14C9" w:rsidP="00DE14C9">
      <w:pPr>
        <w:pStyle w:val="TextoNormal"/>
      </w:pPr>
    </w:p>
    <w:p w:rsidR="00DE14C9" w:rsidRDefault="00DE14C9" w:rsidP="00DE14C9">
      <w:pPr>
        <w:pStyle w:val="TextoNormal"/>
      </w:pPr>
      <w:r w:rsidRPr="00DE14C9">
        <w:rPr>
          <w:rStyle w:val="NumeroAFNegritaCaracter"/>
        </w:rPr>
        <w:t>4</w:t>
      </w:r>
      <w:r>
        <w:t>. A tenor de lo expuesto debe concluirse que las resoluciones judiciales impugnadas han vulnerado el derecho a la tutela judicial efectiva (art. 24.1 CE) del recurrente en amparo, ya que resultaba exigible que la Audiencia Provincial hubiera dado respuesta expresa a la pretensión subsidiaria de sustitución de pena, por tratarse de una pretensión específica (y no de una mera alegación como parece darse a entender en la providencia de 3 de mayo de 2005), que está relacionada además, en este caso, de manera inmediata (puesto que la no sustitución determina el cumplimiento de una pena privativa de libertad) con el derecho fundamental a la libertad personal que garantiza el art. 17.1 CE, debiendo recordarse que, de acuerdo con la doctrina constitucional citada, “todo motivo de recurso atinente a un derecho fundamental requiere una respuesta expresa” (SSTC 67/2000, de 13 de marzo, FJ 2; 53/2001, de 26 de febrero, FJ 3; 27/2002, de 11 de febrero, FJ 6; y 9/2003, de 20 de enero, FJ 5, por todas). En consecuencia, procede otorgar el amparo solicitado, anulando las resoluciones judiciales impugnadas y ordenando que se retrotraigan las actuaciones al momento anterior al dictado del Auto de 15 de marzo de 2005, para que la Audiencia Provincial se pronuncie sobre la pretensión subsidiaria del recurrente relativa a la aplicación del beneficio de sustitución de pena.</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don Antonio José Izquierdo Ariño y, en su virtud:</w:t>
      </w:r>
    </w:p>
    <w:p w:rsidR="00DE14C9" w:rsidRDefault="00DE14C9" w:rsidP="00DE14C9">
      <w:pPr>
        <w:pStyle w:val="TextoNormal"/>
      </w:pPr>
      <w:r>
        <w:t>1º Reconocer su derecho a la tutela judicial efectiva (art. 24.1 CE).</w:t>
      </w:r>
    </w:p>
    <w:p w:rsidR="00DE14C9" w:rsidRDefault="00DE14C9" w:rsidP="00DE14C9">
      <w:pPr>
        <w:pStyle w:val="TextoNormal"/>
      </w:pPr>
      <w:r>
        <w:t>2º Declarar la nulidad del Auto de la Sección Primera de la Audiencia Provincial de Valencia de 15 de marzo de 2005, dictado en el recurso de apelación núm. 288-2005, así como de la providencia de 3 de mayo de 2005.</w:t>
      </w:r>
    </w:p>
    <w:p w:rsidR="00DE14C9" w:rsidRDefault="00DE14C9" w:rsidP="00DE14C9">
      <w:pPr>
        <w:pStyle w:val="TextoNormal"/>
      </w:pPr>
      <w:r>
        <w:t>3º Retrotraer las actuaciones al momento inmediatamente anterior al de dictarse el Auto de 15 de marzo de 2005, para que se dicte nueva resolución judicial con respeto al derecho fundamental reconocido.</w:t>
      </w:r>
    </w:p>
    <w:p w:rsidR="00DE14C9" w:rsidRDefault="00DE14C9" w:rsidP="00DE14C9">
      <w:pPr>
        <w:pStyle w:val="TextoNormal"/>
      </w:pPr>
    </w:p>
    <w:p w:rsidR="00DE14C9" w:rsidRDefault="00DE14C9" w:rsidP="00DE14C9">
      <w:pPr>
        <w:pStyle w:val="TextoNormal"/>
      </w:pPr>
      <w:r>
        <w:lastRenderedPageBreak/>
        <w:t>Publíquese esta Sentencia en el “Boletín Oficial del Estado”.</w:t>
      </w:r>
    </w:p>
    <w:p w:rsidR="00DE14C9" w:rsidRDefault="00DE14C9" w:rsidP="00DE14C9">
      <w:pPr>
        <w:pStyle w:val="TextoNormal"/>
      </w:pPr>
      <w:r>
        <w:t>Dada en Madrid, a veintitrés de julio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90" w:name="SENTENCIA_2007_177"/>
      <w:r>
        <w:lastRenderedPageBreak/>
        <w:t>SENTENCIA 177/2007, de 23 de julio de 2007</w:t>
      </w:r>
    </w:p>
    <w:bookmarkEnd w:id="90"/>
    <w:p w:rsidR="00DE14C9" w:rsidRDefault="00DE14C9" w:rsidP="00DE14C9">
      <w:pPr>
        <w:pStyle w:val="TtuloResolucin"/>
      </w:pPr>
      <w:r>
        <w:t>Sala Primera</w:t>
      </w:r>
    </w:p>
    <w:p w:rsidR="00DE14C9" w:rsidRDefault="00DE14C9" w:rsidP="00DE14C9">
      <w:pPr>
        <w:pStyle w:val="TtuloResolucin"/>
      </w:pPr>
    </w:p>
    <w:p w:rsidR="00DE14C9" w:rsidRDefault="00DE14C9" w:rsidP="00DE14C9">
      <w:pPr>
        <w:pStyle w:val="TtuloBOE"/>
      </w:pPr>
      <w:r>
        <w:t>("BOE" núm. 200, de 21 de agosto de 2007)</w:t>
      </w:r>
    </w:p>
    <w:p w:rsidR="00DE14C9" w:rsidRDefault="00DE14C9" w:rsidP="00DE14C9">
      <w:pPr>
        <w:pStyle w:val="TtuloBOE"/>
      </w:pPr>
    </w:p>
    <w:p w:rsidR="00DE14C9" w:rsidRDefault="00DE14C9" w:rsidP="00DE14C9">
      <w:pPr>
        <w:pStyle w:val="SntesisDescriptiva"/>
      </w:pPr>
      <w:r>
        <w:t>ECLI:ES:TC:2007:177</w:t>
      </w:r>
    </w:p>
    <w:p w:rsidR="00DE14C9" w:rsidRDefault="00DE14C9" w:rsidP="00DE14C9">
      <w:pPr>
        <w:pStyle w:val="SntesisDescriptiva"/>
      </w:pPr>
    </w:p>
    <w:p w:rsidR="00DE14C9" w:rsidRDefault="00DE14C9" w:rsidP="00DE14C9">
      <w:pPr>
        <w:pStyle w:val="SntesisDescriptiva"/>
      </w:pPr>
      <w:r>
        <w:t>Recurso de amparo 6276-2005. Promovido por don José Morales Rodríguez frente a las Sentencias de la Audiencia Provincial y de un Juzgado de Primera Instancia de Santa Cruz de Tenerife que estimaron una demanda sobre reclamación de filiación.</w:t>
      </w:r>
    </w:p>
    <w:p w:rsidR="00DE14C9" w:rsidRDefault="00DE14C9" w:rsidP="00DE14C9">
      <w:pPr>
        <w:pStyle w:val="SntesisDescriptiva"/>
      </w:pPr>
    </w:p>
    <w:p w:rsidR="00DE14C9" w:rsidRDefault="00DE14C9" w:rsidP="00DE14C9">
      <w:pPr>
        <w:pStyle w:val="SntesisAnaltica"/>
      </w:pPr>
      <w:r>
        <w:t>Vulneración del derecho a la tutela judicial efectiva (resolución fundada en Derecho): sentencias civiles que declaran una paternidad con apoyo en la negativa injustificada del demandado a someterse a una prueba biológica que no había sido acordada. Voto particular.</w:t>
      </w:r>
    </w:p>
    <w:p w:rsidR="00DE14C9" w:rsidRDefault="00DE14C9" w:rsidP="00DE14C9">
      <w:pPr>
        <w:pStyle w:val="SntesisAnaltica"/>
      </w:pPr>
    </w:p>
    <w:p w:rsidR="00DE14C9" w:rsidRDefault="00DE14C9" w:rsidP="00DE14C9">
      <w:pPr>
        <w:pStyle w:val="Extracto"/>
      </w:pPr>
      <w:r>
        <w:t>1.</w:t>
      </w:r>
      <w:r>
        <w:tab/>
        <w:t>La respuesta judicial construida sobre la premisa lógica de una negativa injustificada del demandado en el proceso a quo a someterse a la prueba biológica de paternidad, pese a que tal prueba no llegó a ser formalmente acordada por los órganos judiciales en ningún momento, resulta irrazonable y, por tanto, lesiva del derecho a la tutela judicial efectiva [FJ 5].</w:t>
      </w:r>
    </w:p>
    <w:p w:rsidR="00DE14C9" w:rsidRDefault="00DE14C9" w:rsidP="00DE14C9">
      <w:pPr>
        <w:pStyle w:val="Extracto"/>
      </w:pPr>
    </w:p>
    <w:p w:rsidR="00DE14C9" w:rsidRDefault="00DE14C9" w:rsidP="00DE14C9">
      <w:pPr>
        <w:pStyle w:val="Extracto"/>
      </w:pPr>
      <w:r>
        <w:t>2.</w:t>
      </w:r>
      <w:r>
        <w:tab/>
        <w:t>Doctrina sobre el derecho a la tutela judicial efectiva en su dimensión del derecho a obtener una resolución judicial fundada en Derecho (SSTC 147/1999, 221/2001, 276/2006) [FJ 5].</w:t>
      </w:r>
    </w:p>
    <w:p w:rsidR="00DE14C9" w:rsidRDefault="00DE14C9" w:rsidP="00DE14C9">
      <w:pPr>
        <w:pStyle w:val="Extracto"/>
      </w:pPr>
    </w:p>
    <w:p w:rsidR="00DE14C9" w:rsidRDefault="00DE14C9" w:rsidP="00DE14C9">
      <w:pPr>
        <w:pStyle w:val="Extracto"/>
      </w:pPr>
      <w:r>
        <w:t>3.</w:t>
      </w:r>
      <w:r>
        <w:tab/>
        <w:t>Doctrina sobre la negativa injustificada a someterse a la prueba biológica de paternidad o maternidad (SSTC 7/1994, 95/1999) [FJ 4].</w:t>
      </w:r>
    </w:p>
    <w:p w:rsidR="00DE14C9" w:rsidRDefault="00DE14C9" w:rsidP="00DE14C9">
      <w:pPr>
        <w:pStyle w:val="Extracto"/>
      </w:pPr>
    </w:p>
    <w:p w:rsidR="00DE14C9" w:rsidRDefault="00DE14C9" w:rsidP="00DE14C9">
      <w:pPr>
        <w:pStyle w:val="Extracto"/>
      </w:pPr>
      <w:r>
        <w:t>4.</w:t>
      </w:r>
      <w:r>
        <w:tab/>
        <w:t>Doctrina sobre la exigencia de agotamiento de los recursos utilizables dentro de la vía judicial (SSTC 284/2000, 86/2001, 133/2001) [FJ 2].</w:t>
      </w:r>
    </w:p>
    <w:p w:rsidR="00DE14C9" w:rsidRDefault="00DE14C9" w:rsidP="00DE14C9">
      <w:pPr>
        <w:pStyle w:val="Extracto"/>
      </w:pPr>
    </w:p>
    <w:p w:rsidR="00DE14C9" w:rsidRDefault="00DE14C9" w:rsidP="00DE14C9">
      <w:pPr>
        <w:pStyle w:val="Extracto"/>
      </w:pPr>
      <w:r>
        <w:t>5.</w:t>
      </w:r>
      <w:r>
        <w:tab/>
        <w:t>No corresponde al Tribunal reconstruir de oficio la demanda de amparo cuando el demandante ha desconocido la carga de la argumentación que sobre él recae (SSTC 54/1984, 52/1999, 143/2003) [FJ 1].</w:t>
      </w:r>
    </w:p>
    <w:p w:rsidR="00DE14C9" w:rsidRDefault="00DE14C9" w:rsidP="00DE14C9">
      <w:pPr>
        <w:pStyle w:val="Extracto"/>
      </w:pPr>
    </w:p>
    <w:p w:rsidR="00DE14C9" w:rsidRDefault="00DE14C9" w:rsidP="00DE14C9">
      <w:pPr>
        <w:pStyle w:val="Extracto"/>
      </w:pPr>
      <w:r>
        <w:t>6.</w:t>
      </w:r>
      <w:r>
        <w:tab/>
        <w:t>Procede declarar la nulidad de las Sentencias impugnadas y la reposición de las actuaciones al momento de dictarse Sentencia en primera instancia, a fin de que el Juzgado, sin tener en cuenta la negativa del recurrente en amparo a someterse a la prueba de paternidad, dicte la Sentencia que procede a la vista de las pruebas practicadas [FJ 5].</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Primera del Tribunal Constitucional, compuesta por doña María Emilia Casas Baamonde, Presidenta, don Jorge Rodríguez-Zapata Pérez, don Manuel Aragón Reyes y don Pablo Pérez Tremps, Magistrados, ha pronunciado</w:t>
      </w:r>
    </w:p>
    <w:p w:rsidR="00DE14C9" w:rsidRDefault="00DE14C9" w:rsidP="00DE14C9">
      <w:pPr>
        <w:pStyle w:val="TextoNormal"/>
      </w:pPr>
    </w:p>
    <w:p w:rsidR="00DE14C9" w:rsidRDefault="00DE14C9" w:rsidP="00DE14C9">
      <w:pPr>
        <w:pStyle w:val="TextoNormalCentrado"/>
        <w:keepNext/>
      </w:pPr>
      <w:r>
        <w:lastRenderedPageBreak/>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En el recurso de amparo núm. 6276-2005, promovido por don José Morales Rodríguez, representado por la Procuradora de los Tribunales doña Laura Bande González y asistido por el Abogado don Edmundo Lorenzo González Álvarez, contra la Sentencia de la Sección Cuarta de la Audiencia Provincial de Santa Cruz de Tenerife de 11 de julio de 2005, dictada en el recurso de apelación núm. 282-2005, interpuesto contra la dictada el 28 de enero de 2005 por el Juzgado de Primera Instancia núm. 7 de Santa Cruz de Tenerife en autos de juicio verbal sobre reclamación de filiación núm. 232-2004. Ha intervenido el Ministerio Fiscal. Ha sido Ponente el Magistrado don Manuel Aragón Reyes,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registrado en este Tribunal el 12 de septiembre de 2005 la Procuradora de los Tribunales doña Laura Bande González, en nombre y representación de don José Morales Rodríguez, presentó demanda de amparo contra la Sentencia de 28 de enero de 2005 del Juzgado de Primera Instancia núm. 7 de Santa Cruz de Tenerife, dictada en autos de juicio verbal sobre reclamación de filiación núm. 232-2004, así como frente a la Sentencia de 11 de julio de 2005 de la Sección Cuarta de la Audiencia Provincial de Santa Cruz de Tenerife, que desestima el recurso de apelación núm. 282-2005 interpuesto contra la anterior.</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en que se fundamenta la demanda de amparo son, sucintamente expuestos, los siguientes: </w:t>
      </w:r>
    </w:p>
    <w:p w:rsidR="00DE14C9" w:rsidRDefault="00DE14C9" w:rsidP="00DE14C9">
      <w:pPr>
        <w:pStyle w:val="TextoNormal"/>
      </w:pPr>
      <w:r>
        <w:t xml:space="preserve">a) El recurrente en amparo fue demandado en juicio verbal sobre reclamación de filiación extramatrimonial por quienes afirmaban ser hijos suyos. En la demanda se solicitaba como otrosí la admisión y práctica de prueba biológica. En la contestación a la demanda el recurrente en amparo, tras negar los hechos en que se fundamentaba la pretensión y solicitar la desestimación de la misma, por otrosí solicitó que se denegase la práctica de prueba biológica interesada de adverso, “porque la paternidad reclamada es meramente inventada, apareciendo huérfana de toda verosimilitud e indicios serios de la misma que permitan apreciar la seriedad de la reclamación” y “por el grave perjuicio moral y al honor que se le irroga” con el sometimiento a tal prueba. </w:t>
      </w:r>
    </w:p>
    <w:p w:rsidR="00DE14C9" w:rsidRDefault="00DE14C9" w:rsidP="00DE14C9">
      <w:pPr>
        <w:pStyle w:val="TextoNormal"/>
      </w:pPr>
      <w:r>
        <w:t xml:space="preserve">b) Por providencia de 27 de septiembre de 2004 el Juzgado, entre otros extremos que no resultan relevantes a los efectos que nos ocupan, acuerda que “en cuanto a la práctica de la prueba biológica solicitada en el otrosí de la demanda por la parte actora y vistas las manifestaciones del demandado en su escrito de contestación a la demanda, no ha lugar a su práctica, sin perjuicio de que la oposición a la práctica de la prueba biológica de paternidad por parte del demandado pueda tener los efectos contenidos en la jurisprudencia existente”. En el acto del juicio la parte demandante solicitó de nuevo la práctica de la prueba pericial </w:t>
      </w:r>
      <w:r>
        <w:lastRenderedPageBreak/>
        <w:t xml:space="preserve">biológica (petición a la que se adhirió el Ministerio Fiscal), que la Magistrada- Juez rechazó remitiéndose a lo argumentado en la antedicha providencia. </w:t>
      </w:r>
    </w:p>
    <w:p w:rsidR="00DE14C9" w:rsidRDefault="00DE14C9" w:rsidP="00DE14C9">
      <w:pPr>
        <w:pStyle w:val="TextoNormal"/>
      </w:pPr>
      <w:r>
        <w:t xml:space="preserve">c) Por Sentencia de 28 de enero de 2005 el Juzgado de Primera Instancia núm. 7 de Santa Cruz de Tenerife estimó la demanda, declarando la paternidad del demandado respecto de los dos demandantes. El Juzgado considera acreditado a la vista de la pruebas practicadas (testificales, cartas y postales remitidas por el demandado a la madre de los actores y fotografías de ésta y del demandado, reconocimiento por el demandado de haber sido visitado por los demandantes en varias ocasiones en Santa Cruz de Tenerife), unidas a la negativa del demandado a someterse a la prueba de paternidad, que los demandantes son el fruto de las relaciones mantenidas por el demandado con la madre de los demandantes en el periodo 1967-1969 con ocasión de la estancia del demandado en Madrid para cursar estudios de Medicina, rechazándose la versión del demandado por no creíble (que las relaciones con la madre de los actores fueron de simple amistad y que atendió a éstos en sus visitas a la isla como a los hijos de una antigua amiga). </w:t>
      </w:r>
    </w:p>
    <w:p w:rsidR="00DE14C9" w:rsidRDefault="00DE14C9" w:rsidP="00DE14C9">
      <w:pPr>
        <w:pStyle w:val="TextoNormal"/>
      </w:pPr>
      <w:r>
        <w:t>d) Contra esta Sentencia interpuso el demandante de amparo recurso de apelación, en el que, entre otras cuestiones, planteaba la inexistencia de pruebas que acreditasen la paternidad reclamada y alegaba que la prueba de paternidad nunca fue acordada por el Juzgado, por lo que no puede hablarse de negativa a someterse a su práctica, ni fundar, por tanto, su condena en esa pretendida negativa. El recurso de apelación fue desestimado por Sentencia de 11 de julio de 2005 de la Sección Cuarta de la Audiencia Provincial de Santa Cruz de Tenerife. En la misma, tras recordar la doctrina sentada en la STC 7/1994, de 17 de enero, se razona que “en este caso se ha producido una negativa injustificada del demandado a someterse a la prueba de paternidad, negativa que hay que entender injustificada” y, en función de esa injustificada negativa, unida al resto de pruebas directas e indiciarias practicadas en el proceso, se puede “suponer y presumir la paternidad reclamada”.</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En la demanda de amparo se alega que las Sentencias impugnadas han lesionado el derecho del recurrente a la tutela judicial efectiva sin indefensión (art. 24.1 CE), en relación con el principio de igualdad (art. 14 CE), toda vez que no cabe hablar de negativa injustificada a someterse a la prueba de paternidad ni, en consecuencia a extraer consecuencias perjudiciales para el recurrente de esa inexistente negativa, pues la prueba en cuestión ni siquiera fue acordada por el Juzgado. Por todo ello solicita la nulidad de las Sentencias y de todo lo actuado desde la citada providencia de 27 de septiembre de 2004, para que el Juzgado proceda a resolver motivadamente sobre la pertinencia o no de la práctica de la prueba de paternidad. </w:t>
      </w:r>
    </w:p>
    <w:p w:rsidR="00DE14C9" w:rsidRDefault="00DE14C9" w:rsidP="00DE14C9">
      <w:pPr>
        <w:pStyle w:val="TextoNormal"/>
      </w:pPr>
      <w:r>
        <w:t>Mediante otrosí, y de conformidad con el art. 56.1 LOTC, solicitó el demandante de amparo que se acordase la suspensión de la ejecución de las Sentencias recurridas.</w:t>
      </w:r>
    </w:p>
    <w:p w:rsidR="00DE14C9" w:rsidRDefault="00DE14C9" w:rsidP="00DE14C9">
      <w:pPr>
        <w:pStyle w:val="TextoNormal"/>
      </w:pPr>
    </w:p>
    <w:p w:rsidR="00DE14C9" w:rsidRDefault="00DE14C9" w:rsidP="00DE14C9">
      <w:pPr>
        <w:pStyle w:val="TextoNormal"/>
      </w:pPr>
      <w:r w:rsidRPr="00DE14C9">
        <w:rPr>
          <w:rStyle w:val="NumeroAFNegritaCaracter"/>
        </w:rPr>
        <w:t>4</w:t>
      </w:r>
      <w:r>
        <w:t>. Por diligencia de ordenación del Secretario de Justicia de la Sala Primera de 25 de septiembre de 2005 se acordó, de conformidad con lo dispuesto en el art. 88 LOTC, requerir al Juzgado de Primera Instancia núm. 7 de Santa Cruz de Tenerife para que en el plazo de diez días remitiese testimonio del juicio verbal sobre reclamación de filiación núm. 232- 2004.</w:t>
      </w:r>
    </w:p>
    <w:p w:rsidR="00DE14C9" w:rsidRDefault="00DE14C9" w:rsidP="00DE14C9">
      <w:pPr>
        <w:pStyle w:val="TextoNormal"/>
      </w:pPr>
    </w:p>
    <w:p w:rsidR="00DE14C9" w:rsidRDefault="00DE14C9" w:rsidP="00DE14C9">
      <w:pPr>
        <w:pStyle w:val="TextoNormal"/>
      </w:pPr>
      <w:r w:rsidRPr="00DE14C9">
        <w:rPr>
          <w:rStyle w:val="NumeroAFNegritaCaracter"/>
        </w:rPr>
        <w:t>5</w:t>
      </w:r>
      <w:r>
        <w:t xml:space="preserve">. Recibido en este Tribunal el testimonio de actuaciones solicitado, mediante providencia de 8 de febrero de 2006 la Sección Primera de este Tribunal acordó admitir a trámite la demanda de amparo y, a tenor de lo dispuesto en el art. 51 LOTC, requerir a la Sección </w:t>
      </w:r>
      <w:r>
        <w:lastRenderedPageBreak/>
        <w:t xml:space="preserve">Cuarta de la Audiencia Provincial de Santa Cruz de Tenerife para que en el plazo de diez días remitiese testimonio del rollo de apelación núm. 282-2005, interesándose al propio tiempo del Juzgado de Primera Instancia núm. 7 de Santa Cruz de Tenerife el emplazamiento de quienes fueron parte en los autos del juicio verbal núm. 232-2004 (con excepción del demandante de amparo, ya personado), a fin de que en el término de diez días pudieran comparecer en este proceso constitucional. </w:t>
      </w:r>
    </w:p>
    <w:p w:rsidR="00DE14C9" w:rsidRDefault="00DE14C9" w:rsidP="00DE14C9">
      <w:pPr>
        <w:pStyle w:val="TextoNormal"/>
      </w:pPr>
      <w:r>
        <w:t>Asimismo acordó la Sección Primera mediante providencia de la misma fecha la formación de la correspondiente pieza separada de suspensión, la cual, una vez tramitada, concluyó mediante ATC 83/2006, de 13 de marzo, por el que se denegó la suspensión solicitada por el demandante de amparo.</w:t>
      </w:r>
    </w:p>
    <w:p w:rsidR="00DE14C9" w:rsidRDefault="00DE14C9" w:rsidP="00DE14C9">
      <w:pPr>
        <w:pStyle w:val="TextoNormal"/>
      </w:pPr>
    </w:p>
    <w:p w:rsidR="00DE14C9" w:rsidRDefault="00DE14C9" w:rsidP="00DE14C9">
      <w:pPr>
        <w:pStyle w:val="TextoNormal"/>
      </w:pPr>
      <w:r w:rsidRPr="00DE14C9">
        <w:rPr>
          <w:rStyle w:val="NumeroAFNegritaCaracter"/>
        </w:rPr>
        <w:t>6</w:t>
      </w:r>
      <w:r>
        <w:t>. Por diligencia de ordenación del Secretario de Justicia de la Sala Primera de 7 de junio de 2006 se tuvo por recibido el testimonio de actuaciones remitido por la Sección Cuarta de la Audiencia Provincial de Santa Cruz de Tenerife y por efectuados los emplazamientos por el Juzgado de Primera Instancia núm. 7 de Santa Cruz de Tenerife en el recurso de amparo, solicitando que se entendieran con él las actuaciones sucesivas. Asimismo se acordó dar vista de las actuaciones recibidas, por un plazo común de veinte días, a la representación procesal del demandante de amparo y al Ministerio Fiscal para que, de conformidad con el art. 52.1 LOTC, presentaran las alegaciones pertinentes.</w:t>
      </w:r>
    </w:p>
    <w:p w:rsidR="00DE14C9" w:rsidRDefault="00DE14C9" w:rsidP="00DE14C9">
      <w:pPr>
        <w:pStyle w:val="TextoNormal"/>
      </w:pPr>
    </w:p>
    <w:p w:rsidR="00DE14C9" w:rsidRDefault="00DE14C9" w:rsidP="00DE14C9">
      <w:pPr>
        <w:pStyle w:val="TextoNormal"/>
      </w:pPr>
      <w:r w:rsidRPr="00DE14C9">
        <w:rPr>
          <w:rStyle w:val="NumeroAFNegritaCaracter"/>
        </w:rPr>
        <w:t>7</w:t>
      </w:r>
      <w:r>
        <w:t xml:space="preserve">. El Ministerio Fiscal presentó su escrito de alegaciones el 11 de julio de 2006, en el que interesó que se desestimase la demanda de amparo por incumplimiento de requisitos procesales (falta de agotamiento de la vía judicial y falta de invocación en la vía judicial de los derechos que se alegan como vulnerados) y subsidiariamente por no existir la vulneración de derechos alegada por el demandante de amparo. </w:t>
      </w:r>
    </w:p>
    <w:p w:rsidR="00DE14C9" w:rsidRDefault="00DE14C9" w:rsidP="00DE14C9">
      <w:pPr>
        <w:pStyle w:val="TextoNormal"/>
      </w:pPr>
      <w:r>
        <w:t xml:space="preserve">Sostiene el Ministerio Fiscal que no se cumple el requisito de agotamiento de los recursos utilizables en la vía judicial [art. 44.1 a) LOTC] porque el demandante de amparo no recurrió en reposición (arts. 451 y 452 LEC) la providencia del Juzgado de Primera Instancia núm. 7 de Santa Cruz de Tenerife de 27 de septiembre de 2004 por la que el Juzgado denegó la práctica de la prueba biológica solicitada por los actores en el proceso a quo. Por la misma razón considera el Ministerio Fiscal que la pretendida lesión del derecho a la tutela judicial efectiva sin indefensión (art. 24.1 CE) que se aduce como fundamento de la demanda de amparo incumple el requisito de la invocación en la vía judicial previa tan pronto como, una vez conocida la violación, hubiere lugar a ello [art. 44.1 c) LOTC], momento procesal que, a juicio del Ministerio Fiscal, sería el recurso de reposición contra la referida providencia de 27 de septiembre de 2004, que el demandante de amparo no interpuso; del mismo modo se incumple este requisito respecto del derecho a la igualdad (art. 14 CE), que por lo demás el recurrente se limita a citar en la demanda de amparo, sin razonar en modo alguno la supuesta lesión de este derecho fundamental. </w:t>
      </w:r>
    </w:p>
    <w:p w:rsidR="00DE14C9" w:rsidRDefault="00DE14C9" w:rsidP="00DE14C9">
      <w:pPr>
        <w:pStyle w:val="TextoNormal"/>
      </w:pPr>
      <w:r>
        <w:t xml:space="preserve">Sin perjuicio de lo expuesto, considera el Ministerio Fiscal que, aunque se entrase en el fondo del asunto, la demanda de amparo debería ser en cualquier caso desestimada, por no existir la vulneración del derecho a la tutela judicial efectiva sin indefensión (art. 24.1 CE) que denuncia el demandante de amparo. Ninguna indefensión se ha deparado al recurrente por el hecho de que se haya denegado la práctica de la prueba pericial biológica solicitada por la parte contraria, amén de que nada impedía al recurrente haberse sometido a la práctica de dicha prueba, a lo que se negó rotundamente desde el principio. En fin, la estimación de la pretensión de declaración de la paternidad por la Sentencia de instancia, confirmada en apelación, se ajusta a la doctrina sentada por el Tribunal Constitucional desde su STC </w:t>
      </w:r>
      <w:r>
        <w:lastRenderedPageBreak/>
        <w:t>7/1994, pues la negativa injustificada del demandante de amparo a someterse a la práctica de dicha prueba, unida a la existencia de un principio de prueba documental en la que sustentar dicha pretensión, permitieron a los órganos judiciales, mediante un razonamiento que no puede tildarse de arbitrario o irrazonable, considerar acreditada la paternidad reclamada.</w:t>
      </w:r>
    </w:p>
    <w:p w:rsidR="00DE14C9" w:rsidRDefault="00DE14C9" w:rsidP="00DE14C9">
      <w:pPr>
        <w:pStyle w:val="TextoNormal"/>
      </w:pPr>
    </w:p>
    <w:p w:rsidR="00DE14C9" w:rsidRDefault="00DE14C9" w:rsidP="00DE14C9">
      <w:pPr>
        <w:pStyle w:val="TextoNormal"/>
      </w:pPr>
      <w:r w:rsidRPr="00DE14C9">
        <w:rPr>
          <w:rStyle w:val="NumeroAFNegritaCaracter"/>
        </w:rPr>
        <w:t>8</w:t>
      </w:r>
      <w:r>
        <w:t>. El recurrente en amparo no formuló alegaciones.</w:t>
      </w:r>
    </w:p>
    <w:p w:rsidR="00DE14C9" w:rsidRDefault="00DE14C9" w:rsidP="00DE14C9">
      <w:pPr>
        <w:pStyle w:val="TextoNormal"/>
      </w:pPr>
    </w:p>
    <w:p w:rsidR="00DE14C9" w:rsidRDefault="00DE14C9" w:rsidP="00DE14C9">
      <w:pPr>
        <w:pStyle w:val="TextoNormal"/>
      </w:pPr>
      <w:r w:rsidRPr="00DE14C9">
        <w:rPr>
          <w:rStyle w:val="NumeroAFNegritaCaracter"/>
        </w:rPr>
        <w:t>9</w:t>
      </w:r>
      <w:r>
        <w:t>. Por providencia de 20 de julio de 2007 se señaló para deliberación y votación de la presente Sentencia el día 23 del mismo mes y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Como ha quedado expuesto en los antecedentes, el presente recurso de amparo se dirige contra la Sentencia de 28 de enero de 2005 del Juzgado de Primera Instancia núm. 7 de Santa Cruz de Tenerife, dictada en autos de juicio verbal sobre reclamación de filiación núm. 232-2004, que declaró que el recurrente es el padre de los actores en dicho proceso, ordenando las oportunas rectificaciones en el Registro Civil, así como frente a la Sentencia de 11 de julio de 2005 de la Sección Cuarta de la Audiencia Provincial de Santa Cruz de Tenerife, que desestima el recurso de apelación núm. 282-2005 interpuesto contra la anterior. El recurrente sostiene que dichas Sentencias han lesionado su derecho a la tutela judicial efectiva sin indefensión (art. 24.1 CE), toda vez que no cabe hablar de negativa injustificada a someterse a la prueba de paternidad ni, en consecuencia, a extraer consecuencias perjudiciales para el recurrente de esa inexistente negativa, como se hace en ambas Sentencias, pues la prueba en cuestión ni siquiera fue acordada por el Juzgado, sino que fue denegada expresamente.</w:t>
      </w:r>
    </w:p>
    <w:p w:rsidR="00DE14C9" w:rsidRDefault="00DE14C9" w:rsidP="00DE14C9">
      <w:pPr>
        <w:pStyle w:val="TextoNormal"/>
      </w:pPr>
      <w:r>
        <w:t>En la demanda de amparo se cita también la vulneración del principio de igualdad (art. 14 CE), en relación con la misma queja, pero tal cita aparece completamente desprovista de desarrollo argumental, por lo que debe quedar fuera de nuestra consideración, pues cuando se denuncia una violación constitucional es carga del demandante no sólo abrir la vía para que este Tribunal pueda pronunciarse, sino también la de proporcionar la fundamentación que razonablemente es de esperar, no correspondiéndole reconstruir de oficio la demanda de amparo cuando el demandante ha desconocido la carga de argumentación que sobre él recae (SSTC 54/1984, de 4 de mayo, FJ 3; 1/1996, de 15 de enero, FJ 3; 7/1998, de 13 de enero, FJ 3; 52/1999, de 12 de abril, FJ 5; 189/2002, de 14 de octubre, FJ, 3; y 143/2003, de 14 de julio, FJ 2, entre otras muchas).</w:t>
      </w:r>
    </w:p>
    <w:p w:rsidR="00DE14C9" w:rsidRDefault="00DE14C9" w:rsidP="00DE14C9">
      <w:pPr>
        <w:pStyle w:val="TextoNormal"/>
      </w:pPr>
    </w:p>
    <w:p w:rsidR="00DE14C9" w:rsidRDefault="00DE14C9" w:rsidP="00DE14C9">
      <w:pPr>
        <w:pStyle w:val="TextoNormal"/>
      </w:pPr>
      <w:r w:rsidRPr="00DE14C9">
        <w:rPr>
          <w:rStyle w:val="NumeroAFNegritaCaracter"/>
        </w:rPr>
        <w:t>2</w:t>
      </w:r>
      <w:r>
        <w:t>. Además el Ministerio Fiscal alega como óbices procesales para la admisibilidad la demanda de amparo la falta de agotamiento de la vía judicial [art. 44.1 a) LOTC] y la falta de invocación en la vía judicial de los derechos que se entienden vulnerados [art. 44.1 c) LOTC], con fundamento en el mismo argumento, esto es, que el demandante de amparo no recurrió en reposición (arts. 451 y 452 de la Ley de enjuiciamiento civil: LEC) la providencia del Juzgado de Primera Instancia núm. 7 de Santa Cruz de Tenerife de 27 de septiembre de 2004 por la que se denegó la práctica de la prueba pericial biológica solicitada por los actores en el proceso a quo.</w:t>
      </w:r>
    </w:p>
    <w:p w:rsidR="00DE14C9" w:rsidRDefault="00DE14C9" w:rsidP="00DE14C9">
      <w:pPr>
        <w:pStyle w:val="TextoNormal"/>
      </w:pPr>
      <w:r>
        <w:t xml:space="preserve">Pues bien, los motivos de inadmisibilidad aducidos por el Ministerio Fiscal han de ser rechazados, si se tiene en cuenta que el demandante de amparo no tenía la carga de recurrir </w:t>
      </w:r>
      <w:r>
        <w:lastRenderedPageBreak/>
        <w:t>la referida providencia, que denegó la práctica de la prueba biológica solicitada por la parte contraria, pues ningún perjuicio o gravamen efectivo deparaba a los intereses del demandante de amparo dicha resolución como tal, siendo presupuesto del derecho de las partes a recurrir contra las resoluciones judiciales que éstas "les afecten desfavorablemente" (art. 448.1 LEC).</w:t>
      </w:r>
    </w:p>
    <w:p w:rsidR="00DE14C9" w:rsidRDefault="00DE14C9" w:rsidP="00DE14C9">
      <w:pPr>
        <w:pStyle w:val="TextoNormal"/>
      </w:pPr>
      <w:r>
        <w:t>En efecto, conviene recordar que en la referida providencia de 27 de septiembre de 2004 el Juzgado acuerda que "en cuanto a la práctica de la prueba biológica solicitada en el otrosí de la demanda por la parte actora y vistas las manifestaciones del demandado en su escrito de contestación a la demanda, no ha lugar a su práctica, sin perjuicio de que la oposición a la práctica de la prueba biológica de paternidad por parte del demandado pueda tener los efectos contenidos en la jurisprudencia existente". Es decir, aunque de forma confusa en la providencia se alude a los efectos que puede deparar al demandado la negativa a someterse a la prueba biológica, lo cierto es que la decisión adoptada en esta resolución judicial es la negativa a la práctica de dicha prueba, solicitada por la parte demandante. En consecuencia, el demandante de amparo no tenía la carga de recurrir la providencia en cuestión, pues lo cierto es que la misma no le deparaba gravamen alguno, al haber denegado la práctica de la prueba pericial biológica interesada de contrario; sólo si el Juzgado hubiese acordado la práctica de dicha prueba podía el demandante de amparo optar entre someterse a su realización o negarse a ello, con los efectos en este caso que tal negativa pudiese depararle en Derecho. Entenderlo de otro modo conduciría a la inaceptable conclusión de exigir al demandante de amparo la interposición de recursos con finalidad meramente cautelar o preventiva contra resoluciones judiciales cuyo decissum no es desfavorable para sus derechos e intereses.</w:t>
      </w:r>
    </w:p>
    <w:p w:rsidR="00DE14C9" w:rsidRDefault="00DE14C9" w:rsidP="00DE14C9">
      <w:pPr>
        <w:pStyle w:val="TextoNormal"/>
      </w:pPr>
      <w:r>
        <w:t>No ha lugar, pues, a apreciar el incumplimiento de la exigencia de agotamiento de los recursos utilizables dentro de la vía judicial, exigencia que responde a la naturaleza subsidiaria del recurso de amparo, pero que no obliga a utilizar en cada caso todos los medios de impugnación posibles, sino sólo aquellos normales que, de manera clara, se manifiestan como ejercitables, de forma que no quepa duda respecto de la procedencia y la posibilidad real y efectiva de interponer el recurso, así como de su adecuación para reparar la lesión de los derechos fundamentales invocados en la demanda de amparo (entre otras muchas, SSTC 284/2000, de 27 de noviembre, FJ 4; 5/2001, de 15 de enero, FJ 2; 86/2001, de 2 de abril, FJ 2; y 133/2001, de 13 de julio, FJ 3).  En el presente caso, por las razones expuestas, el demandante de amparo no venía a obligado a recurrir en reposición la providencia del Juzgado de Primera Instancia núm. 7 de Santa Cruz de Tenerife de 27 de septiembre de 2004 por la que se denegó a la parte contraria la práctica de la prueba pericial biológica solicitada, ni tampoco venía obligado a protestar en el acto del juicio, por las mismas razones, frente a la negativa del Juzgador (remitiéndose a lo argumentado en la antedicha providencia) a la petición de la parte actora (a la que se adhirió el Ministerio Fiscal), que solicitó de nuevo la práctica de la prueba pericial biológica, por lo que no resulta incumplido el requisito previsto en el art. 44.1 a) LOTC.</w:t>
      </w:r>
    </w:p>
    <w:p w:rsidR="00DE14C9" w:rsidRDefault="00DE14C9" w:rsidP="00DE14C9">
      <w:pPr>
        <w:pStyle w:val="TextoNormal"/>
      </w:pPr>
    </w:p>
    <w:p w:rsidR="00DE14C9" w:rsidRDefault="00DE14C9" w:rsidP="00DE14C9">
      <w:pPr>
        <w:pStyle w:val="TextoNormal"/>
      </w:pPr>
      <w:r w:rsidRPr="00DE14C9">
        <w:rPr>
          <w:rStyle w:val="NumeroAFNegritaCaracter"/>
        </w:rPr>
        <w:t>3</w:t>
      </w:r>
      <w:r>
        <w:t>. Del mismo modo debe rechazarse el óbice de inadmisibilidad relativo a la falta de invocación en la vía judicial de los derechos que se entienden vulnerados [art. 44.1 c) LOTC], pues el examen de lo actuado permite concluir que se ha cumplido la finalidad prevista por el referido requisito, al igual que el previsto por el art. 44.1 a) LOTC, de dar a los órganos judiciales la oportunidad de reparar la lesión cometida y de restablecer el dere</w:t>
      </w:r>
      <w:r>
        <w:lastRenderedPageBreak/>
        <w:t>cho fundamental que se entiende vulnerado (por todas, SSTC 162/1999, de 27 de septiembre, FJ 2; 192/2001, de 1 de octubre, FJ 3; 222/2001, de 5 de noviembre, FJ 2; 93/2002, de 22 de abril, FJ 3; 133/2002, de 3 de junio, FJ 3; y 29/2004, de 4 de marzo, FJ 3).</w:t>
      </w:r>
    </w:p>
    <w:p w:rsidR="00DE14C9" w:rsidRDefault="00DE14C9" w:rsidP="00DE14C9">
      <w:pPr>
        <w:pStyle w:val="TextoNormal"/>
      </w:pPr>
      <w:r>
        <w:t>En efecto, no siendo exigible, por las razones antes indicadas, que el demandante de amparo impugnase en reposición ante el Juzgado de Primera Instancia la providencia de 27 de septiembre de 2004 por la que se denegó la práctica de la prueba pericial biológica solicitada por la parte contraria -ni que formulase protesta en el juicio oral por la reiteración de tal negativa-, es notorio que debemos concluir que el demandante de amparo ha denunciado oportunamente en la vía judicial la vulneración del derecho fundamental que ahora pretende hacer valer en el recurso de amparo, pues lo ha hecho en el momento en que ha tomado conocimiento de la lesión, esto es, al serle notificada la Sentencia de instancia, habiendo formulado su queja en el recurso de apelación interpuesto contra la misma, como quedó expuesto en los antecedentes.</w:t>
      </w:r>
    </w:p>
    <w:p w:rsidR="00DE14C9" w:rsidRDefault="00DE14C9" w:rsidP="00DE14C9">
      <w:pPr>
        <w:pStyle w:val="TextoNormal"/>
      </w:pPr>
    </w:p>
    <w:p w:rsidR="00DE14C9" w:rsidRDefault="00DE14C9" w:rsidP="00DE14C9">
      <w:pPr>
        <w:pStyle w:val="TextoNormal"/>
      </w:pPr>
      <w:r w:rsidRPr="00DE14C9">
        <w:rPr>
          <w:rStyle w:val="NumeroAFNegritaCaracter"/>
        </w:rPr>
        <w:t>4</w:t>
      </w:r>
      <w:r>
        <w:t>. Descartada la concurrencia de óbices procesales en el presente asunto, procede examinar la queja del demandante de amparo, referida a la vulneración del derecho a la tutela judicial efectiva sin indefensión (art. 24.1 CE), con fundamento en que las Sentencias impugnadas consideran como elemento decisivo para entender acreditada la filiación paterna extramatrimonial reclamada la negativa injustificada del recurrente a someterse a la prueba pericial biológica, cuando lo cierto es que la prueba en cuestión ni siquiera fue acordada por el Juzgado, por lo no cabe hablar de negativa a su práctica por parte del recurrente, ni cabe en consecuencia, extraer consecuencias perjudiciales para éste de esa inexistente negativa.</w:t>
      </w:r>
    </w:p>
    <w:p w:rsidR="00DE14C9" w:rsidRDefault="00DE14C9" w:rsidP="00DE14C9">
      <w:pPr>
        <w:pStyle w:val="TextoNormal"/>
      </w:pPr>
      <w:r>
        <w:t>Para dar respuesta a esta queja conviene tener presente que el vigente art. 767.4 LEC, haciéndose eco de la doctrina sentada por este Tribunal en la STC 7/1994, de 17 de enero, reiterada por la STC 95/1999, de 29 de junio, determina que la "negativa injustificada a someterse a la prueba biológica de paternidad o maternidad permitirá al Tribunal declarar la filiación reclamada, siempre que existan otros indicios de la paternidad o maternidad y la prueba de ésta no se haya obtenido por otros medios".</w:t>
      </w:r>
    </w:p>
    <w:p w:rsidR="00DE14C9" w:rsidRDefault="00DE14C9" w:rsidP="00DE14C9">
      <w:pPr>
        <w:pStyle w:val="TextoNormal"/>
      </w:pPr>
      <w:r>
        <w:t>Ahora bien, para que pueda hablarse de negativa injustificada a someterse a la prueba biológica de paternidad es necesario que dicha prueba haya sido efectivamente acordada por el órgano judicial en el proceso de reclamación de filiación. Como se recuerda en la citada STC 95/1999, FJ 2, "dada la trascendencia que para las personas implicadas en los procesos de filiación tiene la determinación de las relaciones materiales que se dilucidan en ellos, especialmente por lo que respecta a los derechos de los hijos que se garantizan en el art. 39 CE, las partes tienen la obligación de posibilitar la práctica de las pruebas biológicas que hayan sido debidamente acordadas por la autoridad judicial, por ser este un medio probatorio esencial, fiable e idóneo para la determinación del hecho de la generación discutido en el pleito, pues, en estos casos, al hallarse la fuente de la prueba en poder de una de las partes del litigio, la obligación constitucional de colaborar con los Tribunales en el curso del proceso (art. 118 CE), conlleva que dicha parte deba contribuir con su actividad probatoria a la aportación de los hechos requeridos a fin de que el órgano judicial pueda descubrir la verdad, ya que en otro caso, bastaría con que el litigante renuente a la prueba biológica se negase a su realización para colocar al otro litigante en una situación de indefensión contraria al art. 24.1 CE por no poder justificar procesalmente su pretensión mediante la utilización de los medios probatorios pertinentes para su defensa que le garantiza el art. 24.2 CE (STC 7/1994, FJ 6 y las resoluciones en ella citadas)".</w:t>
      </w:r>
    </w:p>
    <w:p w:rsidR="00DE14C9" w:rsidRDefault="00DE14C9" w:rsidP="00DE14C9">
      <w:pPr>
        <w:pStyle w:val="TextoNormal"/>
      </w:pPr>
      <w:r>
        <w:lastRenderedPageBreak/>
        <w:t>Pues bien, del examen de las actuaciones (y en particular de la providencia de 27 de septiembre de 2004) resulta que el Juzgado de Primera Instancia no llegó en ningún momento a acordar la práctica de la prueba biológica de paternidad solicitada por otrosí en su demanda por los actores -petición reiterada por éstos en el juicio oral y de nuevo denegada por el Juzgado-, por lo que en el presente caso no cabe hablar de "pruebas biológicas que hayan sido debidamente acordadas por la autoridad judicial" (STC 95/1999, FJ 2), pese a la cual la Sentencia de instancia, confirmada por la Sentencia de apelación, considera acreditada la filiación paterna extramatrimonial reclamada por la negativa infundada del demandado a someterse a la prueba de paternidad, unida a la existencia de otras pruebas indiciarias de las que los órganos judiciales infieren la existencia de relaciones sexuales entre el recurrente en amparo y la madre de los actores en la época en la que tuvo lugar la concepción de éstos.</w:t>
      </w:r>
    </w:p>
    <w:p w:rsidR="00DE14C9" w:rsidRDefault="00DE14C9" w:rsidP="00DE14C9">
      <w:pPr>
        <w:pStyle w:val="TextoNormal"/>
      </w:pPr>
      <w:r>
        <w:t>La lógica del razonamiento judicial quiebra totalmente, vulnerando así el derecho a la tutela judicial efectiva del demandante de amparo, desde el momento de que se parte de la premisa de la negativa injustificada de éste a someterse a la prueba biológica de paternidad, cuando tal negativa sólo puede desplegar efectos jurídicos de conformidad con la citada doctrina constitucional (y del tenor del art. 767.4 LEC) cuando el órgano judicial haya acordado la admisión y práctica de la prueba en el proceso, lo que, como ha quedado expuesto, no acontece en el presente caso, pues el Juzgado acordó no haber lugar a la práctica de dicha prueba (que tampoco fue acordada en apelación).</w:t>
      </w:r>
    </w:p>
    <w:p w:rsidR="00DE14C9" w:rsidRDefault="00DE14C9" w:rsidP="00DE14C9">
      <w:pPr>
        <w:pStyle w:val="TextoNormal"/>
      </w:pPr>
    </w:p>
    <w:p w:rsidR="00DE14C9" w:rsidRDefault="00DE14C9" w:rsidP="00DE14C9">
      <w:pPr>
        <w:pStyle w:val="TextoNormal"/>
      </w:pPr>
      <w:r w:rsidRPr="00DE14C9">
        <w:rPr>
          <w:rStyle w:val="NumeroAFNegritaCaracter"/>
        </w:rPr>
        <w:t>5</w:t>
      </w:r>
      <w:r>
        <w:t>. Y no cabe argüir frente a lo anteriormente expuesto -como se hace por el Ministerio Fiscal- que la oposición del recurrente en amparo al contestar la demanda a que se admitiese y practicase la prueba de paternidad solicitada por los actores tiene el mismo valor que si, admitida y acordada la práctica de la prueba, el recurrente se hubiese negado a su realización. Acordar el recibimiento del proceso a prueba y determinar qué medios de prueba se admiten y se deben practicar, por ser pertinentes para la resolución del proceso, es una potestad exclusivamente jurisdiccional.  Por tanto, si la prueba biológica de paternidad, solicitada en tiempo y forma por la parte demandante en el proceso de reclamación de filiación, no es acordada por el órgano judicial, no cabe hablar de negativa de la parte demandada a someterse a la práctica de la prueba en cuestión, por más que inicialmente esta parte, al contestar la demanda, haya mostrado su postura contraria a la admisión y práctica de dicha prueba.</w:t>
      </w:r>
    </w:p>
    <w:p w:rsidR="00DE14C9" w:rsidRDefault="00DE14C9" w:rsidP="00DE14C9">
      <w:pPr>
        <w:pStyle w:val="TextoNormal"/>
      </w:pPr>
      <w:r>
        <w:t>Hemos de recordar que el derecho a la tutela judicial efectiva que reconoce el art. 24.1 CE, en su dimensión de derecho a obtener una resolución judicial fundada en Derecho, favorable o adversa, es garantía frente a la arbitrariedad e irrazonabilidad de los poderes públicos. Ello implica, en primer lugar, que la resolución ha de estar motivada, es decir, contener los elementos y razones de juicio que permitan conocer cuáles han sido los criterios jurídicos que fundamentan la decisión; y en segundo lugar, que la motivación debe contener una fundamentación en Derecho, lo que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87/2000,de 27 de marzo, FJ 3; 82/2001, de 26 de marzo, FJ 2; 221/2001, de 31 de octubre, FJ 6; 55/2003, de 24 de marzo, FJ 6; 223/2005, de 12 de septiembre, FJ 3 y 276/2006, de 25 de septiembre, FJ 2, entre otras muchas).</w:t>
      </w:r>
    </w:p>
    <w:p w:rsidR="00DE14C9" w:rsidRDefault="00DE14C9" w:rsidP="00DE14C9">
      <w:pPr>
        <w:pStyle w:val="TextoNormal"/>
      </w:pPr>
      <w:r>
        <w:lastRenderedPageBreak/>
        <w:t>En definitiva, en aplicación de esta doctrina debemos concluir que en el presente caso la respuesta judicial, construida sobre la premisa lógica de una negativa injustificada del demandado en el proceso a quo a someterse a la prueba biológica de paternidad, pese a que tal prueba no llegó a ser formalmente acordada por los órganos judiciales en ningún momento, resulta irrazonable y, por tanto, lesiva del derecho a la tutela judicial efectiva del recurrente. Ello conduce al otorgamiento del amparo solicitado, con declaración de nulidad de las Sentencias impugnadas y reposición de actuaciones al momento de dictarse Sentencia en primera instancia, a fin de que el Juzgado, sin tener en cuenta la negativa del recurrente en amparo a someterse a la prueba de paternidad -por no haber sido acordada tal prueba en el proceso-, dicte la Sentencia que proceda a la vista de las pruebas practicadas.</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Otorgar el amparo solicitado por don José Morales Rodríguez y, en su virtud:</w:t>
      </w:r>
    </w:p>
    <w:p w:rsidR="00DE14C9" w:rsidRDefault="00DE14C9" w:rsidP="00DE14C9">
      <w:pPr>
        <w:pStyle w:val="TextoNormal"/>
      </w:pPr>
      <w:r>
        <w:t>1º Reconocer su derecho a la tutela judicial efectiva (art. 24.1 CE).</w:t>
      </w:r>
    </w:p>
    <w:p w:rsidR="00DE14C9" w:rsidRDefault="00DE14C9" w:rsidP="00DE14C9">
      <w:pPr>
        <w:pStyle w:val="TextoNormal"/>
      </w:pPr>
      <w:r>
        <w:t>2º Anular la Sentencia de la Sección Cuarta de la Audiencia Provincial de Santa Cruz de Tenerife de 11 de julio de 2005, dictada en el recurso de apelación núm. 282-2005, así como la Sentencia dictada el 28 de enero de 2005 por el Juzgado de Primera Instancia núm. 7 de Santa Cruz de Tenerife en autos de juicio verbal sobre reclamación de filiación núm. 232-2004.</w:t>
      </w:r>
    </w:p>
    <w:p w:rsidR="00DE14C9" w:rsidRDefault="00DE14C9" w:rsidP="00DE14C9">
      <w:pPr>
        <w:pStyle w:val="TextoNormal"/>
      </w:pPr>
      <w:r>
        <w:t>3º Retrotraer las actuaciones al momento anterior al de dictarse la Sentencia en los referidos autos de juicio verbal sobre reclamación de filiación, a fin de que el Juzgado de Primera Instancia núm. 7 de Santa Cruz de Tenerife dicte nueva Sentencia respetuosa con el derecho fundamental que se declara vulnerado.</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DE14C9">
      <w:pPr>
        <w:pStyle w:val="TextoNormal"/>
      </w:pPr>
      <w:r>
        <w:t>Dada en Madrid, a veintitrés de julio de dos mil siete.</w:t>
      </w:r>
    </w:p>
    <w:p w:rsidR="00DE14C9" w:rsidRDefault="00DE14C9" w:rsidP="00DE14C9">
      <w:pPr>
        <w:pStyle w:val="ParrafoNormal"/>
      </w:pPr>
    </w:p>
    <w:p w:rsidR="00DE14C9" w:rsidRDefault="00DE14C9" w:rsidP="00DE14C9">
      <w:pPr>
        <w:pStyle w:val="TextoNormalNegritaCentrado"/>
        <w:keepNext/>
      </w:pPr>
      <w:r>
        <w:t>Voto particular que formula el Magistrado don Pablo Pérez Tremps a la Sentencia dictada en el recurso de amparo núm. 6276-2005.</w:t>
      </w:r>
    </w:p>
    <w:p w:rsidR="00DE14C9" w:rsidRDefault="00DE14C9" w:rsidP="00DE14C9">
      <w:pPr>
        <w:pStyle w:val="TextoNormalNegritaCentrado"/>
        <w:keepNext/>
      </w:pPr>
    </w:p>
    <w:p w:rsidR="00DE14C9" w:rsidRDefault="00DE14C9" w:rsidP="00DE14C9">
      <w:pPr>
        <w:pStyle w:val="TextoNormal"/>
      </w:pPr>
      <w:r>
        <w:t>Con el máximo respeto a la posición mayoritaria de mis compañeros de Sala debo manifestar mi discrepancia con la fundamentación de la Sentencia y, en consecuencia, con el fallo al que se llega.</w:t>
      </w:r>
    </w:p>
    <w:p w:rsidR="00DE14C9" w:rsidRDefault="00DE14C9" w:rsidP="00DE14C9">
      <w:pPr>
        <w:pStyle w:val="TextoNormal"/>
      </w:pPr>
      <w:r>
        <w:t>La mayoría de la Sala fundamenta la vulneración del derecho a la tutela judicial efectiva (art. 24.1 CE) en que resulta irrazonable utilizar la negativa del recurrente a someterse a la prueba biológica como premisa para alcanzar la convicción sobre su paternidad, cuando dicha prueba no llegó a acordarse judicialmente. Comparto con la mayoría que el análisis de constitucionalidad adecuado, al referirse a una cuestión de valoración probatoria, debe ser el que no se haya incurrido en arbitrariedad, irrazonabilidad o error patente. Discrepo, sin embargo, del proceso argumental para llegar a la conclusión de que la decisión judicial resulta irrazonable.</w:t>
      </w:r>
    </w:p>
    <w:p w:rsidR="00DE14C9" w:rsidRDefault="00DE14C9" w:rsidP="00DE14C9">
      <w:pPr>
        <w:pStyle w:val="TextoNormal"/>
      </w:pPr>
      <w:r>
        <w:lastRenderedPageBreak/>
        <w:t>La jurisprudencia de este Tribunal sobre la prueba de paternidad tiene el alcance de hacer posible que los órganos judiciales valoren, en el contexto de la actividad probatoria desarrollada, la conducta de la parte renuente al sometimiento a dicha prueba como un elemento indiciario más respecto de la paternidad controvertida. De ello no cabe derivar, como defiende la mayoría, que constitucionalmente deba rechazarse la posibilidad de valorar cualquier otra conducta o estrategia procesal que no parta de la base de que el órgano judicial hubiera acordado formalmente la práctica de la prueba. En efecto, el juicio sobre la razonabilidad de la valoración judicial de la conducta procesal de una de las partes debe depender exclusivamente, tal como ya ha reiterado este Tribunal, de que en el proceso argumental no se parta de premisas inexistentes o patentemente erróneas o se siga un desarrollo argumental que incurra en quiebras lógicas de tal magnitud que las conclusiones alcanzadas no puedan considerarse basadas en ninguna de las razones aducidas (por todas, STC 104/2006, de 3 de abril, FJ 7).</w:t>
      </w:r>
    </w:p>
    <w:p w:rsidR="00DE14C9" w:rsidRDefault="00DE14C9" w:rsidP="00DE14C9">
      <w:pPr>
        <w:pStyle w:val="TextoNormal"/>
      </w:pPr>
      <w:r>
        <w:t>La proyección de esta jurisprudencia al presente caso debiera haber llevado, como defendí en la deliberación y venía interesando el Ministerio Fiscal, a la desestimación del recurso de amparo. En las actuaciones se constata, y así se resume en los antecedentes, que el recurrente se opuso a que se acordara la práctica de la prueba biológica solicitada argumentando en su escrito de contestación y en el recurso de apelación la falta de verosimilitud de la paternidad reclamada y el grave perjuicio moral y al honor que se le irrogaría. En definitiva, como señaló la Sentencia de apelación recurrida, “se ha producido una negativa del demandado a someterse a la prueba de paternidad” (fundamento de Derecho 4).</w:t>
      </w:r>
    </w:p>
    <w:p w:rsidR="00DE14C9" w:rsidRDefault="00DE14C9" w:rsidP="00DE14C9">
      <w:pPr>
        <w:pStyle w:val="TextoNormal"/>
      </w:pPr>
      <w:r>
        <w:t>En este contexto procesal, que las resoluciones judiciales, entre otras diversas pruebas testificales y documentales, valoraran la conducta del recurrente como un elemento a la hora de motivar la convicción sobre su paternidad no matrimonial no cabe ser tachada de irrazonable, sino más bien todo lo contrario. Ciertamente, es indubitado que no se acordó judicialmente la práctica de esta prueba biológica y, por tanto, que, en propiedad, no cabe hablar de “oposición a su práctica”, sino de “oposición a que se acordara la prueba”. Ahora bien, sin necesidad de valorar la corrección procesal, desde el punto de vista de la legalidad ordinaria, de la decisión judicial adoptada sobre la práctica de la prueba —que en ningún caso supondría para el recurrente una lesión materialmente relevante del art. 24.2 CE—, lo que resulta relevante destacar desde la perspectiva del control constitucional que compete ejercer a este Tribunal es lo siguiente: no puede afirmarse que suponga utilizar premisas inexistentes o que incurra en quiebras lógicas el proceso argumental utilizado en las resoluciones impugnadas, tomando como premisas, por un lado, la circunstancia perfectamente acreditada en las actuaciones de que el recurrente mantenía la estrategia procesal, libremente asumida, de oponerse a que se acordara la práctica de una prueba biológica de paternidad y, por otro, una jurisprudencia que guarda una indudable identidad de razón, como es la referida a la negativa injustificada a la práctica de dicha prueba. Ello debería haber bastado para negar la vulneración aducida del art. 24.1 CE y desestimar este recurso de amparo.</w:t>
      </w:r>
    </w:p>
    <w:p w:rsidR="00DE14C9" w:rsidRDefault="00DE14C9" w:rsidP="00DE14C9">
      <w:pPr>
        <w:pStyle w:val="TextoNormal"/>
      </w:pPr>
      <w:r>
        <w:t>En Madrid, a veintitrés de julio de dos mil siete.</w:t>
      </w:r>
    </w:p>
    <w:p w:rsidR="00DE14C9" w:rsidRDefault="00DE14C9">
      <w:pPr>
        <w:spacing w:after="160" w:line="259" w:lineRule="auto"/>
        <w:rPr>
          <w:rFonts w:ascii="Times New Roman" w:eastAsia="Times New Roman" w:hAnsi="Times New Roman" w:cs="Times New Roman"/>
          <w:sz w:val="24"/>
          <w:szCs w:val="24"/>
          <w:lang w:eastAsia="es-ES"/>
        </w:rPr>
      </w:pPr>
      <w:r>
        <w:br w:type="page"/>
      </w:r>
    </w:p>
    <w:p w:rsidR="00DE14C9" w:rsidRDefault="00DE14C9" w:rsidP="00DE14C9">
      <w:pPr>
        <w:pStyle w:val="TtuloResolucin"/>
      </w:pPr>
      <w:bookmarkStart w:id="91" w:name="SENTENCIA_2007_178"/>
      <w:r>
        <w:lastRenderedPageBreak/>
        <w:t>SENTENCIA 178/2007, de 23 de julio de 2007</w:t>
      </w:r>
    </w:p>
    <w:bookmarkEnd w:id="91"/>
    <w:p w:rsidR="00DE14C9" w:rsidRDefault="00DE14C9" w:rsidP="00DE14C9">
      <w:pPr>
        <w:pStyle w:val="TtuloResolucin"/>
      </w:pPr>
      <w:r>
        <w:t>Sala Segunda</w:t>
      </w:r>
    </w:p>
    <w:p w:rsidR="00DE14C9" w:rsidRDefault="00DE14C9" w:rsidP="00DE14C9">
      <w:pPr>
        <w:pStyle w:val="TtuloResolucin"/>
      </w:pPr>
    </w:p>
    <w:p w:rsidR="00DE14C9" w:rsidRDefault="00DE14C9" w:rsidP="00DE14C9">
      <w:pPr>
        <w:pStyle w:val="TtuloBOE"/>
      </w:pPr>
      <w:r>
        <w:t>("BOE" núm. 200, de 21 de agosto de 2007)</w:t>
      </w:r>
    </w:p>
    <w:p w:rsidR="00DE14C9" w:rsidRDefault="00DE14C9" w:rsidP="00DE14C9">
      <w:pPr>
        <w:pStyle w:val="TtuloBOE"/>
      </w:pPr>
    </w:p>
    <w:p w:rsidR="00DE14C9" w:rsidRDefault="00DE14C9" w:rsidP="00DE14C9">
      <w:pPr>
        <w:pStyle w:val="SntesisDescriptiva"/>
      </w:pPr>
      <w:r>
        <w:t>ECLI:ES:TC:2007:178</w:t>
      </w:r>
    </w:p>
    <w:p w:rsidR="00DE14C9" w:rsidRDefault="00DE14C9" w:rsidP="00DE14C9">
      <w:pPr>
        <w:pStyle w:val="SntesisDescriptiva"/>
      </w:pPr>
    </w:p>
    <w:p w:rsidR="00DE14C9" w:rsidRDefault="00DE14C9" w:rsidP="00DE14C9">
      <w:pPr>
        <w:pStyle w:val="SntesisDescriptiva"/>
      </w:pPr>
      <w:r>
        <w:t>Recurso de amparo 1362-2007. Promovido por Azúa, Compañía de Gestión, S.L., respecto de la tramitación de un juicio ordinario por el Juzgado de Primera Instancia núm. 72 de Madrid por repercusión de gastos de obras sobre el arrendatario.</w:t>
      </w:r>
    </w:p>
    <w:p w:rsidR="00DE14C9" w:rsidRDefault="00DE14C9" w:rsidP="00DE14C9">
      <w:pPr>
        <w:pStyle w:val="SntesisDescriptiva"/>
      </w:pPr>
    </w:p>
    <w:p w:rsidR="00DE14C9" w:rsidRDefault="00DE14C9" w:rsidP="00DE14C9">
      <w:pPr>
        <w:pStyle w:val="SntesisAnaltica"/>
      </w:pPr>
      <w:r>
        <w:t>Vulneración del derecho a un proceso sin dilaciones indebidas: demora de más de veintiún meses para dictar sentencia en litigio civil.</w:t>
      </w:r>
    </w:p>
    <w:p w:rsidR="00DE14C9" w:rsidRDefault="00DE14C9" w:rsidP="00DE14C9">
      <w:pPr>
        <w:pStyle w:val="SntesisAnaltica"/>
      </w:pPr>
    </w:p>
    <w:p w:rsidR="00DE14C9" w:rsidRDefault="00DE14C9" w:rsidP="00DE14C9">
      <w:pPr>
        <w:pStyle w:val="Extracto"/>
      </w:pPr>
      <w:r>
        <w:t>1.</w:t>
      </w:r>
      <w:r>
        <w:tab/>
        <w:t>Se considera vulnerado el derecho fundamental a un proceso sin dilaciones indebidas ya que no consta que el proceso judicial revistiera especial complejidad, ni que la actitud procesal de las partes supusiese un obstáculo añadido que pudiera justificar la demora de veintiún meses en el dictado de la Sentencia, y que por tres veces la demandante se dirigió al órgano judicial solicitando que se dictase Sentencia [FJ 3].</w:t>
      </w:r>
    </w:p>
    <w:p w:rsidR="00DE14C9" w:rsidRDefault="00DE14C9" w:rsidP="00DE14C9">
      <w:pPr>
        <w:pStyle w:val="Extracto"/>
      </w:pPr>
    </w:p>
    <w:p w:rsidR="00DE14C9" w:rsidRDefault="00DE14C9" w:rsidP="00DE14C9">
      <w:pPr>
        <w:pStyle w:val="Extracto"/>
      </w:pPr>
      <w:r>
        <w:t>2.</w:t>
      </w:r>
      <w:r>
        <w:tab/>
        <w:t>Doctrina sobre el derecho a no padecer dilaciones indebidas (SSTC 140/1998, 58/1999, 4/2007) [FFJJ 2,3].</w:t>
      </w:r>
    </w:p>
    <w:p w:rsidR="00DE14C9" w:rsidRDefault="00DE14C9" w:rsidP="00DE14C9">
      <w:pPr>
        <w:pStyle w:val="Extracto"/>
      </w:pPr>
    </w:p>
    <w:p w:rsidR="00DE14C9" w:rsidRDefault="00DE14C9" w:rsidP="00DE14C9">
      <w:pPr>
        <w:pStyle w:val="Extracto"/>
      </w:pPr>
      <w:r>
        <w:t>3.</w:t>
      </w:r>
      <w:r>
        <w:tab/>
        <w:t>Procede declarar que ha sido vulnerado el derecho fundamental de la entidad demandante de amparo a un proceso sin dilaciones indebidas, par lo cual el Juzgado de Primera Instancia deberá adoptar las medidas pertinentes a fin de remover los obstáculos que impiden la conclusión del juicio ordinario que ante él se encuentra en tramitación [FJ 4].</w:t>
      </w:r>
    </w:p>
    <w:p w:rsidR="00DE14C9" w:rsidRDefault="00DE14C9" w:rsidP="00DE14C9">
      <w:pPr>
        <w:pStyle w:val="Extracto"/>
      </w:pPr>
    </w:p>
    <w:p w:rsidR="00DE14C9" w:rsidRDefault="00DE14C9" w:rsidP="00DE14C9">
      <w:pPr>
        <w:pStyle w:val="Extracto"/>
      </w:pPr>
    </w:p>
    <w:p w:rsidR="00DE14C9" w:rsidRDefault="00DE14C9" w:rsidP="00DE14C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E14C9" w:rsidRDefault="00DE14C9" w:rsidP="00DE14C9">
      <w:pPr>
        <w:pStyle w:val="TextoNormal"/>
      </w:pPr>
    </w:p>
    <w:p w:rsidR="00DE14C9" w:rsidRDefault="00DE14C9" w:rsidP="00DE14C9">
      <w:pPr>
        <w:pStyle w:val="TextoNormalCentrado"/>
        <w:keepNext/>
      </w:pPr>
      <w:r>
        <w:t>EN NOMBRE DEL REY</w:t>
      </w:r>
    </w:p>
    <w:p w:rsidR="00DE14C9" w:rsidRDefault="00DE14C9" w:rsidP="00DE14C9">
      <w:pPr>
        <w:pStyle w:val="TextoNormalCentrado"/>
        <w:keepNext/>
      </w:pPr>
    </w:p>
    <w:p w:rsidR="00DE14C9" w:rsidRDefault="00DE14C9" w:rsidP="00DE14C9">
      <w:pPr>
        <w:pStyle w:val="TextoNormalCentrado"/>
        <w:keepNext/>
      </w:pPr>
    </w:p>
    <w:p w:rsidR="00DE14C9" w:rsidRDefault="00DE14C9" w:rsidP="00DE14C9">
      <w:pPr>
        <w:pStyle w:val="TextoNormal"/>
      </w:pPr>
      <w:r>
        <w:t>la siguiente</w:t>
      </w:r>
    </w:p>
    <w:p w:rsidR="00DE14C9" w:rsidRDefault="00DE14C9" w:rsidP="00DE14C9">
      <w:pPr>
        <w:pStyle w:val="TextoNormal"/>
      </w:pPr>
    </w:p>
    <w:p w:rsidR="00DE14C9" w:rsidRDefault="00DE14C9" w:rsidP="00DE14C9">
      <w:pPr>
        <w:pStyle w:val="TextoNormalCentrado"/>
        <w:keepNext/>
      </w:pPr>
      <w:r>
        <w:t>SENTENCIA</w:t>
      </w:r>
    </w:p>
    <w:p w:rsidR="00DE14C9" w:rsidRDefault="00DE14C9" w:rsidP="00DE14C9">
      <w:pPr>
        <w:pStyle w:val="TextoNormalCentrado"/>
        <w:keepNext/>
      </w:pPr>
    </w:p>
    <w:p w:rsidR="00DE14C9" w:rsidRDefault="00DE14C9" w:rsidP="00DE14C9">
      <w:pPr>
        <w:pStyle w:val="TextoNormal"/>
      </w:pPr>
      <w:r>
        <w:t xml:space="preserve">En el recurso de amparo núm. 1362-2007, promovido por Azúa, Compañía de Gestión, S.L., representada por el Procurador de los Tribunales don Miguel Torres Alvarez y asistida por el Letrado don Francisco Javier Blázquez Frutos, en relación con el juicio ordinario 980-2003 seguido ante el Juzgado de Primera Instancia núm. 72 de Madrid. Ha intervenido el </w:t>
      </w:r>
      <w:r>
        <w:lastRenderedPageBreak/>
        <w:t>Ministerio Fiscal. Ha sido Ponente el Magistrado don Guillermo Jiménez Sánchez, quien expresa el parecer de la Sala.</w:t>
      </w:r>
    </w:p>
    <w:p w:rsidR="00DE14C9" w:rsidRDefault="00DE14C9" w:rsidP="00DE14C9">
      <w:pPr>
        <w:pStyle w:val="TextoNormal"/>
      </w:pPr>
    </w:p>
    <w:p w:rsidR="00DE14C9" w:rsidRDefault="00DE14C9" w:rsidP="00DE14C9">
      <w:pPr>
        <w:pStyle w:val="TextoNormalNegritaCentrado"/>
        <w:keepNext/>
      </w:pPr>
      <w:r>
        <w:t>I. Antecedentes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Mediante escrito presentado en el Registro General de este Tribunal el día 15 de febrero de 2007 el Procurador de los Tribunales don Miguel Torres Alvarez, actuando en nombre de Azúa, Compañía de Gestión, S.L., formuló demanda de amparo por vulneración del derecho a no padecer dilaciones indebidas.</w:t>
      </w:r>
    </w:p>
    <w:p w:rsidR="00DE14C9" w:rsidRDefault="00DE14C9" w:rsidP="00DE14C9">
      <w:pPr>
        <w:pStyle w:val="TextoNormal"/>
      </w:pPr>
    </w:p>
    <w:p w:rsidR="00DE14C9" w:rsidRDefault="00DE14C9" w:rsidP="00DE14C9">
      <w:pPr>
        <w:pStyle w:val="TextoNormal"/>
      </w:pPr>
      <w:r w:rsidRPr="00DE14C9">
        <w:rPr>
          <w:rStyle w:val="NumeroAFNegritaCaracter"/>
        </w:rPr>
        <w:t>2</w:t>
      </w:r>
      <w:r>
        <w:t xml:space="preserve">. Los hechos de los que trae causa la demanda de amparo son, sucintamente expuestos, los siguientes: </w:t>
      </w:r>
    </w:p>
    <w:p w:rsidR="00DE14C9" w:rsidRDefault="00DE14C9" w:rsidP="00DE14C9">
      <w:pPr>
        <w:pStyle w:val="TextoNormal"/>
      </w:pPr>
      <w:r>
        <w:t xml:space="preserve">a) La entidad mercantil demandante de amparo formuló demanda ante los Juzgados de Madrid para el reconocimiento del derecho a repercutir sobre el arrendatario el importe de ciertas obras realizadas. Esta demanda fue turnada al Juzgado de Primera Instancia núm. 72 de Madrid. Iniciada la tramitación del proceso por el cauce ordinario, con el núm. 980-2003, se admitió a trámite la demanda mediante Auto de 1 de octubre de 2003, señalándose la audiencia previa para el día 8 de septiembre de 2004, fecha en la cual efectivamente tuvo lugar. El juicio oral se celebró el 29 de abril de 2005, con asistencia de las partes, quedando el proceso pendiente del dictado de la Sentencia correspondiente. </w:t>
      </w:r>
    </w:p>
    <w:p w:rsidR="00DE14C9" w:rsidRDefault="00DE14C9" w:rsidP="00DE14C9">
      <w:pPr>
        <w:pStyle w:val="TextoNormal"/>
      </w:pPr>
      <w:r>
        <w:t>b) Ante la tardanza en dictar la sentencia que había de poner fin al proceso, la sociedad demandante de amparo interesó del órgano judicial que pronunciara la Sentencia correspondiente mediante, al menos, escritos presentados los días 28 de noviembre de 2005 y 24 de marzo de 2006, escritos que no fue posible unir a los autos por encontrarse éstos en poder del Juez. Finalmente la demandante presentó nuevo escrito el 15 de enero de 2007 interesando la pronta terminación del proceso mediante el dictado de la Sentencia procedente. Al efecto, igual que en el anterior escrito de 24 de marzo de 2006, invocaba formalmente la vulneración de su derecho fundamental a no padecer dilaciones indebidas (art. 24.2 CE).</w:t>
      </w:r>
    </w:p>
    <w:p w:rsidR="00DE14C9" w:rsidRDefault="00DE14C9" w:rsidP="00DE14C9">
      <w:pPr>
        <w:pStyle w:val="TextoNormal"/>
      </w:pPr>
    </w:p>
    <w:p w:rsidR="00DE14C9" w:rsidRDefault="00DE14C9" w:rsidP="00DE14C9">
      <w:pPr>
        <w:pStyle w:val="TextoNormal"/>
      </w:pPr>
      <w:r w:rsidRPr="00DE14C9">
        <w:rPr>
          <w:rStyle w:val="NumeroAFNegritaCaracter"/>
        </w:rPr>
        <w:t>3</w:t>
      </w:r>
      <w:r>
        <w:t>. En la demanda de amparo se aduce vulneración del derecho a no padecer dilaciones indebidas, pues, con independencia de la duración total del proceso, desde la celebración del juicio oral el día 29 de abril de 2005 hasta la formulación de la demanda de amparo habían transcurrido veintidós meses sin que se hubiere dictado la Sentencia correspondiente. Tan extraordinaria dilación no se justifica por la complejidad del proceso, el cual versa sobre el derecho a repercutir al arrendatario el coste correspondiente a ciertas obras realizadas por la compañía demandante, ni tampoco puede encontrar explicación en incidencia procesal alguna. La jurisprudencia constitucional que se recoge avalaría, a juicio del recurrente, la estimación del amparo solicitado, el cual reconoce que no puede extenderse a la obtención de la indemnización de los perjuicios sufridos, pero cuya reclamación se reserva expresamente para el futuro.</w:t>
      </w:r>
    </w:p>
    <w:p w:rsidR="00DE14C9" w:rsidRDefault="00DE14C9" w:rsidP="00DE14C9">
      <w:pPr>
        <w:pStyle w:val="TextoNormal"/>
      </w:pPr>
    </w:p>
    <w:p w:rsidR="00DE14C9" w:rsidRDefault="00DE14C9" w:rsidP="00DE14C9">
      <w:pPr>
        <w:pStyle w:val="TextoNormal"/>
      </w:pPr>
      <w:r w:rsidRPr="00DE14C9">
        <w:rPr>
          <w:rStyle w:val="NumeroAFNegritaCaracter"/>
        </w:rPr>
        <w:t>4</w:t>
      </w:r>
      <w:r>
        <w:t xml:space="preserve">. Mediante providencia de 17 de abril de 2007 la Sala Segunda de este Tribunal, de conformidad con lo dispuesto en el art. 11.2 LOTC, acordó admitir a trámite el presente recurso de amparo y, en aplicación de lo dispuesto en el art. 51 LOTC, dirigir atenta comunicación al Juzgado de Primera Instancia núm. 72 de Madrid a fin de que, en el plazo de diez días, remitiese certificación o fotocopia adverada de las actuaciones correspondientes </w:t>
      </w:r>
      <w:r>
        <w:lastRenderedPageBreak/>
        <w:t xml:space="preserve">al procedimiento ordinario 980-2003, debiendo previamente emplazar a las partes en aquél proceso a fin de que pudieran comparecer en el presente recurso de amparo en el término de diez días si lo considerasen oportuno. </w:t>
      </w:r>
    </w:p>
    <w:p w:rsidR="00DE14C9" w:rsidRDefault="00DE14C9" w:rsidP="00DE14C9">
      <w:pPr>
        <w:pStyle w:val="TextoNormal"/>
      </w:pPr>
      <w:r>
        <w:t>El Juzgado de Primera Instancia núm. 72 de Madrid, en cumplimiento de lo acordado, remitió las actuaciones procesales recabadas por este Tribunal mediante la expedición de copia de las resoluciones obrantes en los archivos informatizados del Juzgado, toda vez que los autos originales se encontraban en poder del Juez que en la fecha a la que los hechos descritos se contraen era titular del órgano judicial.</w:t>
      </w:r>
    </w:p>
    <w:p w:rsidR="00DE14C9" w:rsidRDefault="00DE14C9" w:rsidP="00DE14C9">
      <w:pPr>
        <w:pStyle w:val="TextoNormal"/>
      </w:pPr>
    </w:p>
    <w:p w:rsidR="00DE14C9" w:rsidRDefault="00DE14C9" w:rsidP="00DE14C9">
      <w:pPr>
        <w:pStyle w:val="TextoNormal"/>
      </w:pPr>
      <w:r w:rsidRPr="00DE14C9">
        <w:rPr>
          <w:rStyle w:val="NumeroAFNegritaCaracter"/>
        </w:rPr>
        <w:t>5</w:t>
      </w:r>
      <w:r>
        <w:t>. Recibidas las actuaciones procedentes del órgano judicial, mediante providencia de 25 de mayo de 2007, la Sala Segunda acordó, de conformidad con lo dispuesto en el art. 52.1 de la Ley Orgánica de este Tribunal (LOTC), conceder a las partes y al Ministerio Fiscal un plazo común de veinte días dentro del cual podrían formular las alegaciones que tuviesen por conveniente.</w:t>
      </w:r>
    </w:p>
    <w:p w:rsidR="00DE14C9" w:rsidRDefault="00DE14C9" w:rsidP="00DE14C9">
      <w:pPr>
        <w:pStyle w:val="TextoNormal"/>
      </w:pPr>
    </w:p>
    <w:p w:rsidR="00DE14C9" w:rsidRDefault="00DE14C9" w:rsidP="00DE14C9">
      <w:pPr>
        <w:pStyle w:val="TextoNormal"/>
      </w:pPr>
      <w:r w:rsidRPr="00DE14C9">
        <w:rPr>
          <w:rStyle w:val="NumeroAFNegritaCaracter"/>
        </w:rPr>
        <w:t>6</w:t>
      </w:r>
      <w:r>
        <w:t>. La representación procesal de la entidad recurrente formuló alegaciones mediante escrito de 15 de junio de 2007. En ellas insiste en la argumentación ya vertida en la demanda y denuncia que ni siquiera en la fecha de formular las alegaciones haya sido dictada la sentencia ante cuya falta de pronunciamiento ha demandado amparo.</w:t>
      </w:r>
    </w:p>
    <w:p w:rsidR="00DE14C9" w:rsidRDefault="00DE14C9" w:rsidP="00DE14C9">
      <w:pPr>
        <w:pStyle w:val="TextoNormal"/>
      </w:pPr>
    </w:p>
    <w:p w:rsidR="00DE14C9" w:rsidRDefault="00DE14C9" w:rsidP="00DE14C9">
      <w:pPr>
        <w:pStyle w:val="TextoNormal"/>
      </w:pPr>
      <w:r w:rsidRPr="00DE14C9">
        <w:rPr>
          <w:rStyle w:val="NumeroAFNegritaCaracter"/>
        </w:rPr>
        <w:t>7</w:t>
      </w:r>
      <w:r>
        <w:t>. El Ministerio público formuló alegaciones el día 12 de julio de 2007, en las cuales constata la correspondencia entre la documentación remitida por el Juzgado de Primera Instancia (extraída de los archivos informáticos del órgano judicial) con la aportada por la sociedad demandante de amparo. El análisis de tal documentación pone de manifiesto que desde que se celebró el juicio oral hasta la actualidad no ha sido dictada la Sentencia correspondiente, razón por la cual la aplicación de la doctrina constitucional aplicable (entre la que cita la establecida en la STC de 15 de enero de 2007) ha de conducir al otorgamiento del amparo que se solicita, pues el pleito no revestía complejidad alguna, el comportamiento procesal de la parte resultó diligente, en cuanto fue colaboradora del órgano judicial y denunció el retraso padecido, y, finalmente, se observa una conducta omisiva y negligente en las autoridades encargadas de la tramitación del proceso. Consecuentemente el Fiscal interesa de este Tribunal el otorgamiento del amparo solicitado, con declaración de que se ha vulnerado el derecho de la compañía demandante a no padecer dilaciones indebidas (art. 24.2 CE) y requerimiento al órgano judicial para que remueva los obstáculos existentes para permitir la reanudación y resolución del proceso a quo.</w:t>
      </w:r>
    </w:p>
    <w:p w:rsidR="00DE14C9" w:rsidRDefault="00DE14C9" w:rsidP="00DE14C9">
      <w:pPr>
        <w:pStyle w:val="TextoNormal"/>
      </w:pPr>
    </w:p>
    <w:p w:rsidR="00DE14C9" w:rsidRDefault="00DE14C9" w:rsidP="00DE14C9">
      <w:pPr>
        <w:pStyle w:val="TextoNormal"/>
      </w:pPr>
      <w:r w:rsidRPr="00DE14C9">
        <w:rPr>
          <w:rStyle w:val="NumeroAFNegritaCaracter"/>
        </w:rPr>
        <w:t>8</w:t>
      </w:r>
      <w:r>
        <w:t>. Mediante providencia de 19 de julio de 2007 se señaló para votación y fallo el día 23 del mismo mes y año.</w:t>
      </w:r>
    </w:p>
    <w:p w:rsidR="00DE14C9" w:rsidRDefault="00DE14C9" w:rsidP="00DE14C9">
      <w:pPr>
        <w:pStyle w:val="TextoNormal"/>
      </w:pPr>
    </w:p>
    <w:p w:rsidR="00DE14C9" w:rsidRDefault="00DE14C9" w:rsidP="00DE14C9">
      <w:pPr>
        <w:pStyle w:val="TextoNormalNegritaCentrado"/>
        <w:keepNext/>
      </w:pPr>
      <w:r>
        <w:t>II. Fundamentos jurídicos</w:t>
      </w:r>
    </w:p>
    <w:p w:rsidR="00DE14C9" w:rsidRDefault="00DE14C9" w:rsidP="00DE14C9">
      <w:pPr>
        <w:pStyle w:val="TextoNormalNegritaCentrado"/>
        <w:keepNext/>
      </w:pPr>
    </w:p>
    <w:p w:rsidR="00DE14C9" w:rsidRDefault="00DE14C9" w:rsidP="00DE14C9">
      <w:pPr>
        <w:pStyle w:val="TextoNormal"/>
      </w:pPr>
      <w:r w:rsidRPr="00DE14C9">
        <w:rPr>
          <w:rStyle w:val="NumeroAFNegritaCaracter"/>
        </w:rPr>
        <w:t>1</w:t>
      </w:r>
      <w:r>
        <w:t xml:space="preserve">. En el presente recurso de amparo la entidad mercantil demandante aduce que se ha vulnerado su derecho a no padecer dilaciones indebidas en el proceso judicial del que este recurso de amparo trae causa. Tal alegación se basa en que, tras la tramitación del proceso iniciado por ella mediante demanda presentada el 30 de septiembre de 2003, en solicitud del reconocimiento de su derecho a repercutir sobre el arrendatario el coste de ciertas obras </w:t>
      </w:r>
      <w:r>
        <w:lastRenderedPageBreak/>
        <w:t>realizadas, tuvo lugar el juicio oral el día 29 de abril de 2005 sin que con posterioridad a este momento se procediera a dictar la Sentencia correspondiente, pese a que en al menos tres ocasiones solicitó del Juzgado que se pronunciara.</w:t>
      </w:r>
    </w:p>
    <w:p w:rsidR="00DE14C9" w:rsidRDefault="00DE14C9" w:rsidP="00DE14C9">
      <w:pPr>
        <w:pStyle w:val="TextoNormal"/>
      </w:pPr>
      <w:r>
        <w:t>El Ministerio público interesa la estimación de la demanda de amparo al considerar que, en efecto, ni la complejidad del proceso ni la actitud procesal diligente de la sociedad actora (hoy demandante de amparo) pueden justificar la extraordinaria demora en dictar la Sentencia que habría de poner fin al proceso, demora que resalta el hecho de que aún hoy no se ha dictado dicha resolución.</w:t>
      </w:r>
    </w:p>
    <w:p w:rsidR="00DE14C9" w:rsidRDefault="00DE14C9" w:rsidP="00DE14C9">
      <w:pPr>
        <w:pStyle w:val="TextoNormal"/>
      </w:pPr>
    </w:p>
    <w:p w:rsidR="00DE14C9" w:rsidRDefault="00DE14C9" w:rsidP="00DE14C9">
      <w:pPr>
        <w:pStyle w:val="TextoNormal"/>
      </w:pPr>
      <w:r w:rsidRPr="00DE14C9">
        <w:rPr>
          <w:rStyle w:val="NumeroAFNegritaCaracter"/>
        </w:rPr>
        <w:t>2</w:t>
      </w:r>
      <w:r>
        <w:t>. Para abordar la cuestión suscitada resulta oportuno recordar la doctrina de este Tribunal en relación con el derecho a no padecer dilaciones indebidas que se reconoce en el art. 24.2 CE. A tal efecto basta con recordar que esta misma Sala, en STC 4/2007, de 15 de enero, reiterando doctrina anterior, tiene declarado que:</w:t>
      </w:r>
    </w:p>
    <w:p w:rsidR="00DE14C9" w:rsidRDefault="00DE14C9" w:rsidP="00DE14C9">
      <w:pPr>
        <w:pStyle w:val="TextoNormal"/>
      </w:pPr>
      <w:r>
        <w:t>“[E]l derecho a un proceso sin dilaciones indebidas es una expresión constitucional que encierra un concepto jurídico indeterminado que, por su imprecisión, exige examinar cada supuesto concreto a la luz de determinados criterios que permitan verificar si ha existido efectiva dilación y, en su caso, si ésta puede considerarse justificada, porque tal derecho no se identifica con la duración global de la causa, ni aun siquiera con el incumplimiento de los plazos procesales (STC 100/1996, de 11 de junio, FJ 2). Como se dijo en la STC 58/1999, de 12 de abril (FJ 6), el derecho fundamental referido no se puede identificar con un derecho al riguroso cumplimiento de los plazos procesales, configurándose a partir de la dimensión temporal de todo proceso y su razonabilidad. En la misma sentencia y fundamento jurídico indicamos que la prohibición de retrasos injustificados en la marcha de los procesos judiciales impone a Jueces y Tribunales el deber de obrar con la celeridad que les permita la duración normal o acostumbrada de litigios de la misma naturaleza y con la diligencia debida en el impulso de las distintas fases por las que atraviesa un proceso. Asimismo, en coincidencia con la jurisprudencia del Tribunal Europeo de Derechos Humanos sobre el art.  6.1 del Convenio de Roma (derecho a que la causa sea oída en ‘un tiempo razonable’), que ha sido tomada como el estándar mínimo garantizado en el art. 24.2 CE, afirmamos que 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en aquél arriesga el demandante de amparo, su conducta procesal y la conducta de las autoridades.</w:t>
      </w:r>
    </w:p>
    <w:p w:rsidR="00DE14C9" w:rsidRDefault="00DE14C9" w:rsidP="00DE14C9">
      <w:pPr>
        <w:pStyle w:val="TextoNormal"/>
      </w:pPr>
      <w:r>
        <w:t>También hemos dicho que es necesario denunciar previamente el retraso o dilación, con el fin de que el Juez o Tribunal pueda reparar la vulneración que se denuncia, de forma que, si previamente no se ha agotado tal posibilidad, la demanda ante el Tribunal Constitucional no puede prosperar. Esta exigencia obedece, ante todo, al carácter subsidiario del amparo, que determina que sean los órganos judiciales los encargados de dispensar en primer lugar la tutela de los derechos fundamentales. Pero también responde al deber de colaboración de todos, y, especialmente, de las partes, con los órganos judiciales en el desarrollo del proceso a los que se encomienda, en definitiva, la prestación de la tutela prevista en el art. 24 CE (entre otras, SSTC 140/1998, de 29 de junio, FJ 4; y 32/1999, de 8 de marzo, FJ 4)”.</w:t>
      </w:r>
    </w:p>
    <w:p w:rsidR="00DE14C9" w:rsidRDefault="00DE14C9" w:rsidP="00DE14C9">
      <w:pPr>
        <w:pStyle w:val="TextoNormal"/>
      </w:pPr>
    </w:p>
    <w:p w:rsidR="00DE14C9" w:rsidRDefault="00DE14C9" w:rsidP="00DE14C9">
      <w:pPr>
        <w:pStyle w:val="TextoNormal"/>
      </w:pPr>
      <w:r w:rsidRPr="00DE14C9">
        <w:rPr>
          <w:rStyle w:val="NumeroAFNegritaCaracter"/>
        </w:rPr>
        <w:t>3</w:t>
      </w:r>
      <w:r>
        <w:t xml:space="preserve">. La aplicación de la anterior doctrina al caso conduce directamente a la constatación de que en él ha resultado lesionado el derecho fundamental invocado. En efecto, prescindiendo ahora de las paralizaciones que el curso procesal padeció entre la presentación de la </w:t>
      </w:r>
      <w:r>
        <w:lastRenderedPageBreak/>
        <w:t>demanda el 30 de septiembre de 2003 y la celebración del juicio oral el día 29 de abril de 2005, pues no consta que frente a tales paralizaciones o pretendidas demoras se cumpliera con el requisito de denunciarlas, lo cierto es que desde la última de las indicadas fechas comenzó el término para dictar Sentencia, y que tal Sentencia no había sido pronunciada al tiempo de formularse la demanda de amparo (el día 15 de febrero del presente año 2007). Los más de veintiún meses transcurridos sin que el Juez dictase la Sentencia correspondiente exceden con mucho del tiempo que razonablemente cabe admitir por encima del determinado legalmente para pronunciar Sentencia. No se trata pues de identificar el derecho a no padecer dilaciones indebidas con el respeto de los plazos procesales, sino de considerar constitucionalmente incompatible con los derechos fundamentales una demora en la realización de actos procesales que sobrepase lo razonable atendida la naturaleza, la complejidad del proceso y la actitud procesal de las partes intervinientes en él. Al respecto ha de observarse que no consta que el proceso judicial revistiera especial complejidad, ni que la actitud procesal de las partes supusiese un obstáculo añadido que pudiera justificar la extraordinaria demora en el dictado de una Sentencia que, aún hoy, no se ha pronunciado, pese a que por tres veces la demandante se dirigió al órgano judicial solicitando que la dictase (incluso en dos ocasiones invocando, nominatim, la vulneración de su derecho a no padecer dilaciones indebidas), cumpliendo así con el requisito que, con carácter sustantivo y de acuerdo con la faceta reaccional característica de este derecho fundamental (STC 153/2005, de 6 de junio), exige nuestra doctrina (por todas la ya citada STC 4/2007, de 15 de enero).</w:t>
      </w:r>
    </w:p>
    <w:p w:rsidR="00DE14C9" w:rsidRDefault="00DE14C9" w:rsidP="00DE14C9">
      <w:pPr>
        <w:pStyle w:val="TextoNormal"/>
      </w:pPr>
    </w:p>
    <w:p w:rsidR="00DE14C9" w:rsidRDefault="00DE14C9" w:rsidP="00DE14C9">
      <w:pPr>
        <w:pStyle w:val="TextoNormal"/>
      </w:pPr>
      <w:r w:rsidRPr="00DE14C9">
        <w:rPr>
          <w:rStyle w:val="NumeroAFNegritaCaracter"/>
        </w:rPr>
        <w:t>4</w:t>
      </w:r>
      <w:r>
        <w:t>. Declarada la vulneración del derecho a no padecer dilaciones indebidas (art. 24.2 CE), en orden al restablecimiento de la demandante en la integridad del derecho de la entidad recurrente nuestro pronunciamiento ha de incluir (STC 153/2005, de 6 de junio) un pronunciamiento expreso en orden a que por el órgano judicial se remuevan los obstáculos que impiden la reanudación y terminación del juicio ordinario 980-2003 que ante él se encuentra en tramitación.</w:t>
      </w:r>
    </w:p>
    <w:p w:rsidR="00DE14C9" w:rsidRDefault="00DE14C9" w:rsidP="00DE14C9">
      <w:pPr>
        <w:pStyle w:val="TextoNormal"/>
      </w:pPr>
    </w:p>
    <w:p w:rsidR="00DE14C9" w:rsidRDefault="00DE14C9" w:rsidP="00DE14C9">
      <w:pPr>
        <w:pStyle w:val="TextoNormalCentrado"/>
        <w:keepNext/>
      </w:pPr>
      <w:r>
        <w:t>FALLO</w:t>
      </w:r>
    </w:p>
    <w:p w:rsidR="00DE14C9" w:rsidRDefault="00DE14C9" w:rsidP="00DE14C9">
      <w:pPr>
        <w:pStyle w:val="TextoNormalCentrado"/>
        <w:keepNext/>
      </w:pPr>
    </w:p>
    <w:p w:rsidR="00DE14C9" w:rsidRDefault="00DE14C9" w:rsidP="00DE14C9">
      <w:pPr>
        <w:pStyle w:val="TextoNormal"/>
      </w:pPr>
      <w:r>
        <w:t>En atención a todo lo expuesto, el Tribunal Constitucional, POR LA AUTORIDAD QUE LE CONFIERE LA CONSTITUCION DE LA NACION ESPAÑOLA,</w:t>
      </w:r>
    </w:p>
    <w:p w:rsidR="00DE14C9" w:rsidRDefault="00DE14C9" w:rsidP="00DE14C9">
      <w:pPr>
        <w:pStyle w:val="TextoNormal"/>
      </w:pPr>
    </w:p>
    <w:p w:rsidR="00DE14C9" w:rsidRDefault="00DE14C9" w:rsidP="00DE14C9">
      <w:pPr>
        <w:pStyle w:val="TextoNormalCentrado"/>
        <w:keepNext/>
      </w:pPr>
      <w:r>
        <w:t>Ha decidido</w:t>
      </w:r>
    </w:p>
    <w:p w:rsidR="00DE14C9" w:rsidRDefault="00DE14C9" w:rsidP="00DE14C9">
      <w:pPr>
        <w:pStyle w:val="TextoNormalCentrado"/>
        <w:keepNext/>
      </w:pPr>
    </w:p>
    <w:p w:rsidR="00DE14C9" w:rsidRDefault="00DE14C9" w:rsidP="00DE14C9">
      <w:pPr>
        <w:pStyle w:val="TextoNormal"/>
      </w:pPr>
      <w:r>
        <w:t>Estimar el recurso interpuesto por Azúa, Compañía de Gestión, S.L. y, en consecuencia:</w:t>
      </w:r>
    </w:p>
    <w:p w:rsidR="00DE14C9" w:rsidRDefault="00DE14C9" w:rsidP="00DE14C9">
      <w:pPr>
        <w:pStyle w:val="TextoNormal"/>
      </w:pPr>
      <w:r>
        <w:t>1º Declarar que ha sido vulnerado el derecho fundamental de la entidad demandante de amparo a un proceso sin dilaciones indebidas (art. 24.2 CE) en la tramitación del juicio ordinario 980-2003 que se sigue ante el Juzgado de Primera Instancia núm. 72 de Madrid.</w:t>
      </w:r>
    </w:p>
    <w:p w:rsidR="00DE14C9" w:rsidRDefault="00DE14C9" w:rsidP="00DE14C9">
      <w:pPr>
        <w:pStyle w:val="TextoNormal"/>
      </w:pPr>
      <w:r>
        <w:t>2º Restablecer a la sociedad recurrente en la integridad de su derecho, para lo cual el Juzgado de Primera Instancia núm. 72 de Madrid deberá adoptar las medidas pertinentes a fin de remover los obstáculos que impiden la conclusión del juicio ordinario 980-2003 que ante él se encuentra en tramitación.</w:t>
      </w:r>
    </w:p>
    <w:p w:rsidR="00DE14C9" w:rsidRDefault="00DE14C9" w:rsidP="00DE14C9">
      <w:pPr>
        <w:pStyle w:val="TextoNormal"/>
      </w:pPr>
    </w:p>
    <w:p w:rsidR="00DE14C9" w:rsidRDefault="00DE14C9" w:rsidP="00DE14C9">
      <w:pPr>
        <w:pStyle w:val="TextoNormal"/>
      </w:pPr>
      <w:r>
        <w:t>Publíquese esta Sentencia en el “Boletín Oficial del Estado”.</w:t>
      </w:r>
    </w:p>
    <w:p w:rsidR="00DE14C9" w:rsidRDefault="00DE14C9" w:rsidP="008B3772">
      <w:pPr>
        <w:pStyle w:val="TextoNormal"/>
      </w:pPr>
      <w:r>
        <w:t>Dada en Madrid, a veintitrés de julio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DE14C9">
      <w:pPr>
        <w:pStyle w:val="ParrafoNormal"/>
      </w:pPr>
    </w:p>
    <w:p w:rsidR="008B3772" w:rsidRDefault="008B3772" w:rsidP="008B3772">
      <w:pPr>
        <w:pStyle w:val="ParrafoNormal"/>
      </w:pPr>
    </w:p>
    <w:p w:rsidR="008B3772" w:rsidRDefault="008B3772" w:rsidP="008B3772">
      <w:pPr>
        <w:pStyle w:val="ParrafoNormal"/>
      </w:pPr>
    </w:p>
    <w:p w:rsidR="008B3772" w:rsidRDefault="008B3772" w:rsidP="008B3772">
      <w:pPr>
        <w:pStyle w:val="ParrafoNormal"/>
      </w:pPr>
    </w:p>
    <w:p w:rsidR="008B3772" w:rsidRDefault="008B3772" w:rsidP="008B3772">
      <w:pPr>
        <w:pStyle w:val="ParrafoNormal"/>
      </w:pPr>
    </w:p>
    <w:p w:rsidR="008B3772" w:rsidRDefault="008B3772" w:rsidP="008B3772">
      <w:pPr>
        <w:pStyle w:val="ParrafoNormal"/>
      </w:pPr>
    </w:p>
    <w:p w:rsidR="008B3772" w:rsidRDefault="008B3772" w:rsidP="008B3772">
      <w:pPr>
        <w:pStyle w:val="ParrafoNormal"/>
      </w:pPr>
    </w:p>
    <w:p w:rsidR="008B3772" w:rsidRDefault="008B3772" w:rsidP="008B3772">
      <w:pPr>
        <w:pStyle w:val="ParrafoNormal"/>
      </w:pPr>
    </w:p>
    <w:p w:rsidR="008B3772" w:rsidRDefault="008B3772" w:rsidP="008B3772">
      <w:pPr>
        <w:pStyle w:val="ParrafoNormal"/>
      </w:pPr>
    </w:p>
    <w:p w:rsidR="008B3772" w:rsidRDefault="008B3772" w:rsidP="008B3772">
      <w:pPr>
        <w:pStyle w:val="ParrafoNormal"/>
      </w:pPr>
    </w:p>
    <w:p w:rsidR="008B3772" w:rsidRDefault="008B3772" w:rsidP="008B3772">
      <w:pPr>
        <w:pStyle w:val="ParrafoNormal"/>
      </w:pPr>
    </w:p>
    <w:p w:rsidR="008B3772" w:rsidRDefault="008B3772" w:rsidP="008B3772">
      <w:pPr>
        <w:pStyle w:val="ParrafoNormal"/>
      </w:pPr>
    </w:p>
    <w:p w:rsidR="008B3772" w:rsidRDefault="008B3772" w:rsidP="008B3772">
      <w:pPr>
        <w:pStyle w:val="ParrafoNormal"/>
      </w:pPr>
    </w:p>
    <w:p w:rsidR="008B3772" w:rsidRDefault="008B3772" w:rsidP="008B3772">
      <w:pPr>
        <w:pStyle w:val="CabeceraApartado"/>
      </w:pPr>
      <w:r>
        <w:t>AUTOS</w:t>
      </w:r>
    </w:p>
    <w:p w:rsidR="008B3772" w:rsidRDefault="008B3772">
      <w:pPr>
        <w:spacing w:after="160" w:line="259" w:lineRule="auto"/>
        <w:rPr>
          <w:rFonts w:ascii="Times New Roman" w:eastAsia="Times New Roman" w:hAnsi="Times New Roman" w:cs="Times New Roman"/>
          <w:sz w:val="48"/>
          <w:szCs w:val="24"/>
          <w:lang w:eastAsia="es-ES"/>
        </w:rPr>
      </w:pPr>
      <w:r>
        <w:br w:type="page"/>
      </w:r>
    </w:p>
    <w:p w:rsidR="008B3772" w:rsidRDefault="008B3772" w:rsidP="008B3772">
      <w:pPr>
        <w:pStyle w:val="TtuloResolucin"/>
      </w:pPr>
      <w:bookmarkStart w:id="92" w:name="AUTO_2007_228"/>
      <w:r>
        <w:lastRenderedPageBreak/>
        <w:t>AUTO 228/2007, de 3 de mayo de 2007</w:t>
      </w:r>
    </w:p>
    <w:bookmarkEnd w:id="92"/>
    <w:p w:rsidR="008B3772" w:rsidRDefault="008B3772" w:rsidP="008B3772">
      <w:pPr>
        <w:pStyle w:val="TtuloResolucin"/>
      </w:pPr>
      <w:r>
        <w:t>Sección Primera</w:t>
      </w:r>
    </w:p>
    <w:p w:rsidR="008B3772" w:rsidRDefault="008B3772" w:rsidP="008B3772">
      <w:pPr>
        <w:pStyle w:val="TtuloResolucin"/>
      </w:pPr>
    </w:p>
    <w:p w:rsidR="008B3772" w:rsidRDefault="008B3772" w:rsidP="008B3772">
      <w:pPr>
        <w:pStyle w:val="SntesisDescriptiva"/>
      </w:pPr>
      <w:r>
        <w:t>ECLI:ES:TC:2007:228A</w:t>
      </w:r>
    </w:p>
    <w:p w:rsidR="008B3772" w:rsidRDefault="008B3772" w:rsidP="008B3772">
      <w:pPr>
        <w:pStyle w:val="SntesisDescriptiva"/>
      </w:pPr>
    </w:p>
    <w:p w:rsidR="008B3772" w:rsidRDefault="008B3772" w:rsidP="008B3772">
      <w:pPr>
        <w:pStyle w:val="SntesisDescriptiva"/>
      </w:pPr>
      <w:r>
        <w:t>Excms. Srs. doña María Emilia Casas Baamonde, don Javier Delgado Barrio y don Manuel Aragón Reyes.</w:t>
      </w:r>
    </w:p>
    <w:p w:rsidR="008B3772" w:rsidRDefault="008B3772" w:rsidP="008B3772">
      <w:pPr>
        <w:pStyle w:val="SntesisDescriptiva"/>
      </w:pPr>
    </w:p>
    <w:p w:rsidR="008B3772" w:rsidRDefault="008B3772" w:rsidP="008B3772">
      <w:pPr>
        <w:pStyle w:val="SntesisDescriptiva"/>
      </w:pPr>
      <w:r>
        <w:t>Acuerda el desistimiento en el recurso de amparo 7302-2006, promovido por Construcciones J. Arruti, S.L.</w:t>
      </w:r>
    </w:p>
    <w:p w:rsidR="008B3772" w:rsidRDefault="008B3772" w:rsidP="008B3772">
      <w:pPr>
        <w:pStyle w:val="SntesisDescriptiva"/>
      </w:pPr>
    </w:p>
    <w:p w:rsidR="008B3772" w:rsidRDefault="008B3772" w:rsidP="008B3772">
      <w:pPr>
        <w:pStyle w:val="TtuloResolucin"/>
      </w:pPr>
      <w:r>
        <w:t>*Este auto no incorpora doctrina constitucional.</w:t>
      </w:r>
    </w:p>
    <w:p w:rsidR="008B3772" w:rsidRDefault="008B3772">
      <w:pPr>
        <w:spacing w:after="160" w:line="259" w:lineRule="auto"/>
        <w:rPr>
          <w:rFonts w:ascii="Times New Roman" w:eastAsia="Times New Roman" w:hAnsi="Times New Roman" w:cs="Times New Roman"/>
          <w:b/>
          <w:sz w:val="24"/>
          <w:szCs w:val="24"/>
          <w:lang w:eastAsia="es-ES"/>
        </w:rPr>
      </w:pPr>
      <w:r>
        <w:br w:type="page"/>
      </w:r>
    </w:p>
    <w:p w:rsidR="008B3772" w:rsidRDefault="008B3772" w:rsidP="008B3772">
      <w:pPr>
        <w:pStyle w:val="TtuloResolucin"/>
      </w:pPr>
      <w:bookmarkStart w:id="93" w:name="AUTO_2007_229"/>
      <w:r>
        <w:lastRenderedPageBreak/>
        <w:t>AUTO 229/2007, de 7 de mayo de 2007</w:t>
      </w:r>
    </w:p>
    <w:bookmarkEnd w:id="93"/>
    <w:p w:rsidR="008B3772" w:rsidRDefault="008B3772" w:rsidP="008B3772">
      <w:pPr>
        <w:pStyle w:val="TtuloResolucin"/>
      </w:pPr>
      <w:r>
        <w:t>Sala Segunda</w:t>
      </w:r>
    </w:p>
    <w:p w:rsidR="008B3772" w:rsidRDefault="008B3772" w:rsidP="008B3772">
      <w:pPr>
        <w:pStyle w:val="TtuloResolucin"/>
      </w:pPr>
    </w:p>
    <w:p w:rsidR="008B3772" w:rsidRDefault="008B3772" w:rsidP="008B3772">
      <w:pPr>
        <w:pStyle w:val="SntesisDescriptiva"/>
      </w:pPr>
      <w:r>
        <w:t>ECLI:ES:TC:2007:229A</w:t>
      </w:r>
    </w:p>
    <w:p w:rsidR="008B3772" w:rsidRDefault="008B3772" w:rsidP="008B3772">
      <w:pPr>
        <w:pStyle w:val="SntesisDescriptiva"/>
      </w:pPr>
    </w:p>
    <w:p w:rsidR="008B3772" w:rsidRDefault="008B3772" w:rsidP="008B3772">
      <w:pPr>
        <w:pStyle w:val="SntesisDescriptiva"/>
      </w:pPr>
      <w:r>
        <w:t>Excms. Srs. don Guillermo Jiménez Sánchez, don Vicente Conde Martín de Hijas, doña Elisa Pérez Vera, don Eugeni Gay Montalvo, don Ramón Rodríguez Arribas y don Pascual Sala Sánchez.</w:t>
      </w:r>
    </w:p>
    <w:p w:rsidR="008B3772" w:rsidRDefault="008B3772" w:rsidP="008B3772">
      <w:pPr>
        <w:pStyle w:val="SntesisDescriptiva"/>
      </w:pPr>
    </w:p>
    <w:p w:rsidR="008B3772" w:rsidRDefault="008B3772" w:rsidP="008B3772">
      <w:pPr>
        <w:pStyle w:val="SntesisDescriptiva"/>
      </w:pPr>
      <w:r>
        <w:t>Extinción del incidente de suspensión en el recurso de amparo 5025-2004, promovido por Síntoma Galán, S.L., en contencioso acerca de clausura de establecimiento.</w:t>
      </w:r>
    </w:p>
    <w:p w:rsidR="008B3772" w:rsidRDefault="008B3772" w:rsidP="008B3772">
      <w:pPr>
        <w:pStyle w:val="SntesisDescriptiva"/>
      </w:pPr>
    </w:p>
    <w:p w:rsidR="008B3772" w:rsidRDefault="008B3772" w:rsidP="008B3772">
      <w:pPr>
        <w:pStyle w:val="SntesisAnaltica"/>
      </w:pPr>
      <w:r>
        <w:t>Suspensión cautelar de sentencias contencioso-administrativas: multa administrativa, no suspende; pérdida sobrevenida de objeto.</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Por escrito que fue presentado en este Tribunal el 28 de junio de 2004 Síntoma Galán, S.L., interpuso recurso de amparo contra la Sentencia de 24 de mayo de 2004 del Juzgado de lo Contencioso-Administrativo núm. 2 de Alicante desestimatoria de recurso contencioso-administrativo contra Resolución sancionadora de la Alcaldía del Ayuntamiento de Benidorm.</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Los hechos de los que trae causa la demanda de amparo son, en síntesis, los siguientes: </w:t>
      </w:r>
    </w:p>
    <w:p w:rsidR="008B3772" w:rsidRDefault="008B3772" w:rsidP="008B3772">
      <w:pPr>
        <w:pStyle w:val="TextoNormal"/>
      </w:pPr>
      <w:r>
        <w:t xml:space="preserve">a) Con fecha 9 de marzo de 2003 tuvieron lugar, por parte de agentes del Ayuntamiento de Benidorm, dos inspecciones en el local “Pub Yo Ke Sé”, que culminaron el 29 de mayo de 2003 en una resolución sancionadora por infracción grave del art. 23 i) de la Ley Orgánica 1/1992 sobre protección de la seguridad ciudadana (“La tolerancia del consumo ilegal o el tráfico de drogas tóxicas, estupefacientes o sustancias psicotrópicas en locales o establecimientos públicos o la falta de diligencia en orden a impedirlos por parte de los propietarios, administradores o encargados de los mismos”) que imponía una sanción de 601,00 euros de multa, así como la clausura del establecimiento y la suspensión de la licencia de apertura por plazo de tres meses además de la clausura cautelar del local por tres meses. </w:t>
      </w:r>
    </w:p>
    <w:p w:rsidR="008B3772" w:rsidRDefault="008B3772" w:rsidP="008B3772">
      <w:pPr>
        <w:pStyle w:val="TextoNormal"/>
      </w:pPr>
      <w:r>
        <w:t>b) Contra dicha resolución la entidad recurrente interpuso en tiempo y forma recurso contencioso-administrativo, solicitando la nulidad del acto atacado con revocación de todos sus efectos, así como que se condenara a la Administración recurrida al pago de 13.500 euros en concepto de indemnización por los daños y perjuicios derivados del tiempo de clausura del local. Se solicitó además el recibimiento a prueba de la causa. Acordada la práctica de prueba el Juez núm. 2 de lo Contencioso-Administrativo de Alicante dictó Sentencia desestimatoria del recurso interpuesto.</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3</w:t>
      </w:r>
      <w:r>
        <w:t xml:space="preserve">. La demandante de amparo imputa a la Resolución administrativa sancionadora y a la judicial posterior vulneración de la tutela judicial efectiva (art. 24.1). Argumenta que, admitida la aplicabilidad al ámbito administrativo sancionador de las garantías del art. 24 CE, la Resolución del Ayuntamiento de Benidorm ha vulnerado su derecho fundamental a la presunción de inocencia, y que tal lesión constitucional no resulta susceptible de ser subsanada en vía contencioso-administrativa (a la que ella acudió para lograr la nulidad del acto, no solicitando la subsanación), pues, al considerarse la presunción de inocencia una garantía aplicable por la Administración, es esta última, y no el Tribunal en sede revisora, quien debe velar por su cumplimiento. </w:t>
      </w:r>
    </w:p>
    <w:p w:rsidR="008B3772" w:rsidRDefault="008B3772" w:rsidP="008B3772">
      <w:pPr>
        <w:pStyle w:val="TextoNormal"/>
      </w:pPr>
      <w:r>
        <w:t>La demanda de amparo contiene, asimismo, la solicitud de suspensión de la sanción en lo que se refiere a la clausura del establecimiento y suspensión de la licencia de apertura por plazo de tres meses, pues su ejecución agravaría considerablemente la situación económica de la demandante, aumentando los perjuicios que ya había sufrido por el cierre cautelar de su local.</w:t>
      </w:r>
    </w:p>
    <w:p w:rsidR="008B3772" w:rsidRDefault="008B3772" w:rsidP="008B3772">
      <w:pPr>
        <w:pStyle w:val="TextoNormal"/>
      </w:pPr>
    </w:p>
    <w:p w:rsidR="008B3772" w:rsidRDefault="008B3772" w:rsidP="008B3772">
      <w:pPr>
        <w:pStyle w:val="TextoNormal"/>
      </w:pPr>
      <w:r w:rsidRPr="008B3772">
        <w:rPr>
          <w:rStyle w:val="NumeroAFNegritaCaracter"/>
        </w:rPr>
        <w:t>4</w:t>
      </w:r>
      <w:r>
        <w:t>. Por providencia de 20 de febrero de 2007 la Sala Segunda de este Tribunal acordó la admisión a trámite de la demanda de amparo y, asimismo, la formación de la pieza separada para la tramitación del incidente sobre la suspensión solicitada, concediendo al recurrente y al Ministerio Fiscal plazo común de tres días para que alegasen lo que estimaran pertinente sobre dicha suspensión.</w:t>
      </w:r>
    </w:p>
    <w:p w:rsidR="008B3772" w:rsidRDefault="008B3772" w:rsidP="008B3772">
      <w:pPr>
        <w:pStyle w:val="TextoNormal"/>
      </w:pPr>
    </w:p>
    <w:p w:rsidR="008B3772" w:rsidRDefault="008B3772" w:rsidP="008B3772">
      <w:pPr>
        <w:pStyle w:val="TextoNormal"/>
      </w:pPr>
      <w:r w:rsidRPr="008B3772">
        <w:rPr>
          <w:rStyle w:val="NumeroAFNegritaCaracter"/>
        </w:rPr>
        <w:t>5</w:t>
      </w:r>
      <w:r>
        <w:t>. Por escrito que tuvo entrada en este Tribunal el día 2 de marzo de 2007 la recurrente solicitó que se dictara Auto declarando extinguido el incidente de suspensión por carencia sobrevenida del objeto y consiguiente ineficacia de la medida cautelar solicitada en su día, pues la sanción impuesta por el Ayuntamiento de Benidorm ya fue ejecutada en su integridad.</w:t>
      </w:r>
    </w:p>
    <w:p w:rsidR="008B3772" w:rsidRDefault="008B3772" w:rsidP="008B3772">
      <w:pPr>
        <w:pStyle w:val="TextoNormal"/>
      </w:pPr>
    </w:p>
    <w:p w:rsidR="008B3772" w:rsidRDefault="008B3772" w:rsidP="008B3772">
      <w:pPr>
        <w:pStyle w:val="TextoNormal"/>
      </w:pPr>
      <w:r w:rsidRPr="008B3772">
        <w:rPr>
          <w:rStyle w:val="NumeroAFNegritaCaracter"/>
        </w:rPr>
        <w:t>6</w:t>
      </w:r>
      <w:r>
        <w:t>. El Ministerio Fiscal, en relación con la clausura del establecimiento de su propiedad y la suspensión de la licencia de apertura por un plazo de tres meses, interesó la concesión de la suspensión solicitada en caso de que la sanción no hubiera sido ejecutada en su totalidad, y, por lo que se refiere a la multa, consideró no procedente la suspensión, por tratarse de un pronunciamiento de contenido exclusivamente económico.</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En relación con la clausura del establecimiento de propiedad del demandante y la suspensión de la licencia de apertura por un plazo de tres meses nos encontramos con una situación en la que la sanción ha sido ya cumplida (como la propia recurrente</w:t>
      </w:r>
    </w:p>
    <w:p w:rsidR="008B3772" w:rsidRDefault="008B3772" w:rsidP="008B3772">
      <w:pPr>
        <w:pStyle w:val="TextoNormal"/>
      </w:pPr>
      <w:r>
        <w:t>señala en su escrito de 2 de marzo de 2007), por lo que ha desaparecido el objeto de esta pieza de suspensión, pues mal podemos aplicar esta medida a una sanción que ya ha desplegado todos sus efectos. Por lo que se refiere a la sanción de multa</w:t>
      </w:r>
    </w:p>
    <w:p w:rsidR="008B3772" w:rsidRDefault="008B3772" w:rsidP="008B3772">
      <w:pPr>
        <w:pStyle w:val="TextoNormal"/>
      </w:pPr>
      <w:r>
        <w:t>impuesta, no fue solicitada su suspensión en la demanda de amparo, si bien, habida cuenta de que la sanción consistió en una multa de escasa cuantía, hubiera sido aplicable nuestra doctrina, según la cual las resoluciones judiciales con efectos meramente</w:t>
      </w:r>
    </w:p>
    <w:p w:rsidR="008B3772" w:rsidRDefault="008B3772" w:rsidP="008B3772">
      <w:pPr>
        <w:pStyle w:val="TextoNormal"/>
      </w:pPr>
      <w:r>
        <w:t>económicos están sujetas al criterio general de no suspensión al no ser los perjuicios de imposible o difícil reparación (por todos, ATC 152/2006, de 8 de mayo, FJ 2).</w:t>
      </w:r>
    </w:p>
    <w:p w:rsidR="008B3772" w:rsidRDefault="008B3772" w:rsidP="008B3772">
      <w:pPr>
        <w:pStyle w:val="TextoNormal"/>
      </w:pPr>
    </w:p>
    <w:p w:rsidR="008B3772" w:rsidRDefault="008B3772" w:rsidP="008B3772">
      <w:pPr>
        <w:pStyle w:val="TextoNormal"/>
      </w:pPr>
      <w:r>
        <w:t>Por todo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No haber lugar a la suspensión solicitada.</w:t>
      </w:r>
    </w:p>
    <w:p w:rsidR="008B3772" w:rsidRDefault="008B3772" w:rsidP="008B3772">
      <w:pPr>
        <w:pStyle w:val="TextoNormal"/>
      </w:pPr>
    </w:p>
    <w:p w:rsidR="008B3772" w:rsidRDefault="008B3772" w:rsidP="008B3772">
      <w:pPr>
        <w:pStyle w:val="TextoNormal"/>
      </w:pPr>
      <w:r>
        <w:t>Madrid, a siete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94" w:name="AUTO_2007_230"/>
      <w:r>
        <w:lastRenderedPageBreak/>
        <w:t>AUTO 230/2007, de 7 de mayo de 2007</w:t>
      </w:r>
    </w:p>
    <w:bookmarkEnd w:id="94"/>
    <w:p w:rsidR="008B3772" w:rsidRDefault="008B3772" w:rsidP="008B3772">
      <w:pPr>
        <w:pStyle w:val="TtuloResolucin"/>
      </w:pPr>
      <w:r>
        <w:t>Sala Segunda</w:t>
      </w:r>
    </w:p>
    <w:p w:rsidR="008B3772" w:rsidRDefault="008B3772" w:rsidP="008B3772">
      <w:pPr>
        <w:pStyle w:val="TtuloResolucin"/>
      </w:pPr>
    </w:p>
    <w:p w:rsidR="008B3772" w:rsidRDefault="008B3772" w:rsidP="008B3772">
      <w:pPr>
        <w:pStyle w:val="SntesisDescriptiva"/>
      </w:pPr>
      <w:r>
        <w:t>ECLI:ES:TC:2007:230A</w:t>
      </w:r>
    </w:p>
    <w:p w:rsidR="008B3772" w:rsidRDefault="008B3772" w:rsidP="008B3772">
      <w:pPr>
        <w:pStyle w:val="SntesisDescriptiva"/>
      </w:pPr>
    </w:p>
    <w:p w:rsidR="008B3772" w:rsidRDefault="008B3772" w:rsidP="008B3772">
      <w:pPr>
        <w:pStyle w:val="SntesisDescriptiva"/>
      </w:pPr>
      <w:r>
        <w:t>Excms. Srs. don Guillermo Jiménez Sánchez, don Vicente Conde Martín de Hijas, doña Elisa Pérez Vera, don Eugeni Gay Montalvo, don Ramón Rodríguez Arribas y don Pascual Sala Sánchez.</w:t>
      </w:r>
    </w:p>
    <w:p w:rsidR="008B3772" w:rsidRDefault="008B3772" w:rsidP="008B3772">
      <w:pPr>
        <w:pStyle w:val="SntesisDescriptiva"/>
      </w:pPr>
    </w:p>
    <w:p w:rsidR="008B3772" w:rsidRDefault="008B3772" w:rsidP="008B3772">
      <w:pPr>
        <w:pStyle w:val="SntesisDescriptiva"/>
      </w:pPr>
      <w:r>
        <w:t>Deniega la suspensión y ordena la anotación preventiva en el recurso de amparo 7540-2004, promovido por doña Margaret Hurley en litigio sobre abono de cuotas.</w:t>
      </w:r>
    </w:p>
    <w:p w:rsidR="008B3772" w:rsidRDefault="008B3772" w:rsidP="008B3772">
      <w:pPr>
        <w:pStyle w:val="SntesisDescriptiva"/>
      </w:pPr>
    </w:p>
    <w:p w:rsidR="008B3772" w:rsidRDefault="008B3772" w:rsidP="008B3772">
      <w:pPr>
        <w:pStyle w:val="SntesisAnaltica"/>
      </w:pPr>
      <w:r>
        <w:t>Demanda de amparo: anotación preventiva.</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este Tribunal el día 15 de diciembre de 2004 la Procuradora de los Tribunales doña Virginia Lobo Ruiz, en nombre y representación de doña Margaret Hurley, interpuso recurso de amparo contra el Auto del Juzgado de Instrucción núm. 1 de Marbella (antiguo mixto núm. 1) de 9 de octubre de 2004, por el que se desestimaba la petición de nulidad de actuaciones promovida por la recurrente en el procedimiento de ejecución de títulos judiciales núm. 656-2002.</w:t>
      </w:r>
    </w:p>
    <w:p w:rsidR="008B3772" w:rsidRDefault="008B3772" w:rsidP="008B3772">
      <w:pPr>
        <w:pStyle w:val="TextoNormal"/>
      </w:pPr>
    </w:p>
    <w:p w:rsidR="008B3772" w:rsidRDefault="008B3772" w:rsidP="008B3772">
      <w:pPr>
        <w:pStyle w:val="TextoNormal"/>
      </w:pPr>
      <w:r w:rsidRPr="008B3772">
        <w:rPr>
          <w:rStyle w:val="NumeroAFNegritaCaracter"/>
        </w:rPr>
        <w:t>2</w:t>
      </w:r>
      <w:r>
        <w:t>. En fecha 13 de julio de 2001 la presidenta de la Asociación de propietarios de la Urbanización Río Verde, sita en la localidad de Marbella, presentó demanda de juicio verbal contra doña Margaret Hurley, como propietaria del chalet núm. 10, por la que se le reclamaba el pago de ciertas cuotas no abonadas, incoando el entonces Juzgado de Primera Instancia e Instrucción núm. 1 de Marbella juicio verbal 273-2001, que concluyó por Sentencia de 23 de junio de 2002, en cuya virtud se estimaba la demanda planteada y se reconocía la deuda a favor de la referida Asociación. Promovido el correspondiente proceso de ejecución, se acordó el embargo del inmueble de la demandante (“Finca inscrita en el Registro de la Propiedad núm. 3 de Marbella al Tomo 1495, libro 469, Folio 185, Finca Registral núm. 1870, Sección 3-32562”), procediéndose finalmente a su subasta y adjudicación. Así, por Auto de 18 de junio de 2004 el Juzgado aprueba el remate de la mencionada finca a favor de la entidad “Sierra de Andalucía Inversiones, S.L.”. Teniendo noticia extraprocesal de la tramitación del proceso, la recurrente presentó con fecha 30 de junio de 2004 incidente de nulidad de actuaciones, interesando la retroacción de los autos al momento de la notificación de la demanda al no haber tenido conocimiento de su tramitación, que fue inadmitido por el órgano judicial por Auto de 9 de noviembre de 2004, ahora recurrido en amparo.</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La recurrente entiende en su demanda que la actuación del Juzgado le ha vulnerado sus derechos a la tutela judicial efectiva y a la defensa (art. 24.1 y 2 CE), como consecuencia de la defectuosa realización de los actos de comunicación procesal practicados por el órgano </w:t>
      </w:r>
      <w:r>
        <w:lastRenderedPageBreak/>
        <w:t xml:space="preserve">judicial en el mencionado juicio verbal y posterior proceso de ejecución, que ha dado lugar a la adjudicación a una entidad mercantil de su vivienda sin que pudiera comparecer en dicho proceso y así defender sus derechos e intereses. </w:t>
      </w:r>
    </w:p>
    <w:p w:rsidR="008B3772" w:rsidRDefault="008B3772" w:rsidP="008B3772">
      <w:pPr>
        <w:pStyle w:val="TextoNormal"/>
      </w:pPr>
      <w:r>
        <w:t>Mediante otrosí y de conformidad con el art. 56.1 LOTC, la demandante de amparo solicitó que se acordase la suspensión de la resolución judicial impugnada, afirmando que la ejecución de la misma podría hacer perder al amparo su finalidad. Como efectos de esta medida, se interesaba que no se procediera a la inscripción de la propiedad a nombre de la sociedad adjudicataria, prohibiéndosele que pueda transmitir a un tercero el referido inmueble, no haciéndosele además entrega de su posesión.</w:t>
      </w:r>
    </w:p>
    <w:p w:rsidR="008B3772" w:rsidRDefault="008B3772" w:rsidP="008B3772">
      <w:pPr>
        <w:pStyle w:val="TextoNormal"/>
      </w:pPr>
    </w:p>
    <w:p w:rsidR="008B3772" w:rsidRDefault="008B3772" w:rsidP="008B3772">
      <w:pPr>
        <w:pStyle w:val="TextoNormal"/>
      </w:pPr>
      <w:r w:rsidRPr="008B3772">
        <w:rPr>
          <w:rStyle w:val="NumeroAFNegritaCaracter"/>
        </w:rPr>
        <w:t>4</w:t>
      </w:r>
      <w:r>
        <w:t>. Por diligencia de ordenación de 6 de julio de 2006 de la Secretaría de Justicia de este Tribunal se acordó dirigir comunicación al Juzgado de Instrucción núm. 1 de Marbella a fin de que se remitiera a este Tribunal certificación o copia adverada de las actuaciones. Recibidas éstas, por providencia de 20 de marzo de 2007 de la Sala Segunda de este Tribunal se acordó la admisión a trámite del recurso de amparo, ordenándose también que se formase la oportuna pieza separada de suspensión, concediéndose por providencia de igual fecha un plazo común de tres días al Ministerio Fiscal y a la parte recurrente para que alegaran lo que estimasen pertinente en relación con la petición de suspensión invocada.</w:t>
      </w:r>
    </w:p>
    <w:p w:rsidR="008B3772" w:rsidRDefault="008B3772" w:rsidP="008B3772">
      <w:pPr>
        <w:pStyle w:val="TextoNormal"/>
      </w:pPr>
    </w:p>
    <w:p w:rsidR="008B3772" w:rsidRDefault="008B3772" w:rsidP="008B3772">
      <w:pPr>
        <w:pStyle w:val="TextoNormal"/>
      </w:pPr>
      <w:r w:rsidRPr="008B3772">
        <w:rPr>
          <w:rStyle w:val="NumeroAFNegritaCaracter"/>
        </w:rPr>
        <w:t>5</w:t>
      </w:r>
      <w:r>
        <w:t>. La representación procesal de doña Margaret Hurley evacuó el trámite de alegaciones conferido por escrito registrado en este Tribunal con fecha 2 de abril de 2007 ratificando las manifestaciones ya vertidas sobre esta cuestión en su escrito de demanda, resaltando la conveniencia de que se prohíba a la entidad adjudicataria enajenar la vivienda subastada mientras dura la tramitación del presente recurso.</w:t>
      </w:r>
    </w:p>
    <w:p w:rsidR="008B3772" w:rsidRDefault="008B3772" w:rsidP="008B3772">
      <w:pPr>
        <w:pStyle w:val="TextoNormal"/>
      </w:pPr>
    </w:p>
    <w:p w:rsidR="008B3772" w:rsidRDefault="008B3772" w:rsidP="008B3772">
      <w:pPr>
        <w:pStyle w:val="TextoNormal"/>
      </w:pPr>
      <w:r w:rsidRPr="008B3772">
        <w:rPr>
          <w:rStyle w:val="NumeroAFNegritaCaracter"/>
        </w:rPr>
        <w:t>6</w:t>
      </w:r>
      <w:r>
        <w:t>. El Fiscal presentó sus alegaciones con fecha 3 de abril de 2007, adhiriéndose a dicha pretensión de suspensión. En su escrito pone de relieve que el objeto de la solicitud de la demandante es que no se entregue y se dé posesión del chalet de su propiedad a la “Sociedad Patrimonial Sierra de Andalucía Inversiones, S.L.”, que obtuvo la adjudicación del inmueble de referencia. No obstante, de no acordarse la suspensión de la ejecución de la resolución impugnada, el inmueble sería puesto en la inmediata posesión de un tercero que está protegido por la cobertura especial que le brinda el art. 34 de la ley Hipotecaría, lo que le convertiría en un tercero con una situación de propiedad irreivindicable. Por ello, se propugna la misma solución adoptada por este Tribunal en el ATC 99/1998 (no entrega de la posesión al adjudicatario), acordando la suspensión de la ejecución de la resolución impugnada, si bien condicionando la misma a la previa prestación de una fianza por parte de la demandante de amparo.</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xml:space="preserve">. Según establece el art. 56.1 LOTC la Sala que conozca de un recurso de amparo suspenderá, de oficio o a instancia del recurrente, la ejecución del acto de los poderes públicos por razón del cual se reclame el amparo constitucional, siempre que la ejecución ocasionare un perjuicio que haría perder al amparo su finalidad, pudiéndose también denegar dicha suspensión cuando de esta pueda seguirse perturbación grave de los intereses generales o de los derechos fundamentales o libertades públicas de un tercero. En la interpretación de este </w:t>
      </w:r>
      <w:r>
        <w:lastRenderedPageBreak/>
        <w:t>precepto, hemos venido sosteniendo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intereses (Así, ATC 487/2004, de 30 de noviembre). Consecuentemente la regla general debe ser la improcedencia de al suspensión, que se configura así como una medida provisional de carácter excepcional y de aplicación restrictiva (AATC 78/2001, de 2 de abril y 83/2001, de 23 de abril, entre otros), resultando pertinente sólo la adopción de esta medida cautelar cuando la ejecución del fallo cause al solicitante de amparo un perjuicio irreparable en los derechos fundamentales invocados en el proceso constitucional (En este sentido, AATC 243/2000, de 16 de octubre y 251/2000, de 30 de octubre).</w:t>
      </w:r>
    </w:p>
    <w:p w:rsidR="008B3772" w:rsidRDefault="008B3772" w:rsidP="008B3772">
      <w:pPr>
        <w:pStyle w:val="TextoNormal"/>
      </w:pPr>
      <w:r>
        <w:t>Desde esta perspectiva, también hemos afirmado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211/2004, de 2 de junio; 97/2006, de 27 de marzo). Sólo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(ATC 99/1998, de 20 de abril, entre otros), hemos accedido eventualmente a la suspensión.</w:t>
      </w:r>
    </w:p>
    <w:p w:rsidR="008B3772" w:rsidRDefault="008B3772" w:rsidP="008B3772">
      <w:pPr>
        <w:pStyle w:val="TextoNormal"/>
      </w:pPr>
    </w:p>
    <w:p w:rsidR="008B3772" w:rsidRDefault="008B3772" w:rsidP="008B3772">
      <w:pPr>
        <w:pStyle w:val="TextoNormal"/>
      </w:pPr>
      <w:r w:rsidRPr="008B3772">
        <w:rPr>
          <w:rStyle w:val="NumeroAFNegritaCaracter"/>
        </w:rPr>
        <w:t>2</w:t>
      </w:r>
      <w:r>
        <w:t>. En el presente caso, como se ha expuesto en los antecedentes de la presente resolución, la demandante de amparo refiere la indefensión que ha sufrido como consecuencia de la defectuosa realización de los actos de comunicación procesal practicados por el órgano judicial en un juicio verbal y posterior proceso de ejecución, que dio lugar el embargo, subasta y adjudicación de una vivienda de su propiedad. Si no se adoptase una medida cautelar en estas circunstancias se podría materializar la transmisión del dominio del inmueble en cuestión por parte del adjudicatario del mismo, creando una situación difícilmente reversible que menoscabaría los fines del presente recurso, en atención a la protección del tercero de buena fe que se prevé en el art. 34 de la ley Hipotecaria. No obstante, no es posible acceder a la pretensión de la demandante de que no se proceda a la inscripción de la propiedad en el Registro a nombre de la entidad adjudicataria, prohibiéndosele que disponga del inmueble y lo transmita a un tercero, y que no se le haga entrega de la posesión del referido bien, petición que avala el Fiscal ante el Tribunal en su escrito de alegaciones en la pieza de suspensión (cita en su apoyo el ATC 99/1998, de 20 de abril), porque, como consta en el testimonio de las actuaciones recibidas en este Tribunal, tal inscripción del derecho del actual titular ya se ha practicado con anterioridad, habiéndose además hecho entrega de la posesión del bien al adjudicatario de la subasta (como consta en la diligencia de lanzamiento de 20 de diciembre de 2004, unida a los Autos).</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Pese a lo anterior, este Tribunal sí esta facultado para acordar, guiado por la misma finalidad que mueve a las partes en este proceso constitucional, la anotación preventiva de la demanda de amparo en el Registro de la Propiedad, a fin de garantizar los derechos de la demandante de amparo frente a eventuales actos de disposición. Dado que el art. 56 LOTC </w:t>
      </w:r>
      <w:r>
        <w:lastRenderedPageBreak/>
        <w:t>faculta al Tribunal Constitucional para acordar como medida cautelar la suspensión de la ejecución del acto o resolución recurrida en amparo, con mayor razón estará permitido a este Tribunal que acuerde una medida cautelar como la anotación preventiva de la demanda de amparo, que no exige ni presupone la suspensión de la efectividad de la resolución recurrida y, simplemente, anuncia registralmente frente a terceros la pendencia del proceso constitucional con sus eventuales consecuencias sobre los derechos inscritos. Se trata de una medida cautelar que este Tribunal, de conformidad con el art. 56.1 LOTC, puede, además, adoptar de oficio o a instancia de parte, con fundamento en el art. 42.1 de la ley Hipotecaria (AATC 274/2002, de 18 de diciembre; 257/2003, de 14 de julio), limitándose nuestra decisión en esta materia, según también ha reiterado este Tribunal Constitucional, a ordenar que se practique la anotación preventiva, remitiendo al órgano judicial la práctica de las actuaciones pertinentes para que pueda llevarse a efecto la medida, de conformidad con la legislación procesal e hipotecaria (AATC 257/2003, de 14 de julio y 406/2003, de 15 de diciembre, entre otros).</w:t>
      </w:r>
    </w:p>
    <w:p w:rsidR="008B3772" w:rsidRDefault="008B3772" w:rsidP="008B3772">
      <w:pPr>
        <w:pStyle w:val="TextoNormal"/>
      </w:pPr>
    </w:p>
    <w:p w:rsidR="008B3772" w:rsidRDefault="008B3772" w:rsidP="008B3772">
      <w:pPr>
        <w:pStyle w:val="TextoNormal"/>
      </w:pPr>
      <w:r>
        <w:t>Por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Ordenar la anotación preventiva de la demanda de amparo en el Registro de la Propiedad, a cuyo efecto el Juzgado de Instrucción núm. 1 de Marbella ha de expedir el mandamiento oportuno, para que pueda practicarse la misma en relación con la vivienda a</w:t>
      </w:r>
    </w:p>
    <w:p w:rsidR="008B3772" w:rsidRDefault="008B3772" w:rsidP="008B3772">
      <w:pPr>
        <w:pStyle w:val="TextoNormal"/>
      </w:pPr>
      <w:r>
        <w:t>que se refiere las presentes actuaciones.</w:t>
      </w:r>
    </w:p>
    <w:p w:rsidR="008B3772" w:rsidRDefault="008B3772" w:rsidP="008B3772">
      <w:pPr>
        <w:pStyle w:val="TextoNormal"/>
      </w:pPr>
    </w:p>
    <w:p w:rsidR="008B3772" w:rsidRDefault="008B3772" w:rsidP="008B3772">
      <w:pPr>
        <w:pStyle w:val="TextoNormal"/>
      </w:pPr>
      <w:r>
        <w:t>Madrid, a siete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95" w:name="AUTO_2007_231"/>
      <w:r>
        <w:lastRenderedPageBreak/>
        <w:t>AUTO 231/2007, de 7 de mayo de 2007</w:t>
      </w:r>
    </w:p>
    <w:bookmarkEnd w:id="95"/>
    <w:p w:rsidR="008B3772" w:rsidRDefault="008B3772" w:rsidP="008B3772">
      <w:pPr>
        <w:pStyle w:val="TtuloResolucin"/>
      </w:pPr>
      <w:r>
        <w:t>Sección Cuarta</w:t>
      </w:r>
    </w:p>
    <w:p w:rsidR="008B3772" w:rsidRDefault="008B3772" w:rsidP="008B3772">
      <w:pPr>
        <w:pStyle w:val="TtuloResolucin"/>
      </w:pPr>
    </w:p>
    <w:p w:rsidR="008B3772" w:rsidRDefault="008B3772" w:rsidP="008B3772">
      <w:pPr>
        <w:pStyle w:val="SntesisDescriptiva"/>
      </w:pPr>
      <w:r>
        <w:t>ECLI:ES:TC:2007:231A</w:t>
      </w:r>
    </w:p>
    <w:p w:rsidR="008B3772" w:rsidRDefault="008B3772" w:rsidP="008B3772">
      <w:pPr>
        <w:pStyle w:val="SntesisDescriptiva"/>
      </w:pPr>
    </w:p>
    <w:p w:rsidR="008B3772" w:rsidRDefault="008B3772" w:rsidP="008B3772">
      <w:pPr>
        <w:pStyle w:val="SntesisDescriptiva"/>
      </w:pPr>
      <w:r>
        <w:t>Excms. Srs. don Vicente Conde Martín de Hijas, doña Elisa Pérez Vera y don Ramón Rodríguez Arribas.</w:t>
      </w:r>
    </w:p>
    <w:p w:rsidR="008B3772" w:rsidRDefault="008B3772" w:rsidP="008B3772">
      <w:pPr>
        <w:pStyle w:val="SntesisDescriptiva"/>
      </w:pPr>
    </w:p>
    <w:p w:rsidR="008B3772" w:rsidRDefault="008B3772" w:rsidP="008B3772">
      <w:pPr>
        <w:pStyle w:val="SntesisDescriptiva"/>
      </w:pPr>
      <w:r>
        <w:t>Inadmite a trámite el recurso de amparo 2747-2005, promovido por el Banco Bilbao Vizcaya Argentaria, S.A., en contencioso sobre sanción de protección de datos personales.</w:t>
      </w:r>
    </w:p>
    <w:p w:rsidR="008B3772" w:rsidRDefault="008B3772" w:rsidP="008B3772">
      <w:pPr>
        <w:pStyle w:val="SntesisDescriptiva"/>
      </w:pPr>
    </w:p>
    <w:p w:rsidR="008B3772" w:rsidRDefault="008B3772" w:rsidP="008B3772">
      <w:pPr>
        <w:pStyle w:val="SntesisAnaltica"/>
      </w:pPr>
      <w:r>
        <w:t>Inadmisión de recurso de amparo: carencia de contenido que justifique una decisión sobre el fondo del asunto.</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esta sede en fecha 18 de abril de 2005, la Abogada doña Amaya Velasco Gómez, en nombre de la entidad Banco Bilbao Vizcaya Argentaria, S.A., interpuso recurso de amparo contra la Sentencia de la Sección Sexta de la Sala de lo Contencioso-Administrativo del Tribunal Supremo de 18 de marzo de 2005, desestimatoria del recurso de casación interpuesto por la demandante contra Sentencia de 7 de julio de 2000, de la Sección Primera de la Audiencia Nacional, y estimatoria, a su vez, del interpuesto por la Abogacía del Estado, por lo que, acogiendo las pretensiones de la misma, confirmaba en su integridad la resolución sancionadora originariamente impuesta por la Agencia de protección de datos.</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Por resolución de fecha 22 de diciembre de 1998, del Director de la Agencia de protección de datos, se impuso a la demandante de amparo sanción de 50.000.000 de pesetas por la comisión de falta muy grave del art. 43.4 b) de la entonces vigente Ley Orgánica 5/1992, de 29 de octubre, de regulación del tratamiento de datos de carácter personal, —“comunicación o cesión de los datos de carácter personal, fuera de los casos en que estén permitidas”—, cantidad que constituye, a su vez, el límite mínimo de los previstos para las infracciones muy graves por el art. 44.3 de la precitada ley. Contra dicha resolución sancionadora se interpuso recurso contencioso-administrativo ante la Sala de lo Contencioso-Administrativo de la Audiencia Nacional, cuya Sección Primera, en Sentencia de 7 de julio de 2000, estimó en parte el recurso, en el sentido de aplicar con carácter retroactivo el art. 45.5 de la entonces reciente Ley Orgánica 15/1999, de 13 de diciembre, de protección de datos de carácter personal, disposición que establece que “si, en razón de las circunstancias concurrentes, se apreciara una cualificada disminución de la culpabilidad del imputado o de la antijuridicidad del hecho, el órgano sancionador establecerá la cuantía de la sanción aplicando la escala relativa a la clase de infracciones que preceda inmediatamente en gravedad a aquella en que se integra la considerada en el caso de que se trate”. Dicha atenuante fue </w:t>
      </w:r>
      <w:r>
        <w:lastRenderedPageBreak/>
        <w:t xml:space="preserve">aplicada por la Audiencia Nacional en el FJ 4 de su Sentencia, con el siguiente tenor y contenido: </w:t>
      </w:r>
    </w:p>
    <w:p w:rsidR="008B3772" w:rsidRDefault="008B3772" w:rsidP="008B3772">
      <w:pPr>
        <w:pStyle w:val="TextoNormal"/>
      </w:pPr>
      <w:r>
        <w:t xml:space="preserve">“Sin embargo, no deja de tener cierta entidad a los fines sancionadores, el que pueden tenerse en cuenta circunstancias concurrentes como expresamente se recoge en el antiguo art. 44.4 de la Ley y puesto que estamos ante un procedimiento sancionador, es de aplicación retroactiva el art. 45.5 en su redacción dada por Ley Orgánica 15/1999 de 13 de diciembre a los fines de reducir el importe de la sanción”. </w:t>
      </w:r>
    </w:p>
    <w:p w:rsidR="008B3772" w:rsidRDefault="008B3772" w:rsidP="008B3772">
      <w:pPr>
        <w:pStyle w:val="TextoNormal"/>
      </w:pPr>
      <w:r>
        <w:t xml:space="preserve">Dicha Sentencia fue recurrida en casación, tanto por la Abogacía del Estado, quien invocaba el art. 88.1 d) por falta de motivación de las razones que llevan a la Audiencia Nacional a la aplicación del art. 45.5, como por la hoy recurrente. El Tribunal Supremo, en la Sentencia impugnada en el presente amparo, apreció el motivo alegado por la Abogacía del Estado a su FJ 5, razonando la falta de motivación por la Audiencia Nacional de las circunstancias concurrentes que le llevaban a aplicar la atenuante prevista en el art. 45.5, en el sentido de manifestar que la argumentación vertida en dicha Sentencia “no cumple la exigencia de una mínima motivación, pues sólo de forma absolutamente genérica, se refiere a ‘circunstancias concurrentes’ y habla de una ‘cierta entidad’, pero sin precisión concreta de aquellas circunstancias específicas, concurrentes en el caso de autos, que hubieran quedado acreditadas y no fundadas en especulaciones dialécticas, con una entidad suficiente, que permitiera la reducción de la sanción que se imponía en vía administrativa”. </w:t>
      </w:r>
    </w:p>
    <w:p w:rsidR="008B3772" w:rsidRDefault="008B3772" w:rsidP="008B3772">
      <w:pPr>
        <w:pStyle w:val="TextoNormal"/>
      </w:pPr>
      <w:r>
        <w:t>A continuación el mismo fundamento jurídico razona que “la falta de tal motivación suficiente, determina que el segundo motivo de recurso de casación deb[e] ser estimado y consiguientemente ha de anularse la Sentencia de instancia en este extremo, lo que se traduce en que deba confirmarse la sanción de multa de 50.000.001 ptas. (30.0506,05 euros) impuesta en la Resolución administrativa impugnada”. Y tras los pronunciamientos sobre costas, procede el Alto Tribunal directamente al dictado de la parte dispositiva, sin apreciar, según la demandante, la concurrencia o no en el supuesto concreto de las circunstancias de hecho que motivarían la aplicabilidad del art. 45.5 de la Ley Orgánica 15/1999, omisión que, según la entidad demandante de amparo, es la que produce las vulneraciones constitucionales denunciadas.</w:t>
      </w:r>
    </w:p>
    <w:p w:rsidR="008B3772" w:rsidRDefault="008B3772" w:rsidP="008B3772">
      <w:pPr>
        <w:pStyle w:val="TextoNormal"/>
      </w:pPr>
    </w:p>
    <w:p w:rsidR="008B3772" w:rsidRDefault="008B3772" w:rsidP="008B3772">
      <w:pPr>
        <w:pStyle w:val="TextoNormal"/>
      </w:pPr>
      <w:r w:rsidRPr="008B3772">
        <w:rPr>
          <w:rStyle w:val="NumeroAFNegritaCaracter"/>
        </w:rPr>
        <w:t>3</w:t>
      </w:r>
      <w:r>
        <w:t>. En la demanda se aduce la vulneración del derecho a la tutela judicial efectiva en su modalidad de derecho a la motivación de las resoluciones judiciales, en relación con el principio de legalidad, vulneraciones que se derivan, según la recurrente, de que la sala casacional debiera haber suplido la falta de motivación en que incurrió la Audiencia Nacional al aplicar con carácter retroactivo el art. 45.5 de la Ley Orgánica 15/1999 para reducir la sanción originalmente impuesta por la Agencia de protección de datos.</w:t>
      </w:r>
    </w:p>
    <w:p w:rsidR="008B3772" w:rsidRDefault="008B3772" w:rsidP="008B3772">
      <w:pPr>
        <w:pStyle w:val="TextoNormal"/>
      </w:pPr>
    </w:p>
    <w:p w:rsidR="008B3772" w:rsidRDefault="008B3772" w:rsidP="008B3772">
      <w:pPr>
        <w:pStyle w:val="TextoNormal"/>
      </w:pPr>
      <w:r w:rsidRPr="008B3772">
        <w:rPr>
          <w:rStyle w:val="NumeroAFNegritaCaracter"/>
        </w:rPr>
        <w:t>4</w:t>
      </w:r>
      <w:r>
        <w:t>. Por providencia de fecha 6 de febrero de 2007, la Sección Cuarta de este Tribunal acordó, de conformidad con lo dispuesto en el art. 50.3 LOTC, conceder al demandante y al Ministerio Fiscal plazo de diez días para la formulación de las alegaciones pertinentes en relación con la posible causa de inadmisión por carencia manifiesta de contenido constitucional del art. 50.1 c) LOTC.</w:t>
      </w:r>
    </w:p>
    <w:p w:rsidR="008B3772" w:rsidRDefault="008B3772" w:rsidP="008B3772">
      <w:pPr>
        <w:pStyle w:val="TextoNormal"/>
      </w:pPr>
    </w:p>
    <w:p w:rsidR="008B3772" w:rsidRDefault="008B3772" w:rsidP="008B3772">
      <w:pPr>
        <w:pStyle w:val="TextoNormal"/>
      </w:pPr>
      <w:r w:rsidRPr="008B3772">
        <w:rPr>
          <w:rStyle w:val="NumeroAFNegritaCaracter"/>
        </w:rPr>
        <w:t>5</w:t>
      </w:r>
      <w:r>
        <w:t xml:space="preserve">. El Ministerio Fiscal, en escrito registrado en este Tribunal el 2 de marzo de 2007, interesó la inadmisión de la demanda de amparo por carecer manifiestamente de contenido </w:t>
      </w:r>
      <w:r>
        <w:lastRenderedPageBreak/>
        <w:t xml:space="preserve">constitucional, habida cuenta de la efectiva existencia de apreciación de la falta de concurrencia de la atenuante por el Tribunal Supremo a lo largo de la fundamentación jurídica de su Sentencia impugnada. </w:t>
      </w:r>
    </w:p>
    <w:p w:rsidR="008B3772" w:rsidRDefault="008B3772" w:rsidP="008B3772">
      <w:pPr>
        <w:pStyle w:val="TextoNormal"/>
      </w:pPr>
      <w:r>
        <w:t>Evacuando idéntico trámite, el recurrente, en escrito registrado el 21 de febrero de 2007, abundó en los argumentos que fundaron su demanda de amparo.</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Denunciada vulneración del derecho a la tutela judicial efectiva en su modalidad de derecho a la motivación de las resoluciones judiciales, en relación con el principio de legalidad, dichas vulneraciones se derivan, según la recurrente, de que la Sala casacional debiera haber suplido la falta de motivación en que incurrió la Audiencia Nacional al no aplicar con carácter retroactivo el art. 45.5 de la Ley Orgánica 15/1999 para reducir la sanción originalmente impuesta por la Agencia de protección de datos, y en vez de ello el Tribunal Supremo se habría limitado a confirmar la sanción impuesta originariamente, y ello como consecuencia automática de la falta de motivación por la Audiencia Nacional de la aplicación de la atenuante, pero sin suplir la omisión de motivación observada en la Sentencia recurrida en casación, no resolviendo, así, sobre la concurrencia o no de las especiales circunstancias que pudieran motivar la aplicación, ex art. 45.5 de la Ley Orgánica 15/1999, de 13 de diciembre, de la atenuante, en consideración “a la escala relativa a la clase de infracciones que preceda inmediatamente en gravedad a aquella en que se integra la considerada en el caso de que se trate”.</w:t>
      </w:r>
    </w:p>
    <w:p w:rsidR="008B3772" w:rsidRDefault="008B3772" w:rsidP="008B3772">
      <w:pPr>
        <w:pStyle w:val="TextoNormal"/>
      </w:pPr>
    </w:p>
    <w:p w:rsidR="008B3772" w:rsidRDefault="008B3772" w:rsidP="008B3772">
      <w:pPr>
        <w:pStyle w:val="TextoNormal"/>
      </w:pPr>
      <w:r w:rsidRPr="008B3772">
        <w:rPr>
          <w:rStyle w:val="NumeroAFNegritaCaracter"/>
        </w:rPr>
        <w:t>2</w:t>
      </w:r>
      <w:r>
        <w:t>. La cuestión se centra así en resolver sobre si el Tribunal Supremo omite efectivamente, como pretende la demandante de amparo, toda motivación referida al fondo de la apreciación de la concurrencia de la atenuante aplicada por la Audiencia Nacional o si, por el contrario, no es que no exista tal falta de apreciación, sino que la misma se lleva a cabo en efecto, aunque no en la forma concretamente pretendida por la demandante.  Procediendo al examen de la fundamentación jurídica impugnada, la conclusión en este punto no puede ser sino la de estimar que la Sentencia sí examina dicha concurrencia de la circunstancia apreciada inmotivadamente por la Audiencia Nacional. A estos efectos, el Tribunal Supremo estima dicho motivo, alegado por la Abogacía del Estado, en su fundamento jurídico 5, razonando la falta de motivación por la Audiencia Nacional de las circunstancias concurrentes que le llevaban a aplicar la atenuante prevista en el art. 45.5, en el sentido de manifestar expresamente, que la argumentación vertida en dicha Sentencia “no cumple la exigencia de una mínima motivación, pues sólo de forma absolutamente genérica, se refiere a ‘circunstancias concurrentes’ y habla de una ‘cierta entidad’, pero sin precisión concreta de aquellas circunstancias específicas, concurrentes en el caso de autos, que hubieran quedado acreditadas y no fundadas en especulaciones dialécticas, con una entidad suficiente, que permitiera la reducción de la sanción que se imponía en vía administrativa”.  Este razonamiento contiene, efectivamente, pautas generales de apreciación que superan las meras conclusiones de derecho, al establecer expresamente, como manifiesta el Ministerio público, la necesidad, para la estimación de la atenuante y consecuente reducción de la sanción, de acreditación por la sancionada de circunstancias específicas que hubieren transcendido las meras especulaciones dialécticas.</w:t>
      </w:r>
    </w:p>
    <w:p w:rsidR="008B3772" w:rsidRDefault="008B3772" w:rsidP="008B3772">
      <w:pPr>
        <w:pStyle w:val="TextoNormal"/>
      </w:pPr>
      <w:r>
        <w:t xml:space="preserve">Dicho aserto general y básico, empero, no sólo establece unas conclusiones de las que se deduce per se una actividad previa de ponderación lógica en relación con la falta de las </w:t>
      </w:r>
      <w:r>
        <w:lastRenderedPageBreak/>
        <w:t>circunstancias de hecho susceptibles de sustentar la atenuante, sino que culmina la plasmación de aquellas que a lo largo de toda la Sentencia se han ido desarrollando en torno a la concreta circunstancia que motivó la aplicación por la Audiencia Nacional de la atenuante, cual es la de las instrucciones que, según la demandante, el anterior director de la Agencia de protección de datos habría dado a la entidad sancionada respecto a la suficiencia de comunicación masiva a los clientes de la entidad por los canales habituales de información —y consecuente innecesariedad de comunicación y consentimiento individualizados—, sobre la posibilidad de utilización de los datos personales cedidos salvo oposición expresa. Al respecto, el Tribunal Supremo examina la falta de acreditación por el BBVA de esta circunstancia en el fundamento jurídico 3, donde desarrolla ampliamente los términos de la precitada alegación, concluyendo al respecto, en el mismo fundamento jurídico —pág. 10—, que las supuestas instrucciones “no constan acreditadas en el expediente, ya que en ningún caso puede subsumirse bajo el concepto de ‘instrucciones’ lo que habrían sido, como mucho, simples conversaciones y reuniones informales mantenidas con la persona del Director de la Agencia, cuyas manifestaciones personales, tampoco podrían modificar o derogar el régimen legal establecido”. No queda sino concluir de lo expuesto ut supra que el Tribunal Supremo resuelve la falta de motivación de la atenuante por la Audiencia Nacional, supliéndola efectiva, razonada, extensa y lógicamente a lo largo de la fundamentación jurídica para resolver, a su vez, que no cabe su aplicación, tanto por la falta de acreditación de las reuniones y su contenido, como por la ausencia de eficacia jurídica que, a los efectos de modificar el régimen jurídico establecido en la propia Ley Orgánica de regulación del tratamiento automatizado de los datos personales (LORTAD), tendrían dichas “instrucciones”.</w:t>
      </w:r>
    </w:p>
    <w:p w:rsidR="008B3772" w:rsidRDefault="008B3772" w:rsidP="008B3772">
      <w:pPr>
        <w:pStyle w:val="TextoNormal"/>
      </w:pPr>
    </w:p>
    <w:p w:rsidR="008B3772" w:rsidRDefault="008B3772" w:rsidP="008B3772">
      <w:pPr>
        <w:pStyle w:val="TextoNormal"/>
      </w:pPr>
      <w:r w:rsidRPr="008B3772">
        <w:rPr>
          <w:rStyle w:val="NumeroAFNegritaCaracter"/>
        </w:rPr>
        <w:t>3</w:t>
      </w:r>
      <w:r>
        <w:t>. Se concluye así que el Tribunal Supremo no se limita en su Sentencia a afirmar apodícticamente la falta de motivación por la Audiencia Nacional de la aplicación del atenuante, sino que examina la falta de concurrencia en el supuesto concreto de las circunstancias exigidas para su aplicación, motivando las circunstancias que conducen a dicha conclusión, y deduciendo a su vez y ulteriormente, tanto la imprecisión de la apreciación de circunstancias verificada por la Audiencia Nacional, como la confirmación in integrum de la sanción originariamente impuesta en vía administrativa, de modo que el Tribunal Supremo, en cumplimiento del mandato de resolver “lo que corresponda dentro de los términos en que apareciera planteado el debate”, ex art.  95.2 d) de la Ley reguladora de la jurisdicción contencioso-administrativa, concluye la falta de acreditación de la concreta atenuante derivada de haber actuado en cumplimiento de instrucciones, por lo que, decayendo la esencial alegación de falta de motivación de la inaplicación de la atenuante establecida por la Audiencia Nacional, la litis carece de contenido que justifique una decisión sobre el fondo de la misma por parte de este Tribunal, ex art. 50.1 c) LOTC.</w:t>
      </w:r>
    </w:p>
    <w:p w:rsidR="008B3772" w:rsidRDefault="008B3772" w:rsidP="008B3772">
      <w:pPr>
        <w:pStyle w:val="TextoNormal"/>
      </w:pPr>
    </w:p>
    <w:p w:rsidR="008B3772" w:rsidRDefault="008B3772" w:rsidP="008B3772">
      <w:pPr>
        <w:pStyle w:val="TextoNormal"/>
      </w:pPr>
      <w:r>
        <w:t>Por lo expuesto, la Sección</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Inadmitir el presente recurso de amparo.</w:t>
      </w:r>
    </w:p>
    <w:p w:rsidR="008B3772" w:rsidRDefault="008B3772" w:rsidP="008B3772">
      <w:pPr>
        <w:pStyle w:val="TextoNormal"/>
      </w:pPr>
    </w:p>
    <w:p w:rsidR="008B3772" w:rsidRDefault="008B3772" w:rsidP="008B3772">
      <w:pPr>
        <w:pStyle w:val="TextoNormal"/>
      </w:pPr>
      <w:r>
        <w:t>Madrid, a siete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96" w:name="AUTO_2007_232"/>
      <w:r>
        <w:lastRenderedPageBreak/>
        <w:t>AUTO 232/2007, de 7 de mayo de 2007</w:t>
      </w:r>
    </w:p>
    <w:bookmarkEnd w:id="96"/>
    <w:p w:rsidR="008B3772" w:rsidRDefault="008B3772" w:rsidP="008B3772">
      <w:pPr>
        <w:pStyle w:val="TtuloResolucin"/>
      </w:pPr>
      <w:r>
        <w:t>Sala Segunda</w:t>
      </w:r>
    </w:p>
    <w:p w:rsidR="008B3772" w:rsidRDefault="008B3772" w:rsidP="008B3772">
      <w:pPr>
        <w:pStyle w:val="TtuloResolucin"/>
      </w:pPr>
    </w:p>
    <w:p w:rsidR="008B3772" w:rsidRDefault="008B3772" w:rsidP="008B3772">
      <w:pPr>
        <w:pStyle w:val="SntesisDescriptiva"/>
      </w:pPr>
      <w:r>
        <w:t>ECLI:ES:TC:2007:232A</w:t>
      </w:r>
    </w:p>
    <w:p w:rsidR="008B3772" w:rsidRDefault="008B3772" w:rsidP="008B3772">
      <w:pPr>
        <w:pStyle w:val="SntesisDescriptiva"/>
      </w:pPr>
    </w:p>
    <w:p w:rsidR="008B3772" w:rsidRDefault="008B3772" w:rsidP="008B3772">
      <w:pPr>
        <w:pStyle w:val="SntesisDescriptiva"/>
      </w:pPr>
      <w:r>
        <w:t>Excms. Srs. don Guillermo Jiménez Sánchez, don Vicente Conde Martín de Hijas, doña Elisa Pérez Vera, don Eugeni Gay Montalvo, don Ramón Rodríguez Arribas y don Pascual Sala Sánchez.</w:t>
      </w:r>
    </w:p>
    <w:p w:rsidR="008B3772" w:rsidRDefault="008B3772" w:rsidP="008B3772">
      <w:pPr>
        <w:pStyle w:val="SntesisDescriptiva"/>
      </w:pPr>
    </w:p>
    <w:p w:rsidR="008B3772" w:rsidRDefault="008B3772" w:rsidP="008B3772">
      <w:pPr>
        <w:pStyle w:val="SntesisDescriptiva"/>
      </w:pPr>
      <w:r>
        <w:t>Finaliza el incidente de suspensión por pérdida de objeto en el recurso de amparo 4029-2005, promovido por el Gobierno de Cantabria en causa penal.</w:t>
      </w:r>
    </w:p>
    <w:p w:rsidR="008B3772" w:rsidRDefault="008B3772" w:rsidP="008B3772">
      <w:pPr>
        <w:pStyle w:val="SntesisDescriptiva"/>
      </w:pPr>
    </w:p>
    <w:p w:rsidR="008B3772" w:rsidRDefault="008B3772" w:rsidP="008B3772">
      <w:pPr>
        <w:pStyle w:val="SntesisAnaltica"/>
      </w:pPr>
      <w:r>
        <w:t>Suspensión cautelar de sentencias penales: pérdida sobrevenida de objeto.</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xml:space="preserve">. Mediante escrito presentado en el Registro General de este Tribunal el día 1 de junio de 2005, la Letrada de los Servicios Jurídicos del Gobierno de Cantabria interpuso recurso de amparo contra el Auto de la Audiencia Provincial de Santander (Sección Tercera) de 28 de marzo de 2005 recaído en el rollo de apelación 59-2005, que confirma los Autos de 25 de octubre de 2004 y de 1 de enero de 2005 dictados por el Juzgado de Instrucción núm. núm. 1 de Santander en procedimiento de Tribunal de Jurado núm. </w:t>
      </w:r>
    </w:p>
    <w:p w:rsidR="008B3772" w:rsidRDefault="008B3772" w:rsidP="008B3772">
      <w:pPr>
        <w:pStyle w:val="TextoNormal"/>
      </w:pPr>
      <w:r>
        <w:t>2-2004, en los que se acuerda no tener por personado al Gobierno de Cantabria como acusación popular. Mediante otro sí se solicitaba la suspensión de la resolución recurrida.</w:t>
      </w:r>
    </w:p>
    <w:p w:rsidR="008B3772" w:rsidRDefault="008B3772" w:rsidP="008B3772">
      <w:pPr>
        <w:pStyle w:val="TextoNormal"/>
      </w:pPr>
    </w:p>
    <w:p w:rsidR="008B3772" w:rsidRDefault="008B3772" w:rsidP="008B3772">
      <w:pPr>
        <w:pStyle w:val="TextoNormal"/>
      </w:pPr>
      <w:r w:rsidRPr="008B3772">
        <w:rPr>
          <w:rStyle w:val="NumeroAFNegritaCaracter"/>
        </w:rPr>
        <w:t>2</w:t>
      </w:r>
      <w:r>
        <w:t>. La Sala Segunda de este Tribunal, por providencia de 29 de marzo de 2007, acordó admitir a trámite la demanda de amparo y, en aplicación de lo dispuesto en el art. 51 LOTC, dirigir sendas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8B3772" w:rsidRDefault="008B3772" w:rsidP="008B3772">
      <w:pPr>
        <w:pStyle w:val="TextoNormal"/>
      </w:pPr>
    </w:p>
    <w:p w:rsidR="008B3772" w:rsidRDefault="008B3772" w:rsidP="008B3772">
      <w:pPr>
        <w:pStyle w:val="TextoNormal"/>
      </w:pPr>
      <w:r w:rsidRPr="008B3772">
        <w:rPr>
          <w:rStyle w:val="NumeroAFNegritaCaracter"/>
        </w:rPr>
        <w:t>3</w:t>
      </w:r>
      <w:r>
        <w:t>. La Sala Segunda del Tribunal Constitucional por providencia de la misma fecha acordó formar la oportuna pieza para la tramitación del incidente de suspensión y, de conformidad con lo dispuesto en el art. 56 LOTC, otorgar un plazo común de tres días al demandante de amparo y al Ministerio Fiscal para que formulasen las alegaciones que tuvieran por conveniente sobre la suspensión interesada.</w:t>
      </w:r>
    </w:p>
    <w:p w:rsidR="008B3772" w:rsidRDefault="008B3772" w:rsidP="008B3772">
      <w:pPr>
        <w:pStyle w:val="TextoNormal"/>
      </w:pPr>
    </w:p>
    <w:p w:rsidR="008B3772" w:rsidRDefault="008B3772" w:rsidP="008B3772">
      <w:pPr>
        <w:pStyle w:val="TextoNormal"/>
      </w:pPr>
      <w:r w:rsidRPr="008B3772">
        <w:rPr>
          <w:rStyle w:val="NumeroAFNegritaCaracter"/>
        </w:rPr>
        <w:t>4</w:t>
      </w:r>
      <w:r>
        <w:t xml:space="preserve">. El Ministerio Fiscal evacuó el trámite de alegaciones conferido mediante escrito presentado en el Registro General de este Tribunal el 16 de abril de 2007, en el que, después de poner de manifiesto que la solicitud de suspensión efectuada por la parte recurrente en </w:t>
      </w:r>
      <w:r>
        <w:lastRenderedPageBreak/>
        <w:t>su demanda de amparo carecía de toda argumentación, consideró improcedente la suspensión por cuanto llevaría a una concesión anticipada del amparo, sin que además por la parte recurrente se haya acreditado la causación de un perjuicio irreparable.</w:t>
      </w:r>
    </w:p>
    <w:p w:rsidR="008B3772" w:rsidRDefault="008B3772" w:rsidP="008B3772">
      <w:pPr>
        <w:pStyle w:val="TextoNormal"/>
      </w:pPr>
    </w:p>
    <w:p w:rsidR="008B3772" w:rsidRDefault="008B3772" w:rsidP="008B3772">
      <w:pPr>
        <w:pStyle w:val="TextoNormal"/>
      </w:pPr>
      <w:r w:rsidRPr="008B3772">
        <w:rPr>
          <w:rStyle w:val="NumeroAFNegritaCaracter"/>
        </w:rPr>
        <w:t>5</w:t>
      </w:r>
      <w:r>
        <w:t>. La representación procesal del demandante de amparo evacuó el trámite de alegaciones conferido mediante escrito presentado en el Registro General de este Tribunal el día 13 de abril de 2007, en el que manifestó que la suspensión solicitada carece ya de sentido dado que el juicio en el que se pretendía personar ya ha finalizado, habiendo recaído Sentencia de la Audiencia Provincial de Cantabria de fecha 30 de marzo de 2006 y Auto del Tribunal Supremo de 18 de enero de 2007.</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Como se infiere de su escrito de alegaciones, la parte recurrente manifiesta su voluntad de desistir de la suspensión solicitada, ante la carencia de objeto de la misma, al haber finalizado el procedimiento penal en el que se denegó su personación</w:t>
      </w:r>
    </w:p>
    <w:p w:rsidR="008B3772" w:rsidRDefault="008B3772" w:rsidP="008B3772">
      <w:pPr>
        <w:pStyle w:val="TextoNormal"/>
      </w:pPr>
      <w:r>
        <w:t>como acusación popular. Aunque la justicia constitucional sea rogada y no rija en ella sin más el principio dispositivo como hemos dicho en reiteradas ocasiones (SSTC 362/1993 y 167/2000, entre otras muchas), esa voluntad de desistir es de suyo</w:t>
      </w:r>
    </w:p>
    <w:p w:rsidR="008B3772" w:rsidRDefault="008B3772" w:rsidP="008B3772">
      <w:pPr>
        <w:pStyle w:val="TextoNormal"/>
      </w:pPr>
      <w:r>
        <w:t>suficiente para que se acceda a lo solicitado (AATC 105/2000 y 23/2000, entre otros) al carecer efectivamente de objeto la suspensión solicitada.  En virtud de todo lo expuesto, la Sala acuerda tener por desistidas a las demandantes de amparo de la</w:t>
      </w:r>
    </w:p>
    <w:p w:rsidR="008B3772" w:rsidRDefault="008B3772" w:rsidP="008B3772">
      <w:pPr>
        <w:pStyle w:val="TextoNormal"/>
      </w:pPr>
      <w:r>
        <w:t>solicitud de suspensión de los efectos de las resoluciones recurridas.</w:t>
      </w:r>
    </w:p>
    <w:p w:rsidR="008B3772" w:rsidRDefault="008B3772" w:rsidP="008B3772">
      <w:pPr>
        <w:pStyle w:val="TextoNormal"/>
      </w:pPr>
    </w:p>
    <w:p w:rsidR="008B3772" w:rsidRDefault="008B3772" w:rsidP="008B3772">
      <w:pPr>
        <w:pStyle w:val="TextoNormal"/>
      </w:pPr>
      <w:r>
        <w:t>Por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Archivar la presente pieza de suspensión por carencia sobrevenida de objeto.</w:t>
      </w:r>
    </w:p>
    <w:p w:rsidR="008B3772" w:rsidRDefault="008B3772" w:rsidP="008B3772">
      <w:pPr>
        <w:pStyle w:val="TextoNormal"/>
      </w:pPr>
    </w:p>
    <w:p w:rsidR="008B3772" w:rsidRDefault="008B3772" w:rsidP="008B3772">
      <w:pPr>
        <w:pStyle w:val="TextoNormal"/>
      </w:pPr>
      <w:r>
        <w:t>Madrid, a siete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97" w:name="AUTO_2007_233"/>
      <w:r>
        <w:lastRenderedPageBreak/>
        <w:t>AUTO 233/2007, de 7 de mayo de 2007</w:t>
      </w:r>
    </w:p>
    <w:bookmarkEnd w:id="97"/>
    <w:p w:rsidR="008B3772" w:rsidRDefault="008B3772" w:rsidP="008B3772">
      <w:pPr>
        <w:pStyle w:val="TtuloResolucin"/>
      </w:pPr>
      <w:r>
        <w:t>Sala Segunda</w:t>
      </w:r>
    </w:p>
    <w:p w:rsidR="008B3772" w:rsidRDefault="008B3772" w:rsidP="008B3772">
      <w:pPr>
        <w:pStyle w:val="TtuloResolucin"/>
      </w:pPr>
    </w:p>
    <w:p w:rsidR="008B3772" w:rsidRDefault="008B3772" w:rsidP="008B3772">
      <w:pPr>
        <w:pStyle w:val="SntesisDescriptiva"/>
      </w:pPr>
      <w:r>
        <w:t>ECLI:ES:TC:2007:233A</w:t>
      </w:r>
    </w:p>
    <w:p w:rsidR="008B3772" w:rsidRDefault="008B3772" w:rsidP="008B3772">
      <w:pPr>
        <w:pStyle w:val="SntesisDescriptiva"/>
      </w:pPr>
    </w:p>
    <w:p w:rsidR="008B3772" w:rsidRDefault="008B3772" w:rsidP="008B3772">
      <w:pPr>
        <w:pStyle w:val="SntesisDescriptiva"/>
      </w:pPr>
      <w:r>
        <w:t>Excms. Srs. don Guillermo Jiménez Sánchez, don Vicente Conde Martín de Hijas, doña Elisa Pérez Vera, don Eugeni Gay Montalvo, don Ramón Rodríguez Arribas y don Pascual Sala Sánchez.</w:t>
      </w:r>
    </w:p>
    <w:p w:rsidR="008B3772" w:rsidRDefault="008B3772" w:rsidP="008B3772">
      <w:pPr>
        <w:pStyle w:val="SntesisDescriptiva"/>
      </w:pPr>
    </w:p>
    <w:p w:rsidR="008B3772" w:rsidRDefault="008B3772" w:rsidP="008B3772">
      <w:pPr>
        <w:pStyle w:val="SntesisDescriptiva"/>
      </w:pPr>
      <w:r>
        <w:t>Deniega la suspensión en el recurso de amparo 1140-2006, promovido por la Junta de Andalucía en procedimiento civil de desamparo de menor.</w:t>
      </w:r>
    </w:p>
    <w:p w:rsidR="008B3772" w:rsidRDefault="008B3772" w:rsidP="008B3772">
      <w:pPr>
        <w:pStyle w:val="SntesisDescriptiva"/>
      </w:pPr>
    </w:p>
    <w:p w:rsidR="008B3772" w:rsidRDefault="008B3772" w:rsidP="008B3772">
      <w:pPr>
        <w:pStyle w:val="SntesisAnaltica"/>
      </w:pPr>
      <w:r>
        <w:t>Suspensión cautelar de resoluciones civiles: pago de una cantidad, no suspende.</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este Tribunal el 6 de febrero de 2006 la Letrada de la Junta de Andalucía interpuso recurso de amparo, en representación de la Junta de Andalucía, contra el Auto de 30 de diciembre de 2005 de la Sección Sexta de la Audiencia Provincial de Sevilla dictado en el rollo de apelación núm. 5785-2005, por el que, estimando parcialmente el recurso interpuesto contra la Resolución dictada por el Juzgado de Primera Instancia núm. 7 (familia) de Sevilla en incidente de determinación de indemnización sustitutoria de los autos núm. 67-2004 sobre procedimiento de oposición a la declaración de desamparo de menor, se fijó en la suma de un millón cuatrocientos mil euros el importe de la indemnización que la Junta de Andalucía debe pagar a la actora, importe posteriormente elevado a la suma de un millón setecientos tres mil seiscientos euros, por Auto de aclaración y rectificación de fecha 14 de marzo de 2006, también impugnado.</w:t>
      </w:r>
    </w:p>
    <w:p w:rsidR="008B3772" w:rsidRDefault="008B3772" w:rsidP="008B3772">
      <w:pPr>
        <w:pStyle w:val="TextoNormal"/>
      </w:pPr>
    </w:p>
    <w:p w:rsidR="008B3772" w:rsidRDefault="008B3772" w:rsidP="008B3772">
      <w:pPr>
        <w:pStyle w:val="TextoNormal"/>
      </w:pPr>
      <w:r w:rsidRPr="008B3772">
        <w:rPr>
          <w:rStyle w:val="NumeroAFNegritaCaracter"/>
        </w:rPr>
        <w:t>2</w:t>
      </w:r>
      <w:r>
        <w:t>. Mediante sendas providencias de 23 de enero de 2007 la Sala Segunda de este Tribunal Constitucional acordó la admisión a trámite de la demanda de amparo, así como ordenar la formación de la oportuna pieza separada para la tramitación del incidente de suspensión de la resolución recurrida, solicitada de conformidad con el art. 56 LOTC, otorgando un plazo común de tres días a la parte recurrente y al Ministerio Público para que alegaran lo que estimasen pertinente sobre dicha suspensión.</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Mediante escrito registrado el 5 de febrero de 2007 la Junta de Andalucía evacuó el trámite de alegaciones conferido, interesando de esta Sala que acuerde la suspensión por las razones expuestas en su escrito presentado en fecha 12 de mayo de 2006. En este escrito la representación de la Junta de Andalucía solicitaba la suspensión de la entrega de la suma dineraria, judicialmente consignada, a la que fue condenada por la resolución judicial objeto de este recurso de amparo, por el serio riesgo de que resulte inoperante la Sentencia que pudiera estimar la demanda de amparo, debido a la elevada cuantía de la indemnización fijada y a las dificultades que habría de entrañar, en su caso, la devolución de tan abultada </w:t>
      </w:r>
      <w:r>
        <w:lastRenderedPageBreak/>
        <w:t>suma por la actora beneficiaria de la misma, solicitando subsidiariamente, para el caso de que no se accediera a la suspensión de la entrega, se ordenase la prestación de caución suficiente que garantice su devolución.</w:t>
      </w:r>
    </w:p>
    <w:p w:rsidR="008B3772" w:rsidRDefault="008B3772" w:rsidP="008B3772">
      <w:pPr>
        <w:pStyle w:val="TextoNormal"/>
      </w:pPr>
    </w:p>
    <w:p w:rsidR="008B3772" w:rsidRDefault="008B3772" w:rsidP="008B3772">
      <w:pPr>
        <w:pStyle w:val="TextoNormal"/>
      </w:pPr>
      <w:r w:rsidRPr="008B3772">
        <w:rPr>
          <w:rStyle w:val="NumeroAFNegritaCaracter"/>
        </w:rPr>
        <w:t>4</w:t>
      </w:r>
      <w:r>
        <w:t>. Por su parte el representante del Ministerio Público cumplimentó el trámite de alegaciones mediante escrito registrado el mismo día 5 de febrero de 2007, en el que, tras recordar nuestra reiterada doctrina sobre la improcedencia de suspensión de aquellos fallos judiciales que admitan la restitución integra de lo ejecutado, como de ordinario sucede en las condenas de contenido patrimonial, y las ocasiones excepcionales en las que este Tribunal ha tenido en cuenta la elevada cuantía de la suma objeto de la ejecución para considerar que su entrega haría muy difícil la restitución en caso de otorgarse el amparo y por ello acordar la suspensión de la ejecución de la resolución impugnada (con cita de los AATC 935/1988 y 945/1988 y 319/1993), considera que en el presente caso la cuantía de la indemnización (1.703.600 €) más los intereses devengados es, en efecto, una importante cantidad, tanto para la beneficiaria de la misma como para la entidad pública demandante de amparo, que tiene la obligación de defender los fondos públicos y administrarlos en interés de su Comunidad (interés público), pudiendo presentar dificultades, en caso de prosperar el amparo, la recuperación de una cantidad de tan elevado montante, sin que, por otro lado, la entrega de la cantidad ya consignada “haya de producir perturbación grave de los intereses generales o de los derechos fundamentales o libertades públicas de un tercero”, por lo que el Fiscal se inclina por una “solución ponderada”, consistente en “acceder a la suspensión sólo en parte, autorizando la entrega únicamente de los intereses devengados por la indemnización [303.600 € (sic)] pero no de ésta [1.400.000 € (sic)], sin perjuicio de la siempre posible revisión de la suspensión a la vista de lo que la resolución del amparo pueda demorarse”.</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Establece el art. 56.1 LOTC que la Sala que conozca de un recurso de amparo suspenderá de oficio o a instancia del recurrente la ejecución del acto o resolución impugnados “cuando la ejecución hubiere de ocasionar un perjuicio que haría perder al amparo su finalidad”, aunque no procederá cuando de ella “pueda seguirse perturbación grave de los intereses generales, o de derechos fundamentales o libertades públicas de un tercero”.</w:t>
      </w:r>
    </w:p>
    <w:p w:rsidR="008B3772" w:rsidRDefault="008B3772" w:rsidP="008B3772">
      <w:pPr>
        <w:pStyle w:val="TextoNormal"/>
      </w:pPr>
      <w:r>
        <w:t xml:space="preserve">En aplicación del mencionado precepto este Tribunal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No obstante la protección del interés general que subyace a la ejecución de lo juzgado debe ceder en aquellos supuestos en los que, de no acordarse la suspensión, el amparo perdería toda finalidad, lo que explica que, como criterio general, no proceda suspender aquellos pronunciamientos judiciales que admiten la reparación o la restitución íntegra de lo ejecutado (AATC 212/1994, de 20 de junio, FJ 1; 35/1996, de 12 de febrero, FJ 1; 76/1996, de 25 de marzo, FJ 1; 136/1996, de 27 de mayo, FJ 1; 183/1998, de 14 de septiembre, FJ único; 284/1998, de 16 de diciembre, FJ 1; 215/1999, de 14 de septiembre, FJ 2, y 225/1999, de 27 de septiembre, FJ 2, entre otros). Y en este sentido hemos señalado que, como regla general, las resoluciones judiciales con efectos meramente patrimoniales o económicos, por condenar el fallo al pago de una determinada cantidad, no causan perjuicios irreparables y, por ende, no procede su suspensión, tanto más cuando en </w:t>
      </w:r>
      <w:r>
        <w:lastRenderedPageBreak/>
        <w:t>caso de otorgarse el amparo y declararse la nulidad de la sentencia que impone dicho pago el perjuicio habría sido reparado (por ejemplo, AATC 239/1990, de 4 de junio, FJ 4; 212/1994, de 20 de junio, FJ 1; 123/1996, de 20 de mayo, FJ 4; 135/1996, de 27 de mayo, FJ 4; 61/1997, de 26 de febrero, FJ 2; 84/1997, de 17 de marzo, FJ 2; 89/1997, de 18 de marzo, FJ 1; 109/1997, de 21 de abril, FJ 1; 143/1997, de 19 de mayo, FJ 2; 185/1998, de 14 de septiembre, FJ 2; 201/1998, de 28 de septiembre, FJ 2; 222/1998, de 26 de octubre, FJ 2; 211/1999, de 13 de septiembre, FJ 3; 214/1999, de 14 de septiembre, FJ 2, y 215/1999, de 14 de septiembre, FJ 2).</w:t>
      </w:r>
    </w:p>
    <w:p w:rsidR="008B3772" w:rsidRDefault="008B3772" w:rsidP="008B3772">
      <w:pPr>
        <w:pStyle w:val="TextoNormal"/>
      </w:pPr>
      <w:r>
        <w:t>La regla contenida en la doctrina constitucional expuesta, según la cual, cuando se invocan, a efectos de la medida cautelar de suspensión, perjuicios de carácter meramente patrimonial o económico es procedente denegar la suspensión dada la reversibilidad del perjuicio económico aducido, no presenta, sin embargo, un carácter o alcance tan absoluto que no pueda ceder en determinados casos. Este Tribunal ha declarado en ocasiones que, aun tratándose de resoluciones con contenido patrimonial en las que se condena a una de las partes al abono de una cantidad dineraria, también es posible acceder a la suspensión solicitada cuando se trate de supuestos en que la cuantía de la indemnización o cantidad a la que se ha sido condenada es de gran importancia (por todos, AATC 65/1999, de 22 de marzo, FJ 2; 61/2000, de 28 de febrero, FJ 4, y 115/2000, de 5 de mayo, FJ 2). Así, por ejemplo, hemos admitido la suspensión de la ejecución de actos con contenido económico en atención a su extraordinaria cuantía (ATC 321/1995, de 7 de diciembre, FJ 2) o cuando por las especiales circunstancias concurrentes su cumplimiento pueda causar daños irreparables (AATC 344/1996, de 2 de diciembre, FJ 2, y 286/1997, de 21 de julio, FJ 2).</w:t>
      </w:r>
    </w:p>
    <w:p w:rsidR="008B3772" w:rsidRDefault="008B3772" w:rsidP="008B3772">
      <w:pPr>
        <w:pStyle w:val="TextoNormal"/>
      </w:pPr>
    </w:p>
    <w:p w:rsidR="008B3772" w:rsidRDefault="008B3772" w:rsidP="008B3772">
      <w:pPr>
        <w:pStyle w:val="TextoNormal"/>
      </w:pPr>
      <w:r w:rsidRPr="008B3772">
        <w:rPr>
          <w:rStyle w:val="NumeroAFNegritaCaracter"/>
        </w:rPr>
        <w:t>2</w:t>
      </w:r>
      <w:r>
        <w:t>. Como expone la Administración demandante de amparo en su escrito de solicitud de suspensión, en el caso ahora examinado la suspensión interesada no se refiere de modo estricto al cumplimiento de la resolución impugnada, dado que la misma se ha cumplimentado mediante consignación judicial de la cantidad a la que fue condenada, sino a la suspensión de su entrega a la actora, aduciendo en apoyo de su solicitud el riesgo de que se viera frustrada la finalidad del amparo solicitado por las dificultades que pudiera tener la actora para la devolución de tan elevada suma, a la que pudiera verse obligada en el supuesto de resultar estimado el amparo solicitado. Del referido planteamiento se desprende que la justificación de la suspensión interesada no se halla tanto en el inmediato perjuicio, daño o menoscabo que pudiera producir a la recurrente la ejecución o cumplimiento de la condena dineraria, pues de hecho ha cumplido ya mediante consignación judicial de la cantidad a cuyo pago fue condenada, como en el riesgo de que, de producirse la entrega de dicha suma a la actora, no sea posible su reintegro o devolución futura si su pretensión de amparo fuera finalmente estimada. Atendiendo a las concretas circunstancias que concurren en el caso examinado ha de apreciarse, en efecto, la existencia del riesgo que denuncia la Administración recurrente, considerando, de un lado, el elevado importe de la suma a cuyo pago viene obligada por la resolución impugnada, y, de otro, la aparentemente modesta capacidad económica de la beneficiaria del mismo, pero para evitar que el amparo solicitado pueda perder su eficacia por la referida circunstancia basta con condicionar la efectiva ejecución de la resolución de la que se pretende la suspensión a la prestación de contrario de una adecuada caución o garantía —como solicita subsidiariamente a su petición de suspensión la propia Administración recurrente—, a juicio del órgano judicial encargado de la ejecución, para conjurar, de este modo, el referido riesgo de devolución (riesgo de impago o insolvencia).</w:t>
      </w:r>
    </w:p>
    <w:p w:rsidR="008B3772" w:rsidRDefault="008B3772" w:rsidP="008B3772">
      <w:pPr>
        <w:pStyle w:val="TextoNormal"/>
      </w:pPr>
      <w:r>
        <w:lastRenderedPageBreak/>
        <w:t>En este caso, dado el singular contexto en el que se inscribe el presente recurso de amparo, resulta aconsejable —como hemos acordado en otras ocasiones— anteponer la resolución del mismo en el orden de los señalamientos, una vez concluida su tramitación, para paliar en lo posible las consecuencias de la mora procesal que pudieran derivarse para las partes.</w:t>
      </w:r>
    </w:p>
    <w:p w:rsidR="008B3772" w:rsidRDefault="008B3772" w:rsidP="008B3772">
      <w:pPr>
        <w:pStyle w:val="TextoNormal"/>
      </w:pPr>
    </w:p>
    <w:p w:rsidR="008B3772" w:rsidRDefault="008B3772" w:rsidP="008B3772">
      <w:pPr>
        <w:pStyle w:val="TextoNormal"/>
      </w:pPr>
      <w:r>
        <w:t>En virtud de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Denegar la suspensión solicitada por la Administración Autonómica recurrente en amparo en relación con la ejecución de la resolución impugnada que la condenó por sustitución a la entrega de la suma dineraria finalmente determinada en el proceso civil,</w:t>
      </w:r>
    </w:p>
    <w:p w:rsidR="008B3772" w:rsidRDefault="008B3772" w:rsidP="008B3772">
      <w:pPr>
        <w:pStyle w:val="TextoNormal"/>
      </w:pPr>
      <w:r>
        <w:t>quedando condicionada dicha entrega a la prestación de contrario de la caución adecuada que determine el órgano judicial encargado de la ejecución, al objeto de preservar la finalidad del presente recurso de amparo en consonancia con lo señalado en el</w:t>
      </w:r>
    </w:p>
    <w:p w:rsidR="008B3772" w:rsidRDefault="008B3772" w:rsidP="008B3772">
      <w:pPr>
        <w:pStyle w:val="TextoNormal"/>
      </w:pPr>
      <w:r>
        <w:t>fundamento jurídico segundo de este Auto.</w:t>
      </w:r>
    </w:p>
    <w:p w:rsidR="008B3772" w:rsidRDefault="008B3772" w:rsidP="008B3772">
      <w:pPr>
        <w:pStyle w:val="TextoNormal"/>
      </w:pPr>
    </w:p>
    <w:p w:rsidR="008B3772" w:rsidRDefault="008B3772" w:rsidP="008B3772">
      <w:pPr>
        <w:pStyle w:val="TextoNormal"/>
      </w:pPr>
      <w:r>
        <w:t>Madrid, a siete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98" w:name="AUTO_2007_234"/>
      <w:r>
        <w:lastRenderedPageBreak/>
        <w:t>AUTO 234/2007, de 7 de mayo de 2007</w:t>
      </w:r>
    </w:p>
    <w:bookmarkEnd w:id="98"/>
    <w:p w:rsidR="008B3772" w:rsidRDefault="008B3772" w:rsidP="008B3772">
      <w:pPr>
        <w:pStyle w:val="TtuloResolucin"/>
      </w:pPr>
      <w:r>
        <w:t>Sección Tercera</w:t>
      </w:r>
    </w:p>
    <w:p w:rsidR="008B3772" w:rsidRDefault="008B3772" w:rsidP="008B3772">
      <w:pPr>
        <w:pStyle w:val="TtuloResolucin"/>
      </w:pPr>
    </w:p>
    <w:p w:rsidR="008B3772" w:rsidRDefault="008B3772" w:rsidP="008B3772">
      <w:pPr>
        <w:pStyle w:val="SntesisDescriptiva"/>
      </w:pPr>
      <w:r>
        <w:t>ECLI:ES:TC:2007:234A</w:t>
      </w:r>
    </w:p>
    <w:p w:rsidR="008B3772" w:rsidRDefault="008B3772" w:rsidP="008B3772">
      <w:pPr>
        <w:pStyle w:val="SntesisDescriptiva"/>
      </w:pPr>
    </w:p>
    <w:p w:rsidR="008B3772" w:rsidRDefault="008B3772" w:rsidP="008B3772">
      <w:pPr>
        <w:pStyle w:val="SntesisDescriptiva"/>
      </w:pPr>
      <w:r>
        <w:t>Excms. Srs. don Guillermo Jiménez Sánchez, don Eugeni Gay Montalvo y don Pascual Sala Sánchez.</w:t>
      </w:r>
    </w:p>
    <w:p w:rsidR="008B3772" w:rsidRDefault="008B3772" w:rsidP="008B3772">
      <w:pPr>
        <w:pStyle w:val="SntesisDescriptiva"/>
      </w:pPr>
    </w:p>
    <w:p w:rsidR="008B3772" w:rsidRDefault="008B3772" w:rsidP="008B3772">
      <w:pPr>
        <w:pStyle w:val="SntesisDescriptiva"/>
      </w:pPr>
      <w:r>
        <w:t>Desestima el recurso de súplica sobre inadmisión del recurso de amparo 4226-2006, promovido por don Antonio Serrano-Arnal y Domper en contencioso sobre sanción disciplinaria judicial.</w:t>
      </w:r>
    </w:p>
    <w:p w:rsidR="008B3772" w:rsidRDefault="008B3772" w:rsidP="008B3772">
      <w:pPr>
        <w:pStyle w:val="SntesisDescriptiva"/>
      </w:pPr>
    </w:p>
    <w:p w:rsidR="008B3772" w:rsidRDefault="008B3772" w:rsidP="008B3772">
      <w:pPr>
        <w:pStyle w:val="SntesisAnaltica"/>
      </w:pPr>
      <w:r>
        <w:t>Recurso de súplica contra Autos del Tribunal Constitucional: no procede contra Auto de inadmisión.</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presentado el día 12 de abril de 2006 en el Registro General de este Tribunal el Procurador de los Tribunales don Evencio Conde de Gregorio, asistido del Abogado don Carlos Cuenca Perona, interpuso recurso de amparo en nombre y representación de don Antonio Serrano-Arnal y Domper contra la Sentencia de la Sección Séptima de la Sala de lo Contencioso-Administrativo del Tribunal Supremo de 28 de septiembre de 2005, que estimó en parte el recurso contencioso-administrativo núm. 213-2003 promovido contra el acuerdo de 11 de junio de 2003 del Consejo General del Poder Judicial que había impuesto a su representado la sanción disciplinaria de suspensión de funciones por tiempo de tres meses.</w:t>
      </w:r>
    </w:p>
    <w:p w:rsidR="008B3772" w:rsidRDefault="008B3772" w:rsidP="008B3772">
      <w:pPr>
        <w:pStyle w:val="TextoNormal"/>
      </w:pPr>
    </w:p>
    <w:p w:rsidR="008B3772" w:rsidRDefault="008B3772" w:rsidP="008B3772">
      <w:pPr>
        <w:pStyle w:val="TextoNormal"/>
      </w:pPr>
      <w:r w:rsidRPr="008B3772">
        <w:rPr>
          <w:rStyle w:val="NumeroAFNegritaCaracter"/>
        </w:rPr>
        <w:t>2</w:t>
      </w:r>
      <w:r>
        <w:t>. La Sección Tercera de este Tribunal, mediante providencia de 22 de mayo de 2006, acordó por unanimidad inadmitir a trámite el recurso de amparo por apreciar que había sido interpuesto fuera del plazo legal, en virtud de lo dispuesto en el art. 50.1 a) LOTC en relación con el 44.2 de la misma Ley Orgánica, pues la Sentencia que se pretendía impugnar había sido notificada a la representación procesal del demandante el día 10 de octubre de 2005, en tanto que la demanda de amparo había tenido entrada en este Tribunal el 12 de abril de 2006, sin que el plazo de caducidad de veinte días hábiles establecido en el art. 44.2 LOTC pudiera considerarse interrumpido por la notificación personal al interesado, que no sólo estuvo representado ante el Tribunal Supremo por un Procurador sino que, además, gozó de la asistencia de Abogado.</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Contra la providencia de inadmisión de la demanda de amparo interpuso recurso de súplica el Ministerio Fiscal. Después de manifestar su conocimiento y acatamiento de la doctrina de este Tribunal acerca de que el plazo establecido en el art. 44.2 LOTC no puede considerarse interrumpido por la notificación personal de la resolución impugnada al interesado, alega no obstante que en el caso concurrían dos extremos fácticos de interés, como </w:t>
      </w:r>
      <w:r>
        <w:lastRenderedPageBreak/>
        <w:t>eran el de que el demandante se encontraba ausente de su domicilio disfrutando de permiso oficial cuando la Sentencia fue notificada al Procurador que le representaba y el de que, alegada dicha circunstancia ante la Sala de lo Contencioso- Administrativo del Tribunal Supremo con expresa referencia al propósito de interponer recurso de amparo, ésta accedió a la petición de notificar personalmente la Sentencia. Estas dos circunstancias, junto con la especial naturaleza de la resolución recurrida, que versa sobre una sanción disciplinaria, mueven al Fiscal, según indica en su escrito, a presentar las alegaciones a que se acaba de hacer referencia, por si este Tribunal estima pertinente la reconsideración de la inadmisión del recurso de amparo acordada en nuestra providencia. Al recurso de súplica se acompaña copia de la documentación remitida por el demandante de amparo al Ministerio Fiscal.</w:t>
      </w:r>
    </w:p>
    <w:p w:rsidR="008B3772" w:rsidRDefault="008B3772" w:rsidP="008B3772">
      <w:pPr>
        <w:pStyle w:val="TextoNormal"/>
      </w:pPr>
    </w:p>
    <w:p w:rsidR="008B3772" w:rsidRDefault="008B3772" w:rsidP="008B3772">
      <w:pPr>
        <w:pStyle w:val="TextoNormal"/>
      </w:pPr>
      <w:r w:rsidRPr="008B3772">
        <w:rPr>
          <w:rStyle w:val="NumeroAFNegritaCaracter"/>
        </w:rPr>
        <w:t>4</w:t>
      </w:r>
      <w:r>
        <w:t>. Por diligencia de ordenación de 4 de julio de 2006 se acordó dar traslado del recurso de súplica a la representación procesal del demandante de amparo para que, de conformidad con el art. 93.2 LOTC, alegara en el plazo de tres días lo que a su derecho conviniera.</w:t>
      </w:r>
    </w:p>
    <w:p w:rsidR="008B3772" w:rsidRDefault="008B3772" w:rsidP="008B3772">
      <w:pPr>
        <w:pStyle w:val="TextoNormal"/>
      </w:pPr>
    </w:p>
    <w:p w:rsidR="008B3772" w:rsidRDefault="008B3772" w:rsidP="008B3772">
      <w:pPr>
        <w:pStyle w:val="TextoNormal"/>
      </w:pPr>
      <w:r w:rsidRPr="008B3772">
        <w:rPr>
          <w:rStyle w:val="NumeroAFNegritaCaracter"/>
        </w:rPr>
        <w:t>5</w:t>
      </w:r>
      <w:r>
        <w:t>. Mediante escrito presentado el 13 de julio de 2006 el Procurador de los Tribunales don Evencio Conde de Gregorio, en nombre del demandante de amparo, manifestó su conformidad con la petición del Ministerio Fiscal.</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Como es sabido la apreciación de la concurrencia de defectos insubsanables en la demanda de amparo [art. 50.1 a) LOTC] se efectúa de oficio y determina la inadmisión de la misma, que se produce ordinariamente mediante providencia de Sección, si tal concurrencia se aprecia por unanimidad, sin más trámite y sólo a la luz de lo alegado en la propia demanda. Dado que la inadmisión del recurso puede ser adoptada por medio de providencia y a la vista sólo de la demanda y de los documentos que la acompañan hemos declarado que, como es obvio, “corresponde al recurrente (y no a este Tribunal) aportar, justificar y documentar debidamente el cumplimiento de todos y cada uno de los requisitos procesales que comporta la formulación de una demanda de amparo” (ATC 2/1991, de 14 de enero, FJ 2; en el mismo sentido, AATC 331/1997, de 3 de octubre, FJ 2; 46/2004 de 10 de febrero, FJ 2, y 47/2007, de 13 de febrero, FJ 4). En otras palabras, compete al recurrente, no sólo afirmar razonadamente el cumplimiento de los requisitos procesales de admisión del recurso de amparo, sino también aportar al Tribunal los elementos de convicción mínimos que permiten corroborar sus afirmaciones y hacerlo precisamente en la demanda de amparo.</w:t>
      </w:r>
    </w:p>
    <w:p w:rsidR="008B3772" w:rsidRDefault="008B3772" w:rsidP="008B3772">
      <w:pPr>
        <w:pStyle w:val="TextoNormal"/>
      </w:pPr>
      <w:r>
        <w:t xml:space="preserve">Entre esos requisitos se encuentra el de la presentación de la demanda dentro del plazo legalmente establecido. Aunque en el apartado tercero del capítulo de antecedentes de hecho de la demanda de amparo, inadmitida en la providencia contra la que se alza el Fiscal, se indicaba que la Sentencia impugnada había sido notificada personalmente al recurrente el día 23 de marzo de 2003, en el mismo lugar se efectuaba una remisión a la fotocopia de la resolución judicial unida a la demanda como documento núm.  3, documento en el que consta, en dos ocasiones, el día 10 de octubre de 2003 como fecha de notificación de la Sentencia del Tribunal Supremo. Ninguna referencia se hace en la demanda de amparo a la circunstancia, alegada por el Fiscal en su recurso de súplica, de que en esa fecha el recurrente, miembro de la Carrera judicial, se encontrara disfrutando de un permiso oficial, ni a la eventual trascendencia de ese hecho. A la vista de lo expuesto es claro que el recurso de súplica no puede prosperar, pues la providencia objeto del mismo inadmitió el recurso de </w:t>
      </w:r>
      <w:r>
        <w:lastRenderedPageBreak/>
        <w:t>amparo aplicando una causa legal de inadmisibilidad a lo que resultaba de la demanda y de los documentos unidos a ella, sin que pueda aceptarse que el recurso de súplica del Fiscal a que se refiere el art. 50.2 LOTC se utilice para subsanar eventuales deficiencias de la demanda, que es el “acto único de interposición” (ATC 209/2003, de 30 de junio, fundamento jurídico único) del recurso de amparo.</w:t>
      </w:r>
    </w:p>
    <w:p w:rsidR="008B3772" w:rsidRDefault="008B3772" w:rsidP="008B3772">
      <w:pPr>
        <w:pStyle w:val="TextoNormal"/>
      </w:pPr>
    </w:p>
    <w:p w:rsidR="008B3772" w:rsidRDefault="008B3772" w:rsidP="008B3772">
      <w:pPr>
        <w:pStyle w:val="TextoNormal"/>
      </w:pPr>
      <w:r w:rsidRPr="008B3772">
        <w:rPr>
          <w:rStyle w:val="NumeroAFNegritaCaracter"/>
        </w:rPr>
        <w:t>2</w:t>
      </w:r>
      <w:r>
        <w:t>. A la vista, sin embargo, de que no es imputable al Ministerio Fiscal, que promueve la súplica contra la providencia de inadmisión, la ausencia de argumentos de que adolece la demanda de amparo en cuanto al término inicial del cómputo del plazo para presentarla, ha de añadirse, además, que en todo caso su recurso no puede prosperar.</w:t>
      </w:r>
    </w:p>
    <w:p w:rsidR="008B3772" w:rsidRDefault="008B3772" w:rsidP="008B3772">
      <w:pPr>
        <w:pStyle w:val="TextoNormal"/>
      </w:pPr>
      <w:r>
        <w:t>En efecto, ninguna de las tres circunstancias que se alegan justifica que este Tribunal se aparte de su reiterada doctrina, según la cual el plazo para la interposición del recurso de amparo, establecido en los arts. 43.2 y 44.2 LOTC en veinte días a partir de la notificación de la resolución recaída en el proceso judicial, es un plazo de caducidad que, por importantes razones de seguridad jurídica y de igualdad en la aplicación de la ley, no puede quedar al arbitrio de las partes ni ser objeto de prórrogas artificiales. Según esa misma doctrina la notificación a la representación procesal de la parte en la vía judicial surte plenos efectos para el inicio del cómputo de dicho plazo de veinte días, con independencia de la existencia o no de notificación personal al interesado y del momento en que ésta se produzca (STC 56/2006, de 27 de febrero, FJ único, entre otras). En efecto, la circunstancia de que el Tribunal Supremo accediera a notificar personalmente la Sentencia al hoy demandante de amparo, después de habérsela notificado al Procurador que le representaba, está descartada en la doctrina que acaba de exponerse. El hecho de que el demandante se encontrara, según alega el Fiscal, ausente de su domicilio disfrutando de un permiso oficial, es un dato indiferente a efectos de la determinación de la fecha de inicio del plazo que nos ocupa, toda vez que la notificación de la Sentencia no tenía que efectuarse en el domicilio del demandante, sino en la persona de su Procurador y en el servicio a que se refiere el art. 272 LOPJ, de modo que su recepción por ese servicio “producirá plenos efectos”, según establece el precepto citado. Con arreglo al art. 28.1 LEC, de aplicación supletoria en el orden contencioso-administrativo, el Procurador oirá y firmará las notificaciones de todas clases, incluso las de sentencias, que se refieran a su parte, con “la misma fuerza que si interviniera en ellas directamente el poderdante”. En fin, la circunstancia de que se recurra en amparo una sanción disciplinaria es también irrelevante; las razones de igualdad y de seguridad jurídica a que antes hemos hecho referencia nos impiden discriminar, a los efectos pretendidos en el recurso de súplica, entre el contenido de los actos de los poderes públicos que se recurren en amparo (todos ellos, por definición, desfavorables para los recurrentes). La doctrina que sitúa el dies a quo del plazo para interponer el recurso de amparo en la fecha en que la resolución judicial impugnada (o que pone fin a la vía judicial contra actos de las Administraciones públicas) es notificada al representante procesal no ha sido atemperada (o “reconsiderada”, según interesa el Fiscal) en supuestos en que se impugnaban ante nosotros condenas penales (caso  de las SSTC 56/2006, de 27 de febrero, y 88/2006, de 27 de marzo, entre otras), actos objetivamente más gravosos que la sanción disciplinaria impuesta al demandante de amparo.</w:t>
      </w:r>
    </w:p>
    <w:p w:rsidR="008B3772" w:rsidRDefault="008B3772" w:rsidP="008B3772">
      <w:pPr>
        <w:pStyle w:val="TextoNormal"/>
      </w:pPr>
    </w:p>
    <w:p w:rsidR="008B3772" w:rsidRDefault="008B3772" w:rsidP="008B3772">
      <w:pPr>
        <w:pStyle w:val="TextoNormal"/>
      </w:pPr>
      <w:r>
        <w:t>Por lo expuesto, la Sección</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Desestimar el recurso de súplica interpuesto por el Ministerio Fiscal y, en consecuencia, confirmar en su integridad la providencia de 23 de mayo de 2006, mediante la que esta misma Sección acordó la inadmisión del recurso de amparo núm. 4226-2006.</w:t>
      </w:r>
    </w:p>
    <w:p w:rsidR="008B3772" w:rsidRDefault="008B3772" w:rsidP="008B3772">
      <w:pPr>
        <w:pStyle w:val="TextoNormal"/>
      </w:pPr>
    </w:p>
    <w:p w:rsidR="008B3772" w:rsidRDefault="008B3772" w:rsidP="008B3772">
      <w:pPr>
        <w:pStyle w:val="TextoNormal"/>
      </w:pPr>
      <w:r>
        <w:t>Madrid, a siete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99" w:name="AUTO_2007_235"/>
      <w:r>
        <w:lastRenderedPageBreak/>
        <w:t>AUTO 235/2007, de 7 de mayo de 2007</w:t>
      </w:r>
    </w:p>
    <w:bookmarkEnd w:id="99"/>
    <w:p w:rsidR="008B3772" w:rsidRDefault="008B3772" w:rsidP="008B3772">
      <w:pPr>
        <w:pStyle w:val="TtuloResolucin"/>
      </w:pPr>
      <w:r>
        <w:t>Sala Segunda</w:t>
      </w:r>
    </w:p>
    <w:p w:rsidR="008B3772" w:rsidRDefault="008B3772" w:rsidP="008B3772">
      <w:pPr>
        <w:pStyle w:val="TtuloResolucin"/>
      </w:pPr>
    </w:p>
    <w:p w:rsidR="008B3772" w:rsidRDefault="008B3772" w:rsidP="008B3772">
      <w:pPr>
        <w:pStyle w:val="SntesisDescriptiva"/>
      </w:pPr>
      <w:r>
        <w:t>ECLI:ES:TC:2007:235A</w:t>
      </w:r>
    </w:p>
    <w:p w:rsidR="008B3772" w:rsidRDefault="008B3772" w:rsidP="008B3772">
      <w:pPr>
        <w:pStyle w:val="SntesisDescriptiva"/>
      </w:pPr>
    </w:p>
    <w:p w:rsidR="008B3772" w:rsidRDefault="008B3772" w:rsidP="008B3772">
      <w:pPr>
        <w:pStyle w:val="SntesisDescriptiva"/>
      </w:pPr>
      <w:r>
        <w:t>Excms. Srs. don Guillermo Jiménez Sánchez, don Vicente Conde Martín de Hijas, doña Elisa Pérez Vera, don Eugeni Gay Montalvo, don Ramón Rodríguez Arribas y don Pascual Sala Sánchez.</w:t>
      </w:r>
    </w:p>
    <w:p w:rsidR="008B3772" w:rsidRDefault="008B3772" w:rsidP="008B3772">
      <w:pPr>
        <w:pStyle w:val="SntesisDescriptiva"/>
      </w:pPr>
    </w:p>
    <w:p w:rsidR="008B3772" w:rsidRDefault="008B3772" w:rsidP="008B3772">
      <w:pPr>
        <w:pStyle w:val="SntesisDescriptiva"/>
      </w:pPr>
      <w:r>
        <w:t>Deniega la suspensión en el recurso de amparo 5590-2006, promovido por don Francisco Javier Tomás Puchol en relación con varias resoluciones de las Cortes Valencianas sobre el grupo mixto.</w:t>
      </w:r>
    </w:p>
    <w:p w:rsidR="008B3772" w:rsidRDefault="008B3772" w:rsidP="008B3772">
      <w:pPr>
        <w:pStyle w:val="SntesisDescriptiva"/>
      </w:pPr>
    </w:p>
    <w:p w:rsidR="008B3772" w:rsidRDefault="008B3772" w:rsidP="008B3772">
      <w:pPr>
        <w:pStyle w:val="SntesisAnaltica"/>
      </w:pPr>
      <w:r>
        <w:t>Suspensión de resoluciones de las Comunidades Autónomas: pérdida sobrevenida de objeto.</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xml:space="preserve">. Por escrito presentado en el Registro de este Tribunal el 23 de mayo de 2006 don Antonio del Castillo-Olivares Cebrián, Procurador de los Tribunales, en nombre y representación del Diputado autonómico de las Cortes Valencianas don Francisco Javier Tomás Puchol, formuló recurso de amparo constitucional contra la Resolución de carácter general núm. 5/VI, sobre derechos y deberes de los diputados que se incorporan al Grupo Mixto una vez iniciada la legislatura, contra las resoluciones de la Mesa de las Cortes Valencianas aplicando la anterior e inadmitiendo a trámite proposiciones no de ley de 23 de febrero y 9 de marzo de 2006, y contra la Resolución de 25 de abril de 2006 por la que no se reconocen las figuras de Asesor y de Jefe de prensa del Grupo Mixto. </w:t>
      </w:r>
    </w:p>
    <w:p w:rsidR="008B3772" w:rsidRDefault="008B3772" w:rsidP="008B3772">
      <w:pPr>
        <w:pStyle w:val="TextoNormal"/>
      </w:pPr>
      <w:r>
        <w:t>Mediante Otrosí dice el recurrente que, de conformidad con lo establecido en el art. 56 LOTC, considera que la referida Resolución debe quedar en suspenso, ya que, a escasos doce meses de las próximas elecciones autonómicas en la Comunidad Valenciana, la dilación de un procedimiento de estas características podría hacer perder al amparo su finalidad.</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Por providencia de 18 de septiembre de 2006 la Sección Tercera de este Tribunal acordó, de conformidad con lo dispuesto en el art. 50.3 LOTC, conceder a la parte demandante de amparo y al Ministerio Público plazo común de diez días para que formularan las alegaciones que estimasen pertinentes en relación con la causa de inadmisión de carencia manifiesta de contenido constitucional de la demanda [art. 50.1 c) LOTC] y la posible existencia de la vulneración del art. 50.1 a), en relación con el art. 42, ambos LOTC, por haberse presentado el recurso extemporáneamente respecto la Resolución de las Cortes Valencianas de 22 de diciembre de 2005. </w:t>
      </w:r>
    </w:p>
    <w:p w:rsidR="008B3772" w:rsidRDefault="008B3772" w:rsidP="008B3772">
      <w:pPr>
        <w:pStyle w:val="TextoNormal"/>
      </w:pPr>
      <w:r>
        <w:t xml:space="preserve">Evacuado el trámite por la representación procesal del demandante de amparo y el Fiscal, la Sala Segunda del Tribunal, de conformidad con lo dispuesto en el art. 11.2 LOTC, acordó, mediante providencias de 9 de enero de 2007, conocer del presente recurso de amparo y </w:t>
      </w:r>
      <w:r>
        <w:lastRenderedPageBreak/>
        <w:t>admitir a trámite la demanda presentada, así como formar pieza separada de suspensión y, conforme determina el art. 56 LOTC, conceder un plazo común de tres días a la parte recurrente, y al Ministerio Fiscal, para que alegaran lo que estimasen pertinente sobre dicha suspensión.</w:t>
      </w:r>
    </w:p>
    <w:p w:rsidR="008B3772" w:rsidRDefault="008B3772" w:rsidP="008B3772">
      <w:pPr>
        <w:pStyle w:val="TextoNormal"/>
      </w:pPr>
    </w:p>
    <w:p w:rsidR="008B3772" w:rsidRDefault="008B3772" w:rsidP="008B3772">
      <w:pPr>
        <w:pStyle w:val="TextoNormal"/>
      </w:pPr>
      <w:r w:rsidRPr="008B3772">
        <w:rPr>
          <w:rStyle w:val="NumeroAFNegritaCaracter"/>
        </w:rPr>
        <w:t>3</w:t>
      </w:r>
      <w:r>
        <w:t>. Por escrito presentado en el Registro de este Tribunal el 17 de enero de 2007 presentó sus alegaciones la representación procesal del demandante de amparo. En ellas se recuerda que el 27 de mayo de 2007 están convocadas las elecciones a las Cortes Valencianas, con lo que el Grupo Parlamentario Mixto quedará disuelto en el mes de abril. Por ello mantener vigente la Resolución recurrida impediría al Diputado recurrente y a su Grupo ejercer con plenitud de competencias sus responsabilidades en un momento político importante. Una vez disueltas las Cortes Valencianas un posterior fallo judicial que concediera el amparo no tendría ninguna virtualidad, y el perjuicio ocasionado al demandante de amparo sería irreparable. Por todo ello debería decretarse la suspensión, instando a las Cortes Valencianas a respetar el ejercicio de las funciones básicas del Grupo Mixto, consistentes en tener la consideración de grupo parlamentario, con todas sus prerrogativas, a que se le permita nombrar un portavoz, con todas sus prerrogativas, y a que se le permita poder ejercer las mismas iniciativas que cualquier otro grupo parlamentario.</w:t>
      </w:r>
    </w:p>
    <w:p w:rsidR="008B3772" w:rsidRDefault="008B3772" w:rsidP="008B3772">
      <w:pPr>
        <w:pStyle w:val="TextoNormal"/>
      </w:pPr>
    </w:p>
    <w:p w:rsidR="008B3772" w:rsidRDefault="008B3772" w:rsidP="008B3772">
      <w:pPr>
        <w:pStyle w:val="TextoNormal"/>
      </w:pPr>
      <w:r w:rsidRPr="008B3772">
        <w:rPr>
          <w:rStyle w:val="NumeroAFNegritaCaracter"/>
        </w:rPr>
        <w:t>4</w:t>
      </w:r>
      <w:r>
        <w:t>. El 18 de enero de 2007 presentó sus alegaciones el Ministerio Público. En ellas se afirma que la suspensión de las resoluciones impugnadas, sobre todo en los términos que solicita el recurrente (reconocimiento de todos los derechos que le atribuye, según él, el Reglamento de la Cámara), supondría tanto como entrar en el fondo y, al menos, anticipar el sentido del fallo, o incluso quizá ir aún más lejos. Debe primar en la suspensión el interés público de la ejecución, en este caso de los Acuerdos parlamentarios, y la presunción de legalidad y veracidad de los mismos, así como el respeto que siempre merece la autonomía parlamentaria. En consecuencia considera que no procede acceder a la suspensión.</w:t>
      </w:r>
    </w:p>
    <w:p w:rsidR="008B3772" w:rsidRDefault="008B3772" w:rsidP="008B3772">
      <w:pPr>
        <w:pStyle w:val="TextoNormal"/>
      </w:pPr>
    </w:p>
    <w:p w:rsidR="008B3772" w:rsidRDefault="008B3772" w:rsidP="008B3772">
      <w:pPr>
        <w:pStyle w:val="TextoNormal"/>
      </w:pPr>
      <w:r w:rsidRPr="008B3772">
        <w:rPr>
          <w:rStyle w:val="NumeroAFNegritaCaracter"/>
        </w:rPr>
        <w:t>5</w:t>
      </w:r>
      <w:r>
        <w:t>. Por escrito que tuvo entrada en el Registro de este Tribunal el 12 de enero de 2007 el Abogado del Estado se personó en los autos, solicitando que se entiendan con dicha representación las actuaciones sucesivas.</w:t>
      </w:r>
    </w:p>
    <w:p w:rsidR="008B3772" w:rsidRDefault="008B3772" w:rsidP="008B3772">
      <w:pPr>
        <w:pStyle w:val="TextoNormal"/>
      </w:pPr>
    </w:p>
    <w:p w:rsidR="008B3772" w:rsidRDefault="008B3772" w:rsidP="008B3772">
      <w:pPr>
        <w:pStyle w:val="TextoNormal"/>
      </w:pPr>
      <w:r w:rsidRPr="008B3772">
        <w:rPr>
          <w:rStyle w:val="NumeroAFNegritaCaracter"/>
        </w:rPr>
        <w:t>6</w:t>
      </w:r>
      <w:r>
        <w:t xml:space="preserve">. El 30 de enero de 2007 presentó escrito el Letrado de las Cortes Valencianas, en representación de éstas, suplicando a la Sala que se las tenga por personadas en el presente recurso de amparo y que se tengan por remitidas la fotocopia adverada de las actuaciones correspondientes a la Resolución impugnada y las de los emplazamientos remitidos a los Grupos Parlamentarios de las Cortes en cumplimiento de lo previsto en el art. 51.2 LOTC. </w:t>
      </w:r>
    </w:p>
    <w:p w:rsidR="008B3772" w:rsidRDefault="008B3772" w:rsidP="008B3772">
      <w:pPr>
        <w:pStyle w:val="TextoNormal"/>
      </w:pPr>
      <w:r>
        <w:t>Mediante Otrosí afirma esta representación, respecto a la solicitud de suspensión formulada por el demandante de amparo, que no concurren los presupuestos fácticos sobre los que se sustenta, puesto que las elecciones se celebrarán, previsiblemente, el último domingo de mayo del año 2007, y las Cortes serán disueltas en los primeros días del mes de abril. Recuerda asimismo que ha de tenerse en cuenta que en fecha 21 de diciembre de 2006 fue aprobado por el Pleno un nuevo Reglamento de las Cortes, en el cual se establece una regulación completa del estatuto aplicable tanto al Grupo Mixto como a los Diputados no adscritos.</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7</w:t>
      </w:r>
      <w:r>
        <w:t>. Por diligencia de ordenación de 5 de febrero 2007 la Sala Segunda acordó tener por personados y partes en el procedimiento al Abogado del Estado y al Letrado de las Cortes Valencianas en las representaciones que ostentan, debiéndose entender con ellos ésta y las sucesivas actuaciones.</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art. 56.1 LOTC comienza estableciendo la regla de que la suspensión de la ejecución del acto de los poderes públicos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“tardía” y el restablecimiento en el derecho constitucional vulnerado ya no podría ser efectivo, sino “meramente ilusorio y nominal” (AATC 61/2000, de 28 de febrero, FJ 1; 18/2001, de 29 de enero, FJ 3; 161/2001, de 18 de junio, FJ 1, entre otros). Por ese motivo no accede este Tribunal, con carácter general y con algunas excepciones,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entre otros muchos).</w:t>
      </w:r>
    </w:p>
    <w:p w:rsidR="008B3772" w:rsidRDefault="008B3772" w:rsidP="008B3772">
      <w:pPr>
        <w:pStyle w:val="TextoNormal"/>
      </w:pPr>
      <w:r>
        <w:t>No basta, sin embargo, con que se cumpla con esa regla de que la falta de la suspensión haría perder al recurso de amparo su finalidad para que aquélla deba adoptarse necesariamente. El mismo art. 56.1 LOTC, después de establecer la regla ya indicada, remite a un juicio motivado de ponderación, en el que hay que enfrentar, por una parte, el perjuicio que se causaría al recurrente como consecuencia del mantenimiento de la eficacia de la resolución recurrida y, por otra, el perjuicio que causaría al interés público o a terceros la suspensión de la ejecución de aquélla.</w:t>
      </w:r>
    </w:p>
    <w:p w:rsidR="008B3772" w:rsidRDefault="008B3772" w:rsidP="008B3772">
      <w:pPr>
        <w:pStyle w:val="TextoNormal"/>
      </w:pPr>
    </w:p>
    <w:p w:rsidR="008B3772" w:rsidRDefault="008B3772" w:rsidP="008B3772">
      <w:pPr>
        <w:pStyle w:val="TextoNormal"/>
      </w:pPr>
      <w:r w:rsidRPr="008B3772">
        <w:rPr>
          <w:rStyle w:val="NumeroAFNegritaCaracter"/>
        </w:rPr>
        <w:t>2</w:t>
      </w:r>
      <w:r>
        <w:t>. Pero, en el caso que nos ocupa, a esas consideraciones generales sobre la pertinencia de la suspensión hay que añadir otras que se derivan de las circunstancias particulares sobrevenidas en el mismo y que obligan a plantearse si en el supuesto que analizamos resulta innecesario e inútil que el Tribunal se pronuncie sobre aquélla.</w:t>
      </w:r>
    </w:p>
    <w:p w:rsidR="008B3772" w:rsidRDefault="008B3772" w:rsidP="008B3772">
      <w:pPr>
        <w:pStyle w:val="TextoNormal"/>
      </w:pPr>
      <w:r>
        <w:t>Efectivamente, con posterioridad a la interposición del recurso por parte del demandante de amparo se han producido, al menos, dos circunstancias que alteran significativamente los términos en los que se plantean sus pretensiones. En primer lugar, el 1 de enero de 2007, de acuerdo con su disposición final primera, entró en vigor el nuevo Reglamento de las Cortes Valencianas, con una detallada regulación del Grupo Parlamentario Mixto y de la figura del Diputado no adscrito (arts. 25 a 29), que es la actualmente aplicable al Diputado don Francisco Javier Tomás Puchol, habiendo sustituido completamente a la normativa cuya suspensión se pretende en este recurso. De ello resulta que, en caso de acordar, como pide el demandante de amparo, la suspensión de la resolución que recurre, estaríamos suspendiendo la vigencia de una disposición que ya no la tiene, como consecuencia de la aprobación del nuevo Reglamento, aprobación que ha determinado la desaparición del objeto del presente incidente de suspensión.</w:t>
      </w:r>
    </w:p>
    <w:p w:rsidR="008B3772" w:rsidRDefault="008B3772" w:rsidP="008B3772">
      <w:pPr>
        <w:pStyle w:val="TextoNormal"/>
      </w:pPr>
      <w:r>
        <w:lastRenderedPageBreak/>
        <w:t>En segundo lugar, es preciso tener también en cuenta que el 3 de abril de 2007 se ha publicado en el BOE el Decreto 4/2007, de 2 de abril, del Presidente de la Generalitat Valenciana, de disolución de Les Corts elegidas el día 25 de mayo de 2003 y convocatoria de elecciones. Nos encontramos así con que el órgano en el que se desarrolla el conflicto que está en la base del presente recurso de amparo ya no existe, al haber sido disuelto, y que, además, el demandante, aunque sea miembro de la Diputación Permanente en representación del Grupo Mixto, ve prorrogado su mandato, como el resto de los miembros de la Diputación Permanente, exclusivamente en las materias que tienen que ver con la función atribuida a aquélla de velar “por los poderes de la Cámara” (art. 58 Reglamento de las Cortes Valencianas). Por todo ello la eventual suspensión de las resoluciones recurridas en el presente procedimiento no tendría ningún efecto sobre las facultades del demandante de amparo, que se encuentran en una situación de prorrogatio en la que no se contienen las que han sido objeto de controversia -presentación de proposiciones no de ley y nombramiento de asesores-, las cuales por otra parte han caducado con el final de la legislatura (art. 183 del Reglamento de las Cortes Valencianas).</w:t>
      </w:r>
    </w:p>
    <w:p w:rsidR="008B3772" w:rsidRDefault="008B3772" w:rsidP="008B3772">
      <w:pPr>
        <w:pStyle w:val="TextoNormal"/>
      </w:pPr>
    </w:p>
    <w:p w:rsidR="008B3772" w:rsidRDefault="008B3772" w:rsidP="008B3772">
      <w:pPr>
        <w:pStyle w:val="TextoNormal"/>
      </w:pPr>
      <w:r w:rsidRPr="008B3772">
        <w:rPr>
          <w:rStyle w:val="NumeroAFNegritaCaracter"/>
        </w:rPr>
        <w:t>3</w:t>
      </w:r>
      <w:r>
        <w:t>. De las circunstancias reseñadas en el apartado anterior se deduce indubitadamente que la eventual suspensión de las resoluciones impugnadas no tendría ningún efecto relevante sobre el conflicto planteado en el recurso, de modo que resultaría patentemente inútil. En consecuencia procede denegar la misma, desde el momento en que acordarla cuando ha desaparecido el objeto del incidente de suspensión, en modo alguno contribuiría a evitar un perjuicio que hiciese perder al amparo (cuya tramitación continúa)su finalidad (art.  56.1 LOTC).</w:t>
      </w:r>
    </w:p>
    <w:p w:rsidR="008B3772" w:rsidRDefault="008B3772" w:rsidP="008B3772">
      <w:pPr>
        <w:pStyle w:val="TextoNormal"/>
      </w:pPr>
    </w:p>
    <w:p w:rsidR="008B3772" w:rsidRDefault="008B3772" w:rsidP="008B3772">
      <w:pPr>
        <w:pStyle w:val="TextoNormal"/>
      </w:pPr>
      <w:r>
        <w:t>Por todo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No haber lugar a la suspensión solicitada.</w:t>
      </w:r>
    </w:p>
    <w:p w:rsidR="008B3772" w:rsidRDefault="008B3772" w:rsidP="008B3772">
      <w:pPr>
        <w:pStyle w:val="TextoNormal"/>
      </w:pPr>
    </w:p>
    <w:p w:rsidR="008B3772" w:rsidRDefault="008B3772" w:rsidP="008B3772">
      <w:pPr>
        <w:pStyle w:val="TextoNormal"/>
      </w:pPr>
      <w:r>
        <w:t>Madrid, a siete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00" w:name="AUTO_2007_236"/>
      <w:r>
        <w:lastRenderedPageBreak/>
        <w:t>AUTO 236/2007, de 7 de mayo de 2007</w:t>
      </w:r>
    </w:p>
    <w:bookmarkEnd w:id="100"/>
    <w:p w:rsidR="008B3772" w:rsidRDefault="008B3772" w:rsidP="008B3772">
      <w:pPr>
        <w:pStyle w:val="TtuloResolucin"/>
      </w:pPr>
      <w:r>
        <w:t>Sección Tercera</w:t>
      </w:r>
    </w:p>
    <w:p w:rsidR="008B3772" w:rsidRDefault="008B3772" w:rsidP="008B3772">
      <w:pPr>
        <w:pStyle w:val="TtuloResolucin"/>
      </w:pPr>
    </w:p>
    <w:p w:rsidR="008B3772" w:rsidRDefault="008B3772" w:rsidP="008B3772">
      <w:pPr>
        <w:pStyle w:val="SntesisDescriptiva"/>
      </w:pPr>
      <w:r>
        <w:t>ECLI:ES:TC:2007:236A</w:t>
      </w:r>
    </w:p>
    <w:p w:rsidR="008B3772" w:rsidRDefault="008B3772" w:rsidP="008B3772">
      <w:pPr>
        <w:pStyle w:val="SntesisDescriptiva"/>
      </w:pPr>
    </w:p>
    <w:p w:rsidR="008B3772" w:rsidRDefault="008B3772" w:rsidP="008B3772">
      <w:pPr>
        <w:pStyle w:val="SntesisDescriptiva"/>
      </w:pPr>
      <w:r>
        <w:t>Excms. Srs. don Guillermo Jiménez Sánchez, don Eugeni Gay Montalvo y don Pascual Sala Sánchez.</w:t>
      </w:r>
    </w:p>
    <w:p w:rsidR="008B3772" w:rsidRDefault="008B3772" w:rsidP="008B3772">
      <w:pPr>
        <w:pStyle w:val="SntesisDescriptiva"/>
      </w:pPr>
    </w:p>
    <w:p w:rsidR="008B3772" w:rsidRDefault="008B3772" w:rsidP="008B3772">
      <w:pPr>
        <w:pStyle w:val="SntesisDescriptiva"/>
      </w:pPr>
      <w:r>
        <w:t>Acuerda el desistimiento en el recurso de amparo 7281-2006, promovido por Lostal y Cia., S.A.</w:t>
      </w:r>
    </w:p>
    <w:p w:rsidR="008B3772" w:rsidRDefault="008B3772" w:rsidP="008B3772">
      <w:pPr>
        <w:pStyle w:val="SntesisDescriptiva"/>
      </w:pPr>
    </w:p>
    <w:p w:rsidR="008B3772" w:rsidRDefault="008B3772" w:rsidP="008B3772">
      <w:pPr>
        <w:pStyle w:val="TtuloResolucin"/>
      </w:pPr>
      <w:r>
        <w:t>*Este auto no incorpora doctrina constitucional.</w:t>
      </w:r>
    </w:p>
    <w:p w:rsidR="008B3772" w:rsidRDefault="008B3772">
      <w:pPr>
        <w:spacing w:after="160" w:line="259" w:lineRule="auto"/>
        <w:rPr>
          <w:rFonts w:ascii="Times New Roman" w:eastAsia="Times New Roman" w:hAnsi="Times New Roman" w:cs="Times New Roman"/>
          <w:b/>
          <w:sz w:val="24"/>
          <w:szCs w:val="24"/>
          <w:lang w:eastAsia="es-ES"/>
        </w:rPr>
      </w:pPr>
      <w:r>
        <w:br w:type="page"/>
      </w:r>
    </w:p>
    <w:p w:rsidR="008B3772" w:rsidRDefault="008B3772" w:rsidP="008B3772">
      <w:pPr>
        <w:pStyle w:val="TtuloResolucin"/>
      </w:pPr>
      <w:bookmarkStart w:id="101" w:name="AUTO_2007_237"/>
      <w:r>
        <w:lastRenderedPageBreak/>
        <w:t>AUTO 237/2007, de 9 de mayo de 2007</w:t>
      </w:r>
    </w:p>
    <w:bookmarkEnd w:id="101"/>
    <w:p w:rsidR="008B3772" w:rsidRDefault="008B3772" w:rsidP="008B3772">
      <w:pPr>
        <w:pStyle w:val="TtuloResolucin"/>
      </w:pPr>
      <w:r>
        <w:t>Sección Cuarta</w:t>
      </w:r>
    </w:p>
    <w:p w:rsidR="008B3772" w:rsidRDefault="008B3772" w:rsidP="008B3772">
      <w:pPr>
        <w:pStyle w:val="TtuloResolucin"/>
      </w:pPr>
    </w:p>
    <w:p w:rsidR="008B3772" w:rsidRDefault="008B3772" w:rsidP="008B3772">
      <w:pPr>
        <w:pStyle w:val="SntesisDescriptiva"/>
      </w:pPr>
      <w:r>
        <w:t>ECLI:ES:TC:2007:237A</w:t>
      </w:r>
    </w:p>
    <w:p w:rsidR="008B3772" w:rsidRDefault="008B3772" w:rsidP="008B3772">
      <w:pPr>
        <w:pStyle w:val="SntesisDescriptiva"/>
      </w:pPr>
    </w:p>
    <w:p w:rsidR="008B3772" w:rsidRDefault="008B3772" w:rsidP="008B3772">
      <w:pPr>
        <w:pStyle w:val="SntesisDescriptiva"/>
      </w:pPr>
      <w:r>
        <w:t>Excms. Srs. don Vicente Conde Martín de Hijas, doña Elisa Pérez Vera y don Ramón Rodríguez Arribas.</w:t>
      </w:r>
    </w:p>
    <w:p w:rsidR="008B3772" w:rsidRDefault="008B3772" w:rsidP="008B3772">
      <w:pPr>
        <w:pStyle w:val="SntesisDescriptiva"/>
      </w:pPr>
    </w:p>
    <w:p w:rsidR="008B3772" w:rsidRDefault="008B3772" w:rsidP="008B3772">
      <w:pPr>
        <w:pStyle w:val="SntesisDescriptiva"/>
      </w:pPr>
      <w:r>
        <w:t>Inadmite a trámite el recurso de amparo 7060-2004, promovido por doña María Eugenia de la Huerta Rojo en contencioso sobre disciplina urbanística.</w:t>
      </w:r>
    </w:p>
    <w:p w:rsidR="008B3772" w:rsidRDefault="008B3772" w:rsidP="008B3772">
      <w:pPr>
        <w:pStyle w:val="SntesisDescriptiva"/>
      </w:pPr>
    </w:p>
    <w:p w:rsidR="008B3772" w:rsidRDefault="008B3772" w:rsidP="008B3772">
      <w:pPr>
        <w:pStyle w:val="SntesisAnaltica"/>
      </w:pPr>
      <w:r>
        <w:t>Derecho a la tutela judicial efectiva: incongruencia de las sentencias, respetado. Incongruencia de las sentencias: incongruencia omisiva.</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presentado en el registro general de este Tribunal el 24 de noviembre de 2004 la recurrente, representada por el Procurador de los Tribunales don Ángel Luís Rodríguez Álvarez y asistida por el Letrado don Juan Pascual Cuellar Tórtola, formuló recurso de amparo contra las resoluciones judiciales citadas en el encabezamiento.</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Los hechos relevantes para el enjuiciamiento del presente recurso de amparo son los siguientes: </w:t>
      </w:r>
    </w:p>
    <w:p w:rsidR="008B3772" w:rsidRDefault="008B3772" w:rsidP="008B3772">
      <w:pPr>
        <w:pStyle w:val="TextoNormal"/>
      </w:pPr>
      <w:r>
        <w:t xml:space="preserve">a) Mediante Decreto de 3 de agosto de 1993 se concedió un plazo de dos meses a la recurrente para solicitar la legalización de las obras realizadas en la terraza del piso de su propiedad, que no solicitó porque el Decreto no fue notificado. Posteriormente, la Administración aprobó una orden de demolición de lo construido ilegalmente el 29 de agosto de 1994, que sí fue notificada pero la persona que la recogió se negó a firmar. La orden de demolición no fue impugnada por la recurrente. Sin embargo, la demandante sí impugnó mediante recurso contencioso-administrativo la orden de ejecución sustitutoria de la demolición de lo ilegalmente construido de 29 de enero de 1997. </w:t>
      </w:r>
    </w:p>
    <w:p w:rsidR="008B3772" w:rsidRDefault="008B3772" w:rsidP="008B3772">
      <w:pPr>
        <w:pStyle w:val="TextoNormal"/>
      </w:pPr>
      <w:r>
        <w:t xml:space="preserve">b) La Sentencia de 27 de junio de 2002 de la Sala de lo Contencioso-Administrativo del Tribunal Superior de Justicia de la Comunidad de Madrid desestimó el recurso contencioso- administrativo formulado por la demandante de amparo contra la orden de ejecución sustitutoria de la demolición. La recurrente adujo la nulidad de pleno derecho de todo el expediente administrativo, ya que el decreto que la emplazaba para solicitar la legalización de las obras, así como los actos administrativos posteriores, nunca fueron correctamente notificados a la demandante. La Sala desestimó el recurso contencioso-administrativo al considerar que de las actuaciones se deducía que, aunque no había constancia de la notificación del decreto inicial, no podía aceptarse que los otros intentos de notificación no hubieran surtido efecto, todo ello a la vista del expediente administrativo. Se desestimó la pretensión de prescripción de lo construido ilegalmente, así como la pretensión sobre la nulidad de todo </w:t>
      </w:r>
      <w:r>
        <w:lastRenderedPageBreak/>
        <w:t xml:space="preserve">el procedimiento administrativo por la indefensión generada que la Sala no aceptó. La Sentencia consideró que la orden de ejecución sustitutoria era consecuencia de la firmeza de la orden de demolición, que era un acto firme y consentido. </w:t>
      </w:r>
    </w:p>
    <w:p w:rsidR="008B3772" w:rsidRDefault="008B3772" w:rsidP="008B3772">
      <w:pPr>
        <w:pStyle w:val="TextoNormal"/>
      </w:pPr>
      <w:r>
        <w:t>c) La demandante formuló recurso de casación contra la Sentencia de 27 de junio de 2002 del Tribunal Superior de Justicia de la Comunidad de Madrid que fue inadmitido por Auto de 16 de septiembre de 2004 del Tribunal Supremo, por aplicación de la disposición transitoria primera de la Ley 29/1998, de 13 de julio, de la jurisdicción contencioso-administrativa.</w:t>
      </w:r>
    </w:p>
    <w:p w:rsidR="008B3772" w:rsidRDefault="008B3772" w:rsidP="008B3772">
      <w:pPr>
        <w:pStyle w:val="TextoNormal"/>
      </w:pPr>
    </w:p>
    <w:p w:rsidR="008B3772" w:rsidRDefault="008B3772" w:rsidP="008B3772">
      <w:pPr>
        <w:pStyle w:val="TextoNormal"/>
      </w:pPr>
      <w:r w:rsidRPr="008B3772">
        <w:rPr>
          <w:rStyle w:val="NumeroAFNegritaCaracter"/>
        </w:rPr>
        <w:t>3</w:t>
      </w:r>
      <w:r>
        <w:t>. Se aduce en la demanda de amparo que la Sentencia impugnada vulneró el derecho fundamental de la recurrente a la tutela judicial efectiva sin indefensión (art. 24.1 CE). La Sentencia impugnada habría incurrido en incongruencia omisiva y falta de motivación produciendo indefensión a la demandante de amparo, todo ello por admitir que el Decreto de legalización de las obras de 3 de agosto de 1993 no fue notificado a la recurrente y, sin embargo, estimar la orden de ejecución sustitutoria dictada por el Ayuntamiento de Madrid ajustada a Derecho, cuando lo primero era un defecto insubsanable que le impidió solicitar la legalización de las obras mediante la solicitud de la oportuna licencia. La incongruencia omisiva y falta de motivación tiene lugar, de acuerdo con lo alegado en la demanda de amparo, porque la Sentencia no dedica ningún razonamiento a dar respuesta fundada en Derecho sobre la repercusión que la ineficacia del Decreto de legalización no notificado tuvo sobre el derecho de la demandante a solicitar la legalización de las obras ejecutadas.</w:t>
      </w:r>
    </w:p>
    <w:p w:rsidR="008B3772" w:rsidRDefault="008B3772" w:rsidP="008B3772">
      <w:pPr>
        <w:pStyle w:val="TextoNormal"/>
      </w:pPr>
    </w:p>
    <w:p w:rsidR="008B3772" w:rsidRDefault="008B3772" w:rsidP="008B3772">
      <w:pPr>
        <w:pStyle w:val="TextoNormal"/>
      </w:pPr>
      <w:r w:rsidRPr="008B3772">
        <w:rPr>
          <w:rStyle w:val="NumeroAFNegritaCaracter"/>
        </w:rPr>
        <w:t>4</w:t>
      </w:r>
      <w:r>
        <w:t>. Por providencia de 13 de junio de 2006 la Sección Cuarta, Sala Segunda de este Tribunal, acordó la apertura del trámite previsto en el art. 50. 3 LOTC, concediendo al demandante de amparo y al Ministerio Fiscal plazo común de diez días para la formulación de alegaciones y para las aportaciones documentales que estimaran pertinentes en relación con la carencia manifiesta de contenido constitucional de la demanda de amparo (art. 50.1 c) LOTC).</w:t>
      </w:r>
    </w:p>
    <w:p w:rsidR="008B3772" w:rsidRDefault="008B3772" w:rsidP="008B3772">
      <w:pPr>
        <w:pStyle w:val="TextoNormal"/>
      </w:pPr>
    </w:p>
    <w:p w:rsidR="008B3772" w:rsidRDefault="008B3772" w:rsidP="008B3772">
      <w:pPr>
        <w:pStyle w:val="TextoNormal"/>
      </w:pPr>
      <w:r w:rsidRPr="008B3772">
        <w:rPr>
          <w:rStyle w:val="NumeroAFNegritaCaracter"/>
        </w:rPr>
        <w:t>5</w:t>
      </w:r>
      <w:r>
        <w:t>. Mediante escrito registrado en este Tribunal el 3 de julio de 2006 presentó alegaciones la demandante de amparo en relación con la posible carencia manifiesta de contenido constitucional de la demanda de amparo. Alega la recurrente que el procedimiento de restauración de la legalidad urbanística iniciado por el Decreto de 3 de agosto de 1993 caducó antes de que se dictase el Decreto de 29 de agosto de 1994, que ordenaba la demolición de lo construido sin licencia, porque habían transcurrido trece meses y dos días cuando el plazo máximo de resolución es de seis meses, de acuerdo con lo dispuesto en los arts. 44. 2 y 92 de la Ley de procedimiento administrativo común, o de diez meses, de acuerdo con las Leyes 8/1999 de adecuación de la Comunidad de Madrid o la vigente Ley 9/2001 (art. 194.7). Además, la recurrente alega que la caducidad del procedimiento determinaría la ineficacia de las actuaciones posteriores con la prescripción de la infracción cometida por el transcurso de cuatro años (art. 236 de la Ley del suelo de la Comunidad de Madrid). Según la demandante de amparo, la prescripción de la infracción otorga contenido constitucional a la demanda de amparo, porque la Sentencia impugnada, al no apreciarla, vulneró el derecho fundamental a la tutela judicial efectiva (art. 24.1 CE) e, incluso, el principio de legalidad (art. 25.1 CE).</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6</w:t>
      </w:r>
      <w:r>
        <w:t>. Por escrito registrado en este Tribunal el 5 de julio de 2006 el Ministerio Fiscal interesó la suspensión del plazo concedido hasta que se aportara el expediente administrativo.</w:t>
      </w:r>
    </w:p>
    <w:p w:rsidR="008B3772" w:rsidRDefault="008B3772" w:rsidP="008B3772">
      <w:pPr>
        <w:pStyle w:val="TextoNormal"/>
      </w:pPr>
    </w:p>
    <w:p w:rsidR="008B3772" w:rsidRDefault="008B3772" w:rsidP="008B3772">
      <w:pPr>
        <w:pStyle w:val="TextoNormal"/>
      </w:pPr>
      <w:r w:rsidRPr="008B3772">
        <w:rPr>
          <w:rStyle w:val="NumeroAFNegritaCaracter"/>
        </w:rPr>
        <w:t>7</w:t>
      </w:r>
      <w:r>
        <w:t>. Por providencia de 11 de julio de 2006 se acordó otorgar la suspensión solicitada del plazo concedido para efectuar las alegaciones y, a tenor de lo previsto en el art. 50.3 LOTC, requerir a la Gerencia Municipal de Urbanismo del Ayuntamiento de Madrid a fin de que remitan testimonio del expediente administrativo núm. 711/93/13255.</w:t>
      </w:r>
    </w:p>
    <w:p w:rsidR="008B3772" w:rsidRDefault="008B3772" w:rsidP="008B3772">
      <w:pPr>
        <w:pStyle w:val="TextoNormal"/>
      </w:pPr>
    </w:p>
    <w:p w:rsidR="008B3772" w:rsidRDefault="008B3772" w:rsidP="008B3772">
      <w:pPr>
        <w:pStyle w:val="TextoNormal"/>
      </w:pPr>
      <w:r w:rsidRPr="008B3772">
        <w:rPr>
          <w:rStyle w:val="NumeroAFNegritaCaracter"/>
        </w:rPr>
        <w:t>8</w:t>
      </w:r>
      <w:r>
        <w:t>. Por providencia de 24 de octubre de 2006 la Sección Cuarta de este Tribunal acordó dar vista del expediente administrativo remitido por la Gerencia Municipal de Urbanismo del Ayuntamiento de Madrid y, de conformidad con lo dispuesto en el art. 50.3 LOTC, conceder a la parte demandante de amparo y al Ministerio fiscal el plazo común de diez días para que formulasen las alegaciones que estimasen pertinentes con las correspondientes aportaciones documentales en relación con la causa de inadmisión de carencia manifiesta de contenido constitucional de la demanda de amparo (art. 50.1 c) LOTC).</w:t>
      </w:r>
    </w:p>
    <w:p w:rsidR="008B3772" w:rsidRDefault="008B3772" w:rsidP="008B3772">
      <w:pPr>
        <w:pStyle w:val="TextoNormal"/>
      </w:pPr>
    </w:p>
    <w:p w:rsidR="008B3772" w:rsidRDefault="008B3772" w:rsidP="008B3772">
      <w:pPr>
        <w:pStyle w:val="TextoNormal"/>
      </w:pPr>
      <w:r w:rsidRPr="008B3772">
        <w:rPr>
          <w:rStyle w:val="NumeroAFNegritaCaracter"/>
        </w:rPr>
        <w:t>9</w:t>
      </w:r>
      <w:r>
        <w:t>. Por escrito presentado en el registro general de este Tribunal el 17 de noviembre de 2006 presentó alegaciones el Ministerio Fiscal interesando la inadmisión de la demanda de amparo por carencia manifiesta de contenido constitucional (art. 50.1 c) LOTC). En síntesis, alega el Ministerio Público que la Sentencia recurrida no ha incurrido en incongruencia omisiva, ya que resuelve la cuestión plantada: la nulidad del acto directamente recurrido (Decreto de ejecución sustitutoria) a la vista de la ineficacia postulada de la notificación del Decreto de legalización de las obras. Aunque la Sentencia reconoce la ineficacia de la notificación del Decreto de legalización de las obras de ello no deriva la nulidad del Decreto de ejecución sustitutoria, ya que tanto éste como la orden de demolición de que trae causa fueron dictados y notificados conforme a Derecho sin que la recurrente formulase recurso contra la orden de demolición, que resultó consentida y firme. Este razonamiento de la Sentencia impugnada elimina, según alega el Ministerio Fiscal, cualquier duda sobre la supuesta incongruencia de la misma o su falta de motivación y, además, resulta razonable para el Ministerio Público que la Sala considerase notificada correctamente la orden de demolición teniendo en cuenta los términos en que está redactada la diligencia de notificación de la misma y los requisitos que exige el art. 59 de la Ley 30/1992, de 26 de noviembre, de régimen jurídico de las administraciones públicas y procedimiento administrativo común, para entender producida la notificación administrativa. Por lo expuesto, el Ministerio Fiscal interesa que, de acuerdo con lo dispuesto en los arts. 86.1º inciso segundo y 80 de la Ley Orgánica del Tribunal Constitucional en relación al art. 245 b) de la Ley Orgánica del Poder Judicial, se dicte auto inadmitiendo la demanda por falta de contenido constitucional.</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xml:space="preserve">. Se aduce en la demanda de amparo que la Sentencia de 27 de junio de 2002 de la Sección Segunda de la Sala de lo Contencioso-Administrativo del Tribunal Superior de Justicia de Madrid lesionó el derecho fundamental de la recurrente a la tutela judicial efectiva sin indefensión (art. 24.1 CE) al incurrir en incongruencia omisiva y falta de motivación, declarando conforme a Derecho la orden de ejecución sustitutoria de la demolición a pesar </w:t>
      </w:r>
      <w:r>
        <w:lastRenderedPageBreak/>
        <w:t>de la indefensión sufrida por la demandante de amparo en todo el procedimiento. La Sentencia declaró la ineficacia de la notificación del Decreto de 3 de agosto de 1993 de legalización de las obras realizadas sin licencia pero no declaró nula la orden de ejecución sustitutoria impugnada por la recurrente, de ahí la supuesta incongruencia y falta de motivación de la Sentencia impugnada. El Auto de 16 de septiembre de 2004 de la Sala de lo Contencioso-Administrativo del Tribunal Supremo sólo es impugnado en la medida que al inadmitir el recurso de casación confirmó la Sentencia impugnada.</w:t>
      </w:r>
    </w:p>
    <w:p w:rsidR="008B3772" w:rsidRDefault="008B3772" w:rsidP="008B3772">
      <w:pPr>
        <w:pStyle w:val="TextoNormal"/>
      </w:pPr>
    </w:p>
    <w:p w:rsidR="008B3772" w:rsidRDefault="008B3772" w:rsidP="008B3772">
      <w:pPr>
        <w:pStyle w:val="TextoNormal"/>
      </w:pPr>
      <w:r w:rsidRPr="008B3772">
        <w:rPr>
          <w:rStyle w:val="NumeroAFNegritaCaracter"/>
        </w:rPr>
        <w:t>2</w:t>
      </w:r>
      <w:r>
        <w:t>. única queja que podemos entrar a enjuiciar es la relativa a la supuesta lesión del derecho fundamental de la recurrente a la tutela judicial efectiva sin indefensión (art. 24.1 CE), porque la queja sobre la vulneración del principio de legalidad en materia administrativa sancionadora es extemporánea, ya que se formuló en el trámite de alegaciones y no en la demanda de amparo que, de acuerdo con la doctrina constitucional sobre el art. 49.1 LOTC, es “donde se fija el objeto procesal, definiendo y delimitando la pretensión, sin que sean viables las alteraciones introducidas con ulteriores alegaciones” (STC 20/2003, de 10 de febrero, FJ 2; 251/2005, de 10 de octubre, FJ 2).</w:t>
      </w:r>
    </w:p>
    <w:p w:rsidR="008B3772" w:rsidRDefault="008B3772" w:rsidP="008B3772">
      <w:pPr>
        <w:pStyle w:val="TextoNormal"/>
      </w:pPr>
    </w:p>
    <w:p w:rsidR="008B3772" w:rsidRDefault="008B3772" w:rsidP="008B3772">
      <w:pPr>
        <w:pStyle w:val="TextoNormal"/>
      </w:pPr>
      <w:r w:rsidRPr="008B3772">
        <w:rPr>
          <w:rStyle w:val="NumeroAFNegritaCaracter"/>
        </w:rPr>
        <w:t>3</w:t>
      </w:r>
      <w:r>
        <w:t>. Tribunal tiene declarado que la incongruencia omisiva se produce “cuando el órgano judicial deja sin contestar alguna de las cuestiones sometidas a su consideración por las partes, siempre que no quepa interpretar razonablemente el silencio judicial como una desestimación tácita cuya motivación pueda inducirse del conjunto de los razonamientos contenidos en la resolución” (SSTC 250/2005, de 10 de octubre, FJ 4; 4/2006, de 16 de enero, FJ 3; 85/2006, de 27 de marzo, FJ 5). En cuanto a la motivación de las resoluciones judiciales este Tribunal tiene declarado que consiste en “una exteriorización del razonamiento que conduce desde los hechos probados y las correspondientes consideraciones jurídicas al fallo, en los términos adecuados a la naturaleza y circunstancias concurrentes” (STC 123/1997, de 1 de julio, FJ 3; 196/2005, de 18 de julio, FJ 3).</w:t>
      </w:r>
    </w:p>
    <w:p w:rsidR="008B3772" w:rsidRDefault="008B3772" w:rsidP="008B3772">
      <w:pPr>
        <w:pStyle w:val="TextoNormal"/>
      </w:pPr>
    </w:p>
    <w:p w:rsidR="008B3772" w:rsidRDefault="008B3772" w:rsidP="008B3772">
      <w:pPr>
        <w:pStyle w:val="TextoNormal"/>
      </w:pPr>
      <w:r w:rsidRPr="008B3772">
        <w:rPr>
          <w:rStyle w:val="NumeroAFNegritaCaracter"/>
        </w:rPr>
        <w:t>4</w:t>
      </w:r>
      <w:r>
        <w:t>. En el caso de autos la Sentencia admitió la ineficacia de la notificación del Decreto de legalización de las obras de 3 de agosto de 1993 pero, de acuerdo con los datos que obraban en el expediente administrativo, no admitió la alegada prescripción de la infracción urbanística ni tampoco, como pretendía la recurrente, que de la ineficacia de la notificación del Decreto de legalización de las obras se derivase la nulidad de todo lo actuado.  La prescripción de la infracción aducida por la recurrente no fue aceptada porque la Sentencia declaró que de las pruebas solicitadas y aportadas (fotografía aérea en la que no se apreciaba que la obra estuviese terminada en la fecha de la fotografía y certificado solicitado a la empresa que llevó a efecto la obra con resultado infructuoso) no quedó acreditado la antigüedad de las obras por tiempo superior al plazo de cuatro años que exige el art. 23 de la Ley Territorial 4/1981 (fundamento de derecho segundo y tercero de la Sentencia impugnada).</w:t>
      </w:r>
    </w:p>
    <w:p w:rsidR="008B3772" w:rsidRDefault="008B3772" w:rsidP="008B3772">
      <w:pPr>
        <w:pStyle w:val="TextoNormal"/>
      </w:pPr>
      <w:r>
        <w:t xml:space="preserve">En cuanto a la nulidad de la orden de ejecución sustitutoria solicitada por la recurrente en base a la ineficacia de la notificación del Decreto de legalización, la Sentencia no la acepta declarando que la orden de ejecución sustitutoria es conforme a Derecho porque no estaba afectada por la ineficacia del Decreto de legalización. La orden de ejecución sustitutoria trae causa en el incumplimiento de la orden de demolición de 29 de agosto de 1994 que, de los datos que constaban en el expediente administrativo, la Sala consideró conforme a Derecho y notificada de acuerdo con lo establecido por el art. 59 de la Ley 30/1992, de 26 </w:t>
      </w:r>
      <w:r>
        <w:lastRenderedPageBreak/>
        <w:t>de noviembre, de régimen jurídico de las administraciones públicas y procedimiento administrativo común. Como la orden de demolición no fue impugnada por la recurrente, la Sentencia concluye que se trata de un acto firme y consentido que no puede atacarse impugnando posteriormente la orden de ejecución sustitutoria.</w:t>
      </w:r>
    </w:p>
    <w:p w:rsidR="008B3772" w:rsidRDefault="008B3772" w:rsidP="008B3772">
      <w:pPr>
        <w:pStyle w:val="TextoNormal"/>
      </w:pPr>
    </w:p>
    <w:p w:rsidR="008B3772" w:rsidRDefault="008B3772" w:rsidP="008B3772">
      <w:pPr>
        <w:pStyle w:val="TextoNormal"/>
      </w:pPr>
      <w:r w:rsidRPr="008B3772">
        <w:rPr>
          <w:rStyle w:val="NumeroAFNegritaCaracter"/>
        </w:rPr>
        <w:t>5</w:t>
      </w:r>
      <w:r>
        <w:t>. Por lo expuesto, debemos concluir que la Sentencia impugnada contiene un razonamiento sucinto pero suficiente a efectos de entender que se trata de una resolución congruente con las pretensiones de la recurrente y motivada. La Sentencia respondió de forma razonada y con motivación suficiente a las pretensiones formuladas por la recurrente aunque sin que ésta obtuviera una respuesta favorable a las mismas, lo que queda al margen del derecho fundamental a la tutela judicial efectiva sin indefensión (art. 24.1 CE) que, de acuerdo con la doctrina constitucional, garantiza una resolución de fondo, fundada en Derecho, motivada, razonable y congruente con las pretensiones de las partes con independencia de que ésta sea favorable o desfavorable a los intereses de la parte recurrente (SSTC 86/2000, de 27 de marzo, FJ 4; 243/2005, de 10 de octubre, FJ 3; 117/2006, de 24 de abril, FJ 3; 1/2007, de 15 de enero, FJ 2).</w:t>
      </w:r>
    </w:p>
    <w:p w:rsidR="008B3772" w:rsidRDefault="008B3772" w:rsidP="008B3772">
      <w:pPr>
        <w:pStyle w:val="TextoNormal"/>
      </w:pPr>
      <w:r>
        <w:t>Por lo expuesto procede declarar la inadmisión del recurso de amparo por carencia manifiesta de contenido constitucional de la demanda de amparo (art. 50.1 c) LOTC).</w:t>
      </w:r>
    </w:p>
    <w:p w:rsidR="008B3772" w:rsidRDefault="008B3772" w:rsidP="008B3772">
      <w:pPr>
        <w:pStyle w:val="TextoNormal"/>
      </w:pPr>
    </w:p>
    <w:p w:rsidR="008B3772" w:rsidRDefault="008B3772" w:rsidP="008B3772">
      <w:pPr>
        <w:pStyle w:val="TextoNormal"/>
      </w:pPr>
      <w:r>
        <w:t>Por lo expuesto, la Sección</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Inadmitir el presente recurso de amparo interpuesto por doña Mª Eugenia de la Huerta Rojo.</w:t>
      </w:r>
    </w:p>
    <w:p w:rsidR="008B3772" w:rsidRDefault="008B3772" w:rsidP="008B3772">
      <w:pPr>
        <w:pStyle w:val="TextoNormal"/>
      </w:pPr>
    </w:p>
    <w:p w:rsidR="008B3772" w:rsidRDefault="008B3772" w:rsidP="008B3772">
      <w:pPr>
        <w:pStyle w:val="TextoNormal"/>
      </w:pPr>
      <w:r>
        <w:t>Madrid, a nueve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02" w:name="AUTO_2007_238"/>
      <w:r>
        <w:lastRenderedPageBreak/>
        <w:t>AUTO 238/2007, de 10 de mayo de 2007</w:t>
      </w:r>
    </w:p>
    <w:bookmarkEnd w:id="102"/>
    <w:p w:rsidR="008B3772" w:rsidRDefault="008B3772" w:rsidP="008B3772">
      <w:pPr>
        <w:pStyle w:val="TtuloResolucin"/>
      </w:pPr>
      <w:r>
        <w:t>Sala Primera</w:t>
      </w:r>
    </w:p>
    <w:p w:rsidR="008B3772" w:rsidRDefault="008B3772" w:rsidP="008B3772">
      <w:pPr>
        <w:pStyle w:val="TtuloResolucin"/>
      </w:pPr>
    </w:p>
    <w:p w:rsidR="008B3772" w:rsidRDefault="008B3772" w:rsidP="008B3772">
      <w:pPr>
        <w:pStyle w:val="SntesisDescriptiva"/>
      </w:pPr>
      <w:r>
        <w:t>ECLI:ES:TC:2007:238A</w:t>
      </w:r>
    </w:p>
    <w:p w:rsidR="008B3772" w:rsidRDefault="008B3772" w:rsidP="008B3772">
      <w:pPr>
        <w:pStyle w:val="SntesisDescriptiva"/>
      </w:pPr>
    </w:p>
    <w:p w:rsidR="008B3772" w:rsidRDefault="008B3772" w:rsidP="008B3772">
      <w:pPr>
        <w:pStyle w:val="SntesisDescriptiva"/>
      </w:pPr>
      <w:r>
        <w:t>Excms. Srs. doña María Emilia Casas Baamonde, don Javier Delgado Barrio, don Roberto García-Calvo y Montiel, don Jorge Rodríguez-Zapata Pérez, don Manuel Aragón Reyes y don Pablo Pérez Tremps.</w:t>
      </w:r>
    </w:p>
    <w:p w:rsidR="008B3772" w:rsidRDefault="008B3772" w:rsidP="008B3772">
      <w:pPr>
        <w:pStyle w:val="SntesisDescriptiva"/>
      </w:pPr>
    </w:p>
    <w:p w:rsidR="008B3772" w:rsidRDefault="008B3772" w:rsidP="008B3772">
      <w:pPr>
        <w:pStyle w:val="SntesisDescriptiva"/>
      </w:pPr>
      <w:r>
        <w:t>Acuerda resolver en sentencia única el recurso de amparo electoral 4107-2007 y otros 23, promovidos por agrupaciones electorales sobre proclamación de candidaturas.</w:t>
      </w:r>
    </w:p>
    <w:p w:rsidR="008B3772" w:rsidRDefault="008B3772" w:rsidP="008B3772">
      <w:pPr>
        <w:pStyle w:val="SntesisDescriptiva"/>
      </w:pPr>
    </w:p>
    <w:p w:rsidR="008B3772" w:rsidRDefault="008B3772" w:rsidP="008B3772">
      <w:pPr>
        <w:pStyle w:val="SntesisAnaltica"/>
      </w:pPr>
      <w:r>
        <w:t>Acumulación de procesos constitucionales: acumulación de recursos de amparo electoral, procedencia.</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diversos escritos presentados en este Tribunal el 8 de mayo de 2007 se han interpuesto un total de veinticuatro demandas de amparo electoral, por parte de doscientas veintisiete agrupaciones electorales, contra la Sentencia de la Sala Especial del art. 61 LOPJ del Tribunal Supremo de 5 de mayo de 2007, dictada en los recursos contencioso-electorales acumulados núms. 1 y 2-2007, en la que se declararon no conformes a Derecho y se anularon los actos de proclamación de las candidaturas de estas agrupaciones para concurrir, según los casos, a las elecciones a Ayuntamientos, convocadas por Real Decreto 444/2007, de 31 de marzo; a las Juntas Generales de Álava, convocadas por Decreto Foral del Diputado General 79/2007, de 2 de abril; a las Juntas Generales de Vizcaya, Decreto Foral del Diputado General 179/2007, de 2 de abril; a las Juntas Generales de Guipúzcoa, convocadas por Decreto Foral 19/2007, de 2 de abril, y al Parlamento de Navarra, convocadas por Decreto Foral 4/2007, de 2 de abril, dando lugar a los recursos de amparo núms. 4107-2007, 4108-2007, 4109-2007, 4110- 2007, 4111-2007, 4112-2007, 4113-2007, 4114-2007, 4115-2007, 4116-2007, 4117-2007, 4118-2007, 4119-2007, 4120-2007, 4121-2007, 4122-2007, 4123-2007, 4124-2007, 4125- 2007, 4126-2007, 4127-2007, 4128-2007, 4129-2007 y 4216-2007.</w:t>
      </w:r>
    </w:p>
    <w:p w:rsidR="008B3772" w:rsidRDefault="008B3772" w:rsidP="008B3772">
      <w:pPr>
        <w:pStyle w:val="TextoNormal"/>
      </w:pPr>
    </w:p>
    <w:p w:rsidR="008B3772" w:rsidRDefault="008B3772" w:rsidP="008B3772">
      <w:pPr>
        <w:pStyle w:val="TextoNormal"/>
      </w:pPr>
      <w:r w:rsidRPr="008B3772">
        <w:rPr>
          <w:rStyle w:val="NumeroAFNegritaCaracter"/>
        </w:rPr>
        <w:t>2</w:t>
      </w:r>
      <w:r>
        <w:t>. Los recursos de amparo citados han sido tramitados de conformidad con lo dispuesto en el Acuerdo de 20 de enero de 2000, del Pleno del Tribunal Constitucional, por el que se aprueban normas sobre tramitación de los recursos de amparo a que se refiere la Ley Orgánica 5/1985, de 19 de junio, de régimen electoral general.</w:t>
      </w:r>
    </w:p>
    <w:p w:rsidR="008B3772" w:rsidRDefault="008B3772" w:rsidP="008B3772">
      <w:pPr>
        <w:pStyle w:val="TextoNormal"/>
      </w:pPr>
    </w:p>
    <w:p w:rsidR="008B3772" w:rsidRDefault="008B3772" w:rsidP="008B3772">
      <w:pPr>
        <w:pStyle w:val="TextoNormalNegritaCentrado"/>
        <w:keepNext/>
      </w:pPr>
      <w:r>
        <w:lastRenderedPageBreak/>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Los recursos de amparo en materia electoral se tramitan no sólo de acuerdo con la Ley Orgánica 2/1979, del Tribunal Constitucional, sino también, en desarrollo y acomodación de la misma, por el Acuerdo del Pleno de este Tribunal, de 20 de enero de</w:t>
      </w:r>
    </w:p>
    <w:p w:rsidR="008B3772" w:rsidRDefault="008B3772" w:rsidP="008B3772">
      <w:pPr>
        <w:pStyle w:val="TextoNormal"/>
      </w:pPr>
      <w:r>
        <w:t>2000 (BOE de 25 de enero), cuyo art. 1.1 dispone, en particular, que para la interposición u ordenación de tales recursos se estará, “en lo que resulte aplicable”, a lo prevenido, con carácter general, en aquella Ley Orgánica. En relación con ello, el</w:t>
      </w:r>
    </w:p>
    <w:p w:rsidR="008B3772" w:rsidRDefault="008B3772" w:rsidP="008B3772">
      <w:pPr>
        <w:pStyle w:val="TextoNormal"/>
      </w:pPr>
      <w:r>
        <w:t>citado Acuerdo dispone, para el recurso contra los acuerdos de las Juntas Electorales sobre proclamación de candidaturas y candidatos, que el Tribunal resolverá, “sin más trámite”, en el plazo de tres días, una vez deducidas las alegaciones de las partes</w:t>
      </w:r>
    </w:p>
    <w:p w:rsidR="008B3772" w:rsidRDefault="008B3772" w:rsidP="008B3772">
      <w:pPr>
        <w:pStyle w:val="TextoNormal"/>
      </w:pPr>
      <w:r>
        <w:t>y del Ministerio Fiscal.</w:t>
      </w:r>
    </w:p>
    <w:p w:rsidR="008B3772" w:rsidRDefault="008B3772" w:rsidP="008B3772">
      <w:pPr>
        <w:pStyle w:val="TextoNormal"/>
      </w:pPr>
      <w:r>
        <w:t>En el presente caso, al igual que sucediera en el supuesto planteado en el ATC 153/2003, de 8 de mayo, el elevado número de recursos de amparo interpuestos frente a la Sentencia de la Sala Especial del art. 61 LOPJ del Tribunal Supremo de 5 de mayo de 2007, dictada en los recursos contencioso-electorales acumulados núms. 1 y 2-2007, aconseja, una vez conclusa la tramitación separada de los diversos recursos admitidos a trámite, su resolución conjunta en una única Sentencia por parte de este Tribunal Constitucional, conveniencia que se ve reforzada ante las cuestiones comunes, o muy próximas, que suscitan unos y otros recursos de amparo y habida cuenta, en fin, de que todos ellos aparecen interpuestos contra la misma resolución judicial.</w:t>
      </w:r>
    </w:p>
    <w:p w:rsidR="008B3772" w:rsidRDefault="008B3772" w:rsidP="008B3772">
      <w:pPr>
        <w:pStyle w:val="TextoNormal"/>
      </w:pPr>
    </w:p>
    <w:p w:rsidR="008B3772" w:rsidRDefault="008B3772" w:rsidP="008B3772">
      <w:pPr>
        <w:pStyle w:val="TextoNormal"/>
      </w:pPr>
      <w:r>
        <w:t>En atención a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Resolver en Sentencia única los recursos de amparo núms. 4107-2007, 4108-2007, 4109- 2007, 4110-2007, 4111-2007, 4112-2007, 4113-2007, 4114-2007, 4115-2007, 4116-2007, 4117-2007, 4118-2007, 4119-2007, 4120-2007, 4121-2007, 4122-2007, 4123-2007,</w:t>
      </w:r>
    </w:p>
    <w:p w:rsidR="008B3772" w:rsidRDefault="008B3772" w:rsidP="008B3772">
      <w:pPr>
        <w:pStyle w:val="TextoNormal"/>
      </w:pPr>
      <w:r>
        <w:t>4124-2007, 4125-2007, 4126-2007, 4127-2007, 4128-2007, 4129-2007 y 4216-2007.</w:t>
      </w:r>
    </w:p>
    <w:p w:rsidR="008B3772" w:rsidRDefault="008B3772" w:rsidP="008B3772">
      <w:pPr>
        <w:pStyle w:val="TextoNormal"/>
      </w:pPr>
    </w:p>
    <w:p w:rsidR="008B3772" w:rsidRDefault="008B3772" w:rsidP="008B3772">
      <w:pPr>
        <w:pStyle w:val="TextoNormal"/>
      </w:pPr>
      <w:r>
        <w:t>Madrid, a diez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03" w:name="AUTO_2007_239"/>
      <w:r>
        <w:lastRenderedPageBreak/>
        <w:t>AUTO 239/2007, de 11 de mayo de 2007</w:t>
      </w:r>
    </w:p>
    <w:bookmarkEnd w:id="103"/>
    <w:p w:rsidR="008B3772" w:rsidRDefault="008B3772" w:rsidP="008B3772">
      <w:pPr>
        <w:pStyle w:val="TtuloResolucin"/>
      </w:pPr>
      <w:r>
        <w:t>Sala Primera</w:t>
      </w:r>
    </w:p>
    <w:p w:rsidR="008B3772" w:rsidRDefault="008B3772" w:rsidP="008B3772">
      <w:pPr>
        <w:pStyle w:val="TtuloResolucin"/>
      </w:pPr>
    </w:p>
    <w:p w:rsidR="008B3772" w:rsidRDefault="008B3772" w:rsidP="008B3772">
      <w:pPr>
        <w:pStyle w:val="SntesisDescriptiva"/>
      </w:pPr>
      <w:r>
        <w:t>ECLI:ES:TC:2007:239A</w:t>
      </w:r>
    </w:p>
    <w:p w:rsidR="008B3772" w:rsidRDefault="008B3772" w:rsidP="008B3772">
      <w:pPr>
        <w:pStyle w:val="SntesisDescriptiva"/>
      </w:pPr>
    </w:p>
    <w:p w:rsidR="008B3772" w:rsidRDefault="008B3772" w:rsidP="008B3772">
      <w:pPr>
        <w:pStyle w:val="SntesisDescriptiva"/>
      </w:pPr>
      <w:r>
        <w:t>Excms. Srs. doña María Emilia Casas Baamonde, don Javier Delgado Barrio, don Roberto García-Calvo y Montiel, don Jorge Rodríguez-Zapata Pérez, don Manuel Aragón Reyes y don Pablo Pérez Tremps.</w:t>
      </w:r>
    </w:p>
    <w:p w:rsidR="008B3772" w:rsidRDefault="008B3772" w:rsidP="008B3772">
      <w:pPr>
        <w:pStyle w:val="SntesisDescriptiva"/>
      </w:pPr>
    </w:p>
    <w:p w:rsidR="008B3772" w:rsidRDefault="008B3772" w:rsidP="008B3772">
      <w:pPr>
        <w:pStyle w:val="SntesisDescriptiva"/>
      </w:pPr>
      <w:r>
        <w:t>Acuerda la aclaración de la Sentencia 112/2007, de 10 de mayo, en el recurso de amparo electoral 4215-2007, promovido por el partido político Eusko Abertzale Ekintza-Acción Nacionalista Vasco.</w:t>
      </w:r>
    </w:p>
    <w:p w:rsidR="008B3772" w:rsidRDefault="008B3772" w:rsidP="008B3772">
      <w:pPr>
        <w:pStyle w:val="SntesisDescriptiva"/>
      </w:pPr>
    </w:p>
    <w:p w:rsidR="008B3772" w:rsidRDefault="008B3772" w:rsidP="008B3772">
      <w:pPr>
        <w:pStyle w:val="SntesisAnaltica"/>
      </w:pPr>
      <w:r>
        <w:t>Rectificación de resoluciones del TC: procede.</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pPr>
      <w:r>
        <w:t>I. Antecedentes</w:t>
      </w:r>
    </w:p>
    <w:p w:rsidR="008B3772" w:rsidRDefault="008B3772" w:rsidP="008B3772">
      <w:pPr>
        <w:pStyle w:val="TextoNormalNegritaCentrado"/>
      </w:pPr>
    </w:p>
    <w:p w:rsidR="008B3772" w:rsidRDefault="008B3772" w:rsidP="008B3772">
      <w:pPr>
        <w:pStyle w:val="TextoNormalNegritaCentrado"/>
      </w:pPr>
      <w:r>
        <w:t>II. Fundamentos jurídicos</w:t>
      </w:r>
    </w:p>
    <w:p w:rsidR="008B3772" w:rsidRDefault="008B3772" w:rsidP="008B3772">
      <w:pPr>
        <w:pStyle w:val="TextoNormalNegritaCentrado"/>
      </w:pPr>
    </w:p>
    <w:p w:rsidR="008B3772" w:rsidRDefault="008B3772" w:rsidP="008B3772">
      <w:pPr>
        <w:pStyle w:val="TextoNormal"/>
      </w:pPr>
      <w:r>
        <w:t>Por todo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La Sala, en su sesión del día de hoy, y advertido error en su Sentencia de ayer, día 10 de mayo, dictada en el proceso al margen referenciado, acuerda realizar la presente aclaración en el sentido de que no forma parte de la Sentencia el siguiente párrafo del fundamento jurídico 6:</w:t>
      </w:r>
    </w:p>
    <w:p w:rsidR="008B3772" w:rsidRDefault="008B3772" w:rsidP="008B3772">
      <w:pPr>
        <w:pStyle w:val="TextoNormal"/>
      </w:pPr>
    </w:p>
    <w:p w:rsidR="008B3772" w:rsidRDefault="008B3772" w:rsidP="008B3772">
      <w:pPr>
        <w:pStyle w:val="TextoNormal"/>
      </w:pPr>
      <w:r>
        <w:t>“ La disolución y hasta la suspensión de dicho partido en razón de esa sola circunstancia hubiera planteado quizás el problema de si cabría entenderla manifiestamente desproporcionada, aun cuando no pueda descartarse que, en unión de otras, pudiera llevar en su momento a esa última consecuencia. En cualquier caso, es evidente que el hecho de que esa solución radical se estimase hoy impracticable por quienes pudieran instarla o decidirla, no implica que no fuera obligado arbitrar otras, toda vez que la actividad defraudatoria intentada habría producido, de perfeccionarse, consecuencias de muy difícil reparación, pues la eventual disolución posterior del partido ahora legal no afectaría al mandato representativo de aquellos de sus candidatos que resultaran elegidos.”</w:t>
      </w:r>
    </w:p>
    <w:p w:rsidR="008B3772" w:rsidRDefault="008B3772" w:rsidP="008B3772">
      <w:pPr>
        <w:pStyle w:val="TextoNormal"/>
      </w:pPr>
    </w:p>
    <w:p w:rsidR="008B3772" w:rsidRDefault="008B3772" w:rsidP="008B3772">
      <w:pPr>
        <w:pStyle w:val="TextoNormal"/>
      </w:pPr>
      <w:r>
        <w:t>En consecuencia, se dicta el presente Auto de aclaración.</w:t>
      </w:r>
    </w:p>
    <w:p w:rsidR="008B3772" w:rsidRDefault="008B3772" w:rsidP="008B3772">
      <w:pPr>
        <w:pStyle w:val="TextoNormal"/>
      </w:pPr>
    </w:p>
    <w:p w:rsidR="008B3772" w:rsidRDefault="008B3772" w:rsidP="008B3772">
      <w:pPr>
        <w:pStyle w:val="TextoNormal"/>
      </w:pPr>
      <w:r>
        <w:t>Madrid, a once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04" w:name="AUTO_2007_240"/>
      <w:r>
        <w:lastRenderedPageBreak/>
        <w:t>AUTO 240/2007, de 14 de mayo de 2007</w:t>
      </w:r>
    </w:p>
    <w:bookmarkEnd w:id="104"/>
    <w:p w:rsidR="008B3772" w:rsidRDefault="008B3772" w:rsidP="008B3772">
      <w:pPr>
        <w:pStyle w:val="TtuloResolucin"/>
      </w:pPr>
      <w:r>
        <w:t>Sala Primera</w:t>
      </w:r>
    </w:p>
    <w:p w:rsidR="008B3772" w:rsidRDefault="008B3772" w:rsidP="008B3772">
      <w:pPr>
        <w:pStyle w:val="TtuloResolucin"/>
      </w:pPr>
    </w:p>
    <w:p w:rsidR="008B3772" w:rsidRDefault="008B3772" w:rsidP="008B3772">
      <w:pPr>
        <w:pStyle w:val="SntesisDescriptiva"/>
      </w:pPr>
      <w:r>
        <w:t>ECLI:ES:TC:2007:240A</w:t>
      </w:r>
    </w:p>
    <w:p w:rsidR="008B3772" w:rsidRDefault="008B3772" w:rsidP="008B3772">
      <w:pPr>
        <w:pStyle w:val="SntesisDescriptiva"/>
      </w:pPr>
    </w:p>
    <w:p w:rsidR="008B3772" w:rsidRDefault="008B3772" w:rsidP="008B3772">
      <w:pPr>
        <w:pStyle w:val="SntesisDescriptiva"/>
      </w:pPr>
      <w:r>
        <w:t>Excms. Srs. doña María Emilia Casas Baamonde, don Javier Delgado Barrio, don Manuel Aragón Reyes y don Pablo Pérez Tremps.</w:t>
      </w:r>
    </w:p>
    <w:p w:rsidR="008B3772" w:rsidRDefault="008B3772" w:rsidP="008B3772">
      <w:pPr>
        <w:pStyle w:val="SntesisDescriptiva"/>
      </w:pPr>
    </w:p>
    <w:p w:rsidR="008B3772" w:rsidRDefault="008B3772" w:rsidP="008B3772">
      <w:pPr>
        <w:pStyle w:val="SntesisDescriptiva"/>
      </w:pPr>
      <w:r>
        <w:t>Acuerda la rectificación de la Sentencia 114/2007, de 10 de mayo, en el recurso de amparo electoral 4220-2007, promovido por Independientes por Porto do Son.</w:t>
      </w:r>
    </w:p>
    <w:p w:rsidR="008B3772" w:rsidRDefault="008B3772" w:rsidP="008B3772">
      <w:pPr>
        <w:pStyle w:val="SntesisDescriptiva"/>
      </w:pPr>
    </w:p>
    <w:p w:rsidR="008B3772" w:rsidRDefault="008B3772" w:rsidP="008B3772">
      <w:pPr>
        <w:pStyle w:val="SntesisAnaltica"/>
      </w:pPr>
      <w:r>
        <w:t>Rectificación de resoluciones del TC: procede.</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pPr>
      <w:r>
        <w:t>I. Antecedentes</w:t>
      </w:r>
    </w:p>
    <w:p w:rsidR="008B3772" w:rsidRDefault="008B3772" w:rsidP="008B3772">
      <w:pPr>
        <w:pStyle w:val="TextoNormalNegritaCentrado"/>
      </w:pPr>
    </w:p>
    <w:p w:rsidR="008B3772" w:rsidRDefault="008B3772" w:rsidP="008B3772">
      <w:pPr>
        <w:pStyle w:val="TextoNormalNegritaCentrado"/>
      </w:pPr>
      <w:r>
        <w:t>II. Fundamentos jurídicos</w:t>
      </w:r>
    </w:p>
    <w:p w:rsidR="008B3772" w:rsidRDefault="008B3772" w:rsidP="008B3772">
      <w:pPr>
        <w:pStyle w:val="TextoNormalNegritaCentrado"/>
      </w:pPr>
    </w:p>
    <w:p w:rsidR="008B3772" w:rsidRDefault="008B3772" w:rsidP="008B3772">
      <w:pPr>
        <w:pStyle w:val="TextoNormal"/>
      </w:pPr>
      <w:r>
        <w:t>Por todo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La Sala, en su sesión del día de hoy, y advertido error en su Sentencia de 10 de mayo, dictada en el proceso al margen referenciado, acuerda realizar la presente rectificación en el sentido de sustituir del fallo el párrafo “otorgar el amparo solicitado por el Partido Socialista Obrero Español (PSOE)” por el siguiente: “Otorgar el amparo solicitado por la Candidatura de Independientes de Porto do Son.</w:t>
      </w:r>
    </w:p>
    <w:p w:rsidR="008B3772" w:rsidRDefault="008B3772" w:rsidP="008B3772">
      <w:pPr>
        <w:pStyle w:val="TextoNormal"/>
      </w:pPr>
    </w:p>
    <w:p w:rsidR="008B3772" w:rsidRDefault="008B3772" w:rsidP="008B3772">
      <w:pPr>
        <w:pStyle w:val="TextoNormal"/>
      </w:pPr>
      <w:r>
        <w:t>En consecuencia, se dicta el presente Auto de aclaración.</w:t>
      </w:r>
    </w:p>
    <w:p w:rsidR="008B3772" w:rsidRDefault="008B3772" w:rsidP="008B3772">
      <w:pPr>
        <w:pStyle w:val="TextoNormal"/>
      </w:pPr>
    </w:p>
    <w:p w:rsidR="008B3772" w:rsidRDefault="008B3772" w:rsidP="008B3772">
      <w:pPr>
        <w:pStyle w:val="TextoNormal"/>
      </w:pPr>
      <w:r>
        <w:t>Madrid, a catorce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05" w:name="AUTO_2007_241"/>
      <w:r>
        <w:lastRenderedPageBreak/>
        <w:t>AUTO 241/2007, de 21 de mayo de 2007</w:t>
      </w:r>
    </w:p>
    <w:bookmarkEnd w:id="105"/>
    <w:p w:rsidR="008B3772" w:rsidRDefault="008B3772" w:rsidP="008B3772">
      <w:pPr>
        <w:pStyle w:val="TtuloResolucin"/>
      </w:pPr>
      <w:r>
        <w:t>Sala Segunda</w:t>
      </w:r>
    </w:p>
    <w:p w:rsidR="008B3772" w:rsidRDefault="008B3772" w:rsidP="008B3772">
      <w:pPr>
        <w:pStyle w:val="TtuloResolucin"/>
      </w:pPr>
    </w:p>
    <w:p w:rsidR="008B3772" w:rsidRDefault="008B3772" w:rsidP="008B3772">
      <w:pPr>
        <w:pStyle w:val="SntesisDescriptiva"/>
      </w:pPr>
      <w:r>
        <w:t>ECLI:ES:TC:2007:241A</w:t>
      </w:r>
    </w:p>
    <w:p w:rsidR="008B3772" w:rsidRDefault="008B3772" w:rsidP="008B3772">
      <w:pPr>
        <w:pStyle w:val="SntesisDescriptiva"/>
      </w:pPr>
    </w:p>
    <w:p w:rsidR="008B3772" w:rsidRDefault="008B3772" w:rsidP="008B3772">
      <w:pPr>
        <w:pStyle w:val="SntesisDescriptiva"/>
      </w:pPr>
      <w:r>
        <w:t>Excms. Srs. don Guillermo Jiménez Sánchez, don Vicente Conde Martín de Hijas, doña Elisa Pérez Vera, don Ramón Rodríguez Arribas y don Pascual Sala Sánchez.</w:t>
      </w:r>
    </w:p>
    <w:p w:rsidR="008B3772" w:rsidRDefault="008B3772" w:rsidP="008B3772">
      <w:pPr>
        <w:pStyle w:val="SntesisDescriptiva"/>
      </w:pPr>
    </w:p>
    <w:p w:rsidR="008B3772" w:rsidRDefault="008B3772" w:rsidP="008B3772">
      <w:pPr>
        <w:pStyle w:val="SntesisDescriptiva"/>
      </w:pPr>
      <w:r>
        <w:t>Acuerda la rectificación de la Sentencia 285/2005, de 7 de noviembre, en el recurso de amparo 1012-2003, promovido por don Miguel Huguet Viñas.</w:t>
      </w:r>
    </w:p>
    <w:p w:rsidR="008B3772" w:rsidRDefault="008B3772" w:rsidP="008B3772">
      <w:pPr>
        <w:pStyle w:val="SntesisDescriptiva"/>
      </w:pPr>
    </w:p>
    <w:p w:rsidR="008B3772" w:rsidRDefault="008B3772" w:rsidP="008B3772">
      <w:pPr>
        <w:pStyle w:val="SntesisAnaltica"/>
      </w:pPr>
      <w:r>
        <w:t>Rectificación de resoluciones del Tribunal Constitucional: procedencia.</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7 de noviembre de 2005 la Sala Segunda de este Tribunal dictó Sentencia 285/2005, estimatoria del recurso de amparo núm. 1012-2003, promovido por don Miguel Huguet Viñas cuya parte dispositiva decía: “En atención a todo lo expuesto, el Tribunal Constitucional, por la autoridad que le confiere la Constitución de la Nación española, ha decidido: Otorgar el Amparo solicitado por don Miguel Huguet Viñas, y, en consecuencia: 1º. Declarar que la Sentencia dictada por la Sección Décima de la Audiencia Provincial de Barcelona, recaída en el rollo de apelación 617-2002, en el procedimiento abreviado 444-2000, ha vulnerado el derecho a la tutela judicial efectiva (art. 24.1 CE), en su vertiente de acceso al recurso del demandante de amparo. 2º. Restablecer al demandante en la integridad de su derecho, y, a tal fin, anular la referida resolución judicial y retrotraer las actuaciones al momento procesal anterior a la referida resolución, para que se dicte una nueva en la que se respete el citado derecho fundamental, de conformidad con su contenido constitucionalmente declarado”.</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Mediante escrito firmado por don Alfonso Ventosa Franques, registrado el 24 de abril de 2007 en este Tribunal, el mismo pone de manifiesto que la STC 285/2005, de 7 noviembre, en su antecedente 2, apartado a), cuando dice “Por la representación procesal del demandante de amparo, don Miguel Huguet Viñas, se interpuso una querella contra don Karl Horst Hölkemeier, don Giovanni Ardito, don Rudolf Heidues, don Alfonso Ventosa y don Javier Morán, por un delito de calumnias e injurias. Admitida a trámite la querella por el Juzgado de Instrucción núm. 9 de Barcelona como diligencias indeterminadas 27-1999, que dieron lugar posteriormente a las diligencias previas 361-1999, … y se acordó el sobreseimiento libre para cuatro querellados, pasando a procedimiento abreviado respecto del querellado don Alfonso Ventosa” se incurre en un patente error material puesto que en Auto de 17 de noviembre de 1999 del Juzgado de Instrucción núm. 9 de Barcelona (confirmado en Auto de 13 de diciembre de 1999), en las diligencias previas 361-1999 se acordó el sobreseimiento libre respecto del Sr. Ventosa y la continuación por los cauces del procedimiento abreviado respecto de don Javier Morán Rey, luego, debería procederse a subsanar dicha </w:t>
      </w:r>
      <w:r>
        <w:lastRenderedPageBreak/>
        <w:t>incorrección, haciéndose constar “pasando a procedimiento abreviado respecto del querellado don Javier Morán Rey”, evitando confusiones y perjuicios al Sr. Ventosa Franques.</w:t>
      </w:r>
    </w:p>
    <w:p w:rsidR="008B3772" w:rsidRDefault="008B3772" w:rsidP="008B3772">
      <w:pPr>
        <w:pStyle w:val="TextoNormal"/>
      </w:pPr>
    </w:p>
    <w:p w:rsidR="008B3772" w:rsidRDefault="008B3772" w:rsidP="008B3772">
      <w:pPr>
        <w:pStyle w:val="TextoNormal"/>
      </w:pPr>
      <w:r w:rsidRPr="008B3772">
        <w:rPr>
          <w:rStyle w:val="NumeroAFNegritaCaracter"/>
        </w:rPr>
        <w:t>3</w:t>
      </w:r>
      <w:r>
        <w:t>. En diligencia de ordenación de 3 de mayo de 2007, la Secretaría de la Sala Segunda del Tribunal, ofició al Juzgado de lo Penal núm.12 de Barcelona, que llevaba la correspondiente ejecutoria 4328-2003-17, a fin de que remitiese copia del Auto de 17 de noviembre de 1999, del Juzgado de Instrucción núm. 9 de Barcelona, en el que se acordaba la continuación de las diligencias previas 361-1999 por los cauces del procedimiento abreviado, y el sobreseimiento respecto del Sr. Ventosa, y acusación contra el Sr. Morán, recibiéndose el 8 de mayo de 2007 las actuaciones.</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Señala el art. 80 de la Ley Orgánica del Tribunal Constitucional 2/1979, al regular las disposiciones comunes relativas al procedimiento, que “Se aplicarán, con carácter supletorio de la presente Ley, los preceptos de la Ley Orgánica del Poder Judicial y de la Ley de enjuiciamiento civil, en materia de comparecencia en juicio, recusación y abstención, publicidad y forma de los actos, comunicaciones y actos de auxilio jurisdiccional, día y horas hábiles, cómputo de plazos, deliberación y votación, caducidad, renuncia y desistimiento, lengua oficial y policía de estrados”.</w:t>
      </w:r>
    </w:p>
    <w:p w:rsidR="008B3772" w:rsidRDefault="008B3772" w:rsidP="008B3772">
      <w:pPr>
        <w:pStyle w:val="TextoNormal"/>
      </w:pPr>
      <w:r>
        <w:t>La Ley Orgánica del Poder Judicial 6/1985, al regular la aclaración y subsanación de sentencias, dice en el art. 267.1: “Los tribunales no podrán variar las resoluciones que pronuncien después de firmadas, pero sí aclarar algún concepto oscuro y rectificar cualquier error material de que adolezcan”; agregando en el apartado 3: “Los errores materiales manifiestos y los aritméticos en que incurran las resoluciones judiciales podrán ser rectificados en cualquier momento”. En idénticos términos se expresan los apartados 1 y 3 del art. 214 de la Ley de enjuiciamiento civil 1/2000.</w:t>
      </w:r>
    </w:p>
    <w:p w:rsidR="008B3772" w:rsidRDefault="008B3772" w:rsidP="008B3772">
      <w:pPr>
        <w:pStyle w:val="TextoNormal"/>
      </w:pPr>
    </w:p>
    <w:p w:rsidR="008B3772" w:rsidRDefault="008B3772" w:rsidP="008B3772">
      <w:pPr>
        <w:pStyle w:val="TextoNormal"/>
      </w:pPr>
      <w:r w:rsidRPr="008B3772">
        <w:rPr>
          <w:rStyle w:val="NumeroAFNegritaCaracter"/>
        </w:rPr>
        <w:t>2</w:t>
      </w:r>
      <w:r>
        <w:t>. En el presente caso, a la vista de la diligencia practicada y del escrito del Sr. Ventosa, se aprecia que, efectivamente, se padeció un error en el antecedente 2 a), al transcribir el nombre de la persona respecto de la cual no se acordaba el sobreseimiento, y si la continuación del procedimiento abreviado, que no era don Alfonso Ventosa Franques sino don Francisco Javier Morán Rey, por lo que pudiendo el Tribunal en cualquier tiempo subsanar dicho defecto material ahora percibido, así se debe disponer la corrección de dicho error.</w:t>
      </w:r>
    </w:p>
    <w:p w:rsidR="008B3772" w:rsidRDefault="008B3772" w:rsidP="008B3772">
      <w:pPr>
        <w:pStyle w:val="TextoNormal"/>
      </w:pPr>
    </w:p>
    <w:p w:rsidR="008B3772" w:rsidRDefault="008B3772" w:rsidP="008B3772">
      <w:pPr>
        <w:pStyle w:val="TextoNormal"/>
      </w:pPr>
      <w:r>
        <w:t>Por todo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Que en el antecedente 2, letra a) de la Sentencia del Tribunal Constitucional núm 285/2005, de 7 noviembre, donde dice “y se acordó el sobreseimiento libre para cuatro querellados, pasando a procedimiento abreviado respecto del querellado don Alfonso</w:t>
      </w:r>
    </w:p>
    <w:p w:rsidR="008B3772" w:rsidRDefault="008B3772" w:rsidP="008B3772">
      <w:pPr>
        <w:pStyle w:val="TextoNormal"/>
      </w:pPr>
      <w:r>
        <w:t>Ventosa” debe decir: “y se acordó el sobreseimiento libre para cuatro querellados, pasando a procedimiento abreviado respecto del querellado don Francisco Javier Morán Rey”.</w:t>
      </w:r>
    </w:p>
    <w:p w:rsidR="008B3772" w:rsidRDefault="008B3772" w:rsidP="008B3772">
      <w:pPr>
        <w:pStyle w:val="TextoNormal"/>
      </w:pPr>
    </w:p>
    <w:p w:rsidR="008B3772" w:rsidRDefault="008B3772" w:rsidP="008B3772">
      <w:pPr>
        <w:pStyle w:val="TextoNormal"/>
      </w:pPr>
      <w:r>
        <w:lastRenderedPageBreak/>
        <w:t>Notifíquese la presente resolución a las partes y a don Alfonso Ventosa Franques, haciéndoles saber que contra la misma no cabe recurso alguno.</w:t>
      </w:r>
    </w:p>
    <w:p w:rsidR="008B3772" w:rsidRDefault="008B3772" w:rsidP="008B3772">
      <w:pPr>
        <w:pStyle w:val="TextoNormal"/>
      </w:pPr>
      <w:r>
        <w:t>Madrid, a veintiuno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06" w:name="AUTO_2007_242"/>
      <w:r>
        <w:lastRenderedPageBreak/>
        <w:t>AUTO 242/2007, de 21 de mayo de 2007</w:t>
      </w:r>
    </w:p>
    <w:bookmarkEnd w:id="106"/>
    <w:p w:rsidR="008B3772" w:rsidRDefault="008B3772" w:rsidP="008B3772">
      <w:pPr>
        <w:pStyle w:val="TtuloResolucin"/>
      </w:pPr>
      <w:r>
        <w:t>Sala Segunda</w:t>
      </w:r>
    </w:p>
    <w:p w:rsidR="008B3772" w:rsidRDefault="008B3772" w:rsidP="008B3772">
      <w:pPr>
        <w:pStyle w:val="TtuloResolucin"/>
      </w:pPr>
    </w:p>
    <w:p w:rsidR="008B3772" w:rsidRDefault="008B3772" w:rsidP="008B3772">
      <w:pPr>
        <w:pStyle w:val="SntesisDescriptiva"/>
      </w:pPr>
      <w:r>
        <w:t>ECLI:ES:TC:2007:242A</w:t>
      </w:r>
    </w:p>
    <w:p w:rsidR="008B3772" w:rsidRDefault="008B3772" w:rsidP="008B3772">
      <w:pPr>
        <w:pStyle w:val="SntesisDescriptiva"/>
      </w:pPr>
    </w:p>
    <w:p w:rsidR="008B3772" w:rsidRDefault="008B3772" w:rsidP="008B3772">
      <w:pPr>
        <w:pStyle w:val="SntesisDescriptiva"/>
      </w:pPr>
      <w:r>
        <w:t>Excms. Srs. don Guillermo Jiménez Sánchez, don Vicente Conde Martín de Hijas, doña Elisa Pérez Vera y don Pascual Sala Sánchez.</w:t>
      </w:r>
    </w:p>
    <w:p w:rsidR="008B3772" w:rsidRDefault="008B3772" w:rsidP="008B3772">
      <w:pPr>
        <w:pStyle w:val="SntesisDescriptiva"/>
      </w:pPr>
    </w:p>
    <w:p w:rsidR="008B3772" w:rsidRDefault="008B3772" w:rsidP="008B3772">
      <w:pPr>
        <w:pStyle w:val="SntesisDescriptiva"/>
      </w:pPr>
      <w:r>
        <w:t>Deniega una abstención en el recurso de amparo 1907-2003, promovido por don Alberto Cortina de Alcocer en causa penal.</w:t>
      </w:r>
    </w:p>
    <w:p w:rsidR="008B3772" w:rsidRDefault="008B3772" w:rsidP="008B3772">
      <w:pPr>
        <w:pStyle w:val="SntesisDescriptiva"/>
      </w:pPr>
    </w:p>
    <w:p w:rsidR="008B3772" w:rsidRDefault="008B3772" w:rsidP="008B3772">
      <w:pPr>
        <w:pStyle w:val="SntesisAnaltica"/>
      </w:pPr>
      <w:r>
        <w:t>Abstención de magistrados del Tribunal Constitucional, deniega.</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En el recurso de amparo antes referido se impugna la Sentencia dictada por la Sala Segunda del Tribunal Supremo, de fecha 14 de marzo de 2003, que casó la Sentencia absolutoria dictada por la Sección Séptima de la Audiencia Provincial de Madrid, de 29 de diciembre de 2000, y condenó al ahora recurrente en amparo, y a otro acusado, “como autores responsables de dos delitos consumados, en relación de concurso medial, uno de falsedad en documento mercantil y otro de estafa, este último en la modalidad de especial gravedad atendido el valor de la defraudación, estimada como muy cualificada, sin la concurrencia de circunstancias genéricas de la responsabilidad criminal (sic), imponiendo a cada uno de ellos las penas de un año de prisión menor y multa de 6.000 euros, con cincuenta días de arresto sustitutorio para caso de impago, por el primero de los delitos, y dos años y cuatro meses de la misma pena de prisión menor por la estafa". </w:t>
      </w:r>
    </w:p>
    <w:p w:rsidR="008B3772" w:rsidRDefault="008B3772" w:rsidP="008B3772">
      <w:pPr>
        <w:pStyle w:val="TextoNormal"/>
      </w:pPr>
      <w:r>
        <w:t>Mediante escrito fechado el 17 de abril de 2007 el Magistrado don Ramón Rodríguez Arribas comunicó al Presidente de la Sala Segunda del Tribunal Constitucional, a los efectos oportunos que, a tenor de la relación de parentesco directo, por consanguinidad en primer grado, que media entre él y el Procurador de una de las partes personadas en el referido recurso de amparo, entiende que concurre la causa de abstención contenida en el art. 219, núm. 2, de la Ley Orgánica del Poder Judicial (aplicable ex art. 80 LOTC), por lo que, al objeto de preservar la garantía constitucional de imparcialidad, entiende procedente la abstención en el presente recurso.</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Vista la comunicación efectuada por el Excmo. Sr. don Ramón Rodríguez Arribas, Magistrado de la Sección Cuarta del Tribunal Constitucional, la Sala, en virtud de lo previsto en los arts. 80 LOTC y 221.4 LOPJ, no estima justificada la causa de</w:t>
      </w:r>
    </w:p>
    <w:p w:rsidR="008B3772" w:rsidRDefault="008B3772" w:rsidP="008B3772">
      <w:pPr>
        <w:pStyle w:val="TextoNormal"/>
      </w:pPr>
      <w:r>
        <w:t xml:space="preserve">abstención formulada, pues el Procurador de los Tribunales, don Ramón Rodríguez Nogueira, hijo del citado Magistrado, renunció a la representación, sustituyéndole el también Procurador don Isidro Orquín Cadenilla, antes de que el Magistrado Sr. </w:t>
      </w:r>
    </w:p>
    <w:p w:rsidR="008B3772" w:rsidRDefault="008B3772" w:rsidP="008B3772">
      <w:pPr>
        <w:pStyle w:val="TextoNormal"/>
      </w:pPr>
      <w:r>
        <w:lastRenderedPageBreak/>
        <w:t>Rodríguez Arribas interviniera en alguna resolución relacionada con el presente recurso de amparo.  Como el propio Magistrado pone de manifiesto en su escrito de formulación de la abstención, la causa prevista en el art. 219.2 LOPJ no era ya aplicable</w:t>
      </w:r>
    </w:p>
    <w:p w:rsidR="008B3772" w:rsidRDefault="008B3772" w:rsidP="008B3772">
      <w:pPr>
        <w:pStyle w:val="TextoNormal"/>
      </w:pPr>
      <w:r>
        <w:t>antes de que el aludido Magistrado participara en este recurso, por lo que ha de desestimarse la presente solicitud de abstención.</w:t>
      </w:r>
    </w:p>
    <w:p w:rsidR="008B3772" w:rsidRDefault="008B3772" w:rsidP="008B3772">
      <w:pPr>
        <w:pStyle w:val="TextoNormal"/>
      </w:pPr>
    </w:p>
    <w:p w:rsidR="008B3772" w:rsidRDefault="008B3772" w:rsidP="008B3772">
      <w:pPr>
        <w:pStyle w:val="TextoNormal"/>
      </w:pPr>
      <w:r>
        <w:t>Por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Desestimar la causa de abstención formulada por el Excmo. Sr. don Ramón Rodríguez Arribas en el recurso de amparo con número de registro 1907-2003.</w:t>
      </w:r>
    </w:p>
    <w:p w:rsidR="008B3772" w:rsidRDefault="008B3772" w:rsidP="008B3772">
      <w:pPr>
        <w:pStyle w:val="TextoNormal"/>
      </w:pPr>
    </w:p>
    <w:p w:rsidR="008B3772" w:rsidRDefault="008B3772" w:rsidP="008B3772">
      <w:pPr>
        <w:pStyle w:val="TextoNormal"/>
      </w:pPr>
      <w:r>
        <w:t>Madrid, a veintiuno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07" w:name="AUTO_2007_243"/>
      <w:r>
        <w:lastRenderedPageBreak/>
        <w:t>AUTO 243/2007, de 21 de mayo de 2007</w:t>
      </w:r>
    </w:p>
    <w:bookmarkEnd w:id="107"/>
    <w:p w:rsidR="008B3772" w:rsidRDefault="008B3772" w:rsidP="008B3772">
      <w:pPr>
        <w:pStyle w:val="TtuloResolucin"/>
      </w:pPr>
      <w:r>
        <w:t>Sala Primera</w:t>
      </w:r>
    </w:p>
    <w:p w:rsidR="008B3772" w:rsidRDefault="008B3772" w:rsidP="008B3772">
      <w:pPr>
        <w:pStyle w:val="TtuloResolucin"/>
      </w:pPr>
    </w:p>
    <w:p w:rsidR="008B3772" w:rsidRDefault="008B3772" w:rsidP="008B3772">
      <w:pPr>
        <w:pStyle w:val="SntesisDescriptiva"/>
      </w:pPr>
      <w:r>
        <w:t>ECLI:ES:TC:2007:243A</w:t>
      </w:r>
    </w:p>
    <w:p w:rsidR="008B3772" w:rsidRDefault="008B3772" w:rsidP="008B3772">
      <w:pPr>
        <w:pStyle w:val="SntesisDescriptiva"/>
      </w:pPr>
    </w:p>
    <w:p w:rsidR="008B3772" w:rsidRDefault="008B3772" w:rsidP="008B3772">
      <w:pPr>
        <w:pStyle w:val="SntesisDescriptiva"/>
      </w:pPr>
      <w:r>
        <w:t>Excms. Srs. doña María Emilia Casas Baamonde, don Javier Delgado Barrio, don Roberto García-Calvo y Montiel, don Jorge Rodríguez-Zapata Pérez, don Manuel Aragón Reyes y don Pablo Pérez Tremps.</w:t>
      </w:r>
    </w:p>
    <w:p w:rsidR="008B3772" w:rsidRDefault="008B3772" w:rsidP="008B3772">
      <w:pPr>
        <w:pStyle w:val="SntesisDescriptiva"/>
      </w:pPr>
    </w:p>
    <w:p w:rsidR="008B3772" w:rsidRDefault="008B3772" w:rsidP="008B3772">
      <w:pPr>
        <w:pStyle w:val="SntesisDescriptiva"/>
      </w:pPr>
      <w:r>
        <w:t>Acuerda la extinción del recurso de amparo 4941-2006, promovido por don José Elicegui Michelena en causa penal.</w:t>
      </w:r>
    </w:p>
    <w:p w:rsidR="008B3772" w:rsidRDefault="008B3772" w:rsidP="008B3772">
      <w:pPr>
        <w:pStyle w:val="SntesisDescriptiva"/>
      </w:pPr>
    </w:p>
    <w:p w:rsidR="008B3772" w:rsidRDefault="008B3772" w:rsidP="008B3772">
      <w:pPr>
        <w:pStyle w:val="SntesisAnaltica"/>
      </w:pPr>
      <w:r>
        <w:t>Recurso de amparo: pérdida sobrevenida de objeto.</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este Tribunal el 4 de mayo de 2006, el Procurador de los Tribunales don Javier Cuevas Rivas interpuso, en nombre de don José Elícegui Michelena, recurso de amparo contra el Auto de 29 de marzo de 2006 y la providencia de fecha 31 de enero de 2006, dictados por la Sección Primera de la Sala de lo Penal de la Audiencia Nacional en la ejecutoria núm. 51-2005, rollo de Sala núm. 3-2003.</w:t>
      </w:r>
    </w:p>
    <w:p w:rsidR="008B3772" w:rsidRDefault="008B3772" w:rsidP="008B3772">
      <w:pPr>
        <w:pStyle w:val="TextoNormal"/>
      </w:pPr>
    </w:p>
    <w:p w:rsidR="008B3772" w:rsidRDefault="008B3772" w:rsidP="008B3772">
      <w:pPr>
        <w:pStyle w:val="TextoNormal"/>
      </w:pPr>
      <w:r w:rsidRPr="008B3772">
        <w:rPr>
          <w:rStyle w:val="NumeroAFNegritaCaracter"/>
        </w:rPr>
        <w:t>2</w:t>
      </w:r>
      <w:r>
        <w:t>. El demandante articula cuatro motivos de amparo, alegando, en primer lugar, la violación del derecho a la tutela judicial efectiva (art. 24.1 CE) porque, planteada por el demandante la aplicación del art. 53.3 CP 1995, en su redacción original correspondiente a la fecha de los hechos declarados probados, las mencionadas resoluciones aplican contra reo la modificación operada por la Ley Orgánica 15/2003, de 25 de noviembre, sin que expresen motivación alguna de la opción a favor de dicha modificación, posterior a los hechos, o alternativamente incurriendo, al aplicarla, en error patente; en segundo lugar, la vulneración del derecho a la legalidad penal (art. 25.1 CE), al aplicar retroactivamente la redacción introducida por la Ley Orgánica 15/2003, de 25 de noviembre, en el art. 53.3 CP; en tercer lugar, la vulneración del derecho a la tutela judicial efectiva (art. 24.1 CE) y a un proceso con todas las garantías (art. 24.1 y 2 CE), en relación con los principios de garantía jurisdiccional penal y de intangibilidad de las sentencias firmes. La violación se produce porque, dictándose las resoluciones recurridas en ejecución de la Segunda Sentencia núm. 1250/2005, de la Sala Penal del Tribunal Supremo, imponen pena a la que la Sentencia no condena; en cuarto lugar, finalmente, la violación del derecho a la libertad (art. 17 CE), por cuanto la privación de libertad que comporta la pena de nueve meses de prisión subsidiaria al impago de la multa se impone en un caso para el que la ley no prevé su imposición. En la demanda de amparo se solicita también, mediante otrosí, la suspensión de la ejecución de las penas impuestas en la Sentencia recurrida.</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3</w:t>
      </w:r>
      <w:r>
        <w:t>. Por providencias de 16 de enero de 2007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8B3772" w:rsidRDefault="008B3772" w:rsidP="008B3772">
      <w:pPr>
        <w:pStyle w:val="TextoNormal"/>
      </w:pPr>
    </w:p>
    <w:p w:rsidR="008B3772" w:rsidRDefault="008B3772" w:rsidP="008B3772">
      <w:pPr>
        <w:pStyle w:val="TextoNormal"/>
      </w:pPr>
      <w:r w:rsidRPr="008B3772">
        <w:rPr>
          <w:rStyle w:val="NumeroAFNegritaCaracter"/>
        </w:rPr>
        <w:t>4</w:t>
      </w:r>
      <w:r>
        <w:t>. Evacuadas que fueron las alegaciones, se dictó Auto, de fecha 13 de febrero de 2007, acordando suspender la ejecución del arresto sustitutorio impuesto al penado en el Auto de fecha 29 de marzo de 2006, recaído en el recurso de súplica interpuesto contra la providencia de 31 de enero de 2006.</w:t>
      </w:r>
    </w:p>
    <w:p w:rsidR="008B3772" w:rsidRDefault="008B3772" w:rsidP="008B3772">
      <w:pPr>
        <w:pStyle w:val="TextoNormal"/>
      </w:pPr>
    </w:p>
    <w:p w:rsidR="008B3772" w:rsidRDefault="008B3772" w:rsidP="008B3772">
      <w:pPr>
        <w:pStyle w:val="TextoNormal"/>
      </w:pPr>
      <w:r w:rsidRPr="008B3772">
        <w:rPr>
          <w:rStyle w:val="NumeroAFNegritaCaracter"/>
        </w:rPr>
        <w:t>5</w:t>
      </w:r>
      <w:r>
        <w:t>. Con fecha 13 de marzo de 2007 se recibió en el Registro General de este Tribunal oficio remitido por el Secretario de la Sección Primera de la Sala de lo Penal de la Audiencia Nacional, comunicando que, habiendo procedido el demandante de amparo a abonar la multa impuesta, se procedió a dictar nueva liquidación de condena, dictándose finalmente providencia de 5 de enero de 2007 por la que se aprueba el licenciamiento definitivo del referido penado para el día 6 de enero de 2007.</w:t>
      </w:r>
    </w:p>
    <w:p w:rsidR="008B3772" w:rsidRDefault="008B3772" w:rsidP="008B3772">
      <w:pPr>
        <w:pStyle w:val="TextoNormal"/>
      </w:pPr>
    </w:p>
    <w:p w:rsidR="008B3772" w:rsidRDefault="008B3772" w:rsidP="008B3772">
      <w:pPr>
        <w:pStyle w:val="TextoNormal"/>
      </w:pPr>
      <w:r w:rsidRPr="008B3772">
        <w:rPr>
          <w:rStyle w:val="NumeroAFNegritaCaracter"/>
        </w:rPr>
        <w:t>6</w:t>
      </w:r>
      <w:r>
        <w:t>. A la vista de las anteriores actuaciones, se dictó diligencia de ordenación de fecha 19 de marzo de 2007, acordando dar traslado al Ministerio Fiscal y a las partes personadas para que en plazo de cinco días alegaran lo que a su derecho convenga respecto de la posible pérdida sobrevenida de objeto del recurso.</w:t>
      </w:r>
    </w:p>
    <w:p w:rsidR="008B3772" w:rsidRDefault="008B3772" w:rsidP="008B3772">
      <w:pPr>
        <w:pStyle w:val="TextoNormal"/>
      </w:pPr>
    </w:p>
    <w:p w:rsidR="008B3772" w:rsidRDefault="008B3772" w:rsidP="008B3772">
      <w:pPr>
        <w:pStyle w:val="TextoNormal"/>
      </w:pPr>
      <w:r w:rsidRPr="008B3772">
        <w:rPr>
          <w:rStyle w:val="NumeroAFNegritaCaracter"/>
        </w:rPr>
        <w:t>7</w:t>
      </w:r>
      <w:r>
        <w:t>. La representación del demandante de amparo presentó sus alegaciones ante el Registro de este Tribunal el día 2 de abril de 2007, argumentando que el licenciamiento definitivo del demandante de amparo no constituye causa sobrevenida de pérdida de objeto del presente recurso de amparo en cuanto las resoluciones judiciales dictadas por la Sala de lo Penal acordando el licenciamiento definitivo no reparan la lesiones de los derechos cuya vulneración se alega en la demanda de amparo.</w:t>
      </w:r>
    </w:p>
    <w:p w:rsidR="008B3772" w:rsidRDefault="008B3772" w:rsidP="008B3772">
      <w:pPr>
        <w:pStyle w:val="TextoNormal"/>
      </w:pPr>
    </w:p>
    <w:p w:rsidR="008B3772" w:rsidRDefault="008B3772" w:rsidP="008B3772">
      <w:pPr>
        <w:pStyle w:val="TextoNormal"/>
      </w:pPr>
      <w:r w:rsidRPr="008B3772">
        <w:rPr>
          <w:rStyle w:val="NumeroAFNegritaCaracter"/>
        </w:rPr>
        <w:t>8</w:t>
      </w:r>
      <w:r>
        <w:t>. El Fiscal, por medio de escrito presentado ante este Tribunal el día 9 de abril de 2007, alegó que procede declarar la carencia sobrevenida de objeto en el presente recurso de amparo, toda vez que el hecho determinante de la interposición de la demanda ha sido el de aplicación de una responsabilidad personal de carácter subsidiario ante el impago del importe de una pena de multa impuesta junto a la pena privativa de libertad. Más como el importe de aquélla ha sido abonado mediante el abono de la cantidad de 5.400 euros, es evidente que lo pretendido en su momento por el demandante carece ahora de relevancia alguna.</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Según reiterada doctrina de este Tribunal, la desaparición sobrevenida del objeto es una de las formas de terminación de los distintos procesos constitucionales, entre ellos el recurso de amparo, puesto que circunstancias acaecidas con</w:t>
      </w:r>
    </w:p>
    <w:p w:rsidR="008B3772" w:rsidRDefault="008B3772" w:rsidP="008B3772">
      <w:pPr>
        <w:pStyle w:val="TextoNormal"/>
      </w:pPr>
      <w:r>
        <w:lastRenderedPageBreak/>
        <w:t>posterioridad a la presentación de la demanda pueden hacer innecesario un pronunciamiento del Tribunal Constitucional (STC 305/2000, de 11 de diciembre, FJ 9; y AATC 43/1985, de 23 de enero; 189/1997, de 3 de junio; y 139/1998, de 16 de junio), debiendo</w:t>
      </w:r>
    </w:p>
    <w:p w:rsidR="008B3772" w:rsidRDefault="008B3772" w:rsidP="008B3772">
      <w:pPr>
        <w:pStyle w:val="TextoNormal"/>
      </w:pPr>
      <w:r>
        <w:t>ser distinguida de la propia inexistencia originaria del objeto (SSTC 300/1993, de 20 de octubre, FJ 3; y 305/2000, citada, FJ 9).</w:t>
      </w:r>
    </w:p>
    <w:p w:rsidR="008B3772" w:rsidRDefault="008B3772" w:rsidP="008B3772">
      <w:pPr>
        <w:pStyle w:val="TextoNormal"/>
      </w:pPr>
      <w:r>
        <w:t>Las circunstancias particulares del presente caso nos llevan a apreciar la desaparición sobrevenida del objeto del recurso de amparo. El recurso de amparo se dirige contra el Auto de 29 de marzo de 2006 y la providencia de fecha 31 de enero de 2006, dictados por la Sección Primera de la Sala de lo Penal de la Audiencia Nacional en la ejecutoria núm. 51-2005, que establecían una responsabilidad personal subsidiaria de nueve meses de duración por el impago de una pena de multa. Con posterioridad a la admisión de la demanda, la pena de multa se ha extinguido por su pago, lo que obviamente dejó sin efecto el acordado apremio personal subsidiario cuya pertinencia se cuestionaba. De hecho, consta en las actuaciones que la Sala procedió de inmediato a practicar nueva liquidación de condena de la que la responsabilidad personal subsidiaria quedaba totalmente excluida, habiéndose producido el licenciamiento definitivo del demandante de amparo el pasado día 6 de enero de 2007.</w:t>
      </w:r>
    </w:p>
    <w:p w:rsidR="008B3772" w:rsidRDefault="008B3772" w:rsidP="008B3772">
      <w:pPr>
        <w:pStyle w:val="TextoNormal"/>
      </w:pPr>
      <w:r>
        <w:t>En consecuencia, como razona el Ministerio Fiscal en su escrito de alegaciones, carecen ya de objeto las pretensiones planteadas por el recurrente y procede, por ello, declarar la pérdida de objeto del presente recurso.</w:t>
      </w:r>
    </w:p>
    <w:p w:rsidR="008B3772" w:rsidRDefault="008B3772" w:rsidP="008B3772">
      <w:pPr>
        <w:pStyle w:val="TextoNormal"/>
      </w:pPr>
    </w:p>
    <w:p w:rsidR="008B3772" w:rsidRDefault="008B3772" w:rsidP="008B3772">
      <w:pPr>
        <w:pStyle w:val="TextoNormal"/>
      </w:pPr>
      <w:r>
        <w:t>En virtud de lo anteriormente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Declarar la extinción del presente proceso de amparo y el archivo de las actuaciones.</w:t>
      </w:r>
    </w:p>
    <w:p w:rsidR="008B3772" w:rsidRDefault="008B3772" w:rsidP="008B3772">
      <w:pPr>
        <w:pStyle w:val="TextoNormal"/>
      </w:pPr>
    </w:p>
    <w:p w:rsidR="008B3772" w:rsidRDefault="008B3772" w:rsidP="008B3772">
      <w:pPr>
        <w:pStyle w:val="TextoNormal"/>
      </w:pPr>
      <w:r>
        <w:t>Madrid, a veintiuno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08" w:name="AUTO_2007_244"/>
      <w:r>
        <w:lastRenderedPageBreak/>
        <w:t>AUTO 244/2007, de 21 de mayo de 2007</w:t>
      </w:r>
    </w:p>
    <w:bookmarkEnd w:id="108"/>
    <w:p w:rsidR="008B3772" w:rsidRDefault="008B3772" w:rsidP="008B3772">
      <w:pPr>
        <w:pStyle w:val="TtuloResolucin"/>
      </w:pPr>
      <w:r>
        <w:t>Sección Cuarta</w:t>
      </w:r>
    </w:p>
    <w:p w:rsidR="008B3772" w:rsidRDefault="008B3772" w:rsidP="008B3772">
      <w:pPr>
        <w:pStyle w:val="TtuloResolucin"/>
      </w:pPr>
    </w:p>
    <w:p w:rsidR="008B3772" w:rsidRDefault="008B3772" w:rsidP="008B3772">
      <w:pPr>
        <w:pStyle w:val="SntesisDescriptiva"/>
      </w:pPr>
      <w:r>
        <w:t>ECLI:ES:TC:2007:244A</w:t>
      </w:r>
    </w:p>
    <w:p w:rsidR="008B3772" w:rsidRDefault="008B3772" w:rsidP="008B3772">
      <w:pPr>
        <w:pStyle w:val="SntesisDescriptiva"/>
      </w:pPr>
    </w:p>
    <w:p w:rsidR="008B3772" w:rsidRDefault="008B3772" w:rsidP="008B3772">
      <w:pPr>
        <w:pStyle w:val="SntesisDescriptiva"/>
      </w:pPr>
      <w:r>
        <w:t>Excms. Srs. don Vicente Conde Martín de Hijas, doña Elisa Pérez Vera y don Ramón Rodríguez Arribas.</w:t>
      </w:r>
    </w:p>
    <w:p w:rsidR="008B3772" w:rsidRDefault="008B3772" w:rsidP="008B3772">
      <w:pPr>
        <w:pStyle w:val="SntesisDescriptiva"/>
      </w:pPr>
    </w:p>
    <w:p w:rsidR="008B3772" w:rsidRDefault="008B3772" w:rsidP="008B3772">
      <w:pPr>
        <w:pStyle w:val="SntesisDescriptiva"/>
      </w:pPr>
      <w:r>
        <w:t>Acuerda el desistimiento en el recurso de amparo 9014-2006, promovido en causa penal.</w:t>
      </w:r>
    </w:p>
    <w:p w:rsidR="008B3772" w:rsidRDefault="008B3772" w:rsidP="008B3772">
      <w:pPr>
        <w:pStyle w:val="SntesisDescriptiva"/>
      </w:pPr>
    </w:p>
    <w:p w:rsidR="008B3772" w:rsidRDefault="008B3772" w:rsidP="008B3772">
      <w:pPr>
        <w:pStyle w:val="TtuloResolucin"/>
      </w:pPr>
      <w:r>
        <w:t>*Este auto no incorpora doctrina constitucional.</w:t>
      </w:r>
    </w:p>
    <w:p w:rsidR="008B3772" w:rsidRDefault="008B3772">
      <w:pPr>
        <w:spacing w:after="160" w:line="259" w:lineRule="auto"/>
        <w:rPr>
          <w:rFonts w:ascii="Times New Roman" w:eastAsia="Times New Roman" w:hAnsi="Times New Roman" w:cs="Times New Roman"/>
          <w:b/>
          <w:sz w:val="24"/>
          <w:szCs w:val="24"/>
          <w:lang w:eastAsia="es-ES"/>
        </w:rPr>
      </w:pPr>
      <w:r>
        <w:br w:type="page"/>
      </w:r>
    </w:p>
    <w:p w:rsidR="008B3772" w:rsidRDefault="008B3772" w:rsidP="008B3772">
      <w:pPr>
        <w:pStyle w:val="TtuloResolucin"/>
      </w:pPr>
      <w:bookmarkStart w:id="109" w:name="AUTO_2007_245"/>
      <w:r>
        <w:lastRenderedPageBreak/>
        <w:t>AUTO 245/2007, de 22 de mayo de 2007</w:t>
      </w:r>
    </w:p>
    <w:bookmarkEnd w:id="109"/>
    <w:p w:rsidR="008B3772" w:rsidRDefault="008B3772" w:rsidP="008B3772">
      <w:pPr>
        <w:pStyle w:val="TtuloResolucin"/>
      </w:pPr>
      <w:r>
        <w:t>Sección Tercera</w:t>
      </w:r>
    </w:p>
    <w:p w:rsidR="008B3772" w:rsidRDefault="008B3772" w:rsidP="008B3772">
      <w:pPr>
        <w:pStyle w:val="TtuloResolucin"/>
      </w:pPr>
    </w:p>
    <w:p w:rsidR="008B3772" w:rsidRDefault="008B3772" w:rsidP="008B3772">
      <w:pPr>
        <w:pStyle w:val="SntesisDescriptiva"/>
      </w:pPr>
      <w:r>
        <w:t>ECLI:ES:TC:2007:245A</w:t>
      </w:r>
    </w:p>
    <w:p w:rsidR="008B3772" w:rsidRDefault="008B3772" w:rsidP="008B3772">
      <w:pPr>
        <w:pStyle w:val="SntesisDescriptiva"/>
      </w:pPr>
    </w:p>
    <w:p w:rsidR="008B3772" w:rsidRDefault="008B3772" w:rsidP="008B3772">
      <w:pPr>
        <w:pStyle w:val="SntesisDescriptiva"/>
      </w:pPr>
      <w:r>
        <w:t>Excms. Srs. don Guillermo Jiménez Sánchez, don Eugeni Gay Montalvo y don Pascual Sala Sánchez.</w:t>
      </w:r>
    </w:p>
    <w:p w:rsidR="008B3772" w:rsidRDefault="008B3772" w:rsidP="008B3772">
      <w:pPr>
        <w:pStyle w:val="SntesisDescriptiva"/>
      </w:pPr>
    </w:p>
    <w:p w:rsidR="008B3772" w:rsidRDefault="008B3772" w:rsidP="008B3772">
      <w:pPr>
        <w:pStyle w:val="SntesisDescriptiva"/>
      </w:pPr>
      <w:r>
        <w:t>Inadmite a trámite el recurso de amparo 2066-2003, promovido por don Juan Carlos López Cortés en causa por delito contra la salud pública.</w:t>
      </w:r>
    </w:p>
    <w:p w:rsidR="008B3772" w:rsidRDefault="008B3772" w:rsidP="008B3772">
      <w:pPr>
        <w:pStyle w:val="SntesisDescriptiva"/>
      </w:pPr>
    </w:p>
    <w:p w:rsidR="008B3772" w:rsidRDefault="008B3772" w:rsidP="008B3772">
      <w:pPr>
        <w:pStyle w:val="SntesisAnaltica"/>
      </w:pPr>
      <w:r>
        <w:t>Derecho a la presunción de inocencia: valoración judicial de la prueba. Derecho al secreto de las comunicaciones: conexión con el derecho a la tutela judicial efectiva; intervención telefónica, respetado. Principio de legalidad penal: interpretación judicial de los tipos penales, respetado.</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este Tribunal el día 9 de abril de 2003 don Juan Carlos López Cortés, representado por el Procurador de los Tribunales don Luis Alfaro Rodríguez y asistido por el Abogado don Bartolomé Oliver Gayá, interpuso recurso de amparo contra el Auto de la Sala de lo Penal del Tribunal Supremo de 30 de enero de 2003 que acordó no haber lugar al recurso de casación formalizado contra la Sentencia de la Sección Primera de la Audiencia Provincial de Palma de Mallorca de 10 de mayo de 2002 dictada en causa seguida por delito contra la salud pública, resolución que también se recurre.</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Los hechos más relevantes para el examen de la pretensión de amparo son, sucintamente relatados, los siguientes: </w:t>
      </w:r>
    </w:p>
    <w:p w:rsidR="008B3772" w:rsidRDefault="008B3772" w:rsidP="008B3772">
      <w:pPr>
        <w:pStyle w:val="TextoNormal"/>
      </w:pPr>
      <w:r>
        <w:t xml:space="preserve">a) Por el Juzgado de Instrucción núm. 4 de Palma de Mallorca se instruyó el sumario núm. 2- 2001 por un delito contra la salud pública contra don Juan Carlos López Cortés, don Jairo Escudero Ospina y don Günter Ulrich. </w:t>
      </w:r>
    </w:p>
    <w:p w:rsidR="008B3772" w:rsidRDefault="008B3772" w:rsidP="008B3772">
      <w:pPr>
        <w:pStyle w:val="TextoNormal"/>
      </w:pPr>
      <w:r>
        <w:t xml:space="preserve">b) Celebrado el juicio oral ante la Sección Primera de la Audiencia Provincial de Palma de Mallorca se dictó Sentencia el 10 de mayo de 2002, en la que condenó a los tres acusados como autores de un delito contra la salud pública respecto de sustancia que causa grave daño y en cantidad de notoria importancia, sin concurrencia de circunstancias modificativas de la responsabilidad criminal, a las penas, para cada uno, de nueve años de prisión, accesoria de inhabilitación para ejercer el derecho de sufragio pasivo por todo el tiempo de la condena, multa de 90.639,98 euros y al pago de las costas por partes iguales. </w:t>
      </w:r>
    </w:p>
    <w:p w:rsidR="008B3772" w:rsidRDefault="008B3772" w:rsidP="008B3772">
      <w:pPr>
        <w:pStyle w:val="TextoNormal"/>
      </w:pPr>
      <w:r>
        <w:t xml:space="preserve">c) Contra dicha Sentencia interpusieron los condenados sendos recursos de casación, basándose el del demandante de amparo en el art. 5.4 LOPJ, por infracción del derecho al secreto de las comunicaciones (art. 18.3 CE), a la tutela judicial efectiva, a la presunción de inocencia y a un proceso con todas las garantías (art. 24 CE), así como, con base en el art. </w:t>
      </w:r>
      <w:r>
        <w:lastRenderedPageBreak/>
        <w:t>849.1 LECrim., por inaplicación de los arts. 14, 29 y 373 CP. La Sala de lo Penal del Tribunal Supremo dictó Auto el 30 de enero de 2003 acordando no haber lugar a la admisión de dichos recursos.</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la demanda de amparo se denuncia la vulneración del derecho al secreto de las comunicaciones (art. 18.3 CE), a la tutela judicial efectiva (art. 24.1 CE), a un proceso con todas las garantías en relación con la presunción de inocencia (art. 24.2 CE) y del principio de legalidad penal (art. 25.1 CE). </w:t>
      </w:r>
    </w:p>
    <w:p w:rsidR="008B3772" w:rsidRDefault="008B3772" w:rsidP="008B3772">
      <w:pPr>
        <w:pStyle w:val="TextoNormal"/>
      </w:pPr>
      <w:r>
        <w:t xml:space="preserve">Así considera el demandante que se ha quebrantado la presunción de inocencia de una parte, porque las declaraciones de los peritos no son prueba de cargo suficiente para desvirtuar aquélla y, de otra parte, porque no existe prueba que sustente la aplicación del subtipo agravado del art. 369.3ª CP, ya que la sustancia aprehendida estaría destinada al reparto entre los tres condenados, como se desprende de las conversaciones telefónicas, y, por lo demás, el recurrente desconocería la cantidad exacta de aquella sustancia. En este sentido estima asimismo infringido el principio de legalidad (art. 25.1 CE) por la aplicación del mencionado subtipo agravado, principio que señala se ha vulnerado también porque los actos preparatorios que se le imputan no podrían fundamentar su condena como autor sino, en todo caso, como cómplice, ya que no tenía dominio de la acción enjuiciada ni posibilidad de interrumpirla. </w:t>
      </w:r>
    </w:p>
    <w:p w:rsidR="008B3772" w:rsidRDefault="008B3772" w:rsidP="008B3772">
      <w:pPr>
        <w:pStyle w:val="TextoNormal"/>
      </w:pPr>
      <w:r>
        <w:t xml:space="preserve">En otro orden de cosas alega la vulneración del derecho al secreto de las comunicaciones (art. 18.3 CE) por falta de motivación del Auto que autorizó la intervención inicial, en tanto no se habría especificado el titular del teléfono móvil intervenido y, en consecuencia, las sucesivas prórrogas serían igualmente nulas. Finalmente denuncia que no se ha apreciado la declaración del médico neurólogo a efectos de aplicar la atenuante del art. 21.1 CP. </w:t>
      </w:r>
    </w:p>
    <w:p w:rsidR="008B3772" w:rsidRDefault="008B3772" w:rsidP="008B3772">
      <w:pPr>
        <w:pStyle w:val="TextoNormal"/>
      </w:pPr>
      <w:r>
        <w:t>Por todo ello se solicita que se otorgue el amparo impetrado, declarando la nulidad de las resoluciones recurridas.</w:t>
      </w:r>
    </w:p>
    <w:p w:rsidR="008B3772" w:rsidRDefault="008B3772" w:rsidP="008B3772">
      <w:pPr>
        <w:pStyle w:val="TextoNormal"/>
      </w:pPr>
    </w:p>
    <w:p w:rsidR="008B3772" w:rsidRDefault="008B3772" w:rsidP="008B3772">
      <w:pPr>
        <w:pStyle w:val="TextoNormal"/>
      </w:pPr>
      <w:r w:rsidRPr="008B3772">
        <w:rPr>
          <w:rStyle w:val="NumeroAFNegritaCaracter"/>
        </w:rPr>
        <w:t>4</w:t>
      </w:r>
      <w:r>
        <w:t>. Por providencia de 13 de mayo de 2004, y con arreglo a lo previsto en el art. 50.3 LOTC, la Sección Tercera de este Tribunal acordó conceder un plazo común de diez días al Ministerio Fiscal y al solicitante de amparo para que formulasen las alegaciones que estimaran pertinentes en relación con la posible carencia manifiesta de contenido constitucional de la demanda de amparo, de conformidad con lo establecido en el art. 50.1 c) LOTC.</w:t>
      </w:r>
    </w:p>
    <w:p w:rsidR="008B3772" w:rsidRDefault="008B3772" w:rsidP="008B3772">
      <w:pPr>
        <w:pStyle w:val="TextoNormal"/>
      </w:pPr>
    </w:p>
    <w:p w:rsidR="008B3772" w:rsidRDefault="008B3772" w:rsidP="008B3772">
      <w:pPr>
        <w:pStyle w:val="TextoNormal"/>
      </w:pPr>
      <w:r w:rsidRPr="008B3772">
        <w:rPr>
          <w:rStyle w:val="NumeroAFNegritaCaracter"/>
        </w:rPr>
        <w:t>5</w:t>
      </w:r>
      <w:r>
        <w:t>. Con fecha de 2 de junio de 2004 presentó su escrito de alegaciones el solicitante de amparo, en el que básicamente se reiteran los argumentos expuestos en la demanda de amparo, solicitando también, mediante otrosí, la suspensión de la ejecución del procedimiento y su puesta en libertad.</w:t>
      </w:r>
    </w:p>
    <w:p w:rsidR="008B3772" w:rsidRDefault="008B3772" w:rsidP="008B3772">
      <w:pPr>
        <w:pStyle w:val="TextoNormal"/>
      </w:pPr>
    </w:p>
    <w:p w:rsidR="008B3772" w:rsidRDefault="008B3772" w:rsidP="008B3772">
      <w:pPr>
        <w:pStyle w:val="TextoNormal"/>
      </w:pPr>
      <w:r w:rsidRPr="008B3772">
        <w:rPr>
          <w:rStyle w:val="NumeroAFNegritaCaracter"/>
        </w:rPr>
        <w:t>6</w:t>
      </w:r>
      <w:r>
        <w:t>. El día 4 de junio de 2004 se registró la entrada de un escrito del Ministerio Fiscal en el que, habida cuenta de la alegación referida al secreto de las comunicaciones, interesó la solicitud del testimonio de las actuaciones relacionadas con las intervenciones telefónicas y las diligencias policiales que las motivaron, con suspensión del trámite de alegaciones.</w:t>
      </w:r>
    </w:p>
    <w:p w:rsidR="008B3772" w:rsidRDefault="008B3772" w:rsidP="008B3772">
      <w:pPr>
        <w:pStyle w:val="TextoNormal"/>
      </w:pPr>
    </w:p>
    <w:p w:rsidR="008B3772" w:rsidRDefault="008B3772" w:rsidP="008B3772">
      <w:pPr>
        <w:pStyle w:val="TextoNormal"/>
      </w:pPr>
      <w:r w:rsidRPr="008B3772">
        <w:rPr>
          <w:rStyle w:val="NumeroAFNegritaCaracter"/>
        </w:rPr>
        <w:t>7</w:t>
      </w:r>
      <w:r>
        <w:t>. Recibidas las actuaciones, por providencia de 21 de octubre de 2004 la Sección Tercera del Tribunal Constitucional acordó, de conformidad con el art. 50.3 LOTC, conceder a las partes y al Ministerio Fiscal, con vista de aquéllas, un nuevo plazo común de diez días para formular alegaciones o complementar las ya formuladas.</w:t>
      </w:r>
    </w:p>
    <w:p w:rsidR="008B3772" w:rsidRDefault="008B3772" w:rsidP="008B3772">
      <w:pPr>
        <w:pStyle w:val="TextoNormal"/>
      </w:pPr>
    </w:p>
    <w:p w:rsidR="008B3772" w:rsidRDefault="008B3772" w:rsidP="008B3772">
      <w:pPr>
        <w:pStyle w:val="TextoNormal"/>
      </w:pPr>
      <w:r w:rsidRPr="008B3772">
        <w:rPr>
          <w:rStyle w:val="NumeroAFNegritaCaracter"/>
        </w:rPr>
        <w:t>8</w:t>
      </w:r>
      <w:r>
        <w:t xml:space="preserve">. El Ministerio Fiscal presentó sus alegaciones el 22 de noviembre de 2004, interesando la inadmisión del recurso planteado por carecer de contenido constitucional. </w:t>
      </w:r>
    </w:p>
    <w:p w:rsidR="008B3772" w:rsidRDefault="008B3772" w:rsidP="008B3772">
      <w:pPr>
        <w:pStyle w:val="TextoNormal"/>
      </w:pPr>
      <w:r>
        <w:t xml:space="preserve">Comenzando con la alegación relativa a la vulneración del derecho al secreto de las comunicaciones (art. 18.3 CE) y, a su vez, de la presunción de inocencia (art. 24.2 CE) en tanto el demandante aduce que no aparecen otras pruebas con entidad bastante para enervar dicho derecho, estima el Fiscal ante el Tribunal Constitucional que todos los requisitos exigidos por la jurisprudencia constitucional en aquella limitación de derechos fundamentales han sido escrupulosamente respetados, careciendo de trascendencia alguna la queja del demandante referida a un inicial equívoco en su identificación, al haber sido denominado con el nombre de “Jairo”, correspondiente a otro integrante del grupo también de nacionalidad colombiana. Así indica que tal confusión no tiene relevancia, ya que no se trata de una equivocación acerca de la persona sobre la que se centran las investigaciones sino exclusivamente sobre su nombre, no existiendo duda alguna de que el actor es la persona sobre la que recaen las fundadas sospechas de mediar en el tráfico de sustancias estupefacientes. De este modo concluye el Ministerio Fiscal que el hecho de que el nombre de “Jairo” se revele posteriormente como perteneciente a otro individuo también colombiano y finalmente detenido no presenta importancia alguna, en tanto las pesquisas iniciales de la Guardia Civil se centraron en el primer individuo, con independencia de que se dispusiera o no de su filiación correcta, pues era éste un elemento meramente adjetivo. </w:t>
      </w:r>
    </w:p>
    <w:p w:rsidR="008B3772" w:rsidRDefault="008B3772" w:rsidP="008B3772">
      <w:pPr>
        <w:pStyle w:val="TextoNormal"/>
      </w:pPr>
      <w:r>
        <w:t xml:space="preserve">Por lo que hace al resto de alegaciones indica el Ministerio Fiscal que carecen de todo sustento, puesto que atendiendo a los hechos declarados probados por la Audiencia Provincial se describe detenidamente la realización de una conducta por el demandante, que se basa en inferencias razonadas que se derivan de las pruebas practicadas y que, pese a ser contrarias a las derivadas por aquél, en modo alguno pueden tacharse de arbitrarias, irrazonables o excesivamente abiertas. </w:t>
      </w:r>
    </w:p>
    <w:p w:rsidR="008B3772" w:rsidRDefault="008B3772" w:rsidP="008B3772">
      <w:pPr>
        <w:pStyle w:val="TextoNormal"/>
      </w:pPr>
      <w:r>
        <w:t>Por todo ello el Ministerio Fiscal considera que la demanda de amparo carece manifiestamente de contenido constitucional e interesa que se dicte Auto en el que se resuelva la inadmisión del recurso planteado.</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demandante de amparo alega que la Sentencia de la Sección Primera de la Audiencia Provincial de Palma de Mallorca de 10 de mayo de 2002, que le condenó como autor de un delito contra la salud pública, confirmada por el Auto de la Sala de lo Penal del Tribunal Supremo de 30 de enero de 2003, que inadmite el recurso de casación formalizado contra aquélla, vulnera el derecho al secreto de las comunicaciones (art. 18.3 CE), a la tutela judicial efectiva (art. 24.1 CE), a un proceso con todas las garantías en relación con la presunción de inocencia (art. 24.2 CE) y el principio de legalidad penal (art. 25.1 CE).</w:t>
      </w:r>
    </w:p>
    <w:p w:rsidR="008B3772" w:rsidRDefault="008B3772" w:rsidP="008B3772">
      <w:pPr>
        <w:pStyle w:val="TextoNormal"/>
      </w:pPr>
      <w:r>
        <w:t xml:space="preserve">Por otro lado se desliza en la demanda la queja de que no se apreció la atenuante prevista en el art. 21.1 CP, pero comoquiera que se trata de una afirmación carente de fundamentación, y no es tarea de este Tribunal suplir la carga de argumentación que pesa sobre el demandante (SSTC 57/2003, de 24 de marzo, FJ 3; 99/2004, de 27 de mayo, FJ 3; 23/2005, de 14 de febrero, FJ 2, y 320/2006, de 15 de noviembre, FJ 2), y que , por lo demás, en el recurso de casación que aquél formalizó en su día planteó la cuestión de la aplicación del error de prohibición previsto en el art. 14 CP, pero no discutió la falta de apreciación de la </w:t>
      </w:r>
      <w:r>
        <w:lastRenderedPageBreak/>
        <w:t>atenuante que aquí trata de objetar, sustrayendo así al Tribunal a quo la posibilidad de pronunciarse sobre la materia, la queja es inadmisible conforme al art. 50.1 a) en relación con el art. 44.1 c), ambos LOTC.</w:t>
      </w:r>
    </w:p>
    <w:p w:rsidR="008B3772" w:rsidRDefault="008B3772" w:rsidP="008B3772">
      <w:pPr>
        <w:pStyle w:val="TextoNormal"/>
      </w:pPr>
      <w:r>
        <w:t>El Fiscal ante el Tribunal Constitucional postula la inadmisión de la presente demanda por entender que las quejas en ella contenidas carecen manifiestamente de fundamento constitucional.</w:t>
      </w:r>
    </w:p>
    <w:p w:rsidR="008B3772" w:rsidRDefault="008B3772" w:rsidP="008B3772">
      <w:pPr>
        <w:pStyle w:val="TextoNormal"/>
      </w:pPr>
    </w:p>
    <w:p w:rsidR="008B3772" w:rsidRDefault="008B3772" w:rsidP="008B3772">
      <w:pPr>
        <w:pStyle w:val="TextoNormal"/>
      </w:pPr>
      <w:r w:rsidRPr="008B3772">
        <w:rPr>
          <w:rStyle w:val="NumeroAFNegritaCaracter"/>
        </w:rPr>
        <w:t>2</w:t>
      </w:r>
      <w:r>
        <w:t>. Comenzando por la alegación referida a la supuesta vulneración del derecho al secreto de las comunicaciones (art. 18.3 CE) ha de precisarse que el demandante cifra la misma en la consideración de que el Auto inicial que autorizó la intervención de su teléfono móvil carece de la necesaria motivación, al no aparecer especificado el titular del mismo; esto es, existiría una confusión entre el titular del teléfono y el número de éste, lo que conllevaría asimismo la nulidad de las resoluciones que por dos veces prorrogaron aquella intervención.</w:t>
      </w:r>
    </w:p>
    <w:p w:rsidR="008B3772" w:rsidRDefault="008B3772" w:rsidP="008B3772">
      <w:pPr>
        <w:pStyle w:val="TextoNormal"/>
      </w:pPr>
      <w:r>
        <w:t>A este respecto debe recordarse que existe un cuerpo de doctrina de este Tribunal en relación con las intervenciones telefónicas (expresado, entre otras, en las SSTC 49/1999, de 5 de abril, FFJJ 4 y ss.; 202/2001, de 15 de octubre, FJ 2; 82/2002, de 22 de abril, FJ 3; 184/2003, de 23 de octubre, FJ 9; 261/2005, de 24 de octubre, FJ 2, y 239/2006, de 17 de julio, FJ 2) que, de forma paralela a la Tribunal Europeo de Derechos Humanos, exige un estricto cumplimiento de un conjunto de imperativos constitucionales ineludibles que afectan al núcleo esencial del derecho fundamental al secreto de las comunicaciones, cuales son la previsión legal, la autorización judicial previa y motivada, la estricta observancia del principio de proporcionalidad y la existencia de un control judicial efectivo en el desarrollo y cese de la medida.</w:t>
      </w:r>
    </w:p>
    <w:p w:rsidR="008B3772" w:rsidRDefault="008B3772" w:rsidP="008B3772">
      <w:pPr>
        <w:pStyle w:val="TextoNormal"/>
      </w:pPr>
      <w:r>
        <w:t>Se discute aquí sobre la falta de motivación en relación con la determinación subjetiva de la medida. En este sentido, si bien es cierto que en determinadas Sentencias se ha resaltado la importancia de identificar a las concretas personas investigadas como usuarias del teléfono objeto de la intervención (SSTC 138/2001, de 18 de junio, FJ 5, y 184/2003, de 23 de octubre, FJ 10), apreciando globalmente la doctrina constitucional se desprende que no puede otorgarse relevancia constitucional a cualquier error en la identidad de los titulares o usuarios de las líneas a intervenir. Así, como se indica en la STC 150/2006, de 22 de mayo, FJ 3, habida cuenta de los avances tecnológicos en el campo de la telefonía, no cabe imponer exigencias desproporcionadas por innecesarias para conseguir la plena garantía del derecho, que, por lo demás, perturbarían notablemente la investigación de determinados delitos, de manera que lo esencial es que se aporten los elementos objetivos indiciarios en que se apoya la investigación y que permiten establecer un enlace entre las personas a las que afectará la medida y el delito investigado, excluyendo, así, las escuchas prospectivas, que imponen una limitación desmesurada del derecho fundamental. En definitiva, tan sólo será constitucionalmente exigible la aportación de los datos que resulten imprescindibles para verificar la idoneidad y rigurosa necesidad de la medida, debiendo apreciarse la suficiencia o no de los datos aportados en relación con las circunstancias concretas que concurran en el momento de autorizar la intervención.</w:t>
      </w:r>
    </w:p>
    <w:p w:rsidR="008B3772" w:rsidRDefault="008B3772" w:rsidP="008B3772">
      <w:pPr>
        <w:pStyle w:val="TextoNormal"/>
      </w:pPr>
      <w:r>
        <w:t xml:space="preserve">En el supuesto que aquí se examina, como se indica en la Sentencia de instancia y se reitera por la Sala de lo Penal del Tribunal Supremo, hubo una inicial indefinición, no acerca de la persona afectada por la medida, sino sobre sus concretos datos identificadores, apareciendo sin embargo determinados con precisión los hechos investigados y especificado el usuario del teléfono intervenido. Por consiguiente ningún reproche constitucional cabe hacer a la medida así autorizada, puesto que no existió equivocación alguna acerca de la persona sobre la que se centraban las investigaciones, sino exclusivamente sobre su nombre, y </w:t>
      </w:r>
      <w:r>
        <w:lastRenderedPageBreak/>
        <w:t>concurrió por tanto la necesaria conexión entre el delito investigado y el destinatario de la medida. Por lo demás, como hace notar el Fiscal ante el Tribunal Constitucional, todos los requisitos exigidos por la jurisprudencia constitucional para la limitación del derecho fundamental al secreto de las comunicaciones fueron escrupulosamente respetados, por lo que ha de decaer asimismo la queja del recurrente relativa a la vulneración del derecho a un proceso con todas las garantías y a la presunción de inocencia (art. 24.2 CE) en relación con el valor probatorio de las conversaciones telefónicas y los posibles elementos probatorios de ellas derivadas, pues, descartada la existencia de lesión del derecho al secreto de las comunicaciones, ninguna tacha cabe oponer a la prueba de cargo relacionada con aquéllas en que se fundó la Sentencia condenatoria.</w:t>
      </w:r>
    </w:p>
    <w:p w:rsidR="008B3772" w:rsidRDefault="008B3772" w:rsidP="008B3772">
      <w:pPr>
        <w:pStyle w:val="TextoNormal"/>
      </w:pPr>
    </w:p>
    <w:p w:rsidR="008B3772" w:rsidRDefault="008B3772" w:rsidP="008B3772">
      <w:pPr>
        <w:pStyle w:val="TextoNormal"/>
      </w:pPr>
      <w:r w:rsidRPr="008B3772">
        <w:rPr>
          <w:rStyle w:val="NumeroAFNegritaCaracter"/>
        </w:rPr>
        <w:t>3</w:t>
      </w:r>
      <w:r>
        <w:t>. Por otra parte alega el recurrente asimismo la infracción del derecho a la tutela judicial efectiva (art. 24.1 CE) y del derecho a la presunción de inocencia (art. 24.2 CE) por considerar que no existió prueba de cargo que acredite la aplicación del subtipo agravado de notoria importancia tipificado en el art. 369.3ª CP y, en cambio, podría también haberse determinado que la sustancia aprehendida iba a repartirse entre los tres acusados. El análisis de la queja, pues, habrá de hacerse desde la perspectiva del derecho a la presunción de inocencia (art. 24.2 CE), puesto que, como la jurisprudencia constitucional ha mantenido reiteradamente, en tanto que tras la consagración constitucional del derecho a la presunción de inocencia toda condena ha de asentarse en pruebas de cargo válidas y suficientes, tal suficiencia incriminatoria ha de ser racionalmente apreciada por el órgano judicial y expuesta en la Sentencia, de tal modo que la falta de motivación en relación con la valoración de la prueba y la determinación de los hechos probados supondría, de ser estimada, la vulneración de aquel derecho (SSTC 249/2000, de 30 de octubre, FJ 2; 124/2001, de 4 de junio, FJ 8; 209/2002, de 11 de noviembre, FJ 2, y 147/2004, de 13 de septiembre, FJ 1).</w:t>
      </w:r>
    </w:p>
    <w:p w:rsidR="008B3772" w:rsidRDefault="008B3772" w:rsidP="008B3772">
      <w:pPr>
        <w:pStyle w:val="TextoNormal"/>
      </w:pPr>
      <w:r>
        <w:t>El derecho a la presunción de inocencia (art. 24.2 CE) se configura por la jurisprudencia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(SSTC 56/2003, de 24 de marzo, FJ 5; 94/2004, de 24 de mayo, FJ 2; 61/2005, de 14 de marzo, FJ 2; 340/2006, de 11 de diciembre, FJ 2, y 43/2007, de 26 de febrero, FJ 7), habiendo subrayado asimismo este Tribunal que no le corresponde revisar la valoración de las pruebas a través de las cuales el órgano judicial, en la función exclusiva que le atribuye el art. 117.3 CE, alcanza su íntima convicción, ya que, ni el proceso constitucional permite el conocimiento preciso y completo de la actividad probatoria, ni en él se incluyen las garantías necesarias de publicidad, oralidad, inmediación y contradicción que deben rodear dicho conocimiento para la adecuada valoración de las pruebas (SSTC 229/1999, de 13 de diciembre, FJ 4 y 41/2003, de 27 de febrero, FJ 3), de modo que al Tribunal Constitucional le compete únicamente controlar la razonabilidad del discurso que une la actividad probatoria y el relato fáctico que resulta, porque el recurso de amparo no es un recurso de apelación, ni el Tribunal Constitucional una tercera instancia (SSTC 278/2000, de 27 de noviembre, FJ 8; 141/2001, de 18 de junio, FJ 4; 155/2002, de 22 de julio, FJ 7; 18/2005, de 1 de febrero, FJ 7, y 123/2006, de 24 de abril, FJ 5).</w:t>
      </w:r>
    </w:p>
    <w:p w:rsidR="008B3772" w:rsidRDefault="008B3772" w:rsidP="008B3772">
      <w:pPr>
        <w:pStyle w:val="TextoNormal"/>
      </w:pPr>
      <w:r>
        <w:t xml:space="preserve">Pues bien, tal como se razona en las resoluciones controvertidas, el órgano judicial contó con elementos probatorios bastantes para fundamentar la Sentencia condenatoria, pues, además de la aprehensión de la sustancia estupefaciente, se apreciaron las conversaciones telefónicas —cuya legitimidad ha quedado constatada anteriormente—, que accedieron al juicio </w:t>
      </w:r>
      <w:r>
        <w:lastRenderedPageBreak/>
        <w:t>oral mediante la lectura de las transcripciones documentadas, introducidas por el interrogatorio de los agentes actuantes como asimismo mediante la audición de las grabaciones. Del contenido de las conversaciones el órgano sentenciador concluyó la esencial puesta en común del propósito orientado a obtener sustancias estupefacientes en Sudamérica y su posterior traslado a Palma de Mallorca para su distribución, existiendo un acuerdo previo para ello, por lo que se descartó que la sustancia tóxica debiera ser asignada a partes iguales. Así las cosas, el demandante, al formular su queja acerca de la falta de pruebas en que basar la aplicación del subtipo agravado, en realidad está introduciendo una discrepancia en la valoración de la prueba realizada por el órgano jurisdiccional, pretendiendo que este Tribunal asuma una función que, como se ha dejado dicho, no le corresponde, una vez constatado, como es el caso, que existió prueba de cargo suficiente para fundamentar la condena de forma razonable, sin que, por otra parte, pueda achacarse al órgano judicial una actuación arbitraria o irrazonable, sino que sencillamente ajustó su proceder al principio de libre valoración de la prueba sentado en el art. 741 LECrim., conforme al cual los distintos medios de prueba han de ser ponderados por los órganos judiciales, que son quienes tienen la misión exclusiva de valorar su significado y trascendencia en orden a la fundamentación de los fallos contenidos en sus Sentencias (SSTC 222/2001, de 5 de noviembre, FJ 3; 125/2002, de 20 de mayo, FJ 2, y 119/2003, de 16 de junio, FJ 2), razón por la cual, finalmente, no se valoró en la forma postulada por el demandante su tesis exculpatoria.</w:t>
      </w:r>
    </w:p>
    <w:p w:rsidR="008B3772" w:rsidRDefault="008B3772" w:rsidP="008B3772">
      <w:pPr>
        <w:pStyle w:val="TextoNormal"/>
      </w:pPr>
    </w:p>
    <w:p w:rsidR="008B3772" w:rsidRDefault="008B3772" w:rsidP="008B3772">
      <w:pPr>
        <w:pStyle w:val="TextoNormal"/>
      </w:pPr>
      <w:r w:rsidRPr="008B3772">
        <w:rPr>
          <w:rStyle w:val="NumeroAFNegritaCaracter"/>
        </w:rPr>
        <w:t>4</w:t>
      </w:r>
      <w:r>
        <w:t>. Abundando en la queja anterior reprocha igualmente el demandante la subsunción que de los hechos han realizado los órganos judiciales en los preceptos penales aplicados, estimando que se ha infringido el principio de legalidad (art. 25.1 CE) al considerar que debió ser condenado, en su caso, como cómplice y no como autor.</w:t>
      </w:r>
    </w:p>
    <w:p w:rsidR="008B3772" w:rsidRDefault="008B3772" w:rsidP="008B3772">
      <w:pPr>
        <w:pStyle w:val="TextoNormal"/>
      </w:pPr>
      <w:r>
        <w:t>En este sentido cabe recordar que, conforme viene reiterando una repetida jurisprudencia constitucional, la función de interpretar y aplicar la legislación vigente, subsumiendo en las normas los hechos que se llevan a su conocimiento, es una función que, de acuerdo con lo establecido en el art. 117.3 CE, corresponde exclusivamente a los Jueces y Tribunales ordinarios, sin que este Tribunal pueda sustituirlos en el ejercicio de dicha tarea (SSTC 185/2000, de 10 de julio, FJ 4; 167/2001, de 16 de julio, FJ 3; 228/2002, de 9 de diciembre, FJ 3; 38/2003, de 27 de febrero, FJ 8, y 75/2006, de 13 de marzo, FJ 9), de tal modo que el control constitucional de las operaciones de subsunción e interpretación de la norma, partiendo de la base de que una norma penal puede admitir diversas interpretaciones a causa de la imprecisión del lenguaje, de su carácter genérico y de su inclusión en un sistema normativo relativamente complejo (SSTC 42/1999, de 22 de marzo, FJ 4; 167/2001, de 16 de julio, FJ 3; 13/2003, de 28 de enero, FJ 3, y 151/2005, de 6 de junio, FJ 9), ha de ceñirse a impedir la imprevisibilidad de la aplicación, sea porque se aparte del tenor literal de la norma, sea porque resulte extravagante en relación con los principios que inspiran el ordenamiento constitucional vigente.</w:t>
      </w:r>
    </w:p>
    <w:p w:rsidR="008B3772" w:rsidRDefault="008B3772" w:rsidP="008B3772">
      <w:pPr>
        <w:pStyle w:val="TextoNormal"/>
      </w:pPr>
      <w:r>
        <w:t xml:space="preserve">En el presente caso no puede reputarse imprevisible ni extravagante el razonamiento realizado por los órganos judiciales; así se razona en la Sentencia de instancia que los tres acusados se concertaron para posibilitar el transporte con la finalidad de que la droga quedara en manos del hoy recurrente y a disposición de otro de los acusados, de modo que si bien la posesión inmediata de la sustancia sólo puede aducirse de quien verificó materialmente la actividad de transporte y en cuyo poder fue efectivamente aprehendida, no puede negarse que el destinatario primero de la sustancia era el aquí demandante, que debía conservarla a disposición de otro de los acusados, conservando por ello estos dos últimos un decidido dominio funcional del hecho, integrando, así, respecto de los tres el tipo delictivo </w:t>
      </w:r>
      <w:r>
        <w:lastRenderedPageBreak/>
        <w:t>previsto en los arts. 368 y 369.3ª CP, como delito contra la salud pública respecto de sustancia que causa grave daño y en cantidad de notoria importancia, consumado y a título de autor respecto de cada uno de los tres acusados. En el mismo sentido, y respecto de la inaplicación del art. 373 CP combatida por el demandante, resalta el órgano de casación que en modo alguno existe conspiración, sino que se trata de un delito contra la salud pública que quedó consumado desde la adquisición de la droga y el comienzo del transporte bajo las instrucciones del recurrente y otro de los acusados, bastando la posesión mediata para la perfección del tipo delictivo que nos ocupa.</w:t>
      </w:r>
    </w:p>
    <w:p w:rsidR="008B3772" w:rsidRDefault="008B3772" w:rsidP="008B3772">
      <w:pPr>
        <w:pStyle w:val="TextoNormal"/>
      </w:pPr>
      <w:r>
        <w:t>En este contexto, pues, en el que no es competencia de este Tribunal verificar cuál de las interpretaciones posibles de la norma es la más adecuada, debe afirmarse que la aplicación del tipo penal realizada no ha sido resultado de una interpretación imprevisible o irrespetuosa, ni del tenor literal de los preceptos, ni de las pautas axiológicas que conforman nuestro ordenamiento constitucional, los criterios mínimos de la lógica jurídica y los modelos de argumentación adoptados en el seno de la comunidad jurídico-penal (SSTC 170/2002, de 30 de septiembre, FF JJ 12 y 13; 38/2003, de 27 de febrero, FJ 8, y 328/2006, de 20 de noviembre, FJ 6), de manera que, como destaca el Ministerio Fiscal, pese a que las conclusiones que alcanza el recurrente son diversas a las determinadas por los órganos judiciales, sus quejas carecen de todo fundamento.</w:t>
      </w:r>
    </w:p>
    <w:p w:rsidR="008B3772" w:rsidRDefault="008B3772" w:rsidP="008B3772">
      <w:pPr>
        <w:pStyle w:val="TextoNormal"/>
      </w:pPr>
    </w:p>
    <w:p w:rsidR="008B3772" w:rsidRDefault="008B3772" w:rsidP="008B3772">
      <w:pPr>
        <w:pStyle w:val="TextoNormal"/>
      </w:pPr>
      <w:r>
        <w:t>Por todo lo expuesto, la Sección</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La inadmisión a trámite de la presente demanda de amparo y el archivo de las actuaciones</w:t>
      </w:r>
    </w:p>
    <w:p w:rsidR="008B3772" w:rsidRDefault="008B3772" w:rsidP="008B3772">
      <w:pPr>
        <w:pStyle w:val="TextoNormal"/>
      </w:pPr>
    </w:p>
    <w:p w:rsidR="008B3772" w:rsidRDefault="008B3772" w:rsidP="008B3772">
      <w:pPr>
        <w:pStyle w:val="TextoNormal"/>
      </w:pPr>
      <w:r>
        <w:t>Madrid, a veintidós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10" w:name="AUTO_2007_246"/>
      <w:r>
        <w:lastRenderedPageBreak/>
        <w:t>AUTO 246/2007, de 22 de mayo de 2007</w:t>
      </w:r>
    </w:p>
    <w:bookmarkEnd w:id="110"/>
    <w:p w:rsidR="008B3772" w:rsidRDefault="008B3772" w:rsidP="008B3772">
      <w:pPr>
        <w:pStyle w:val="TtuloResolucin"/>
      </w:pPr>
      <w:r>
        <w:t>Sección Tercera</w:t>
      </w:r>
    </w:p>
    <w:p w:rsidR="008B3772" w:rsidRDefault="008B3772" w:rsidP="008B3772">
      <w:pPr>
        <w:pStyle w:val="TtuloResolucin"/>
      </w:pPr>
    </w:p>
    <w:p w:rsidR="008B3772" w:rsidRDefault="008B3772" w:rsidP="008B3772">
      <w:pPr>
        <w:pStyle w:val="SntesisDescriptiva"/>
      </w:pPr>
      <w:r>
        <w:t>ECLI:ES:TC:2007:246A</w:t>
      </w:r>
    </w:p>
    <w:p w:rsidR="008B3772" w:rsidRDefault="008B3772" w:rsidP="008B3772">
      <w:pPr>
        <w:pStyle w:val="SntesisDescriptiva"/>
      </w:pPr>
    </w:p>
    <w:p w:rsidR="008B3772" w:rsidRDefault="008B3772" w:rsidP="008B3772">
      <w:pPr>
        <w:pStyle w:val="SntesisDescriptiva"/>
      </w:pPr>
      <w:r>
        <w:t>Excms. Srs. don Guillermo Jiménez Sánchez, don Eugeni Gay Montalvo y don Pascual Sala Sánchez.</w:t>
      </w:r>
    </w:p>
    <w:p w:rsidR="008B3772" w:rsidRDefault="008B3772" w:rsidP="008B3772">
      <w:pPr>
        <w:pStyle w:val="SntesisDescriptiva"/>
      </w:pPr>
    </w:p>
    <w:p w:rsidR="008B3772" w:rsidRDefault="008B3772" w:rsidP="008B3772">
      <w:pPr>
        <w:pStyle w:val="SntesisDescriptiva"/>
      </w:pPr>
      <w:r>
        <w:t>Inadmite a trámite el recurso de amparo 2300-2004, promovido por don Luis Martín Olivo y otros en diligencias previas por fallecimiento.</w:t>
      </w:r>
    </w:p>
    <w:p w:rsidR="008B3772" w:rsidRDefault="008B3772" w:rsidP="008B3772">
      <w:pPr>
        <w:pStyle w:val="SntesisDescriptiva"/>
      </w:pPr>
    </w:p>
    <w:p w:rsidR="008B3772" w:rsidRDefault="008B3772" w:rsidP="008B3772">
      <w:pPr>
        <w:pStyle w:val="SntesisAnaltica"/>
      </w:pPr>
      <w:r>
        <w:t>Derecho a la acción penal: configuración como ius ut procedatur. Derecho a la tutela judicial sin indefensión: derecho a utilizar los medios de prueba pertinentes. Motivación de las resoluciones judiciales: auto de sobreseimiento provisional.</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este Tribunal el día 7 de abril de 2004 don José Luis Martín Jaureguibeitia, Procurador de los Tribunales, asistido del Letrado don Félix Rojo Ojeda, interpuso recurso de amparo en nombre de don Luis Martín Olivo y otros contra el Auto de la Sección Segunda de la Audiencia Provincial de Vizcaya de 23 de febrero de 2004, recaído en el rollo de apelación núm. 37-2004, por virtud del cual se desestimaba el recurso interpuesto contra el Auto de 24 de junio de 2003, dictado por el Juez de Instrucción núm. 3 de Baracaldo.</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La demanda de amparo trae causa de los siguientes hechos: </w:t>
      </w:r>
    </w:p>
    <w:p w:rsidR="008B3772" w:rsidRDefault="008B3772" w:rsidP="008B3772">
      <w:pPr>
        <w:pStyle w:val="TextoNormal"/>
      </w:pPr>
      <w:r>
        <w:t xml:space="preserve">a) El Juez de Instrucción núm. 3 de Baracaldo incoó diligencias previas núm. 452-2001 mediante Auto de 19 de febrero de 2001 por las lesiones sufridas por don Tomás Martín Fernández, padre de los demandantes de amparo, con ocasión de una riña producida por discrepancias vecinales. En dichas diligencias, en las que declaró como imputado don Antonio Sarmiento Martín, se practicaron diversas diligencias de prueba (numerosas testificales, informes de la policía científica y periciales, entre estas de dos forenses), hasta que por Auto de 5 de noviembre de 2001 se acordó el sobreseimiento de las actuaciones. Recurrido en reforma y subsidiariamente en apelación, tal pronunciamiento fue confirmado por Autos de 3 de diciembre de 2001 y de 6 de marzo de 2002 del mencionado Juzgado y de la Audiencia Provincial de Vizcaya, respectivamente. Mientras tanto el 12 de enero de 2002 falleció don Tomás Martín Fernández, no recuperado de las lesiones originadas a resultas de los hechos. Tal decisión de archivo se justificó por los órganos judiciales intervinientes tras una valoración de las versiones proporcionadas por los testigos y en atención a los informes de los forenses, en los que se hacía constar que la víctima padecía una cardiopatía isquémica previa y que las lesiones que presentaba no podían ser consideradas como un factor etiológico de la grave afección cardiaca que sobrevino. </w:t>
      </w:r>
    </w:p>
    <w:p w:rsidR="008B3772" w:rsidRDefault="008B3772" w:rsidP="008B3772">
      <w:pPr>
        <w:pStyle w:val="TextoNormal"/>
      </w:pPr>
      <w:r>
        <w:lastRenderedPageBreak/>
        <w:t xml:space="preserve">b) Recibidas en el Juzgado de Instrucción núm. 3 de Baracaldo diligencias ampliatorias de la Policía Autonómica, donde se incluían las manifestaciones de nuevos testigos de los hechos, el Juez acordó, por Auto de 15 de octubre de 2002, la reapertura de las diligencias previas, acordando oír como testigos a doña María Carmen Vinagre Cortés, a don José Antonio Durán González y a don Juan José Manso Marín, este último a través de exhorto remitido al Juzgado Decano de Madrid. Por su parte la representación legal de los demandantes solicitó, por escrito de 28 de noviembre de 2002, una pericial médica, a practicar por el especialista en medicina cardio torácica Dr. don Eduardo Alcaraz Manzano. En esta segunda fase de instrucción, como se observa en el testimonio de las actuaciones recibido en este Tribunal, consta que declaró como testigo doña María del Carmen Vinagre (folio 418), prestando también declaración a presencia judicial don José Antonio Durán González (folio 462). No declaró, por el contrario, don Juan José Manso Marín, aunque sí constan sus manifestaciones sobre lo acontecido en el atestado ampliatorio remitido por la Policía. Por Auto de 24 de junio de 2003 el Juez acordó no haber lugar a la práctica de la prueba pericial médica solicitada por los recurrentes, decretando nuevamente el sobreseimiento provisional y archivo de las actuaciones, de conformidad con lo previsto en el art. 641.1º LECrim. A tal fin razonaba que la prueba practicada con posterioridad a la reapertura del procedimiento no aportaba nada nuevo que aconsejara continuar con la tramitación de la causa. Respecto de la prueba pericial, justificaba su impertinencia en que la misma estaba basada en una hipótesis que no resultaba en modo alguno constatada: que la víctima había recibido una patada en el pecho. </w:t>
      </w:r>
    </w:p>
    <w:p w:rsidR="008B3772" w:rsidRDefault="008B3772" w:rsidP="008B3772">
      <w:pPr>
        <w:pStyle w:val="TextoNormal"/>
      </w:pPr>
      <w:r>
        <w:t xml:space="preserve">c) Contra esta resolución de archivo se formuló por la acusación particular recurso de reforma y subsidiario de apelación, argumentando que no se había oído como testigo a don Juan José Manso Marín no obstante haber prestado la parte la colaboración necesaria al remitir al Juzgado el pliego de preguntas a que habría de responder en el correspondiente exhorto. Respecto de la pericial médica se reiteraba su práctica, tal como se ha expuesto, aportándose en este momento por dicha acusación el informe médico que a tal fin se había solicitado con carácter privado del mencionado doctor. Además, de las diligencias practicadas en esta segunda fase, fundamentalmente la declaración de la testigo doña María del Carmen Vinagre, se deducían méritos suficientes para continuar el procedimiento respecto de un hijo del anterior inculpado, don Javier Sarmiento Cruz, al que habría de recibírsele declaración como imputado. </w:t>
      </w:r>
    </w:p>
    <w:p w:rsidR="008B3772" w:rsidRDefault="008B3772" w:rsidP="008B3772">
      <w:pPr>
        <w:pStyle w:val="TextoNormal"/>
      </w:pPr>
      <w:r>
        <w:t xml:space="preserve">d) El Juez de Instrucción desestimó el recurso de reforma por Auto de 11 de diciembre de 2003, en el que daba por reproducidos los argumentos vertidos en la resolución anterior. La Sección Segunda de la Audiencia Provincial de Vizcaya, por su parte, desestimó el recurso de apelación por Auto de 23 de febrero de 2004, justificando su decisión en los siguientes términos: “El primer problema que aprecia este Tribunal es que no se conoce al autor. Sí se ha identificado a la persona que propino el golpe con el paragüero, Antonio Sarmiento Martín, reconocida en la fotografía al menos por la Sra. Vinagre, pero está fuera de toda duda de que por esta acción no se produjo el fallecimiento del Sr. Martín”. Además, respecto al informe médico aportado, ha sido elaborado por “un perito de parte al que los hechos se los relata su propia parte y así se recoge que al finado se le propino una patada… Sin embargo, no está objetivada la existencia de esa patada en el torax y menos con la localización tan precisa del golpe como se recoge en el informe”. Finalmente, “no debe olvidarse el estado de excitación y nerviosismo (estrés) con que ya se encontraba el Sr. Martín con anterioridad a que se iniciara la pelea. En efecto, estamos hablando de que hubo una pelea o riña mutuamente aceptada en al que se formaron dos bandos, por un lado, el Sr. Martín con su hijo y, por otro, el Sr. Sarmiento y sus dos hijos. Y el Sr. Martín no consta que </w:t>
      </w:r>
      <w:r>
        <w:lastRenderedPageBreak/>
        <w:t>rehuyera la pelea, habiendo además de recordar que fue él, acompañado de su hijo, según éste relata, quien se dirigió al domicilio de los Srs. Sarmiento y cuando éstos quisieron cerrar la puerta de la vivienda aquél coloco el pie impidiéndoselo. Por tanto la situación de estrés es incluso anterior a que comenzaran las agresiones físicas mutuas”. Por lo anterior, concluía la Sala, “la prueba pericial médica aportada no permite valorar de forma distinta lo que ya por el médico forense se había concluido, en el sentido de que no está acreditado el necesario nexo causal entre la conducta del Sr. Sarmiento, o de sus hijos, y el coma vigil y posterior fallecimiento del Sr. Martín, de ahí que sea innecesario tomar nuevamente declaración a esta persona o al testigo Sr. Manso Marín, o practicar más diligencias” (FJ 1).</w:t>
      </w:r>
    </w:p>
    <w:p w:rsidR="008B3772" w:rsidRDefault="008B3772" w:rsidP="008B3772">
      <w:pPr>
        <w:pStyle w:val="TextoNormal"/>
      </w:pPr>
    </w:p>
    <w:p w:rsidR="008B3772" w:rsidRDefault="008B3772" w:rsidP="008B3772">
      <w:pPr>
        <w:pStyle w:val="TextoNormal"/>
      </w:pPr>
      <w:r w:rsidRPr="008B3772">
        <w:rPr>
          <w:rStyle w:val="NumeroAFNegritaCaracter"/>
        </w:rPr>
        <w:t>3</w:t>
      </w:r>
      <w:r>
        <w:t>. Los recurrentes atribuyen la lesión de sus derechos a la tutela judicial efectiva (art. 24.1 CE), a un proceso con todas las garantías y a utilizar los medios pertinentes para su defensa (art. 24.2 CE) al Auto dictado por la Audiencia Provincial en apelación, en cuanto confirma la resolución de sobreseimiento provisional del Juez y la inadmisión de las diligencias antes referidas. Estas diligencias son denegadas sin motivación o con una motivación ilógica o irracional. Así, respecto de la testifical de don José Antonio Durán González, aunque fue acordada de oficio por el Juez de Instrucción y era relevante para un mejor esclarecimiento de los hechos, ésta no fue practicada, porque ante las dos citaciones que le hizo el órgano judicial esta persona no compareció. La Audiencia Provincial, además, no hace ninguna referencia a esta diligencia de prueba en su resolución. A la declaración de don Juan José Manso Marín le son aplicables los anteriores argumentos, porque también fue ordenada de oficio por el Juzgado e intentada su práctica en dos ocasiones sin resultado. A diferencia el caso anterior, el órgano de apelación expresa que “…no está acreditado el necesario nexo causal entre la conducta del Sr. Sarmiento, o de sus hijos y el coma vigil y posterior fallecimiento del Sr. Martín, de ahí que sea innecesario tomar nuevamente declaración a esta persona o al testigo Sr. Manso Marín o practicar más diligencias”. Tal explicación es ilógica e irrazonable porque es “sumamente contradictorio afirmar que no se conoce al autor y, en la misma resolución, negar la diligencia testifical de un testigo presencial”. En relación a la pericial del doctor don Eduardo Alcaraz Manzano tampoco puede entenderse como razonable el rechazo de esta prueba por la Sala, en base a que era una pericial de parte y no estaba objetivada la patada en el pecho, porque los hechos “no son los relatados por la parte sino los relatados en el propio atestado”, manifestando en éste doña María del Carmen Vinagre Cortés cómo se propino a la víctima una patada en el pecho y don José Antonio Durán González y don Juan José Manso Marín como ésta recibió una patada cuando se encontraba de rodillas. Por otra parte debería haber sido llamado a declarar como imputado en esta segunda fase de la instrucción don Javier Sarmiento Cruz, al estar prevista esta diligencia en los arts. 118 y concordantes LECrim., habiendo puesto de relieve los testigos antes referidos que esta persona era quien había protagonizado la agresión. En todo caso, con independencia de que la denegación de dichas diligencias se había producido por el órgano de apelación sin motivación o con una motivación irrazonable, la inactividad judicial en la práctica de las diligencias averiguatorias pertinentes habría generado a los recurrentes una situación de indefensión.</w:t>
      </w:r>
    </w:p>
    <w:p w:rsidR="008B3772" w:rsidRDefault="008B3772" w:rsidP="008B3772">
      <w:pPr>
        <w:pStyle w:val="TextoNormal"/>
      </w:pPr>
    </w:p>
    <w:p w:rsidR="008B3772" w:rsidRDefault="008B3772" w:rsidP="008B3772">
      <w:pPr>
        <w:pStyle w:val="TextoNormal"/>
      </w:pPr>
      <w:r w:rsidRPr="008B3772">
        <w:rPr>
          <w:rStyle w:val="NumeroAFNegritaCaracter"/>
        </w:rPr>
        <w:t>4</w:t>
      </w:r>
      <w:r>
        <w:t xml:space="preserve">. Por diligencia de ordenación de la Secretaría de Justicia de la Sala Segunda de este Tribunal, de 29 de abril de 2004, se acordó requerir a los demandantes que aportaran copia de las resoluciones impugnadas, en particular de los Autos de 24 de junio y 11 de diciembre de 2003, así como copia de los escritos de formalización de los recursos de reforma y apelación. Por también diligencia de ordenación de la misma Sala, de 17 de junio de 2004, se </w:t>
      </w:r>
      <w:r>
        <w:lastRenderedPageBreak/>
        <w:t>acordó, antes de entrar a resolver sobre la admisibilidad del recurso, dirigir atenta comunicación al Juzgado de Instrucción núm. 3 de Baracaldo a fin de que se remitiera a esta Sala certificación o fotocopia adverada de las actuaciones correspondientes a las diligencias previas núm. 452-2003.</w:t>
      </w:r>
    </w:p>
    <w:p w:rsidR="008B3772" w:rsidRDefault="008B3772" w:rsidP="008B3772">
      <w:pPr>
        <w:pStyle w:val="TextoNormal"/>
      </w:pPr>
    </w:p>
    <w:p w:rsidR="008B3772" w:rsidRDefault="008B3772" w:rsidP="008B3772">
      <w:pPr>
        <w:pStyle w:val="TextoNormal"/>
      </w:pPr>
      <w:r w:rsidRPr="008B3772">
        <w:rPr>
          <w:rStyle w:val="NumeroAFNegritaCaracter"/>
        </w:rPr>
        <w:t>5</w:t>
      </w:r>
      <w:r>
        <w:t>. Mediante providencia de la Sección Tercera de este Tribunal de 11 de noviembre de 2004 se acordó, de conformidad con lo dispuesto en el art. 50.3 LOTC, conceder un plazo común de diez días a los recurrentes y al Ministerio Fiscal para que formularan, con las aportaciones documentales que procedieran y a la vista de las actuaciones recibidas en esta Sala, las alegaciones que estimasen pertinentes acerca de la concurrencia de la causa de inadmisión prevista en el art. 50.1 c) de la misma Ley, consistente en la carencia manifiesta de contenido constitucional de la demanda.</w:t>
      </w:r>
    </w:p>
    <w:p w:rsidR="008B3772" w:rsidRDefault="008B3772" w:rsidP="008B3772">
      <w:pPr>
        <w:pStyle w:val="TextoNormal"/>
      </w:pPr>
    </w:p>
    <w:p w:rsidR="008B3772" w:rsidRDefault="008B3772" w:rsidP="008B3772">
      <w:pPr>
        <w:pStyle w:val="TextoNormal"/>
      </w:pPr>
      <w:r w:rsidRPr="008B3772">
        <w:rPr>
          <w:rStyle w:val="NumeroAFNegritaCaracter"/>
        </w:rPr>
        <w:t>6</w:t>
      </w:r>
      <w:r>
        <w:t>. La representación procesal de la parte recurrente evacuó el trámite de alegaciones conferido mediante escrito registrado en este Tribunal en fecha 18 de noviembre de 2004, en el que se reproducen de manera resumida los hechos y los fundamentos de la impugnación ya recogidos, interesándose por ello la admisión a trámite del presente recurso de amparo.</w:t>
      </w:r>
    </w:p>
    <w:p w:rsidR="008B3772" w:rsidRDefault="008B3772" w:rsidP="008B3772">
      <w:pPr>
        <w:pStyle w:val="TextoNormal"/>
      </w:pPr>
    </w:p>
    <w:p w:rsidR="008B3772" w:rsidRDefault="008B3772" w:rsidP="008B3772">
      <w:pPr>
        <w:pStyle w:val="TextoNormal"/>
      </w:pPr>
      <w:r w:rsidRPr="008B3772">
        <w:rPr>
          <w:rStyle w:val="NumeroAFNegritaCaracter"/>
        </w:rPr>
        <w:t>7</w:t>
      </w:r>
      <w:r>
        <w:t>. Por escrito presentado en el Registro General de este Tribunal el día 30 de noviembre de 2004 el Ministerio Fiscal formuló alegaciones interesando la inadmisión de la demanda por falta de contenido constitucional. Así, empieza por reconducir todas las quejas planteadas al derecho a la utilización de los medios de prueba pertinentes (art. 24.2 CE), porque no se aprecia en la demanda ningún sustento de una lesión del derecho a un proceso con todas las garantías (art. 24.1 CE), no habiéndose además vulnerado el derecho a la tutela judicial efectiva (art. 24.1 CE). Desde esta perspectiva entiende el Fiscal, después de recordar la consolidada doctrina de este Tribunal sobre el derecho a la prueba, que las pruebas propuestas y la argumentación que consta en la demanda no alcanzan a convencer sobre la trascendencia o necesidad del resultado de las mismas. Por otra parte declaró en sede judicial doña Carmen Vinagre Cortés. También declaró don José Antonio Durán González, como consta al folio 462 de las actuaciones. No declaró don Juan José Manso Marín, pero los órganos judiciales pudieron juzgar sobre su conveniencia o no al constar su testimonio en el atestado policial ampliatorio. En cuanto a la prueba pericial está razonablemente denegada por innecesaria al no resultar acreditada la hipótesis de que partía: la existencia de una patada en el pecho con una fuerza y en lugar determinado. Si no está acreditado este hecho es inútil la pericia. Finalmente la declaración como imputado de don Javier Sarmiento Cruz requiere que el órgano judicial realice un juicio sobre quien puede ser autor del delito que no puede ser suplido por el de la acusación particular.</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xml:space="preserve">. Es objeto de impugnación en este recurso de amparo el Auto de la Sección Segunda de la Audiencia Provincial de Vizcaya de 23 de febrero de 2004 por el que se desestima el recurso de apelación interpuesto contra el Auto del Juez de Instrucción núm. 3 de Baracaldo de 24 de junio de 2003, que acuerda el sobreseimiento provisional de las actuaciones. Esta causa se había iniciado por las lesiones sufridas por don Tomás Martín Fernández en una </w:t>
      </w:r>
      <w:r>
        <w:lastRenderedPageBreak/>
        <w:t>riña vecinal, quien posteriormente falleció, habiendo declarado como imputado don Antonio Sarmiento Martín. La parte recurrente atribuye a estas resoluciones judiciales la vulneración de sus derechos a la tutela judicial efectiva (art. 24.1 CE), a un proceso con todas las garantías y a la utilización de los medios de prueba pertinentes (art. 24.2 CE), al haber archivado la causa sin practicarse todas las diligencias de investigación necesarias. Así, el rechazo de ciertas pruebas testificales y de una prueba pericial médica se habría producido sin motivación o a través de una motivación ilógica o irrazonable, no habiendo oído además el Juez como imputado a un hijo del anterior inculpado, sobre el que existían indicios suficientes de criminalidad. Este criterio no es compartido por el Ministerio Fiscal, quien interesa la inadmisión del presente recurso por carecer manifiestamente de contenido constitucional que justifique un pronunciamiento sobre el fondo por parte de este Tribunal [art. 50.1 c) LOTC].</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Conviene empezar recordando que el derecho a la tutela judicial efectiva (art. 24.1 CE), invocado en primer lugar en la demanda, tan sólo garantiza el derecho a obtener, cuando se cumplan los requisitos procesales correspondientes, una resolución de fondo, que se pronuncie, y lo haga de manera razonable, motivada y fundada en Derecho, sobre las pretensiones de las partes, con independencia de que ésta sea favorable o desfavorable a los intereses de la parte recurrente (106/2005, de 9 de mayo, FJ 3; 196/2005, de 18 de junio, FJ 3, entre otras). Por otra parte el ius ut procedatur que ostenta el ofendido por el delito no contiene un derecho absoluto a la apertura y sustanciación del proceso penal, sino tan sólo el derecho a obtener una decisión judicial razonada sobre las pretensiones deducidas (STC 21/2005, de 1 de febrero, FJ 4, por todas). Así el ejercicio de la acción penal no comporta un derecho incondicional a la plena sustanciación del proceso penal, sino sólo, en su caso, el derecho a obtener un pronunciamiento motivado del órgano judicial en la fase instructora sobre la calificación jurídica de los hechos expresando las razones por las que inadmite su tramitación, habiendo declarado este Tribunal la legitimidad de los autos de inadmisión de la notitia criminis, los cuales pueden dictarse incluso inaudita parte (STC 120/1997, de 1 de julio, FJ 2). De modo que las exigencias derivadas del referido derecho fundamental se verán satisfechas por la resolución de inadmisión si se fundamenta de forma razonable en la exclusión ab initio del carácter delictivo de los hechos imputados, y, en su caso, por la resolución que acuerda la terminación anticipada del proceso penal sin apertura de la fase de plenario en caso de que se sustente razonablemente en la concurrencia de los motivos legalmente previstos de sobreseimiento libre o provisional de conformidad con los arts. 637 y 641 LECrim. (SSTC 178/2001, de 17 de septiembre, FJ 3 b); 63/2002, de 11 de marzo, FJ 3). Y, en cuanto a la exigencia de motivación, este Tribunal ha señalado, específicamente en relación con las decisiones de sobreseimiento y archivo de causas penales, que la misma no obliga constitucionalmente al Juez o Tribunal a efectuar una exhaustiva descripción del proceso intelectual que le lleva a resolver en un determinado sentido, ni le impone un concreto alcance o intensidad en el razonamiento empleado. Basta, por el contrario, que la motivación cumpla la doble finalidad de exteriorizar, de un lado, el fundamento de la decisión adoptada,  haciendo explícito que ésta responde a una determinada interpretación y aplicación del Derecho, y de permitir, de otro, su eventual control jurisdiccional mediante el efectivo ejercicio de los recursos previstos por el Ordenamiento jurídico, sin que sea necesario el análisis pormenorizado de los elementos integrantes de los tipos penales por los que se formula una querella (STC 176/2006, de 5 de junio, FJ 2). También hemos afirmado que son cuestiones de legalidad ordinaria que, conforme a lo establecido en el art. 117.3 CE, corresponden exclusivamente a los Juzgados y Tribunales y, por tanto, sobre las que este </w:t>
      </w:r>
      <w:r>
        <w:lastRenderedPageBreak/>
        <w:t>Tribunal no puede intervenir salvo que la interpretación o aplicación de la norma que se adopte sea arbitraria, irrazonable o manifiestamente infundada o bien producto de un error patente, tanto la verificación de la concurrencia de los requisitos materiales y procesales exigidos para la obtención de un pronunciamiento en vía judicial, entre los que cabe incluir las cuestiones referidas a la legitimación y la correcta conformación de la relación jurídico-procesal, como las decisiones sobre si ha de dictarse o no un auto de sobreseimiento y, si así fuera, con base en qué supuesto de los previstos en la ley (por todas, STC 72/2006, de 13 de marzo, FJ 2).</w:t>
      </w:r>
    </w:p>
    <w:p w:rsidR="008B3772" w:rsidRDefault="008B3772" w:rsidP="008B3772">
      <w:pPr>
        <w:pStyle w:val="TextoNormal"/>
      </w:pPr>
      <w:r>
        <w:t xml:space="preserve">Sentado lo anterior ha de advertirse que los recurrentes pudieron ejercitar en el presente caso la acción penal, se les admitió como acusación particular en las diligencias previas núm. 452- 2001 incoadas por el Juzgado de Instrucción núm. 3 de Baracaldo en averiguación de las causas que provocaron el fallecimiento de su padre, el Juzgado practicó las diligencias de investigación que estimó pertinentes (entre ellas numerosas declaraciones de los implicados en los hechos y de personas que presenciaron el incidente, diversas periciales, fundamentalmente de dos médicos forenses sobre las causas de la parada cardio-respiratoria que padeció la víctima), dictando en un primer momento un Auto de sobreseimiento provisional el 5 de noviembre de 2001, confirmado en apelación por la Sección Segunda de la Audiencia Provincial de Vizcaya por Auto de 6 de marzo de 2002. Tal iniciativa se justificó por dichos órganos judiciales tras una amplia ponderación de las declaraciones testificales sobre la forma en que se había desarrollado la riña y a la vista de las conclusiones a que llegaron los informes emitidos por los forenses. Posteriormente, tras la remisión por parte de la Policía de unas diligencias ampliatorias del atestado inicial, donde constaban las manifestaciones de nuevos testigos de los hechos, y ante la petición expresa en este sentido de los ahora recurrentes (escrito de 11 de octubre de 2002, al folio 392 de la causa), el Juez de Instrucción procedió a su reapertura por Auto de 15 de octubre de 2002, donde ordenó nuevamente la declaración de tres testigos. Tras oír en la sede del Juzgado a dos de éstos, se acordó nuevamente el sobreseimiento provisional y archivo de las actuaciones por Auto de 24 de junio de 2003, en base a lo dispuesto en el art. 641.1 LECrim., al entender el Juez que “la prueba practicada con posterioridad a acordarse la reapertura del procedimiento no aporta nada nuevo que aconseje continuar con la tramitación de la presente causa”, confirmándose esta decisión por Auto del propio Juez de 11 de diciembre de 2003. La Sección Segunda de la Audiencia Provincial de Vizcaya, por su parte, desestimó el recurso de apelación interpuesto contra dicho pronunciamiento, argumentando en su Auto (FJ 1), en contra de la afirmación de los demandantes de que se había acreditado la existencia del autor de dicha agresión, que no se conocía su existencia, pues, si bien “se ha identificado a la persona que propinó el golpe con el paragüero, Antonio Sarmiento Martín, reconocida en fotografía al menos por la Sra. Vinagre, está fuera de toda duda de que por esta acción no se produjo el fallecimiento del Sr. Martín”. Por otra parte: “no debe olvidarse el estado de excitación y nerviosismo (estrés) con que ya se encontraba el Sr.  Martín con anterioridad a que se iniciara la pelea. En efecto, estamos hablando de que hubo una pelea o riña mutuamente aceptada, en la que se formaron dos bandos, por un lado, el Sr. Martín con su hijo, y, por otro, el Sr. Sarmiento y sus dos hijos, y el Sr.  Martín no consta que rehuyera la pelea, habiendo además de recordar que fue él, acompañado de su hijo, según éste relata, quien se dirigió al domicilio de los Sres. Sarmiento y cuando estos quisieron cerrar la puerta de la vivienda aquel colocó el pie impidiéndolo. Por tanto la situación de estrés es incluso anterior a que comenzaran las agresiones físicas mutuas”. Finalmente, “la prueba pericial médica aportada no permite valorar de forma distinta lo que ya por el médico forense se había concluido, en </w:t>
      </w:r>
      <w:r>
        <w:lastRenderedPageBreak/>
        <w:t>el sentido de que no está acreditado el necesario nexo causal entre la conducta del Sr.  Sarmiento, o de sus hijos, y el coma vigil y posteriormente fallecimiento del Sr. Martín”.</w:t>
      </w:r>
    </w:p>
    <w:p w:rsidR="008B3772" w:rsidRDefault="008B3772" w:rsidP="008B3772">
      <w:pPr>
        <w:pStyle w:val="TextoNormal"/>
      </w:pPr>
      <w:r>
        <w:t>Esta respuesta de los órganos judiciales, analizada de una manera global a través de las sucesivas resoluciones, integra una respuesta fundada en Derecho, congruente con las pretensiones deducidas y motivada debidamente, que se ajusta a los cánones constitucionales antes referenciados, en cuanto expone las razones por las que se procede al sobreseimiento provisional de las actuaciones, al no resultar debidamente justificada la perpetración del delito que ha dado motivo a la formación de la causa (art. 641.1 LECrim.). Siendo necesario resaltar que el archivo acordado se fundamenta en esta causa legal y no en el núm. 2 del citado art. 641 (“cuando resulte del sumario haberse cometido un delito y no haya motivos suficientes para acusar a determinada persona como autores, cómplices o encubridores”), como tras una primera lectura de la resolución del órgano de apelación parece desprenderse al manifestar que “no se conoce el autor”. Por ello no se puede atribuir tacha de irrazonabilidad alguna a esta resolución, como se hace en la demanda, al ser “sumamente contradictorio afirmar que no se conoce al autor y en la misma resolución negar la diligencia testifical de un testigo presencial”, pues el sobreseimiento acordado se sustenta, no en la identificación o no del posible autor de los hechos, sino en una ponderación divergente respecto de los ahora demandantes sobre la forma en que podría haberse desarrollado el incidente y la etiología de las graves consecuencias sobrevenidas a la víctima, tal como se desprende de la lectura íntegra de la expresada resolución. Así las cosas las alegaciones de los recurrentes lo único que revelan es su disconformidad con los criterios de los órganos judiciales que, en doble instancia, han analizado sus pretensiones para rechazarlas durante la instrucción, no pudiendo este Tribunal situarse en el papel que, en exclusiva, corresponde a los órganos judiciales, ni entrar a calificar los hechos para apreciar si son indiciariamente constitutivos de infracción penal, puesto que ello contrariaría lo dispuesto en el art. 44.1 b) LOTC, convirtiendo así a esta Jurisdicción en una instancia revisora, incompatible con su naturaleza estrictamente constitucional.</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El contenido esencial de la demanda presentada hace referencia a una supuesta lesión del derecho de los recurrentes a la utilización de los medios de prueba pertinentes (art. 24.2 CE) al no habérseles admitido una serie de diligencias de investigación que habían propuesto una vez reaperturadas las diligencias previas. La alegación de que también se había infringido el derecho a un proceso con todas las garantías (art. 24.2 CE) carece de entidad y autónoma y diferenciada del anterior motivo, tratándose con ella simplemente de reforzar dicha denuncia. Estas diligencias consistían, según se ha expuesto en los antecedentes, en unas testificales de dos personas que habían presenciado la riña (cuyos datos se consignaba en el atestado ampliatorio de la Policía) y en una nueva pericial de un doctor, don Eduardo Alcaraz Manzano. Con esta perspectiva conviene recordar que es doctrina consolidada de este Tribunal que el art. 24.2 CE no confiere un ilimitado derecho a las partes de que se admitan y se practiquen todos los medios de prueba propuestos, sino sólo aquellos que, solicitados en tiempo y forma, sean lícitos y pertinentes, correspondiendo el juicio de pertinencia y la decisión sobre la admisión de las pruebas a los órganos judiciales (SSTC 78/2001, de 26 de marzo, FJ 3; 701/2002, de 3 de abril, FJ 5). Ahora bien, asimismo hemos afirmado que puede ser revisada en la vía de amparo la decisión de sobreseer las diligencias si se violan las garantías constitucionales, entre las que se encuentra el agotamiento de los medios de investigación (STC 40/1988, de 10 de marzo, FJ 3), ello entendido, no como el derecho a practicar todas las diligencias que la parte solicita, sino solamente aquellas que el Juez estime lícitas y pertinentes (SSTC 85/1997, de 22 de abril, FJ 3; 70/2002, de 3 de abril, </w:t>
      </w:r>
      <w:r>
        <w:lastRenderedPageBreak/>
        <w:t>FJ 5), aun cuando desde luego, resulta factible controlar por parte de este Tribunal Constitucional las decisiones judiciales cuando hubieran inadmitido pruebas relevantes para la decisión final sin motivación, con una motivación incongruente, arbitraria o irrazonable, de una manera tardía o en el caso que habiéndose admitido la prueba finalmente no hubiera podido practicarse por causas imputables al órgano judicial (STC 240/2005, de 15 de noviembre, FJ 4, por todas). Además es necesario que la falta de actividad probatoria se haya traducido en una efectiva indefensión del recurrente, o lo que es lo mismo, que “sea decisiva en términos de defensa”, debiéndose “argumentar de modo convincente que la resolución  final del proceso a quo podía haber sido favorable a sus pretensiones de haberse aceptado y practicado la prueba propuesta” (42/2007, de 26 de febrero, FJ 4).</w:t>
      </w:r>
    </w:p>
    <w:p w:rsidR="008B3772" w:rsidRDefault="008B3772" w:rsidP="008B3772">
      <w:pPr>
        <w:pStyle w:val="TextoNormal"/>
      </w:pPr>
      <w:r>
        <w:t>A la luz de esta doctrina, respecto de la testifical de don José Antonio Durán, en contra de lo que se afirma en la demanda, se observa que esta diligencia sí fue practicada por el Juzgado de Instrucción el día 14 de enero de 2003, como consta al folio 462 y ss. de las actuaciones. Además los recurrentes, no pueden ahora imputar a la resolución de la Audiencia Provincial ahora impugnada no haberse pronunciado sobre esta testifical, cuando, ni en el recurso de reforma y subsidiario de apelación, ni en el trámite de alegaciones a este último, consta que hicieran referencia alguna expresa a la mencionada prueba, por lo que, en todo caso, concurriría la causa de inadmisión prevista en el art. 50.1 a), en relación el art. 44.1 a) y c), ambos LOTC. Por lo que respecta a la testifical de don Juan José Manso Marín su denegación tampoco presenta relevancia constitucional. En efecto, hay que partir del hecho de que esta diligencia, como se reconoce en la demanda, fue acordada de oficio por el Juzgado, limitándose los demandantes a solicitar su práctica posteriormente con ocasión del recurso presentado contra la resolución de archivo de la causa, no pudiendo realizarse, no obstante haber sido citado convenientemente en dos ocasiones, porque esta persona no compareció. En todo caso, las razones que da el órgano judicial para denegarla posteriormente, consistentes en que era innecesaria porque no estaba acreditado “el necesario nexo causal entre la conducta del Sr. Sarmiento, o de sus hijos y el coma vigil y posterior fallecimiento del Sr. Martín”, afirmación hecha desde la perspectiva del amplio material probatorio practicado, no pueden considerarse arbitrarias o irrazonables, infiriéndose de tal motivación además que su práctica no hubiera sido relevante para modificar la convicción del órgano judicial, por lo que no se revela como “prueba decisiva en términos de defensa” conforme a la doctrina anterior. Por lo que se refiere a la prueba pericial a practicar por el doctor don Eduardo Alcaraz Manzano, ésta sí específicamente solicitada por la parte recurrente al Juzgado, también se observa una motivación de los órganos judiciales acorde con las exigencias constitucionales. Así, el Juez de Instrucción refiere que resultaba impertinente, porque no estaba acreditada la hipótesis de la que partía dicha pericia, es decir la existencia de una “patada en el pecho” inferida a la víctima, pudiendo llegar legítimamente el Juez a esta conclusión tras una valoración global y en conjunto de todas las diligencias de investigación practicadas, no sólo de las testificales sugeridas por los demandantes. La Audiencia Provincial confirma este mismo razonamiento del Juez, realizando  además una evaluación específica del informe realizado por el mencionado doctor, aportado como documental con ocasión del recurso de reforma y subsidiario de apelación interpuesto, para concluir, tras un análisis de los diversos factores concurrentes (entre estos, el estado de excitación y nerviosismo de la víctima, anterior a que se iniciara la pelea) y las lesiones que se le observaron, que dicho informe médico “no permite valorar de forma distinta lo que ya por el médico forense se había concluido”, en la forma en que se ha expuesto con anterioridad. Por ello podemos también aplicar aquí el mismo razonamiento anterior, sobre ausencia de arbitra</w:t>
      </w:r>
      <w:r>
        <w:lastRenderedPageBreak/>
        <w:t>riedad o irrazonabilidad en la denegación de esta pericial, sin que, por otra parte, los recurrentes hayan argumentado convincentemente cómo la omisión de tal elemento probatorio no practicado les ha provocado una situación de indefensión material, pudiéndoles haber sido favorable a sus intereses la resolución final de la causa de haberse practicado la pericia objeto de controversia.</w:t>
      </w:r>
    </w:p>
    <w:p w:rsidR="008B3772" w:rsidRDefault="008B3772" w:rsidP="008B3772">
      <w:pPr>
        <w:pStyle w:val="TextoNormal"/>
      </w:pPr>
    </w:p>
    <w:p w:rsidR="008B3772" w:rsidRDefault="008B3772" w:rsidP="008B3772">
      <w:pPr>
        <w:pStyle w:val="TextoNormal"/>
      </w:pPr>
      <w:r w:rsidRPr="008B3772">
        <w:rPr>
          <w:rStyle w:val="NumeroAFNegritaCaracter"/>
        </w:rPr>
        <w:t>4</w:t>
      </w:r>
      <w:r>
        <w:t>. También carece del necesario contenido constitucional la alegación que se hace en la demanda de que se habría originado una añadida situación de indefensión a los recurrentes que les habría obstaculizado defender de manera conveniente sus legítimos intereses, por el hecho de que el Juez no había atendido su solicitud de que se procediera a citar como imputado a don Javier Sarmiento Cruz. No obstante conviene resaltar que el Juez citó a esta persona para ser oída en declaración como testigo (folio 154 de la causa), por lo que ha podido ser tenido en cuenta el contenido de su testimonio, actuando el Juez de Instrucción en el marco de sus competencias al no acordar su posterior declaración en calidad de imputado. En este sentido hemos afirmado que la apreciación de si existen o no indicios de criminalidad contra determinadas personas no es una cuestión trasladable al ámbito constitucional (STC 85/1997, de 22 de abril, FJ 3).  Además la instrucción tiene por objeto esclarecer si los hechos denunciados pueden o no ser constitutivos de delito, y tal finalidad se cumple cuando el material reunido permite al Juez afirmar que el factum no es subsumible en ninguno de los tipos penales (STC 191/1989, de 16 de noviembre, FJ 3; 232/1998, de 1 de diciembre, FJ 3). En tal caso resultaría no sólo inútil sino improcedente la práctica de cualquier otra diligencia de investigación, entre estas la nueva declaración de otros supuestos implicados en los hechos, que, sin poder alterar la convicción del Juez, supondría una indebida prolongación de la causa contraria a los propios postulados constitucionales, que obligan a no alargarla innecesariamente en perjuicio de los querellados o denunciados.  Por ello hemos afirmado en la reciente STC 176/2006, de 5 de junio, FJ 4, que “la parte acusadora no tiene derecho a que el órgano judicial lleve a cabo una actividad investigadora exhaustiva o ilimitada, sino que una vez constatado que los hechos que se investigan no son subsumibles en ningún tipo penal, el deber del Juez no es agotar las posibilidades de investigación, sino no alargar innecesariamente el proceso, para salvaguardar los derechos del posible implicado”.</w:t>
      </w:r>
    </w:p>
    <w:p w:rsidR="008B3772" w:rsidRDefault="008B3772" w:rsidP="008B3772">
      <w:pPr>
        <w:pStyle w:val="TextoNormal"/>
      </w:pPr>
      <w:r>
        <w:t>En definitiva, no se aprecia en modo alguno la inactividad judicial que se denuncia en la demanda, habiéndose desplegado por el Juez de Instrucción a lo largo de la tramitación de las presentes diligencias previas una amplia actividad investigadora, oyéndose en declaración a numerosos testigos y practicadas diversas periciales, tal como se ha expuesto, no habiendo sufrido los recurrentes la indefensión que denuncian, al haber sido asistidos durante el desarrollo del procedimiento penal por un Letrado, quien llevó a cabo su asistencia teniendo la oportunidad de trasladar a los órganos judiciales las consideraciones pertinentes sobre las diligencias de investigación no practicadas e interponer los correspondientes recursos contra las resoluciones dictadas, incluso por lo que respecta al sobreseimiento provisional y archivo de la causa finalmente acordado.</w:t>
      </w:r>
    </w:p>
    <w:p w:rsidR="008B3772" w:rsidRDefault="008B3772" w:rsidP="008B3772">
      <w:pPr>
        <w:pStyle w:val="TextoNormal"/>
      </w:pPr>
    </w:p>
    <w:p w:rsidR="008B3772" w:rsidRDefault="008B3772" w:rsidP="008B3772">
      <w:pPr>
        <w:pStyle w:val="TextoNormal"/>
      </w:pPr>
      <w:r>
        <w:t>Por lo expuesto, y de conformidad con el art. 50.1 c) de la Ley Orgánica del Tribunal Constitucional, la Sección</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lastRenderedPageBreak/>
        <w:t>La inadmisión de la demanda de amparo y el archivo de las actuaciones.</w:t>
      </w:r>
    </w:p>
    <w:p w:rsidR="008B3772" w:rsidRDefault="008B3772" w:rsidP="008B3772">
      <w:pPr>
        <w:pStyle w:val="TextoNormal"/>
      </w:pPr>
    </w:p>
    <w:p w:rsidR="008B3772" w:rsidRDefault="008B3772" w:rsidP="008B3772">
      <w:pPr>
        <w:pStyle w:val="TextoNormal"/>
      </w:pPr>
      <w:r>
        <w:t>Notifíquese a la parte recurrente y al Ministerio Fiscal.</w:t>
      </w:r>
    </w:p>
    <w:p w:rsidR="008B3772" w:rsidRDefault="008B3772" w:rsidP="008B3772">
      <w:pPr>
        <w:pStyle w:val="TextoNormal"/>
      </w:pPr>
      <w:r>
        <w:t>Madrid, a veintidós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11" w:name="AUTO_2007_247"/>
      <w:r>
        <w:lastRenderedPageBreak/>
        <w:t>AUTO 247/2007, de 22 de mayo de 2007</w:t>
      </w:r>
    </w:p>
    <w:bookmarkEnd w:id="111"/>
    <w:p w:rsidR="008B3772" w:rsidRDefault="008B3772" w:rsidP="008B3772">
      <w:pPr>
        <w:pStyle w:val="TtuloResolucin"/>
      </w:pPr>
      <w:r>
        <w:t>Sección Tercera</w:t>
      </w:r>
    </w:p>
    <w:p w:rsidR="008B3772" w:rsidRDefault="008B3772" w:rsidP="008B3772">
      <w:pPr>
        <w:pStyle w:val="TtuloResolucin"/>
      </w:pPr>
    </w:p>
    <w:p w:rsidR="008B3772" w:rsidRDefault="008B3772" w:rsidP="008B3772">
      <w:pPr>
        <w:pStyle w:val="SntesisDescriptiva"/>
      </w:pPr>
      <w:r>
        <w:t>ECLI:ES:TC:2007:247A</w:t>
      </w:r>
    </w:p>
    <w:p w:rsidR="008B3772" w:rsidRDefault="008B3772" w:rsidP="008B3772">
      <w:pPr>
        <w:pStyle w:val="SntesisDescriptiva"/>
      </w:pPr>
    </w:p>
    <w:p w:rsidR="008B3772" w:rsidRDefault="008B3772" w:rsidP="008B3772">
      <w:pPr>
        <w:pStyle w:val="SntesisDescriptiva"/>
      </w:pPr>
      <w:r>
        <w:t>Excms. Srs. don Guillermo Jiménez Sánchez, don Eugeni Gay Montalvo y don Pascual Sala Sánchez.</w:t>
      </w:r>
    </w:p>
    <w:p w:rsidR="008B3772" w:rsidRDefault="008B3772" w:rsidP="008B3772">
      <w:pPr>
        <w:pStyle w:val="SntesisDescriptiva"/>
      </w:pPr>
    </w:p>
    <w:p w:rsidR="008B3772" w:rsidRDefault="008B3772" w:rsidP="008B3772">
      <w:pPr>
        <w:pStyle w:val="SntesisDescriptiva"/>
      </w:pPr>
      <w:r>
        <w:t>Inadmite a trámite el recurso de amparo 5957-2004, promovido por Félix Fumero, S.L., en contencioso sobre liquidaciones y sanciones del impuesto general indirecto canario.</w:t>
      </w:r>
    </w:p>
    <w:p w:rsidR="008B3772" w:rsidRDefault="008B3772" w:rsidP="008B3772">
      <w:pPr>
        <w:pStyle w:val="SntesisDescriptiva"/>
      </w:pPr>
    </w:p>
    <w:p w:rsidR="008B3772" w:rsidRDefault="008B3772" w:rsidP="008B3772">
      <w:pPr>
        <w:pStyle w:val="SntesisAnaltica"/>
      </w:pPr>
      <w:r>
        <w:t>Cuestión de inconstitucionalidad: denegación de planteamiento. Motivación de las sentencias: cuestión de inconstitucionalidad.</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el 4 de octubre de 2004 en este Tribunal la entidad Félix Fumero, S.L., representada por el Procurador don Saturnino Estévez Rodríguez y asistida del letrado don Felipe Baeza Betancort, interpuso demanda de amparo contra la Sentencia de la Sala de lo Contencioso-Administrativo, Sección Primera, del Tribunal Superior de Justicia de Canarias, con sede en las Palmas, recaída en el procedimiento ordinario 911- 2000 interpuesto contra resoluciones del Inspector Jefe de Tributos de Las Palmas.</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Los hechos en que se fundamenta la pretensión de amparo son, en síntesis, los siguientes: </w:t>
      </w:r>
    </w:p>
    <w:p w:rsidR="008B3772" w:rsidRDefault="008B3772" w:rsidP="008B3772">
      <w:pPr>
        <w:pStyle w:val="TextoNormal"/>
      </w:pPr>
      <w:r>
        <w:t xml:space="preserve">a) Con fecha de 23 de noviembre de 1999, el Inspector Jefe de Tributos de Las Palmas practicó a la entidad demandante de amparo, que explota una estación de servicio de carburantes en Fuerteventura, una liquidación en concepto de impuesto general indirecto canario (ejercicios 1995, 1996, 1997 y 1998) por importe de 16.542.564 pesetas, imponiéndole, mediante otra resolución de la misma fecha, una sanción de 10.081.447 pesetas. Todo ello por no haber autoliquidado e ingresado dicho impuesto en los plazos establecidos, en aplicación del artículo 10.3.2 de la Ley 20/1991, de 7 de junio, de modificación del régimen económico y fiscal de Canarias. Precepto legal en virtud del cual se consideran comerciantes minoristas a efectos del impuesto —y por lo tanto gozan de la exención de tal impuesto establecida a favor de los mismos por el art. 10.1.27 de la misma Ley— aquellos respecto de los que: </w:t>
      </w:r>
    </w:p>
    <w:p w:rsidR="008B3772" w:rsidRDefault="008B3772" w:rsidP="008B3772">
      <w:pPr>
        <w:pStyle w:val="TextoNormal"/>
      </w:pPr>
      <w:r>
        <w:t xml:space="preserve">“La suma de las contraprestaciones correspondientes a las entregas de ... bienes a quienes no tengan la condición de empresarios o profesionales o a la seguridad social, efectuadas durante el año precedente, hubiera excedido del 70 % del total de las realizadas”. </w:t>
      </w:r>
    </w:p>
    <w:p w:rsidR="008B3772" w:rsidRDefault="008B3772" w:rsidP="008B3772">
      <w:pPr>
        <w:pStyle w:val="TextoNormal"/>
      </w:pPr>
      <w:r>
        <w:t xml:space="preserve">b) La demandante de amparo interpuso contra tales resoluciones administrativas recurso contencioso-administrativo que correspondió a la Sala de lo Contencioso-Administrativo, Sección primera, del Tribunal Superior de Justicia de Canarias, con sede en las Palmas (procedimiento ordinario 911-2000) y fue en parte estimado por Sentencia de 14 de mayo 2004, </w:t>
      </w:r>
      <w:r>
        <w:lastRenderedPageBreak/>
        <w:t xml:space="preserve">por la que se redujo la sanción impuesta a cuatro sanciones de 300 euros cada una, pero confirmando la liquidación del impuesto general indirecto canario. En el fundamento de derecho primero de dicha Sentencia se razona al respecto en los siguientes términos: </w:t>
      </w:r>
    </w:p>
    <w:p w:rsidR="008B3772" w:rsidRDefault="008B3772" w:rsidP="008B3772">
      <w:pPr>
        <w:pStyle w:val="TextoNormal"/>
      </w:pPr>
      <w:r>
        <w:t xml:space="preserve">“El fundamento principal del recurso interpuesto contra la obligación estrictamente tributaria impuesta a la recurrente se asienta en la inconstitucionalidad del art. 10.1.27 de la Ley 20/1991 ... Concretamente, ataca al citado precepto la vulneración del principio de igualdad que consagra el art. 14 CE y la interdicción de la confiscatoriedad que proclama el art. 31 del mismo texto ... </w:t>
      </w:r>
    </w:p>
    <w:p w:rsidR="008B3772" w:rsidRDefault="008B3772" w:rsidP="008B3772">
      <w:pPr>
        <w:pStyle w:val="TextoNormal"/>
      </w:pPr>
      <w:r>
        <w:t xml:space="preserve">Partiendo de la base de que no tiene fundamento la denuncia de confiscatoriedad que formula la actora, en virtud de la jurisprudencia constitucional que su propia representación procesal señala en la demanda, en lo que hace a la infracción del principio de igualdad hemos de señalar que este Tribunal Superior de Justicia planteó diversas cuestiones de inconstitucionalidad respecto de dicha Ley 20/1991; cuestiones a las que correspondieron los núms. 634-1994, 635-1994, 636-1994, 627-1994, 4089-1994 y 4090-1994, pero el Tribunal Constitucional, mediante su Sentencia 62/2003, de 27 de marzo ha inadmitido tales cuestiones en cuanto se referían a las normas reguladoras del APIM, desestimándolas en lo referente a las normas del IGIC. Por lo que sólo queda a esta Sala, en el presente proceso, dada su vinculación a lo resuelto por el Tribunal Constitucional, así como por la eficacia erga omnes de las sentencias de dicho órgano jurisdiccional en los procesos de inconstitucionalidad, todo ello conforme al art. 38 de la Ley Orgánica 2/1929, de 3 de octubre, aplicar al presente supuesto la doctrina que se desprende de la referida Sentencia del Tribunal Constitucional. Doctrina conforme a la cual deben considerarse disipadas las dudas que venían suscitándose acerca de la posible inconstitucionalidad de la Ley 20/1991, en cuanto reguladora del impuesto general indirecto canario, y debe considerarse compatible dicho impuesto, tal y como ha sido configurado por dicha ley, con el bloque de la constitucionalidad, y muy especialmente con el anteriormente art. 25.1 [del Estatuto de Autonomía de Canarias]. En consecuencia procede la desestimación de este concreto motivo del presente recurso, exclusivamente fundado sobre esa pretendida inconstitucionalidad de la normativa reguladora del impuesto cuyas liquidaciones impugnan”. </w:t>
      </w:r>
    </w:p>
    <w:p w:rsidR="008B3772" w:rsidRDefault="008B3772" w:rsidP="008B3772">
      <w:pPr>
        <w:pStyle w:val="TextoNormal"/>
      </w:pPr>
      <w:r>
        <w:t xml:space="preserve">Por su parte, en el fundamento de derecho tercero de la Sentencia impugnada se razona por la Sala, para fundamentar la producción de las sanciones impuestas a la recurrente, acerca del: </w:t>
      </w:r>
    </w:p>
    <w:p w:rsidR="008B3772" w:rsidRDefault="008B3772" w:rsidP="008B3772">
      <w:pPr>
        <w:pStyle w:val="TextoNormal"/>
      </w:pPr>
      <w:r>
        <w:t>“Desconocimiento [de la recurrente] de una curiosísima norma legal (absurda, tratándose de venta de gasolina), que hizo que no pudiera advertir que en función de la condición de los clientes de la estación de servicios, la recurrente dejaba de ser minorista, a efectos de la Ley 20/1991, para convertirse en mayorista”.</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La entidad demandante de amparo invoca como vulnerado el derecho a la tutela judicial efectiva (art. 24.1 CE) por haber aplicado el órgano judicial el art. 10.3.2 de la Ley estatal 20/1991, de modificación del REF de Canarias, sin plantear la cuestión de inconstitucionalidad, a pesar de que la inconstitucionalidad de la norma es evidente por su contradicción con el principio de igualdad y la prohibición constitucional de confiscatoriedad de los tributos y arbitrariedad de los poderes públicos. Solicita por ello que se declare: a) que se ha vulnerado el derecho de la demandante a la tutela judicial efectiva por no haberse planteado dicha cuestión de inconstitucionalidad; b) la nulidad de la Sentencia impugnada, excepto lo referente a la estimación parcial de recurso, más la de las dos liquidaciones practicadas por la administración; c) subsidiariamente la nulidad de la Sentencia impugnada o </w:t>
      </w:r>
      <w:r>
        <w:lastRenderedPageBreak/>
        <w:t>su anulación excepto en cuanto a su contenido parcialmente estimatorio, ordenándose retrotraer las actuaciones al momento de la conclusión del procedimiento e inicio del plazo para dictar Sentencia a fin de que se plantee la referida cuestión de inconstitucionalidad.</w:t>
      </w:r>
    </w:p>
    <w:p w:rsidR="008B3772" w:rsidRDefault="008B3772" w:rsidP="008B3772">
      <w:pPr>
        <w:pStyle w:val="TextoNormal"/>
      </w:pPr>
    </w:p>
    <w:p w:rsidR="008B3772" w:rsidRDefault="008B3772" w:rsidP="008B3772">
      <w:pPr>
        <w:pStyle w:val="TextoNormal"/>
      </w:pPr>
      <w:r w:rsidRPr="008B3772">
        <w:rPr>
          <w:rStyle w:val="NumeroAFNegritaCaracter"/>
        </w:rPr>
        <w:t>4</w:t>
      </w:r>
      <w:r>
        <w:t>. Por diligencia de ordenación de 21 de octubre de 2004 se concedió a la recurrente un plazo de diez días para que acreditara fehacientemente la fecha de notificación a su representación procesal de la Sentencia impugnada en amparo, así como copia del escrito de demanda contencioso-administrativa formulada en el recurso 911-2000, apercibiéndole que de no verificarlo se procedería al archivo de las actuaciones.</w:t>
      </w:r>
    </w:p>
    <w:p w:rsidR="008B3772" w:rsidRDefault="008B3772" w:rsidP="008B3772">
      <w:pPr>
        <w:pStyle w:val="TextoNormal"/>
      </w:pPr>
    </w:p>
    <w:p w:rsidR="008B3772" w:rsidRDefault="008B3772" w:rsidP="008B3772">
      <w:pPr>
        <w:pStyle w:val="TextoNormal"/>
      </w:pPr>
      <w:r w:rsidRPr="008B3772">
        <w:rPr>
          <w:rStyle w:val="NumeroAFNegritaCaracter"/>
        </w:rPr>
        <w:t>5</w:t>
      </w:r>
      <w:r>
        <w:t>. Por providencia de 28 de febrero de 2006 la Sección Tercera de este Tribunal acordó, de conformidad con lo dispuesto en el art. 50.3 LOTC, conceder a la parte demandante de amparo y al Ministerio Fiscal plazo común de diez días para que formularan las alegaciones que estimasen pertinentes en relación con la causa de inadmisión de carencia manifiesta de contenido constitucional de la demanda —art. 50.1 c) LOTC.</w:t>
      </w:r>
    </w:p>
    <w:p w:rsidR="008B3772" w:rsidRDefault="008B3772" w:rsidP="008B3772">
      <w:pPr>
        <w:pStyle w:val="TextoNormal"/>
      </w:pPr>
    </w:p>
    <w:p w:rsidR="008B3772" w:rsidRDefault="008B3772" w:rsidP="008B3772">
      <w:pPr>
        <w:pStyle w:val="TextoNormal"/>
      </w:pPr>
      <w:r w:rsidRPr="008B3772">
        <w:rPr>
          <w:rStyle w:val="NumeroAFNegritaCaracter"/>
        </w:rPr>
        <w:t>6</w:t>
      </w:r>
      <w:r>
        <w:t xml:space="preserve">. Por escrito registrado en este Tribunal el 24 de marzo de 2006 el Ministerio Fiscal interesó la inadmisión del recurso planteado. </w:t>
      </w:r>
    </w:p>
    <w:p w:rsidR="008B3772" w:rsidRDefault="008B3772" w:rsidP="008B3772">
      <w:pPr>
        <w:pStyle w:val="TextoNormal"/>
      </w:pPr>
      <w:r>
        <w:t xml:space="preserve">El Ministerio Fiscal comienza exponiendo las quejas contenidas en la demanda de amparo. Destaca que ésta se funda básicamente en la vulneración del derecho a la tutela judicial efectiva por no haber atendido el órgano judicial la solicitud hecha por la entidad ahora recurrente en relación a que se planteara una cuestión de inconstitucionalidad del art. 10.1.27 de la Ley 20/1991, pues consideraba que el precepto referido resultaba contrario al principio de igualdad y al de interdicción de la confiscatoriedad (arts. 14 y 31 CE). En concreto, por considerar que el precepto de referencia establece un trato discriminatorio para los comerciantes que facturan a la Seguridad Social, a empresarios o profesionales, en un porcentaje superior al 30% de sus ingresos totales, que es el límite que el precepto de referencia establece para distinguir entre mayoristas y minoristas, criterio delimitador además esencial para determinar que los primeros, que no gozan de la exención del IGIC como los segundos, deben repercutir el importe del impuesto a los consumidores finales, lo que conlleva que en el sector de actividad comercial de las estaciones de servicio y expedición de combustibles, se genere un factor discriminatorio negativo para estas empresas. Lo que, además, se agudiza en una isla como la de Fuerteventura, de máxima competitividad en los precios del carburante y donde los márgenes son muy pequeños y el número de empresarios reducido, lo que provoca que los calificados como mayoristas se encuentren en situación de desventaja frente al resto. La segunda queja que infiere el Ministerio Fiscal es que no se haya planteado la cuestión de inconstitucionalidad con un argumento genérico y sin fundamento alguno, como es la afirmación de que dicho órgano judicial que planteó la cuestión de inconstitucionalidad de esta Ley lo hizo en su conjunto y que fue rechazada por la STC 62/2003; ello, a juicio de la entidad demandante, constituye un argumento incurso en irrazonabilidad arbitrariedad y le genera una real y efectiva indefensión cuando, como ocurre en el presente caso, el propio órgano judicial apunta previamente el carácter absurdo de la distinción legal entre mayoristas y minoristas a los efectos de la exención del impuesto controvertido. </w:t>
      </w:r>
    </w:p>
    <w:p w:rsidR="008B3772" w:rsidRDefault="008B3772" w:rsidP="008B3772">
      <w:pPr>
        <w:pStyle w:val="TextoNormal"/>
      </w:pPr>
      <w:r>
        <w:t xml:space="preserve">Definido el objeto de la demanda considera el Ministerio Fiscal que en realidad son dos las quejas sobre las que gravita la pretensión de la actora. La primera la de no haber planteado la Sala de instancia la cuestión de inconstitucionalidad solicitada. </w:t>
      </w:r>
    </w:p>
    <w:p w:rsidR="008B3772" w:rsidRDefault="008B3772" w:rsidP="008B3772">
      <w:pPr>
        <w:pStyle w:val="TextoNormal"/>
      </w:pPr>
      <w:r>
        <w:lastRenderedPageBreak/>
        <w:t xml:space="preserve">En segundo término la vulneración de la tutela judicial efectiva, igualmente, pero porque el órgano judicial no ha motivado los razonamientos por los que decide no plantear dicha cuestión, generándose, a su juicio, indefensión. </w:t>
      </w:r>
    </w:p>
    <w:p w:rsidR="008B3772" w:rsidRDefault="008B3772" w:rsidP="008B3772">
      <w:pPr>
        <w:pStyle w:val="TextoNormal"/>
      </w:pPr>
      <w:r>
        <w:t xml:space="preserve">En relación con la primera cuestión considera el Fiscal que carece de fundamento, pues es doctrina reiterada que si el Tribunal no alberga duda alguna sobre la adecuación o no a la constitución del precepto o preceptos legales aplicables al caso no tiene porqué atender petición alguna de las partes (SSTC 148/1986 y 96/2001). Por ello la decisión de no plantear la cuestión, en sí misma, no atenta contra ningún derecho fundamental, pues no son las dudas de inconstitucionalidad de las partes las que abren la puerta del proceso del control concreto de la constitucionalidad de la ley, sino la del órgano judicial que debe aplicar esa norma legal cuestionable para resolver el proceso. Si la Sala de instancia no tiene duda alguna de la inconstitucionalidad, su decisión de no acudir al Tribunal Constitucional no es revisable en cauce de amparo. </w:t>
      </w:r>
    </w:p>
    <w:p w:rsidR="008B3772" w:rsidRDefault="008B3772" w:rsidP="008B3772">
      <w:pPr>
        <w:pStyle w:val="TextoNormal"/>
      </w:pPr>
      <w:r>
        <w:t>En segundo lugar considera que tampoco se ha vulnerado el derecho la tutela judicial efectiva en los razonamientos judiciales que sustentan la negativa a plantear dicha cuestión de inconstitucionalidad. Aunque algunas afirmaciones de la Sentencia podrían ser discutibles desde la teoría de la interpretación, desde la perspectiva del derecho a la tutela judicial efectiva el órgano judicial aporta razonamientos que le llevan a desechar el planteamiento conforme con nuestra doctrina constitucional. En efecto, no de otro modo puede calificarse argumentar que la normativa reguladora del IGIC contenida en la Ley 20/1991 ya fue objeto de enjuiciamiento constitucional terminándose el mismo con la declaración de constitucionalidad de los preceptos cuestionados por la STC 62/2003, por lo que a juicio de dicho órgano no se alberga duda alguna, al menos así es deducible de sus afirmaciones, de que el precepto a aplicar en este caso vaya a resultar conforme con la Constitución en un nuevo pronunciamiento hipotético del Tribunal Constitucional. Por otro lado la calificación de “absurda” de una norma que, ciertamente expresa la Sala instancia, no supone per se que dicha norma pudiera resultar inconstitucional, pues una cosa es que la norma sea absurda porque no sea lógica, y otra que sea contraria a un precepto constitucional, que es el presupuesto indispensable para el inicio del juicio de inconstitucionalidad correspondiente. En todo caso considera, además, que existe una respuesta implícita, pues el órgano judicial prosigue el curso de las actuaciones dictando Sentencia en la que aplica la ley cuya constitucionalidad la parte ponía en entredicho (con cita de las SSTC 67/1988, FJ7; 151/1991, FJ2; 119/1998, FJ6, entre otras).</w:t>
      </w:r>
    </w:p>
    <w:p w:rsidR="008B3772" w:rsidRDefault="008B3772" w:rsidP="008B3772">
      <w:pPr>
        <w:pStyle w:val="TextoNormal"/>
      </w:pPr>
    </w:p>
    <w:p w:rsidR="008B3772" w:rsidRDefault="008B3772" w:rsidP="008B3772">
      <w:pPr>
        <w:pStyle w:val="TextoNormal"/>
      </w:pPr>
      <w:r w:rsidRPr="008B3772">
        <w:rPr>
          <w:rStyle w:val="NumeroAFNegritaCaracter"/>
        </w:rPr>
        <w:t>7</w:t>
      </w:r>
      <w:r>
        <w:t>. El 21 de marzo de 2006 se registró en este Tribunal escrito de la entidad demandante de amparo. En el mismo se queja, en primer lugar, de que no se le advierta con mayor claridad cuál es la causa de inadmisión “nada menos que manifiesta, que sin duda el Tribunal ha visto con tanta claridad que supone que nosotros también hemos de verla, y por eso no nos dicen que consiste” ofreciendo a continuación una interpretación particular del art. 50.1 c) LOTC. En segundo lugar señala que la propia Sala de Las Palmas reconoce expresamente que la norma concreta que rige el pleito es una norma absurda, tratándose de gasolina, lo que supone la aceptación por parte de que la Sala de su carácter inconstitucional, pues de no ser así no hubiera calificado como tal la norma denunciada, por lo que debió plantear la cuestión inconstitucionalidad, vulnerando adicionalmente el art. 24.1 CE esta manera de hacer justicia.</w:t>
      </w:r>
    </w:p>
    <w:p w:rsidR="008B3772" w:rsidRDefault="008B3772" w:rsidP="008B3772">
      <w:pPr>
        <w:pStyle w:val="TextoNormal"/>
      </w:pPr>
    </w:p>
    <w:p w:rsidR="008B3772" w:rsidRDefault="008B3772" w:rsidP="008B3772">
      <w:pPr>
        <w:pStyle w:val="TextoNormalNegritaCentrado"/>
        <w:keepNext/>
      </w:pPr>
      <w:r>
        <w:lastRenderedPageBreak/>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La entidad demandante de amparo imputa a la resolución citada en el encabezamiento la vulneración de su derecho a la tutela judicial efectiva (art. 24.1 CE). En primer lugar por no haber atendido la solicitud de la parte de que fuera planteada la cuestión de inconstitucionalidad respecto del art. 10.1.27 de la Ley 20/1991 por incompatible, a su juicio, al principio de igualdad y al de la interdicción de la confiscatoriedad (arts. 14 y 31 CE). Pero también por considerar que el razonamiento que sustenta la negativa es, en sí mismo, contrario a dicho derecho fundamental.</w:t>
      </w:r>
    </w:p>
    <w:p w:rsidR="008B3772" w:rsidRDefault="008B3772" w:rsidP="008B3772">
      <w:pPr>
        <w:pStyle w:val="TextoNormal"/>
      </w:pPr>
      <w:r>
        <w:t>El Ministerio Fiscal, por el contrario, considera inexistentes las vulneraciones denunciadas e interesa la inadmisión del recurso de amparo.</w:t>
      </w:r>
    </w:p>
    <w:p w:rsidR="008B3772" w:rsidRDefault="008B3772" w:rsidP="008B3772">
      <w:pPr>
        <w:pStyle w:val="TextoNormal"/>
      </w:pPr>
    </w:p>
    <w:p w:rsidR="008B3772" w:rsidRDefault="008B3772" w:rsidP="008B3772">
      <w:pPr>
        <w:pStyle w:val="TextoNormal"/>
      </w:pPr>
      <w:r w:rsidRPr="008B3772">
        <w:rPr>
          <w:rStyle w:val="NumeroAFNegritaCaracter"/>
        </w:rPr>
        <w:t>2</w:t>
      </w:r>
      <w:r>
        <w:t>. La demanda de amparo denuncia, en primer lugar, la vulneración del art. 24.1 CE por entender que el órgano judicial debió plantear cuestión de inconstitucionalidad, tal y como proponía la parte ahora recurrente, por ser el precepto aplicado contrario, a su juicio, al principio de igualdad y a la prohibición de no confiscatoriedad (arts. 14 y 31 CE). No se trata, así pues, de examinar en este proceso la conformidad o no de dicho precepto legal con el art. 14 y 31 CE, sino exclusivamente enjuiciar el hecho de que el órgano judicial no planteara ante este Tribunal Constitucional la cuestión solicitada por quien ahora demanda en amparo y, con ello, pudiera incurrir en vulneración del derecho a la tutela judicial efectiva.</w:t>
      </w:r>
    </w:p>
    <w:p w:rsidR="008B3772" w:rsidRDefault="008B3772" w:rsidP="008B3772">
      <w:pPr>
        <w:pStyle w:val="TextoNormal"/>
      </w:pPr>
      <w:r>
        <w:t>La demanda de amparo en este punto debe inadmitirse, pues la Sentencia impugnada cumple con las exigencias constitucionales que en esta materia venimos reiterando. Como hemos dicho en ocasiones anteriores, las partes del proceso carecen de un derecho al planteamiento de las cuestiones de inconstitucionalidad, por tratarse de una potestad atribuida en exclusiva a los órganos judiciales (arts. 163 CE y 35 LOTC), quienes, además, pueden no plantearla si estiman constitucional y, por lo tanto, aplicable, la ley cuestionada, sin que resulte posible plantear a este Tribunal, mediante la alegación del art.  24 CE, el control sobre la decisión que los Jueces o Tribunales adopten al respecto, o el no uso por ellos de la facultad que les atribuye el art. 163 CE (por todas, STC 149/2004, de 20 de septiembre, FJ 2).</w:t>
      </w:r>
    </w:p>
    <w:p w:rsidR="008B3772" w:rsidRDefault="008B3772" w:rsidP="008B3772">
      <w:pPr>
        <w:pStyle w:val="TextoNormal"/>
      </w:pPr>
      <w:r>
        <w:t xml:space="preserve">En el presente caso, como advierte el Ministerio Fiscal, la decisión de la Sala de lo Contencioso-Administrativo de no plantear la cuestión de inconstitucionalidad instada por la ahora demandante de amparo no atenta, en sí misma, contra ningún derecho fundamental y no permite prosperar el presente recurso cuando, como aquí ocurre, el Tribunal de instancia no ha tenido duda alguna sobre la adecuación a la Constitución del precepto aplicable al caso para la resolución del conflicto procesal suscitado.  Conformidad constitucional y rechazo del planteamiento de la cuestión solicitada que sustenta la Sentencia recurrida en el hecho de que la Ley en su conjunto, al menos en lo que se refiere a la normativa reguladora del impuesto general indirecto canario contenida en la Ley 20/1991, ya se había cuestionado por la propia Sala en varias ocasiones y ello desembocó en la STC 62/2003, de 27 de marzo, donde se la enjuició y se declaró la constitucionalidad de los preceptos cuestionados, por lo que, a juicio de la Sala sentenciadora, a partir de esa Sentencia dicha doctrina constitucional (que parte de la conformidad de la normativa con la Constitución española) es la que debe proyectarse al caso, por lo que, al no albergar duda sobre dicha conformidad, a continuación </w:t>
      </w:r>
      <w:r>
        <w:lastRenderedPageBreak/>
        <w:t>procede a aplicar el precepto cuestionado. Y, como se ha expuesto, la convicción de la conformidad constitucional de un precepto y su aplicación al caso excluyen la existencia de una obligación de la Sala de plantear la cuestión de inconstitucionalidad solicitada.</w:t>
      </w:r>
    </w:p>
    <w:p w:rsidR="008B3772" w:rsidRDefault="008B3772" w:rsidP="008B3772">
      <w:pPr>
        <w:pStyle w:val="TextoNormal"/>
      </w:pPr>
    </w:p>
    <w:p w:rsidR="008B3772" w:rsidRDefault="008B3772" w:rsidP="008B3772">
      <w:pPr>
        <w:pStyle w:val="TextoNormal"/>
      </w:pPr>
      <w:r w:rsidRPr="008B3772">
        <w:rPr>
          <w:rStyle w:val="NumeroAFNegritaCaracter"/>
        </w:rPr>
        <w:t>3</w:t>
      </w:r>
      <w:r>
        <w:t>. Tampoco la segunda queja puede prosperar. Precisamente la argumentación contenida en la Sentencia impugnada a la que se acaba de aludir (declaración de constitucionalidad de la norma por parte del Tribunal Constitucional en relación con el impuesto general indirecto canario a la que abocó el planteamiento por la misma Sala de previas cuestiones de inconstitucionalidad) impide, asimismo, que pueda considerarse la Sentencia impugnada carente de motivación, ni ésta reputarse arbitraria.</w:t>
      </w:r>
    </w:p>
    <w:p w:rsidR="008B3772" w:rsidRDefault="008B3772" w:rsidP="008B3772">
      <w:pPr>
        <w:pStyle w:val="TextoNormal"/>
      </w:pPr>
      <w:r>
        <w:t>De un lado, la Sentencia impugnada, con mayor o menor acierto, aporta unos razonamientos para desechar el planteamiento de la cuestión de inconstitucionalidad instado. Con ello exterioriza el razonamiento que ha llevado a la Sala sentenciadora a la decisión de no plantearla, expresando la ratio decidendi de la misma (art. 120.3 CE y STC 35/2002, de 11 de febrero, FJ 3), por lo que no se aprecia la falta de motivación denunciada.</w:t>
      </w:r>
    </w:p>
    <w:p w:rsidR="008B3772" w:rsidRDefault="008B3772" w:rsidP="008B3772">
      <w:pPr>
        <w:pStyle w:val="TextoNormal"/>
      </w:pPr>
      <w:r>
        <w:t>Pero, de otro lado, tampoco la calificación de arbitrariedad o irrazonabilidad de dicha argumentación puede acogerse, pues considerar que la norma ya ha sido enjuiciada constitucionalmente por el propio Tribunal Constitucional en un pronunciamiento anterior como consecuencia, precisamente, de las cuestiones planteadas por la propia Sala que dicta la Sentencia que ahora se recurre no puede calificarse de razonamiento arbitrario, entendido como un actuar judicial sin razones formales ni materiales y que resulta de una simple expresión de la voluntad (SSTC 51/1982, de 19 de julio, FJ 3; 164/2002, de 17 de septiembre, FJ 4), ni incurso en quiebras lógicas de tal magnitud que las conclusiones alcanzadas no puedan considerarse basadas en ninguna de las razones aducidas (SSTC 214/1999, de 29 de noviembre, FJ 4; 164/2002, 17 de septiembre, FJ 4).</w:t>
      </w:r>
    </w:p>
    <w:p w:rsidR="008B3772" w:rsidRDefault="008B3772" w:rsidP="008B3772">
      <w:pPr>
        <w:pStyle w:val="TextoNormal"/>
      </w:pPr>
      <w:r>
        <w:t>Y el hecho de que el propio órgano judicial califique de “absurda” la norma legal que necesariamente ha de aplicar no obsta a tal conclusión, pues, como acertadamente señala el Ministerio Fiscal, dicha calificación no supone per se que la norma resulte inconstitucional, pues una cosa es que se diga que la norma sea absurda porque a juicio de la Sala no resulte lógica, y otra que, por ello, haya de considerarse contraria a un precepto constitucional, que es el presupuesto indispensable para el inicio del juicio de inconstitucionalidad correspondiente. A lo que debe añadirse que, en todo caso, la calificación de absurda de la norma no puede confundirse con la calificación de absurdo o ilógico del razonamiento. Una cosa es que el órgano judicial, precisamente por considerar que la norma, a su juicio, es absurda y paradójica en si misma y susceptible de afectar derechos fundamentales, decida interponer sucesivas cuestiones de inconstitucionalidad ante este Tribunal Constitucional. Y otra cosa es que, aunque la siguiera considerando así, como lo hace, tras el rechazo de las cuestiones acumuladas por parte del propio Tribunal Constitucional, asevere que, precisamente porque no se declaró la inconstitucionalidad de ninguno de los preceptos que regulan la normativa cuestionada, y habida cuenta del valor erga omnes de las Sentencias constitucionales en los procedimientos de inconstitucionalidad, no sea procedente la interposición de la cuestión de inconstitucionalidad solicitada y deba aplicarse al presente supuesto la normativa y dicha doctrina. Es este razonamiento el que en ningún caso cabe calificar de “absurdo” o “incurso en quiebra lógica”, sino, más bien, razonable y, por lo demás, altamente coherente con el devenir de los hechos que preceden al presente supuesto y al propio actuar de la Sala, que decide no interponer una nueva cuestión de inconstitucionalidad por considerar inviable su éxito a la vista de la existencia de un previo pronunciamiento constitucional que, a juicio de la Sentencia impugnada, ya ha declarado la constitucionalidad de la norma cuestionada.</w:t>
      </w:r>
    </w:p>
    <w:p w:rsidR="008B3772" w:rsidRDefault="008B3772" w:rsidP="008B3772">
      <w:pPr>
        <w:pStyle w:val="TextoNormal"/>
      </w:pPr>
    </w:p>
    <w:p w:rsidR="008B3772" w:rsidRDefault="008B3772" w:rsidP="008B3772">
      <w:pPr>
        <w:pStyle w:val="TextoNormal"/>
      </w:pPr>
      <w:r>
        <w:t>Por todo lo cual, la Sección</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La inadmisión del presente recurso de amparo.</w:t>
      </w:r>
    </w:p>
    <w:p w:rsidR="008B3772" w:rsidRDefault="008B3772" w:rsidP="008B3772">
      <w:pPr>
        <w:pStyle w:val="TextoNormal"/>
      </w:pPr>
    </w:p>
    <w:p w:rsidR="008B3772" w:rsidRDefault="008B3772" w:rsidP="008B3772">
      <w:pPr>
        <w:pStyle w:val="TextoNormal"/>
      </w:pPr>
      <w:r>
        <w:t>Madrid, a veintidós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12" w:name="AUTO_2007_248"/>
      <w:r>
        <w:lastRenderedPageBreak/>
        <w:t>AUTO 248/2007, de 22 de mayo de 2007</w:t>
      </w:r>
    </w:p>
    <w:bookmarkEnd w:id="112"/>
    <w:p w:rsidR="008B3772" w:rsidRDefault="008B3772" w:rsidP="008B3772">
      <w:pPr>
        <w:pStyle w:val="TtuloResolucin"/>
      </w:pPr>
      <w:r>
        <w:t>Sala Primera</w:t>
      </w:r>
    </w:p>
    <w:p w:rsidR="008B3772" w:rsidRDefault="008B3772" w:rsidP="008B3772">
      <w:pPr>
        <w:pStyle w:val="TtuloResolucin"/>
      </w:pPr>
    </w:p>
    <w:p w:rsidR="008B3772" w:rsidRDefault="008B3772" w:rsidP="008B3772">
      <w:pPr>
        <w:pStyle w:val="SntesisDescriptiva"/>
      </w:pPr>
      <w:r>
        <w:t>ECLI:ES:TC:2007:248A</w:t>
      </w:r>
    </w:p>
    <w:p w:rsidR="008B3772" w:rsidRDefault="008B3772" w:rsidP="008B3772">
      <w:pPr>
        <w:pStyle w:val="SntesisDescriptiva"/>
      </w:pPr>
    </w:p>
    <w:p w:rsidR="008B3772" w:rsidRDefault="008B3772" w:rsidP="008B3772">
      <w:pPr>
        <w:pStyle w:val="SntesisDescriptiva"/>
      </w:pPr>
      <w:r>
        <w:t>Excms. Srs. doña María Emilia Casas Baamonde, don Javier Delgado Barrio, don Roberto García-Calvo y Montiel, don Jorge Rodríguez-Zapata Pérez, don Manuel Aragón Reyes y don Pablo Pérez Tremps.</w:t>
      </w:r>
    </w:p>
    <w:p w:rsidR="008B3772" w:rsidRDefault="008B3772" w:rsidP="008B3772">
      <w:pPr>
        <w:pStyle w:val="SntesisDescriptiva"/>
      </w:pPr>
    </w:p>
    <w:p w:rsidR="008B3772" w:rsidRDefault="008B3772" w:rsidP="008B3772">
      <w:pPr>
        <w:pStyle w:val="SntesisDescriptiva"/>
      </w:pPr>
      <w:r>
        <w:t>Acuerda la suspensión parcial en el recurso de amparo 4615-2005, promovido por don Sebastián de Pasqual Coll en causa por delito contra la hacienda pública.</w:t>
      </w:r>
    </w:p>
    <w:p w:rsidR="008B3772" w:rsidRDefault="008B3772" w:rsidP="008B3772">
      <w:pPr>
        <w:pStyle w:val="SntesisDescriptiva"/>
      </w:pPr>
    </w:p>
    <w:p w:rsidR="008B3772" w:rsidRDefault="008B3772" w:rsidP="008B3772">
      <w:pPr>
        <w:pStyle w:val="SntesisAnaltica"/>
      </w:pPr>
      <w:r>
        <w:t>Suspensión cautelar de sentencias penales: inhabilitación especial del derecho de sufragio y prisión de nueve meses, suspende.</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este Tribunal el 21 de junio de 2005, el Procurador de los Tribunales don José Manuel de Dorremochea Aramburu, interpuso, en nombre de don Sebastián de Pasqual Coll, recurso de amparo contra la Sentencia núm 643/2005, dictada por la Sala Segunda del Tribunal Supremo, de fecha 19 de mayo de 2005, dictada en el rollo de casación núm 2475-2003, que declaró no haber lugar al recurso de casación interpuesto contra la Sentencia de la Sección Décima de la Audiencia Provincial de Barcelona, de fecha 30 de julio de 2003, en el procedimiento abreviado núm 49-2000, que condenó al solicitante de amparo como autor de un delito contra la Hacienda Pública mediante defraudación fiscal, a las penas de nueve meses de prisión menor, con sus accesorias de suspensión de cargo público y derecho de sufragio por el tiempo de la condena, multa de ciento sesenta mil (160.000) euros con ciento sesenta días de arresto sustitutorio en caso de impago, pérdida de la posibilidad de obtener subvenciones públicas o crédito oficial y del derecho a gozar de beneficios o incentivos fiscales por tres años y al pago de la mitad de las costas procesales, así como a indemnizar a la Hacienda Pública, conjunta y solidariamente con el otro condenado, a la suma de ciento cincuenta y ocho mil doscientos veintinueve euros con catorce céntimos.</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El demandante articula tres motivos de amparo. En primer lugar, la violación del principio constitucional de legalidad penal contenido en el art. 25.1 CE, en relación con la interpretación que se ha efectuado del art. 349 CP, que se considera absolutamente irrazonable por ser un supuesto de interpretación extensiva o analógica in malam partem de una norma penal en blanco. En segundo lugar, la vulneración del derecho a la presunción de inocencia (art. 24.2 CE), en cuanto la inferencia efectuada por los órganos judiciales, en el marco de la prueba de indicios, y que concluye en el carácter simulado del negocio de la compraventa, se basa en indicios de cargo no probados, no respeta las reglas de experiencia común y de racionalidad interna y se efectúa de modo tan abierto e indeterminado que no permite excluir </w:t>
      </w:r>
      <w:r>
        <w:lastRenderedPageBreak/>
        <w:t>hipótesis alternativas exculpatorias. Finalmente, la violación del derecho a la tutela judicial efectiva (art. 24.1 CE) y del principio de legalidad en cuanto a la aplicación del instituto de la prescripción al caso de autos. En la demanda de amparo se solicita también, mediante otrosí, la suspensión de la ejecución de las penas impuestas en la Sentencia recurrida.</w:t>
      </w:r>
    </w:p>
    <w:p w:rsidR="008B3772" w:rsidRDefault="008B3772" w:rsidP="008B3772">
      <w:pPr>
        <w:pStyle w:val="TextoNormal"/>
      </w:pPr>
    </w:p>
    <w:p w:rsidR="008B3772" w:rsidRDefault="008B3772" w:rsidP="008B3772">
      <w:pPr>
        <w:pStyle w:val="TextoNormal"/>
      </w:pPr>
      <w:r w:rsidRPr="008B3772">
        <w:rPr>
          <w:rStyle w:val="NumeroAFNegritaCaracter"/>
        </w:rPr>
        <w:t>3</w:t>
      </w:r>
      <w:r>
        <w:t>. Por providencias de 19 de marzo de 2007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8B3772" w:rsidRDefault="008B3772" w:rsidP="008B3772">
      <w:pPr>
        <w:pStyle w:val="TextoNormal"/>
      </w:pPr>
    </w:p>
    <w:p w:rsidR="008B3772" w:rsidRDefault="008B3772" w:rsidP="008B3772">
      <w:pPr>
        <w:pStyle w:val="TextoNormal"/>
      </w:pPr>
      <w:r w:rsidRPr="008B3772">
        <w:rPr>
          <w:rStyle w:val="NumeroAFNegritaCaracter"/>
        </w:rPr>
        <w:t>4</w:t>
      </w:r>
      <w:r>
        <w:t>. La representación del demandante de amparo formuló alegaciones mediante escrito que tuvo entrada en este Tribunal en fecha 30 de marzo de 2007, en que manifiesta que interesa se suspenda la ejecución de la Sentencia dictada en el procedimiento, toda vez que la ejecución de las penas impuestas harían perder a la demanda de amparo su finalidad, así como por las especiales circunstancias concurrentes en el caso, a cuyo efecto cita la STC 120/2005, de 10 de mayo, dictada en un caso similar al de autos.</w:t>
      </w:r>
    </w:p>
    <w:p w:rsidR="008B3772" w:rsidRDefault="008B3772" w:rsidP="008B3772">
      <w:pPr>
        <w:pStyle w:val="TextoNormal"/>
      </w:pPr>
    </w:p>
    <w:p w:rsidR="008B3772" w:rsidRDefault="008B3772" w:rsidP="008B3772">
      <w:pPr>
        <w:pStyle w:val="TextoNormal"/>
      </w:pPr>
      <w:r w:rsidRPr="008B3772">
        <w:rPr>
          <w:rStyle w:val="NumeroAFNegritaCaracter"/>
        </w:rPr>
        <w:t>5</w:t>
      </w:r>
      <w:r>
        <w:t>. En escrito registrado ante este Tribunal el 3 de abril de 2007 el Ministerio Fiscal interesó la suspensión solicitada de la pena privativa de libertad, alegando que la pena impuesta no excede del límite genérico señalado por la doctrina del Tribunal Constitucional para acceder a la suspensión, oponiéndose a la suspensión de la pena pecuniaria y, especialmente, a la pena de pérdida de la posibilidad de obtener subvenciones públicas o crédito oficial y del derecho a gozar de beneficios o incentivos fiscales por tiempo de tres años, en primer lugar, por su carácter patrimonial y, en segundo lugar, por cuanto el actor no ha acreditado el perjuicio que ello le reportaría y, sobre todo, su irreparabilidad.</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8B3772" w:rsidRDefault="008B3772" w:rsidP="008B3772">
      <w:pPr>
        <w:pStyle w:val="TextoNormal"/>
      </w:pPr>
      <w:r>
        <w:t xml:space="preserve">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w:t>
      </w:r>
      <w:r>
        <w:lastRenderedPageBreak/>
        <w:t>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8B3772" w:rsidRDefault="008B3772" w:rsidP="008B3772">
      <w:pPr>
        <w:pStyle w:val="TextoNormal"/>
      </w:pPr>
    </w:p>
    <w:p w:rsidR="008B3772" w:rsidRDefault="008B3772" w:rsidP="008B3772">
      <w:pPr>
        <w:pStyle w:val="TextoNormal"/>
      </w:pPr>
      <w:r w:rsidRPr="008B3772">
        <w:rPr>
          <w:rStyle w:val="NumeroAFNegritaCaracter"/>
        </w:rPr>
        <w:t>2</w:t>
      </w:r>
      <w:r>
        <w:t>. 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008B3772" w:rsidRDefault="008B3772" w:rsidP="008B3772">
      <w:pPr>
        <w:pStyle w:val="TextoNormal"/>
      </w:pPr>
      <w:r>
        <w:t>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322/2003, de 13 de octubre, FJ 2, entre otros muchos).</w:t>
      </w:r>
    </w:p>
    <w:p w:rsidR="008B3772" w:rsidRDefault="008B3772" w:rsidP="008B3772">
      <w:pPr>
        <w:pStyle w:val="TextoNormal"/>
      </w:pPr>
    </w:p>
    <w:p w:rsidR="008B3772" w:rsidRDefault="008B3772" w:rsidP="008B3772">
      <w:pPr>
        <w:pStyle w:val="TextoNormal"/>
      </w:pPr>
      <w:r w:rsidRPr="008B3772">
        <w:rPr>
          <w:rStyle w:val="NumeroAFNegritaCaracter"/>
        </w:rPr>
        <w:t>3</w:t>
      </w:r>
      <w:r>
        <w:t>. En este caso, habida cuenta la pena privativa de libertad impuesta al demandante (nueve meses de prisión) es evidente que no suspender su ejecución le ocasionaría un perjuicio irreparable que dejaría totalmente en entredicho la eficacia de un eventual fallo estimatorio de la demanda, por cuanto podría tener lugar cuando la pena de prisión ya estuviese cumplida en todo o en gran medida. Por otro lado, atendidas todas las circunstancias concurrentes en el caso, no se aprecia que acceder a la suspensión solicitada ocasione una lesión específica y grave de los intereses generales —más allá de aquélla que de por sí produce la no ejecución de un fallo judicial—, ni de derechos fundamentales o libertades públicas de terceros, mientras que el supuesto contrario sí irrogaría al demandante perjuicios de muy difícil o imposible reparación por lo que ha de acordarse la suspensión de la pena privativa de libertad impuesta en las resoluciones recurridas así como la de la accesoria de suspensión del derecho de sufragio.</w:t>
      </w:r>
    </w:p>
    <w:p w:rsidR="008B3772" w:rsidRDefault="008B3772" w:rsidP="008B3772">
      <w:pPr>
        <w:pStyle w:val="TextoNormal"/>
      </w:pPr>
      <w:r>
        <w:t>La situación es distinta en cuanto al resto del fallo condenatorio y, en particular, en relación a la pena de multa y a las responsabilidades civiles, dado que cabe la íntegra restitución de lo que fuere objeto de ejecución o cumplimiento en el caso de una eventual estimación del recurso de amparo que así lo ordenase, y la de pérdida de la posibilidad de obtener subvenciones públicas o crédito oficial y del derecho a gozar de beneficios o incentivos fiscales, en cuanto no se aprecia que su ejecución lleve consigo la producción de perjuicios irreparables para el condenado a su cumplimiento, al no haberse acreditado los perjuicios que ello le reportaría ni su irreparabilidad.</w:t>
      </w:r>
    </w:p>
    <w:p w:rsidR="008B3772" w:rsidRDefault="008B3772" w:rsidP="008B3772">
      <w:pPr>
        <w:pStyle w:val="TextoNormal"/>
      </w:pPr>
    </w:p>
    <w:p w:rsidR="008B3772" w:rsidRDefault="008B3772" w:rsidP="008B3772">
      <w:pPr>
        <w:pStyle w:val="TextoNormal"/>
      </w:pPr>
      <w:r>
        <w:t>En virtud de todo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Suspender en cuanto al demandante la ejecución de la Sentencia de la Sala de lo Penal del Tribunal Supremo núm 643/2005, de 19 de mayo de 2005, recaída en el recurso de casación núm. 2475-2003, y de la Sentencia dictada por la Sección Décima de la</w:t>
      </w:r>
    </w:p>
    <w:p w:rsidR="008B3772" w:rsidRDefault="008B3772" w:rsidP="008B3772">
      <w:pPr>
        <w:pStyle w:val="TextoNormal"/>
      </w:pPr>
      <w:r>
        <w:t>Audiencia Provincial de Barcelona, de fecha 30 de julio de 2003, en el procedimiento abreviado núm. 49-2000, exclusivamente en lo referente a la pena privativa de libertad de nueve meses de prisión, y a la accesoria de privación del derecho de sufragio</w:t>
      </w:r>
    </w:p>
    <w:p w:rsidR="008B3772" w:rsidRDefault="008B3772" w:rsidP="008B3772">
      <w:pPr>
        <w:pStyle w:val="TextoNormal"/>
      </w:pPr>
      <w:r>
        <w:t>durante el tiempo de la condena a la pena de prisión</w:t>
      </w:r>
    </w:p>
    <w:p w:rsidR="008B3772" w:rsidRDefault="008B3772" w:rsidP="008B3772">
      <w:pPr>
        <w:pStyle w:val="TextoNormal"/>
      </w:pPr>
      <w:r>
        <w:t>Denegar la suspensión solicitada en todo lo demás.</w:t>
      </w:r>
    </w:p>
    <w:p w:rsidR="008B3772" w:rsidRDefault="008B3772" w:rsidP="008B3772">
      <w:pPr>
        <w:pStyle w:val="TextoNormal"/>
      </w:pPr>
    </w:p>
    <w:p w:rsidR="008B3772" w:rsidRDefault="008B3772" w:rsidP="008B3772">
      <w:pPr>
        <w:pStyle w:val="TextoNormal"/>
      </w:pPr>
      <w:r>
        <w:t>Notifíquese a la parte recurrente y al Ministerio Fiscal.</w:t>
      </w:r>
    </w:p>
    <w:p w:rsidR="008B3772" w:rsidRDefault="008B3772" w:rsidP="008B3772">
      <w:pPr>
        <w:pStyle w:val="TextoNormal"/>
      </w:pPr>
      <w:r>
        <w:t>Madrid, a veintidós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13" w:name="AUTO_2007_249"/>
      <w:r>
        <w:lastRenderedPageBreak/>
        <w:t>AUTO 249/2007, de 22 de mayo de 2007</w:t>
      </w:r>
    </w:p>
    <w:bookmarkEnd w:id="113"/>
    <w:p w:rsidR="008B3772" w:rsidRDefault="008B3772" w:rsidP="008B3772">
      <w:pPr>
        <w:pStyle w:val="TtuloResolucin"/>
      </w:pPr>
      <w:r>
        <w:t>Sala Primera</w:t>
      </w:r>
    </w:p>
    <w:p w:rsidR="008B3772" w:rsidRDefault="008B3772" w:rsidP="008B3772">
      <w:pPr>
        <w:pStyle w:val="TtuloResolucin"/>
      </w:pPr>
    </w:p>
    <w:p w:rsidR="008B3772" w:rsidRDefault="008B3772" w:rsidP="008B3772">
      <w:pPr>
        <w:pStyle w:val="SntesisDescriptiva"/>
      </w:pPr>
      <w:r>
        <w:t>ECLI:ES:TC:2007:249A</w:t>
      </w:r>
    </w:p>
    <w:p w:rsidR="008B3772" w:rsidRDefault="008B3772" w:rsidP="008B3772">
      <w:pPr>
        <w:pStyle w:val="SntesisDescriptiva"/>
      </w:pPr>
    </w:p>
    <w:p w:rsidR="008B3772" w:rsidRDefault="008B3772" w:rsidP="008B3772">
      <w:pPr>
        <w:pStyle w:val="SntesisDescriptiva"/>
      </w:pPr>
      <w:r>
        <w:t>Excms. Srs. doña María Emilia Casas Baamonde, don Javier Delgado Barrio, don Roberto García-Calvo y Montiel, don Jorge Rodríguez-Zapata Pérez, don Manuel Aragón Reyes y don Pablo Pérez Tremps.</w:t>
      </w:r>
    </w:p>
    <w:p w:rsidR="008B3772" w:rsidRDefault="008B3772" w:rsidP="008B3772">
      <w:pPr>
        <w:pStyle w:val="SntesisDescriptiva"/>
      </w:pPr>
    </w:p>
    <w:p w:rsidR="008B3772" w:rsidRDefault="008B3772" w:rsidP="008B3772">
      <w:pPr>
        <w:pStyle w:val="SntesisDescriptiva"/>
      </w:pPr>
      <w:r>
        <w:t>Acuerda la suspensión parcial en el recurso de amparo 4712-2005, promovido por don Carlos Folchi Bonafonte en causa por delito contra la hacienda pública.</w:t>
      </w:r>
    </w:p>
    <w:p w:rsidR="008B3772" w:rsidRDefault="008B3772" w:rsidP="008B3772">
      <w:pPr>
        <w:pStyle w:val="SntesisDescriptiva"/>
      </w:pPr>
    </w:p>
    <w:p w:rsidR="008B3772" w:rsidRDefault="008B3772" w:rsidP="008B3772">
      <w:pPr>
        <w:pStyle w:val="SntesisAnaltica"/>
      </w:pPr>
      <w:r>
        <w:t>Suspensión cautelar de sentencias penales: inhabilitación especial del derecho de sufragio y prisión de siete meses, suspende.</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este Tribunal el 21 de junio de 2005, el Procurador de los Tribunales don Adolfo Morales Hernández Sanjuan interpuso, en nombre de don Carlos Folchi Bonafonte, recurso de amparo contra la Sentencia núm 643/2005, dictada por la Sala Segunda del Tribunal Supremo, de fecha 19 de mayo de 2005, en el rollo de casación núm 2475-2003, que declaró no haber lugar al recurso de casación interpuesto contra la Sentencia de la Sección Décima de la Audiencia Provincial de Barcelona, de fecha 30 de julio de 2003, en el procedimiento abreviado núm 49-2000, que condenó al solicitante de amparo como cooperador necesario de un delito contra la Hacienda Pública mediante defraudación fiscal, a las penas de seis meses y un día de prisión menor, con sus accesorias de suspensión de cargo público y derecho de sufragio por el tiempo de la condena, multa de ciento sesenta mil (160.000) euros con ciento sesenta días de arresto sustitutorio en caso de impago, pérdida de la posibilidad de obtener subvenciones públicas o crédito oficial y del derecho a gozar de beneficios o incentivos fiscales por tres años y al pago de la mitad de las costas procesales, así como a indemnizar a la Hacienda Pública, conjunta y solidariamente con el otro condenado, a la suma de ciento cincuenta y ocho mil doscientos veintinueve euros con catorce céntimos.</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El demandante articula cuatro motivos de amparo. En primer lugar, alega la violación del principio constitucional de legalidad penal contenido en el art. 25.1 CE, en relación con la interpretación que se ha efectuado del art. 349 CP, que se considera absolutamente irrazonable por ser un supuesto de interpretación extensiva o analógica in malam partem de una norma penal en blanco. Seguidamente, invoca la vulneración del principio constitucional de legalidad penal contenido en el art. 25.1 CE, pero también, en la medida en que ambos están interrelacionados, por vulneración del derecho a la tutela judicial efectiva (art. 24.1 CE), en su concreta manifestación del derecho a obtener una resolución debidamente motivada (art. </w:t>
      </w:r>
      <w:r>
        <w:lastRenderedPageBreak/>
        <w:t>120.3 CE). En relación con ambos se denuncia también la vulneración del derecho a la presunción de inocencia. En tercer lugar, alega la vulneración del derecho a la tutela judicial efectiva (art. 24.1 CE), en su concreta manifestación del derecho a obtener una resolución debidamente motivada (art. 120.3 CE), por las graves contradicciones en que incurre la resolución recurrida en relación con la dualidad del pago a Hacienda que resulta del Fallo contenido en la Sentencia objeto de recurso. Finalmente, aduce la violación del derecho a la tutela judicial efectiva (art. 24.1 CE), y del principio de legalidad en cuanto a la aplicación del instituto de la prescripción al caso de autos. En la demanda de amparo se solicita también, mediante otrosí, la suspensión de la ejecución de las penas impuestas en la Sentencia recurrida.</w:t>
      </w:r>
    </w:p>
    <w:p w:rsidR="008B3772" w:rsidRDefault="008B3772" w:rsidP="008B3772">
      <w:pPr>
        <w:pStyle w:val="TextoNormal"/>
      </w:pPr>
    </w:p>
    <w:p w:rsidR="008B3772" w:rsidRDefault="008B3772" w:rsidP="008B3772">
      <w:pPr>
        <w:pStyle w:val="TextoNormal"/>
      </w:pPr>
      <w:r w:rsidRPr="008B3772">
        <w:rPr>
          <w:rStyle w:val="NumeroAFNegritaCaracter"/>
        </w:rPr>
        <w:t>3</w:t>
      </w:r>
      <w:r>
        <w:t>. Por providencias de 19 de marzo de 2007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8B3772" w:rsidRDefault="008B3772" w:rsidP="008B3772">
      <w:pPr>
        <w:pStyle w:val="TextoNormal"/>
      </w:pPr>
    </w:p>
    <w:p w:rsidR="008B3772" w:rsidRDefault="008B3772" w:rsidP="008B3772">
      <w:pPr>
        <w:pStyle w:val="TextoNormal"/>
      </w:pPr>
      <w:r w:rsidRPr="008B3772">
        <w:rPr>
          <w:rStyle w:val="NumeroAFNegritaCaracter"/>
        </w:rPr>
        <w:t>4</w:t>
      </w:r>
      <w:r>
        <w:t>. La representación del demandante de amparo formuló alegaciones mediante escrito que tuvo entrada en este Tribunal en fecha 29 de marzo de 2007, en que manifiesta que interesa se suspenda la ejecución de la Sentencia dictada en el procedimiento, toda vez que el cumplimiento de las penas impuestas haría perder a la demanda de amparo su finalidad, y le causarían un perjuicio irreparable.</w:t>
      </w:r>
    </w:p>
    <w:p w:rsidR="008B3772" w:rsidRDefault="008B3772" w:rsidP="008B3772">
      <w:pPr>
        <w:pStyle w:val="TextoNormal"/>
      </w:pPr>
    </w:p>
    <w:p w:rsidR="008B3772" w:rsidRDefault="008B3772" w:rsidP="008B3772">
      <w:pPr>
        <w:pStyle w:val="TextoNormal"/>
      </w:pPr>
      <w:r w:rsidRPr="008B3772">
        <w:rPr>
          <w:rStyle w:val="NumeroAFNegritaCaracter"/>
        </w:rPr>
        <w:t>5</w:t>
      </w:r>
      <w:r>
        <w:t>. En escrito registrado ante este Tribunal el 3 de abril de 2007 el Ministerio Fiscal interesó la suspensión solicitada de la pena privativa de libertad, alegando que la pena impuesta no excede del límite genérico señalado por la doctrina del Tribunal Constitucional para acceder a la suspensión. Igual decisión, añade, han de seguir las consecuencias accesorias y las costas. Por su parte, en lo que respecta a la pena de multa, considera el Fiscal que los perjuicios anejos a su ejecución son perfectamente reparables en caso de otorgarse el amparo, amén de que el demandante no subviene a la carga que le asiste de acreditar los graves quebrantos que, según dice, le causa el cumplimiento de lo resuelto. Finalmente, añade que tampoco procedería la suspensión de la responsabilidad personal subsidiaria para caso de impago de la multa, al tratarse de una eventualidad incierta, ni de la indemnización a la Hacienda Pública, en cuanto de concederse el amparo sería perfectamente reintegrable esa cantidad.</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xml:space="preserve">.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w:t>
      </w:r>
      <w:r>
        <w:lastRenderedPageBreak/>
        <w:t>supuesto expresamente previsto de la pérdida de finalidad del amparo, dado que la suspensión se condiciona a la no producción de perturbación grave de los intereses generales, o de los derechos fundamentales o de las libertades públicas de un tercero.</w:t>
      </w:r>
    </w:p>
    <w:p w:rsidR="008B3772" w:rsidRDefault="008B3772" w:rsidP="008B3772">
      <w:pPr>
        <w:pStyle w:val="TextoNormal"/>
      </w:pPr>
      <w:r>
        <w:t>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8B3772" w:rsidRDefault="008B3772" w:rsidP="008B3772">
      <w:pPr>
        <w:pStyle w:val="TextoNormal"/>
      </w:pPr>
    </w:p>
    <w:p w:rsidR="008B3772" w:rsidRDefault="008B3772" w:rsidP="008B3772">
      <w:pPr>
        <w:pStyle w:val="TextoNormal"/>
      </w:pPr>
      <w:r w:rsidRPr="008B3772">
        <w:rPr>
          <w:rStyle w:val="NumeroAFNegritaCaracter"/>
        </w:rPr>
        <w:t>2</w:t>
      </w:r>
      <w:r>
        <w:t>. 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008B3772" w:rsidRDefault="008B3772" w:rsidP="008B3772">
      <w:pPr>
        <w:pStyle w:val="TextoNormal"/>
      </w:pPr>
      <w:r>
        <w:t>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322/2003, de 13 de octubre, FJ 2, entre otros muchos).</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este caso, habida cuenta la pena privativa de libertad impuesta al demandante (seis meses y un día de prisión), es evidente que no suspender su ejecución le ocasionaría un perjuicio irreparable que dejaría totalmente en entredicho la eficacia de un eventual fallo estimatorio de la demanda, por cuanto la pena de prisión podría haber sido cumplida en gran medida. Por otro lado, atendidas todas las circunstancias concurrentes en el caso, no se aprecia que acceder a la suspensión solicitada ocasione una lesión específica y grave de los intereses generales —más allá de aquélla que de por sí produce la no ejecución de un fallo judicial—, ni de derechos fundamentales o libertades públicas de terceros, mientras que el </w:t>
      </w:r>
      <w:r>
        <w:lastRenderedPageBreak/>
        <w:t>supuesto contrario sí irrogaría al demandante perjuicios de muy difícil o imposible reparación por lo que ha de acordarse la suspensión de la pena privativa de libertad y accesoria de suspensión del derecho de sufragio impuestas en las resoluciones recurridas.</w:t>
      </w:r>
    </w:p>
    <w:p w:rsidR="008B3772" w:rsidRDefault="008B3772" w:rsidP="008B3772">
      <w:pPr>
        <w:pStyle w:val="TextoNormal"/>
      </w:pPr>
      <w:r>
        <w:t>La situación es distinta en cuanto al resto del fallo condenatorio. En relación a la pena de multa y a las responsabilidades civiles establecidas, no se aprecia que su ejecución lleve consigo la producción de perjuicios irreparables para el condenado a su cumplimiento, dado que cabe la íntegra restitución de lo que fuere objeto de ejecución o cumplimiento en el caso de una eventual estimación del recurso de amparo que así lo ordenase. Por su parte, en cuanto a la pena de pérdida de la posibilidad de obtener subvenciones públicas o crédito oficial y del derecho a gozar de beneficios o incentivos fiscales, en cuanto no se aprecia que su ejecución lleve consigo la producción de perjuicios irreparables para el condenado a su cumplimiento, al no haberse acreditado los perjuicios que ello le reportaría ni su irreparabilidad.</w:t>
      </w:r>
    </w:p>
    <w:p w:rsidR="008B3772" w:rsidRDefault="008B3772" w:rsidP="008B3772">
      <w:pPr>
        <w:pStyle w:val="TextoNormal"/>
      </w:pPr>
    </w:p>
    <w:p w:rsidR="008B3772" w:rsidRDefault="008B3772" w:rsidP="008B3772">
      <w:pPr>
        <w:pStyle w:val="TextoNormal"/>
      </w:pPr>
      <w:r>
        <w:t>En virtud de todo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Suspender en cuanto al demandante la ejecución de la Sentencia de la Sala de lo Penal del Tribunal Supremo de 19 de mayo de 2005, recaída en el recurso de casación núm. 2475- 2003, y de la Sentencia dictada por la Sección Décima de la Audiencia</w:t>
      </w:r>
    </w:p>
    <w:p w:rsidR="008B3772" w:rsidRDefault="008B3772" w:rsidP="008B3772">
      <w:pPr>
        <w:pStyle w:val="TextoNormal"/>
      </w:pPr>
      <w:r>
        <w:t>Provincial de Barcelona, de fecha 30 de julio de 2003, en el procedimiento abreviado núm. 49-2000, exclusivamente en lo referente a la pena privativa de libertad de seis meses y un día de prisión, y a la accesoria de privación del derecho de sufragio</w:t>
      </w:r>
    </w:p>
    <w:p w:rsidR="008B3772" w:rsidRDefault="008B3772" w:rsidP="008B3772">
      <w:pPr>
        <w:pStyle w:val="TextoNormal"/>
      </w:pPr>
      <w:r>
        <w:t>durante el tiempo de la condena a la pena de prisión</w:t>
      </w:r>
    </w:p>
    <w:p w:rsidR="008B3772" w:rsidRDefault="008B3772" w:rsidP="008B3772">
      <w:pPr>
        <w:pStyle w:val="TextoNormal"/>
      </w:pPr>
      <w:r>
        <w:t>Denegar la suspensión solicitada en todo lo demás.</w:t>
      </w:r>
    </w:p>
    <w:p w:rsidR="008B3772" w:rsidRDefault="008B3772" w:rsidP="008B3772">
      <w:pPr>
        <w:pStyle w:val="TextoNormal"/>
      </w:pPr>
    </w:p>
    <w:p w:rsidR="008B3772" w:rsidRDefault="008B3772" w:rsidP="008B3772">
      <w:pPr>
        <w:pStyle w:val="TextoNormal"/>
      </w:pPr>
      <w:r>
        <w:t>Notifíquese a la parte recurrente y al Ministerio Fiscal.</w:t>
      </w:r>
    </w:p>
    <w:p w:rsidR="008B3772" w:rsidRDefault="008B3772" w:rsidP="008B3772">
      <w:pPr>
        <w:pStyle w:val="TextoNormal"/>
      </w:pPr>
      <w:r>
        <w:t>Madrid, a veintidós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14" w:name="AUTO_2007_250"/>
      <w:r>
        <w:lastRenderedPageBreak/>
        <w:t>AUTO 250/2007, de 22 de mayo de 2007</w:t>
      </w:r>
    </w:p>
    <w:bookmarkEnd w:id="114"/>
    <w:p w:rsidR="008B3772" w:rsidRDefault="008B3772" w:rsidP="008B3772">
      <w:pPr>
        <w:pStyle w:val="TtuloResolucin"/>
      </w:pPr>
      <w:r>
        <w:t>Sección Tercera</w:t>
      </w:r>
    </w:p>
    <w:p w:rsidR="008B3772" w:rsidRDefault="008B3772" w:rsidP="008B3772">
      <w:pPr>
        <w:pStyle w:val="TtuloResolucin"/>
      </w:pPr>
    </w:p>
    <w:p w:rsidR="008B3772" w:rsidRDefault="008B3772" w:rsidP="008B3772">
      <w:pPr>
        <w:pStyle w:val="SntesisDescriptiva"/>
      </w:pPr>
      <w:r>
        <w:t>ECLI:ES:TC:2007:250A</w:t>
      </w:r>
    </w:p>
    <w:p w:rsidR="008B3772" w:rsidRDefault="008B3772" w:rsidP="008B3772">
      <w:pPr>
        <w:pStyle w:val="SntesisDescriptiva"/>
      </w:pPr>
    </w:p>
    <w:p w:rsidR="008B3772" w:rsidRDefault="008B3772" w:rsidP="008B3772">
      <w:pPr>
        <w:pStyle w:val="SntesisDescriptiva"/>
      </w:pPr>
      <w:r>
        <w:t>Excms. Srs. don Guillermo Jiménez Sánchez, don Eugeni Gay Montalvo y don Pascual Sala Sánchez.</w:t>
      </w:r>
    </w:p>
    <w:p w:rsidR="008B3772" w:rsidRDefault="008B3772" w:rsidP="008B3772">
      <w:pPr>
        <w:pStyle w:val="SntesisDescriptiva"/>
      </w:pPr>
    </w:p>
    <w:p w:rsidR="008B3772" w:rsidRDefault="008B3772" w:rsidP="008B3772">
      <w:pPr>
        <w:pStyle w:val="SntesisDescriptiva"/>
      </w:pPr>
      <w:r>
        <w:t>Acuerda el desistimiento en el recurso de amparo 8154-2005, promovido en causa penal.</w:t>
      </w:r>
    </w:p>
    <w:p w:rsidR="008B3772" w:rsidRDefault="008B3772" w:rsidP="008B3772">
      <w:pPr>
        <w:pStyle w:val="SntesisDescriptiva"/>
      </w:pPr>
    </w:p>
    <w:p w:rsidR="008B3772" w:rsidRDefault="008B3772" w:rsidP="008B3772">
      <w:pPr>
        <w:pStyle w:val="TtuloResolucin"/>
      </w:pPr>
      <w:r>
        <w:t>*Este auto no incorpora doctrina constitucional.</w:t>
      </w:r>
    </w:p>
    <w:p w:rsidR="008B3772" w:rsidRDefault="008B3772">
      <w:pPr>
        <w:spacing w:after="160" w:line="259" w:lineRule="auto"/>
        <w:rPr>
          <w:rFonts w:ascii="Times New Roman" w:eastAsia="Times New Roman" w:hAnsi="Times New Roman" w:cs="Times New Roman"/>
          <w:b/>
          <w:sz w:val="24"/>
          <w:szCs w:val="24"/>
          <w:lang w:eastAsia="es-ES"/>
        </w:rPr>
      </w:pPr>
      <w:r>
        <w:br w:type="page"/>
      </w:r>
    </w:p>
    <w:p w:rsidR="008B3772" w:rsidRDefault="008B3772" w:rsidP="008B3772">
      <w:pPr>
        <w:pStyle w:val="TtuloResolucin"/>
      </w:pPr>
      <w:bookmarkStart w:id="115" w:name="AUTO_2007_251"/>
      <w:r>
        <w:lastRenderedPageBreak/>
        <w:t>AUTO 251/2007, de 22 de mayo de 2007</w:t>
      </w:r>
    </w:p>
    <w:bookmarkEnd w:id="115"/>
    <w:p w:rsidR="008B3772" w:rsidRDefault="008B3772" w:rsidP="008B3772">
      <w:pPr>
        <w:pStyle w:val="TtuloResolucin"/>
      </w:pPr>
      <w:r>
        <w:t>Sección Tercera</w:t>
      </w:r>
    </w:p>
    <w:p w:rsidR="008B3772" w:rsidRDefault="008B3772" w:rsidP="008B3772">
      <w:pPr>
        <w:pStyle w:val="TtuloResolucin"/>
      </w:pPr>
    </w:p>
    <w:p w:rsidR="008B3772" w:rsidRDefault="008B3772" w:rsidP="008B3772">
      <w:pPr>
        <w:pStyle w:val="SntesisDescriptiva"/>
      </w:pPr>
      <w:r>
        <w:t>ECLI:ES:TC:2007:251A</w:t>
      </w:r>
    </w:p>
    <w:p w:rsidR="008B3772" w:rsidRDefault="008B3772" w:rsidP="008B3772">
      <w:pPr>
        <w:pStyle w:val="SntesisDescriptiva"/>
      </w:pPr>
    </w:p>
    <w:p w:rsidR="008B3772" w:rsidRDefault="008B3772" w:rsidP="008B3772">
      <w:pPr>
        <w:pStyle w:val="SntesisDescriptiva"/>
      </w:pPr>
      <w:r>
        <w:t>Excms. Srs. don Guillermo Jiménez Sánchez, don Eugeni Gay Montalvo y don Pascual Sala Sánchez.</w:t>
      </w:r>
    </w:p>
    <w:p w:rsidR="008B3772" w:rsidRDefault="008B3772" w:rsidP="008B3772">
      <w:pPr>
        <w:pStyle w:val="SntesisDescriptiva"/>
      </w:pPr>
    </w:p>
    <w:p w:rsidR="008B3772" w:rsidRDefault="008B3772" w:rsidP="008B3772">
      <w:pPr>
        <w:pStyle w:val="SntesisDescriptiva"/>
      </w:pPr>
      <w:r>
        <w:t>Acuerda el desistimiento en el recurso de amparo 4829-2006, promovido en proceso contencioso-administrativo.</w:t>
      </w:r>
    </w:p>
    <w:p w:rsidR="008B3772" w:rsidRDefault="008B3772" w:rsidP="008B3772">
      <w:pPr>
        <w:pStyle w:val="SntesisDescriptiva"/>
      </w:pPr>
    </w:p>
    <w:p w:rsidR="008B3772" w:rsidRDefault="008B3772" w:rsidP="008B3772">
      <w:pPr>
        <w:pStyle w:val="TtuloResolucin"/>
      </w:pPr>
      <w:r>
        <w:t>*Este auto no incorpora doctrina constitucional.</w:t>
      </w:r>
    </w:p>
    <w:p w:rsidR="008B3772" w:rsidRDefault="008B3772">
      <w:pPr>
        <w:spacing w:after="160" w:line="259" w:lineRule="auto"/>
        <w:rPr>
          <w:rFonts w:ascii="Times New Roman" w:eastAsia="Times New Roman" w:hAnsi="Times New Roman" w:cs="Times New Roman"/>
          <w:b/>
          <w:sz w:val="24"/>
          <w:szCs w:val="24"/>
          <w:lang w:eastAsia="es-ES"/>
        </w:rPr>
      </w:pPr>
      <w:r>
        <w:br w:type="page"/>
      </w:r>
    </w:p>
    <w:p w:rsidR="008B3772" w:rsidRDefault="008B3772" w:rsidP="008B3772">
      <w:pPr>
        <w:pStyle w:val="TtuloResolucin"/>
      </w:pPr>
      <w:bookmarkStart w:id="116" w:name="AUTO_2007_252"/>
      <w:r>
        <w:lastRenderedPageBreak/>
        <w:t>AUTO 252/2007, de 22 de mayo de 2007</w:t>
      </w:r>
    </w:p>
    <w:bookmarkEnd w:id="116"/>
    <w:p w:rsidR="008B3772" w:rsidRDefault="008B3772" w:rsidP="008B3772">
      <w:pPr>
        <w:pStyle w:val="TtuloResolucin"/>
      </w:pPr>
      <w:r>
        <w:t>Sección Tercera</w:t>
      </w:r>
    </w:p>
    <w:p w:rsidR="008B3772" w:rsidRDefault="008B3772" w:rsidP="008B3772">
      <w:pPr>
        <w:pStyle w:val="TtuloResolucin"/>
      </w:pPr>
    </w:p>
    <w:p w:rsidR="008B3772" w:rsidRDefault="008B3772" w:rsidP="008B3772">
      <w:pPr>
        <w:pStyle w:val="SntesisDescriptiva"/>
      </w:pPr>
      <w:r>
        <w:t>ECLI:ES:TC:2007:252A</w:t>
      </w:r>
    </w:p>
    <w:p w:rsidR="008B3772" w:rsidRDefault="008B3772" w:rsidP="008B3772">
      <w:pPr>
        <w:pStyle w:val="SntesisDescriptiva"/>
      </w:pPr>
    </w:p>
    <w:p w:rsidR="008B3772" w:rsidRDefault="008B3772" w:rsidP="008B3772">
      <w:pPr>
        <w:pStyle w:val="SntesisDescriptiva"/>
      </w:pPr>
      <w:r>
        <w:t>Excms. Srs. don Guillermo Jiménez Sánchez, don Eugeni Gay Montalvo y don Pascual Sala Sánchez.</w:t>
      </w:r>
    </w:p>
    <w:p w:rsidR="008B3772" w:rsidRDefault="008B3772" w:rsidP="008B3772">
      <w:pPr>
        <w:pStyle w:val="SntesisDescriptiva"/>
      </w:pPr>
    </w:p>
    <w:p w:rsidR="008B3772" w:rsidRDefault="008B3772" w:rsidP="008B3772">
      <w:pPr>
        <w:pStyle w:val="SntesisDescriptiva"/>
      </w:pPr>
      <w:r>
        <w:t>Acuerda el desistimiento en el recurso de amparo 4877-2006, promovido por el Colegio Oficial de Pilotos de la Aviación Comercial.</w:t>
      </w:r>
    </w:p>
    <w:p w:rsidR="008B3772" w:rsidRDefault="008B3772" w:rsidP="008B3772">
      <w:pPr>
        <w:pStyle w:val="SntesisDescriptiva"/>
      </w:pPr>
    </w:p>
    <w:p w:rsidR="008B3772" w:rsidRDefault="008B3772" w:rsidP="008B3772">
      <w:pPr>
        <w:pStyle w:val="TtuloResolucin"/>
      </w:pPr>
      <w:r>
        <w:t>*Este auto no incorpora doctrina constitucional.</w:t>
      </w:r>
    </w:p>
    <w:p w:rsidR="008B3772" w:rsidRDefault="008B3772">
      <w:pPr>
        <w:spacing w:after="160" w:line="259" w:lineRule="auto"/>
        <w:rPr>
          <w:rFonts w:ascii="Times New Roman" w:eastAsia="Times New Roman" w:hAnsi="Times New Roman" w:cs="Times New Roman"/>
          <w:b/>
          <w:sz w:val="24"/>
          <w:szCs w:val="24"/>
          <w:lang w:eastAsia="es-ES"/>
        </w:rPr>
      </w:pPr>
      <w:r>
        <w:br w:type="page"/>
      </w:r>
    </w:p>
    <w:p w:rsidR="008B3772" w:rsidRDefault="008B3772" w:rsidP="008B3772">
      <w:pPr>
        <w:pStyle w:val="TtuloResolucin"/>
      </w:pPr>
      <w:bookmarkStart w:id="117" w:name="AUTO_2007_253"/>
      <w:r>
        <w:lastRenderedPageBreak/>
        <w:t>AUTO 253/2007, de 22 de mayo de 2007</w:t>
      </w:r>
    </w:p>
    <w:bookmarkEnd w:id="117"/>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ECLI:ES:TC:2007:253A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don Roberto García-Calvo y Montiel, doña Elisa Pérez Vera, don Eugeni Gay Montalvo, don Ramón Rodríguez Arribas, don Pascual Sala Sánchez y don Manuel Aragón Reyes.</w:t>
      </w:r>
    </w:p>
    <w:p w:rsidR="008B3772" w:rsidRDefault="008B3772" w:rsidP="008B3772">
      <w:pPr>
        <w:pStyle w:val="SntesisDescriptiva"/>
      </w:pPr>
    </w:p>
    <w:p w:rsidR="008B3772" w:rsidRDefault="008B3772" w:rsidP="008B3772">
      <w:pPr>
        <w:pStyle w:val="SntesisDescriptiva"/>
      </w:pPr>
      <w:r>
        <w:t>Inadmite una recusación en el recurso de inconstitucionalidad 8675-2006, promovido por el Defensor del Pueblo contra la Ley Orgánica 6/2006, de 19 de julio, de reforma del Estatuto de Autonomía de Cataluña.</w:t>
      </w:r>
    </w:p>
    <w:p w:rsidR="008B3772" w:rsidRDefault="008B3772" w:rsidP="008B3772">
      <w:pPr>
        <w:pStyle w:val="SntesisDescriptiva"/>
      </w:pPr>
    </w:p>
    <w:p w:rsidR="008B3772" w:rsidRDefault="008B3772" w:rsidP="008B3772">
      <w:pPr>
        <w:pStyle w:val="SntesisAnaltica"/>
      </w:pPr>
      <w:r>
        <w:t>Recusación de magistrados del Tribunal Constitucional, desestima.</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xml:space="preserve">. El día 2 de marzo de 2007 tuvo entrada en el Registro General de este Tribunal el escrito presentado por el Abogado de la Generalidad de Cataluña, don Ramón Riu Fortuny, mediante el cual insta la recusación del Magistrado de este Tribunal, Excmo. Sr. don Jorge Rodríguez- Zapata Pérez, en los recursos de inconstitucionalidad núms. 8045-2006 (promovido por más de 50 Diputados del Grupo Parlamentario Popular del Congreso de los Diputados), 8675- 2006 (promovido por el Defensor del Pueblo), 8829-2006 (promovido por el Consejo de Gobierno de la Región de Murcia), 9330-2006 (promovido por el Gobierno de La Rioja), 9491-2006 (promovido por la Diputación General de Aragón), 9501-2006 (promovido por el Consejo de la Generalidad de la Comunidad de Valencia), y 9568-2006 (promovido por el Consejo de Gobierno de la Comunidad Autónoma de las Islas Baleares), todos ellos contra determinados preceptos de la Ley Orgánica. 6/2006, de 19 de julio, de reforma del Estatuto de Autonomía de Cataluña (EAC en lo sucesivo), que se hallan en tramitación ante este Tribunal y en los que es parte el Gobierno de la Generalidad de Cataluña. </w:t>
      </w:r>
    </w:p>
    <w:p w:rsidR="008B3772" w:rsidRDefault="008B3772" w:rsidP="008B3772">
      <w:pPr>
        <w:pStyle w:val="TextoNormal"/>
      </w:pPr>
      <w:r>
        <w:t xml:space="preserve">El Gobierno de la Generalidad, de conformidad con lo dispuesto en el art. 80 LOTC en relación con el art. 219.13ª LOPJ, alega que el Excmo. Sr. don Jorge Rodríguez-Zapata Pérez se halla incurso en la causa de abstención y, en su caso, de recusación consistente en “haber ocupado cargo público, desempeñado empleo o ejercido profesión con ocasión de los cuales haya participado directa o indirectamente en el asunto objeto del pleito o causa o en otro relacionado con el mismo” con base en la doctrina contenida en el ATC de 5 de febrero de 2007, por el que se estima la recusación del Magistrado de este Tribunal, el Excmo. Sr. don Pablo Pérez Tremps. Esta parte entiende que el Magistrado ahora recusado, al igual que aquél, ha realizado un trabajo retribuido, en este caso encargado por la Fundación Carles Pi i Sunyer d’Estudis Autonòmics i Locals, titulado “Evolución de la aplicación de los principios contenidos en la Carta Europea de Autonomía Local por la jurisprudencia del Tribunal Constitucional y del Tribunal Supremo”, mediante el cual expresó un criterio </w:t>
      </w:r>
      <w:r>
        <w:lastRenderedPageBreak/>
        <w:t>jurídico anticipado sobre uno de los elementos más significativos de la reforma del Estatuto de Autonomía de Cataluña, en especial el desarrollado en el Título Preliminar (art. 2.3), Capítulos VI del Título II (arts. 83 a 93 y destacadamente en su art. 84) y Capítulo III del Título VI (arts. 217 a 221) del actual EAC.</w:t>
      </w:r>
    </w:p>
    <w:p w:rsidR="008B3772" w:rsidRDefault="008B3772" w:rsidP="008B3772">
      <w:pPr>
        <w:pStyle w:val="TextoNormal"/>
      </w:pPr>
    </w:p>
    <w:p w:rsidR="008B3772" w:rsidRDefault="008B3772" w:rsidP="008B3772">
      <w:pPr>
        <w:pStyle w:val="TextoNormal"/>
      </w:pPr>
      <w:r w:rsidRPr="008B3772">
        <w:rPr>
          <w:rStyle w:val="NumeroAFNegritaCaracter"/>
        </w:rPr>
        <w:t>2</w:t>
      </w:r>
      <w:r>
        <w:t>. Por providencia de 6 de marzo de 2007, el Pleno resolvió unir el escrito de recusación a las actuaciones, expresando al mismo tiempo que en relación con la recusación relativa a los recursos de inconstitucionalidad 8675-2006, interpuesto por el Defensor del Pueblo; 8829-2006, interpuesto por el Consejo de Gobierno de la Comunidad Autónoma de la Región de Murcia; 9330-2006, interpuesto por el Consejo de Gobierno de la Comunidad Autónoma de La Rioja; 9491-2006, interpuesto por el Consejo de Gobierno la Diputación General de Aragón; 9501-2006, interpuesto por el Consejo de la Generalidad de la Comunidad Valenciana; y 9568-2006, interpuesto por el Consejo de Gobierno de las Islas Baleares; “en su momento se acordará”.</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El Auto del Pleno de este Tribunal núm. 177/2007, de 7 de marzo, acordó la inadmisión liminar de la recusación formulada por el Gobierno de la Generalidad de Cataluña dirigida contra el Excmo. Sr. don Jorge Rodríguez-Zapata Pérez en el recurso de</w:t>
      </w:r>
    </w:p>
    <w:p w:rsidR="008B3772" w:rsidRDefault="008B3772" w:rsidP="008B3772">
      <w:pPr>
        <w:pStyle w:val="TextoNormal"/>
      </w:pPr>
      <w:r>
        <w:t>inconstitucionalidad núm. 8045-2006, promovido por más de 50 Diputados del Grupo Parlamentario Popular del Congreso de los Diputados contra determinados preceptos del Estatuto de Autonomía Catalán. Dicha resolución fue confirmada por el Auto de fecha 19</w:t>
      </w:r>
    </w:p>
    <w:p w:rsidR="008B3772" w:rsidRDefault="008B3772" w:rsidP="008B3772">
      <w:pPr>
        <w:pStyle w:val="TextoNormal"/>
      </w:pPr>
      <w:r>
        <w:t>de abril de 2007, que desestimó el recurso de súplica interpuesto contra el anterior.</w:t>
      </w:r>
    </w:p>
    <w:p w:rsidR="008B3772" w:rsidRDefault="008B3772" w:rsidP="008B3772">
      <w:pPr>
        <w:pStyle w:val="TextoNormal"/>
      </w:pPr>
      <w:r>
        <w:t>Como ha quedado expuesto en los antecedentes, dado que el escrito de recusación del Gobierno de la Generalidad de Cataluña dirigido contra el citado Magistrado de este Tribunal en el presente recurso de inconstitucionalidad (y en los recursos de inconstitucionalidad antes mencionados núms. 8829-2006, 9330-2006, 9491-2006, 9501- 2006 y 9568-2006) es idéntico, por ser comunes todos esos recursos de inconstitucionalidad, al resuelto por el citado ATC 177/2007, de 7 de marzo, basta con remitirnos a lo ya afirmado en sus fundamentos jurídicos para inadmitir también la recusación formulada en los recursos de inconstitucionalidad 8675-2006, 8829-2006, 9330-2006, 9491-2006, 9501- 2006 y 9568-2006.</w:t>
      </w:r>
    </w:p>
    <w:p w:rsidR="008B3772" w:rsidRDefault="008B3772" w:rsidP="008B3772">
      <w:pPr>
        <w:pStyle w:val="TextoNormal"/>
      </w:pPr>
    </w:p>
    <w:p w:rsidR="008B3772" w:rsidRDefault="008B3772" w:rsidP="008B3772">
      <w:pPr>
        <w:pStyle w:val="TextoNormal"/>
      </w:pPr>
      <w:r>
        <w:t>Por todo ello, el Pleno</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1º. Inadmitir la recusación del Excmo. Sr. don Jorge Rodríguez-Zapata Pérez, formulada por el Gobierno de la Generalidad de Cataluña en los recursos de inconstitucionalidad 8675-2006, 8829-2006, 9330-2006, 9491-2006, 9501-2006 y 9568-2006.</w:t>
      </w:r>
    </w:p>
    <w:p w:rsidR="008B3772" w:rsidRDefault="008B3772" w:rsidP="008B3772">
      <w:pPr>
        <w:pStyle w:val="TextoNormal"/>
      </w:pPr>
      <w:r>
        <w:t>2º. Incorporar testimonio de esta resolución a cada uno de los recursos de inconstitucionalidad concernidos.</w:t>
      </w:r>
    </w:p>
    <w:p w:rsidR="008B3772" w:rsidRDefault="008B3772" w:rsidP="008B3772">
      <w:pPr>
        <w:pStyle w:val="TextoNormal"/>
      </w:pPr>
    </w:p>
    <w:p w:rsidR="008B3772" w:rsidRDefault="008B3772" w:rsidP="008B3772">
      <w:pPr>
        <w:pStyle w:val="TextoNormal"/>
      </w:pPr>
      <w:r>
        <w:t>Madrid, a veintidós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18" w:name="AUTO_2007_254"/>
      <w:r>
        <w:lastRenderedPageBreak/>
        <w:t>AUTO 254/2007, de 23 de mayo de 2007</w:t>
      </w:r>
    </w:p>
    <w:bookmarkEnd w:id="118"/>
    <w:p w:rsidR="008B3772" w:rsidRDefault="008B3772" w:rsidP="008B3772">
      <w:pPr>
        <w:pStyle w:val="TtuloResolucin"/>
      </w:pPr>
      <w:r>
        <w:t>Sección Segunda</w:t>
      </w:r>
    </w:p>
    <w:p w:rsidR="008B3772" w:rsidRDefault="008B3772" w:rsidP="008B3772">
      <w:pPr>
        <w:pStyle w:val="TtuloResolucin"/>
      </w:pPr>
    </w:p>
    <w:p w:rsidR="008B3772" w:rsidRDefault="008B3772" w:rsidP="008B3772">
      <w:pPr>
        <w:pStyle w:val="SntesisDescriptiva"/>
      </w:pPr>
      <w:r>
        <w:t>ECLI:ES:TC:2007:254A</w:t>
      </w:r>
    </w:p>
    <w:p w:rsidR="008B3772" w:rsidRDefault="008B3772" w:rsidP="008B3772">
      <w:pPr>
        <w:pStyle w:val="SntesisDescriptiva"/>
      </w:pPr>
    </w:p>
    <w:p w:rsidR="008B3772" w:rsidRDefault="008B3772" w:rsidP="008B3772">
      <w:pPr>
        <w:pStyle w:val="SntesisDescriptiva"/>
      </w:pPr>
      <w:r>
        <w:t>Excms. Srs. don Jorge Rodríguez-Zapata Pérez, don Roberto García-Calvo y Montiel y don Pablo Pérez Tremps.</w:t>
      </w:r>
    </w:p>
    <w:p w:rsidR="008B3772" w:rsidRDefault="008B3772" w:rsidP="008B3772">
      <w:pPr>
        <w:pStyle w:val="SntesisDescriptiva"/>
      </w:pPr>
    </w:p>
    <w:p w:rsidR="008B3772" w:rsidRDefault="008B3772" w:rsidP="008B3772">
      <w:pPr>
        <w:pStyle w:val="SntesisDescriptiva"/>
      </w:pPr>
      <w:r>
        <w:t>Inadmite a trámite el recurso de amparo 3911-2004, promovido por Omega Arquitectos, S.L., en contencioso sobre devolución del impuesto de sociedades.</w:t>
      </w:r>
    </w:p>
    <w:p w:rsidR="008B3772" w:rsidRDefault="008B3772" w:rsidP="008B3772">
      <w:pPr>
        <w:pStyle w:val="SntesisDescriptiva"/>
      </w:pPr>
    </w:p>
    <w:p w:rsidR="008B3772" w:rsidRDefault="008B3772" w:rsidP="008B3772">
      <w:pPr>
        <w:pStyle w:val="SntesisAnaltica"/>
      </w:pPr>
      <w:r>
        <w:t>Igualdad en la aplicación de la ley: falta de identidad de supuestos de hecho.</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día 16 de junio de 2004 tuvo entrada en el Registro General de este Tribunal Constitucional un escrito de la Procuradora de los Tribunales doña Miriam Álvarez del Valle Laverque, en nombre y representación de la entidad mercantil Omega Arquitectos, S.L., por el que interponía un recurso de amparo contra la Sentencia de la Sección Segunda de la Sala de lo Contencioso-Administrativo del Tribunal Superior de Justicia de Castilla-La Mancha de fecha 2 de abril de 2004 (recurso núm. 35-2001), en materia de Impuesto sobre Sociedades, por supuesta vulneración de su derecho a la igualdad (art. 14 CE).</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Los antecedentes de hecho del planteamiento del presente recurso de amparo son los siguientes: </w:t>
      </w:r>
    </w:p>
    <w:p w:rsidR="008B3772" w:rsidRDefault="008B3772" w:rsidP="008B3772">
      <w:pPr>
        <w:pStyle w:val="TextoNormal"/>
      </w:pPr>
      <w:r>
        <w:t xml:space="preserve">a) Uno de los socios de la entidad recurrente fue objeto, a lo largo de los ejercicios 1998 y 1999, de actuaciones de comprobación tributaria por el ejercicio 1993, fruto de la cuales la Administración Tributaria procedió a ajustar el valor de los servicios prestados por aquél a esta, al precio de mercado, al considerar la existencia de una operación vinculada. De esta manera, la cifra de 33.500.000 ptas (201.339,05 €) facturada por el socio a la sociedad como contraprestación por los servicios prestados se reduce a 17.258.090 ptas (103.723,20 €), razón por la cual se minora los gastos computados en la base imponible del Impuesto sobre la Renta de las Personas Físicas del socio en la cifra de 16.241.910 ptas (97.615,84 €), girándosele la correspondiente liquidación como consecuencia del consiguiente aumento de base imponible. </w:t>
      </w:r>
    </w:p>
    <w:p w:rsidR="008B3772" w:rsidRDefault="008B3772" w:rsidP="008B3772">
      <w:pPr>
        <w:pStyle w:val="TextoNormal"/>
      </w:pPr>
      <w:r>
        <w:t xml:space="preserve">b) Como la sociedad recurrente había computado en la base imponible del Impuesto sobre Sociedades correspondiente al año 1993 como ingresos del ejercicio, la cifra de 33.500.000 ptas (201.339,05 €), sometiéndola a tributación mediante la presentación de la correspondiente autoliquidación (el día 25 de julio de 1994), con fecha de 11 de marzo de 1999 solicitó de la Administración Tributaria de Talavera de la Reina (expediente núm. 114- 1999) la práctica del denominado “ajuste bilateral” en las operaciones vinculadas, conforme al cual, correspondía reducir la base imponible de su impuesto en la misma proporción en que había sido incrementada la del socio, debiendo procederse a la devolución de la cantidad </w:t>
      </w:r>
      <w:r>
        <w:lastRenderedPageBreak/>
        <w:t xml:space="preserve">ingresada en exceso que se cifraba en 5.684.668 ptas (34.165,54 €). Dicha solicitud fue desestimada por la Administración Tributaria al considerar que había prescrito el derecho a solicitar dicha devolución por haber transcurrido más de 4 años desde la fecha del pago voluntario del Impuesto sobre Sociedades del año 1993, sin que hubiera producido ningún acto interruptivo del citado cómputo. </w:t>
      </w:r>
    </w:p>
    <w:p w:rsidR="008B3772" w:rsidRDefault="008B3772" w:rsidP="008B3772">
      <w:pPr>
        <w:pStyle w:val="TextoNormal"/>
      </w:pPr>
      <w:r>
        <w:t>c) Contra la anterior negativa de la Administración Tributaria se interpuso reclamación económico-administrativa (núm. 45-1179/1999) ante el Tribunal Económico-Administrativo Regional de Castilla-La Mancha que fue desestimada por Resolución de 26 de octubre de 2000, siendo recurrida ante la Sala de lo Contencioso-Administrativo del Tribunal Superior de Justicia de Castilla-La Mancha (sede de Toledo), quien por Sentencia de la Sección Segunda de fecha 29 de abril de 2004 desestimó el recurso (núm. 35-2001) al entender, de un lado, que en el ejercicio 1993 no era aplicable la regla del “ajuste bilateral”, al no estar en vigor el art. 16.1 de la Ley 43/1995, de 27 de diciembre, que es la que la adopta, sino la del “ajuste unilateral” prevista en la entonces vigente Ley de Impuesto sobre Sociedades de 1978, en la redacción que le dio la Ley 18/1991; y, de otro lado, al haber prescrito el derecho de la actora a solicitar la devolución de los ingresos indebidos, pues en aplicación de la STS de 25 de septiembre de 2001, si a 1 de enero de 1999 habían pasado cuatro años, contados de fecha a fecha, sin mediar causa alguna interruptiva, se había perdido derecho a solicitar la devolución de ingresos indebidos, como así había sucedido, al no poder considerarse interrumpido el cómputo del plazo de prescripción por las actuaciones inspectoras llevadas a cabo con el socio.</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su demanda de amparo la parte actora imputa a la resolución judicial la lesión del derecho a la igualdad ante la ley (art. 14 CE), habida cuenta que, al calificar la Administración Tributaria las operaciones realizadas entre el socio y la sociedad como vinculadas, reconoce que en dicha relación existen, al menos, dos sujetos pasivos, independientemente de que el ajuste de las operaciones entre ambos se haga de forma unilateral o bilateral, razón por la cual, no se les pueden aplicar plazos de prescripción diferentes. Este diferente trato que se les ha dispensado es contrario al derecho a no sufrir discriminación jurídica alguno, esto es, a no ser tratada jurídicamente de manera diferente a quienes se encuentran en una misma situación, sin que exista una justificación razonable de esa desigualdad de trato. </w:t>
      </w:r>
    </w:p>
    <w:p w:rsidR="008B3772" w:rsidRDefault="008B3772" w:rsidP="008B3772">
      <w:pPr>
        <w:pStyle w:val="TextoNormal"/>
      </w:pPr>
      <w:r>
        <w:t>Por lo anterior, la parte actora suplica que se anule “el Acuerdo de la Agencia Tributaria, Administración Tributaria de Talavera de la Reina” por violación del derecho fundamental a la igualdad ante la ley del art. 14 CE.</w:t>
      </w:r>
    </w:p>
    <w:p w:rsidR="008B3772" w:rsidRDefault="008B3772" w:rsidP="008B3772">
      <w:pPr>
        <w:pStyle w:val="TextoNormal"/>
      </w:pPr>
    </w:p>
    <w:p w:rsidR="008B3772" w:rsidRDefault="008B3772" w:rsidP="008B3772">
      <w:pPr>
        <w:pStyle w:val="TextoNormal"/>
      </w:pPr>
      <w:r w:rsidRPr="008B3772">
        <w:rPr>
          <w:rStyle w:val="NumeroAFNegritaCaracter"/>
        </w:rPr>
        <w:t>4</w:t>
      </w:r>
      <w:r>
        <w:t>. Por providencia de la Sección Segunda de 11 de octubre de 2005 se acordó conceder un plazo común de diez días, al Ministerio Fiscal y al solicitante del amparo, para que alegasen lo que estimasen pertinente en relación con la posible concurrencia del motivo de inadmisión consistente en carecer la demanda manifiestamente de contenido que justifique una decisión sobre el fondo de la misma por parte de este Tribunal, de conformidad con lo prevenido en el art. 50.1 c) LOTC.</w:t>
      </w:r>
    </w:p>
    <w:p w:rsidR="008B3772" w:rsidRDefault="008B3772" w:rsidP="008B3772">
      <w:pPr>
        <w:pStyle w:val="TextoNormal"/>
      </w:pPr>
    </w:p>
    <w:p w:rsidR="008B3772" w:rsidRDefault="008B3772" w:rsidP="008B3772">
      <w:pPr>
        <w:pStyle w:val="TextoNormal"/>
      </w:pPr>
      <w:r w:rsidRPr="008B3772">
        <w:rPr>
          <w:rStyle w:val="NumeroAFNegritaCaracter"/>
        </w:rPr>
        <w:t>5</w:t>
      </w:r>
      <w:r>
        <w:t xml:space="preserve">. Mediante escrito registrado en este Tribunal el día 2 de noviembre de 2005, el Fiscal evacuó el trámite de alegaciones conferido suplicando la inadmisión del recurso de amparo al considerar que concurría la causa de inadmisión de falta manifiesta de contenido constitucional, conforme al art. 50.1 c) LOTC, habida cuenta que la demanda no especifica cuál debe ser el término de comparación, sin que corresponda indagarlo, aunque parece referirse </w:t>
      </w:r>
      <w:r>
        <w:lastRenderedPageBreak/>
        <w:t>al diferente plazo de prescripción, ni aporta resoluciones administrativas confirmadas judicialmente en las que un supuesto idéntico se haya producido, por el mismo órgano judicial, una respuesta diferente. La recurrente ha recibido una respuesta razonada y fundada, que podrá ser opinable o discutible, pero que no puede ser controlada por este Tribunal al tratarse de la aplicación de la legalidad ordinaria.</w:t>
      </w:r>
    </w:p>
    <w:p w:rsidR="008B3772" w:rsidRDefault="008B3772" w:rsidP="008B3772">
      <w:pPr>
        <w:pStyle w:val="TextoNormal"/>
      </w:pPr>
    </w:p>
    <w:p w:rsidR="008B3772" w:rsidRDefault="008B3772" w:rsidP="008B3772">
      <w:pPr>
        <w:pStyle w:val="TextoNormal"/>
      </w:pPr>
      <w:r w:rsidRPr="008B3772">
        <w:rPr>
          <w:rStyle w:val="NumeroAFNegritaCaracter"/>
        </w:rPr>
        <w:t>6</w:t>
      </w:r>
      <w:r>
        <w:t>. La representación procesal de la parte actora evacuó el trámite de alegaciones conferido por escrito registrado el día 3 de noviembre de 2005, insistiendo en los mismos argumentos esgrimidos en el escrito de demanda de amparo, para terminar suplicando la admisión a trámite del recurso de amparo.</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Imputa la parte actora a la resolución judicial impugnada en este proceso constitucional la lesión del derecho a la igualdad ante la ley (art. 14 CE) al haber recibido un diferente trato de la Administración Tributaria que le declara prescrito su derecho a la devolución de ingresos indebidos por el Impuesto sobre Sociedades como consecuencia del ajuste efectuado en la base imponible del Impuesto sobre la Renta de las Personas Físicas de un socio con el que realizó una operación calificada como “vinculada”.</w:t>
      </w:r>
    </w:p>
    <w:p w:rsidR="008B3772" w:rsidRDefault="008B3772" w:rsidP="008B3772">
      <w:pPr>
        <w:pStyle w:val="TextoNormal"/>
      </w:pPr>
      <w:r>
        <w:t>El Ministerio Fiscal, en las alegaciones presentadas al amparo del trámite previsto en el art.  50.3 LOTC, solicita la inadmisión del recurso de amparo, tanto por no justificar la parte actora un término de comparación, como por estar frente a una decisión razonable, que puede ser opinable, pero en modo alguno lesiva de un derecho fundamental.</w:t>
      </w:r>
    </w:p>
    <w:p w:rsidR="008B3772" w:rsidRDefault="008B3772" w:rsidP="008B3772">
      <w:pPr>
        <w:pStyle w:val="TextoNormal"/>
      </w:pPr>
    </w:p>
    <w:p w:rsidR="008B3772" w:rsidRDefault="008B3772" w:rsidP="008B3772">
      <w:pPr>
        <w:pStyle w:val="TextoNormal"/>
      </w:pPr>
      <w:r w:rsidRPr="008B3772">
        <w:rPr>
          <w:rStyle w:val="NumeroAFNegritaCaracter"/>
        </w:rPr>
        <w:t>2</w:t>
      </w:r>
      <w:r>
        <w:t>. Lo primero que debemos señalar es que la lesión del derecho fundamental alegado no sólo resultaría imputable a la actuación administrativa (el Acuerdo de la Administración Tributaria de Talavera de la Reina) sino también a la posterior Sentencia del Tribunal Superior de Justicia de Castilla-La Mancha en la medida en que no repara la supuesta discriminación padecida. Debe tenerse presente que el principio de igualdad puede resultar vulnerado cuando los Jueces y Tribunales apliquen las normas jurídicas con un criterio interpretativo que produzca o no corrija un trato discriminatorio en relación con otras situaciones válidamente comparables (por todas, SSTC 39/1992, de 30 de marzo, FJ 5, y 307/2006, de 23 de octubre, FJ 3).</w:t>
      </w:r>
    </w:p>
    <w:p w:rsidR="008B3772" w:rsidRDefault="008B3772" w:rsidP="008B3772">
      <w:pPr>
        <w:pStyle w:val="TextoNormal"/>
      </w:pPr>
      <w:r>
        <w:t xml:space="preserve">Dicho lo que antecede, debe recordarse que el art. 14 CE dispone que “los españoles son iguales ante la ley”, estableciendo un derecho subjetivo a obtener un trato igual aplicable tanto a las personas físicas como a las jurídicas (entre otras, SSTC 23/1989, de 2 de febrero, FJ 2; 212/1993, de 28 de junio, FJ 6; 80/1994, de 13 de marzo, FJ 5, y 117/1998, de 2 de junio, FJ 8), trato igual que exige que ante supuestos de hecho iguales deban ser aplicadas las mismas consecuencias jurídicas (STC 49/1982, de 14 de julio, FJ 2). Ahora bien, para que el juicio de igualdad pueda efectuarse es necesario que las situaciones subjetivas que quieran traerse a la comparación sean, efectivamente, homogéneas o equiparables (SSTC 148/1986, de 25 de noviembre, FJ 6; 29/1987, de 6 de marzo, FJ 5; 1/2001, de 15 de enero, FJ 3; 39/2003, de 27 de febrero, FJ 4, y 53/2004, de 15 de abril, FJ 2), razón por la cual, toda alegación del derecho fundamental a la igualdad precisa para su verificación un tertium comparationis frente al que la desigualdad se produzca (entre muchas, SSTC 125/2003, de 19 de junio, FJ 4; y 307/2006, de 23 de octubre, FJ 4), siendo carga del recurrente en amparo </w:t>
      </w:r>
      <w:r>
        <w:lastRenderedPageBreak/>
        <w:t>aportar un “término suficiente y adecuado de comparación a partir del cual proceder a aplicar el canon de igualdad” (por todas, STC 190/2001, de 1 de octubre, FJ 3).</w:t>
      </w:r>
    </w:p>
    <w:p w:rsidR="008B3772" w:rsidRDefault="008B3772" w:rsidP="008B3772">
      <w:pPr>
        <w:pStyle w:val="TextoNormal"/>
      </w:pPr>
      <w:r>
        <w:t>Pues bien, en el presente caso, no sólo incumple el recurrente en amparo con su obligación de poner a disposición de este Tribunal la situación con la que pretende compararse, acreditando la identidad de supuestos resueltos por la Administración de forma distinta, sino que, incluso admitiendo a los meros efectos dialécticos que dicha situación homogénea fuese la del socio objeto de actuaciones de comprobación tributaria, ni siquiera sería posible apreciar la existencia de un supuesto trato de desigual, pues si la comprobación de la situación tributaria de éste se refería al ejercicio 1993 (cuyo plazo de declaración se extendía hasta junio del ejercicio 1994), todo parece indicar que cuando la Administración Tributaria inició sus actuaciones de comprobación —en 1998— no había transcurrido aún el plazo de cuatro años que, en la peor de las interpretaciones, le asistía para comprobar y regularizar la citada situación.</w:t>
      </w:r>
    </w:p>
    <w:p w:rsidR="008B3772" w:rsidRDefault="008B3772" w:rsidP="008B3772">
      <w:pPr>
        <w:pStyle w:val="TextoNormal"/>
      </w:pPr>
      <w:r>
        <w:t>En suma, al no acreditar la parte actora la identidad de supuestos resueltos de forma diferente (la aplicación de diferentes plazos de prescripción a una y otra parte de la operación) no es posible constatar la existencia de un trato desigual y, por tanto, no cabe sino declarar la inadmisión del presente recurso de amparo.</w:t>
      </w:r>
    </w:p>
    <w:p w:rsidR="008B3772" w:rsidRDefault="008B3772" w:rsidP="008B3772">
      <w:pPr>
        <w:pStyle w:val="TextoNormal"/>
      </w:pPr>
    </w:p>
    <w:p w:rsidR="008B3772" w:rsidRDefault="008B3772" w:rsidP="008B3772">
      <w:pPr>
        <w:pStyle w:val="TextoNormal"/>
      </w:pPr>
      <w:r>
        <w:t>Por lo expuesto, la Sección</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Inadmitir a trámite el presente recurso de amparo por concurrir la causa prevista en el art.  50.1 c) LOTC.</w:t>
      </w:r>
    </w:p>
    <w:p w:rsidR="008B3772" w:rsidRDefault="008B3772" w:rsidP="008B3772">
      <w:pPr>
        <w:pStyle w:val="TextoNormal"/>
      </w:pPr>
    </w:p>
    <w:p w:rsidR="008B3772" w:rsidRDefault="008B3772" w:rsidP="008B3772">
      <w:pPr>
        <w:pStyle w:val="TextoNormal"/>
      </w:pPr>
      <w:r>
        <w:t>Madrid, a veintitrés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19" w:name="AUTO_2007_255"/>
      <w:r>
        <w:lastRenderedPageBreak/>
        <w:t>AUTO 255/2007, de 23 de mayo de 2007</w:t>
      </w:r>
    </w:p>
    <w:bookmarkEnd w:id="119"/>
    <w:p w:rsidR="008B3772" w:rsidRDefault="008B3772" w:rsidP="008B3772">
      <w:pPr>
        <w:pStyle w:val="TtuloResolucin"/>
      </w:pPr>
      <w:r>
        <w:t>Sección Primera</w:t>
      </w:r>
    </w:p>
    <w:p w:rsidR="008B3772" w:rsidRDefault="008B3772" w:rsidP="008B3772">
      <w:pPr>
        <w:pStyle w:val="TtuloResolucin"/>
      </w:pPr>
    </w:p>
    <w:p w:rsidR="008B3772" w:rsidRDefault="008B3772" w:rsidP="008B3772">
      <w:pPr>
        <w:pStyle w:val="SntesisDescriptiva"/>
      </w:pPr>
      <w:r>
        <w:t>ECLI:ES:TC:2007:255A</w:t>
      </w:r>
    </w:p>
    <w:p w:rsidR="008B3772" w:rsidRDefault="008B3772" w:rsidP="008B3772">
      <w:pPr>
        <w:pStyle w:val="SntesisDescriptiva"/>
      </w:pPr>
    </w:p>
    <w:p w:rsidR="008B3772" w:rsidRDefault="008B3772" w:rsidP="008B3772">
      <w:pPr>
        <w:pStyle w:val="SntesisDescriptiva"/>
      </w:pPr>
      <w:r>
        <w:t>Excms. Srs. doña María Emilia Casas Baamonde, don Javier Delgado Barrio y don Manuel Aragón Reyes.</w:t>
      </w:r>
    </w:p>
    <w:p w:rsidR="008B3772" w:rsidRDefault="008B3772" w:rsidP="008B3772">
      <w:pPr>
        <w:pStyle w:val="SntesisDescriptiva"/>
      </w:pPr>
    </w:p>
    <w:p w:rsidR="008B3772" w:rsidRDefault="008B3772" w:rsidP="008B3772">
      <w:pPr>
        <w:pStyle w:val="SntesisDescriptiva"/>
      </w:pPr>
      <w:r>
        <w:t>Inadmite a trámite el recurso de amparo 7276-2004, promovido por don Alejandro Atilio Locatelli y otra en juicio de desahucio por impago de rentas.</w:t>
      </w:r>
    </w:p>
    <w:p w:rsidR="008B3772" w:rsidRDefault="008B3772" w:rsidP="008B3772">
      <w:pPr>
        <w:pStyle w:val="SntesisDescriptiva"/>
      </w:pPr>
    </w:p>
    <w:p w:rsidR="008B3772" w:rsidRDefault="008B3772" w:rsidP="008B3772">
      <w:pPr>
        <w:pStyle w:val="SntesisAnaltica"/>
      </w:pPr>
      <w:r>
        <w:t>Derecho a la asistencia letrada: conducta omisiva del órgano judicial, respetado; doctrina constitucional.</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Por escrito que fue presentado en este Tribunal el 2 de diciembre de 2004, doña Begoña López Cerezo, en nombre y representación de don Alejandro Atilio Locatelli y doña Luz Nergi Soria interpuso recurso de amparo contra la Sentencia de 5 de noviembre de 2004 de la Sección Octava de la Audiencia Provincial de Madrid, dictada en apelación en juicio de desahucio por falta de pago (procedimiento núm. 1004-2002).</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Los hechos de los que trae causa la demanda de amparo son, en síntesis, los siguientes: </w:t>
      </w:r>
    </w:p>
    <w:p w:rsidR="008B3772" w:rsidRDefault="008B3772" w:rsidP="008B3772">
      <w:pPr>
        <w:pStyle w:val="TextoNormal"/>
      </w:pPr>
      <w:r>
        <w:t xml:space="preserve">a) Don Adolfo González Fernández interpuso acción de resolución de contrato y consecuente desahucio por impago de las rentas devengadas contra los hoy recurrentes en amparo, don Alejandro Atilio Locatelli y doña Luz Nergi Soria. </w:t>
      </w:r>
    </w:p>
    <w:p w:rsidR="008B3772" w:rsidRDefault="008B3772" w:rsidP="008B3772">
      <w:pPr>
        <w:pStyle w:val="TextoNormal"/>
      </w:pPr>
      <w:r>
        <w:t xml:space="preserve">b) Admitida a trámite la demanda se convocó a las partes a juicio verbal, compareciendo el codemandado don Alejandro Atilio Locatelli, sin abogado ni procurador, siendo preceptiva su asistencia en el procedimiento que se desarrollaba (arts. 23 y 31 LEC) y no compareciendo la codemandada doña Luz Nergi Soria, siendo declarada en rebeldía. </w:t>
      </w:r>
    </w:p>
    <w:p w:rsidR="008B3772" w:rsidRDefault="008B3772" w:rsidP="008B3772">
      <w:pPr>
        <w:pStyle w:val="TextoNormal"/>
      </w:pPr>
      <w:r>
        <w:t xml:space="preserve">c) Ante el reconocimiento de la deuda por parte del codemandado don Alejandro Atilio Locatelli y la incomparecencia de la codemandada doña Luz Nergi Soria, la parte entonces actora solicitó que se dictara sentencia estimando la demanda. Con fecha de 7 de marzo de 2003, el Juzgado de Primera Instancia núm. 26 de Madrid dictó Sentencia estimatoria de la demanda interpuesta, a la vista de que los demandados, una vez emplazados y apercibidos en el tiempo y la forma adecuados, no habían procedido a designar la cantidad requerida para poder enervar la acción de desahucio. En consecuencia, los hoy recurrentes en amparo son condenados al desalojo de la vivienda, bajo apercibimiento, en caso contrario, de ser lanzados de la misma judicialmente. </w:t>
      </w:r>
    </w:p>
    <w:p w:rsidR="008B3772" w:rsidRDefault="008B3772" w:rsidP="008B3772">
      <w:pPr>
        <w:pStyle w:val="TextoNormal"/>
      </w:pPr>
      <w:r>
        <w:t xml:space="preserve">d) Contra la anterior resolución don Alejandro Atilio Locatelli y doña. Luz Nergi Soria interpusieron recurso de apelación, correspondiendo su conocimiento a la Sección Octava de la Audiencia Provincial de Madrid. Solicitan la nulidad de la resolución judicial de siete </w:t>
      </w:r>
      <w:r>
        <w:lastRenderedPageBreak/>
        <w:t xml:space="preserve">de marzo de 2003, argumentando indefensión, al no haber sido asistidos en la vista por el preceptivo abogado y procurador. </w:t>
      </w:r>
    </w:p>
    <w:p w:rsidR="008B3772" w:rsidRDefault="008B3772" w:rsidP="008B3772">
      <w:pPr>
        <w:pStyle w:val="TextoNormal"/>
      </w:pPr>
      <w:r>
        <w:t>e) Mediante Sentencia de 5 de noviembre de 2004, la Sección Octava de la Audiencia Provincial de Madrid desestima el recurso interpuesto y confirma, en todos sus términos, la Sentencia de 7 de marzo de 2003 del Juzgado de Primera Instancia núm. 26 de Madrid. La decisión judicial se fundamenta en dos argumentos: 1) los demandantes en apelación no han cumplido el requisito previsto en los párrafos 1 y 2 del art. 449 LEC —a saber, tener satisfechas las rentas vencidas y las que con arreglo al contrato deban pagar adelantadas—, lo que es motivo suficiente para la desestimación del recurso interpuesto; y 2) la indefensión en que dicen encontrarse los demandantes solo a su abandono es imputable, como lo demuestra la declaración en rebeldía de doña Luz Nergi Soria y el soporte de sonido e imagen de lo actuado por don Alejandro Atilio Locatelli ante el Juzgador de instancia. A juicio del órgano de apelación, solo cuando ambos demandados conocieron la Sentencia condenatoria del Juzgado de Instancia, solicitaron la suspensión del plazo para recurrir y la asistencia jurídica gratuita, por lo que el motivo de la apelación es de obligado rechazo.</w:t>
      </w:r>
    </w:p>
    <w:p w:rsidR="008B3772" w:rsidRDefault="008B3772" w:rsidP="008B3772">
      <w:pPr>
        <w:pStyle w:val="TextoNormal"/>
      </w:pPr>
    </w:p>
    <w:p w:rsidR="008B3772" w:rsidRDefault="008B3772" w:rsidP="008B3772">
      <w:pPr>
        <w:pStyle w:val="TextoNormal"/>
      </w:pPr>
      <w:r w:rsidRPr="008B3772">
        <w:rPr>
          <w:rStyle w:val="NumeroAFNegritaCaracter"/>
        </w:rPr>
        <w:t>3</w:t>
      </w:r>
      <w:r>
        <w:t>. La demanda de amparo imputa a la última resolución judicial vulneración del art. 24 CE, en concreto su derecho a la defensa y asistencia letrada y fundamenta su queja en la jurisprudencia de este Tribunal, que admite que “en el supuesto de que la garantía de Letrado sea preceptiva, esta garantía constitucional se convierte en una exigencia estructural del proceso…/…la conexión existente entre el derecho a la asistencia letrada y la institución misma del proceso determina que la pasividad del titular del derecho deba ser suplida por el órgano judicial para cuya propia actuación es necesaria la asistencia del Letrado y no sólo para el mejor servicio de los derechos e intereses del defendido” (STC 199/2003 de 10 de noviembre, FJ 3). La demanda de amparo solicita la nulidad de las actuaciones judiciales habidas tanto en apelación como en instancia.</w:t>
      </w:r>
    </w:p>
    <w:p w:rsidR="008B3772" w:rsidRDefault="008B3772" w:rsidP="008B3772">
      <w:pPr>
        <w:pStyle w:val="TextoNormal"/>
      </w:pPr>
    </w:p>
    <w:p w:rsidR="008B3772" w:rsidRDefault="008B3772" w:rsidP="008B3772">
      <w:pPr>
        <w:pStyle w:val="TextoNormal"/>
      </w:pPr>
      <w:r w:rsidRPr="008B3772">
        <w:rPr>
          <w:rStyle w:val="NumeroAFNegritaCaracter"/>
        </w:rPr>
        <w:t>4</w:t>
      </w:r>
      <w:r>
        <w:t>. Mediante diligencia de ordenación de 8 de mayo de 2005 y de conformidad al art. 88 LOTC, la Sección Primera de este Tribunal requirió a la Audiencia Provincial y al Juzgado de Primera Instancia núm. 26 de Madrid para que en el plazo de diez días remitiera testimonio de las actuaciones habidas (rollo núm. 467-2004 y juicio verbal).</w:t>
      </w:r>
    </w:p>
    <w:p w:rsidR="008B3772" w:rsidRDefault="008B3772" w:rsidP="008B3772">
      <w:pPr>
        <w:pStyle w:val="TextoNormal"/>
      </w:pPr>
    </w:p>
    <w:p w:rsidR="008B3772" w:rsidRDefault="008B3772" w:rsidP="008B3772">
      <w:pPr>
        <w:pStyle w:val="TextoNormal"/>
      </w:pPr>
      <w:r w:rsidRPr="008B3772">
        <w:rPr>
          <w:rStyle w:val="NumeroAFNegritaCaracter"/>
        </w:rPr>
        <w:t>5</w:t>
      </w:r>
      <w:r>
        <w:t>. Por providencia de 14 de junio de 2006, este Tribunal abrió el trámite previsto en el apartado 3 del art. 50 LOTC, concediendo al solicitante de amparo y al Ministerio Fiscal un plazo de diez días para que formularan, con las aportaciones documentales que procedieran, las alegaciones que estimasen pertinentes en relación con la carencia manifiesta de contenido constitucional de la demanda —art. 50.1 c) LOTC—.</w:t>
      </w:r>
    </w:p>
    <w:p w:rsidR="008B3772" w:rsidRDefault="008B3772" w:rsidP="008B3772">
      <w:pPr>
        <w:pStyle w:val="TextoNormal"/>
      </w:pPr>
    </w:p>
    <w:p w:rsidR="008B3772" w:rsidRDefault="008B3772" w:rsidP="008B3772">
      <w:pPr>
        <w:pStyle w:val="TextoNormal"/>
      </w:pPr>
      <w:r w:rsidRPr="008B3772">
        <w:rPr>
          <w:rStyle w:val="NumeroAFNegritaCaracter"/>
        </w:rPr>
        <w:t>6</w:t>
      </w:r>
      <w:r>
        <w:t>. En respuesta a ello, el 30 de junio de 2006, la Procuradora de los Tribunales doña María Jesús Rivero Antón, en nombre y representación de don Alejandro Atilio Locatelli, presenta las alegaciones pertinentes. La parte demandante reitera la vulneración del art. 24 CE por falta de intervención de oficio del juez en defensa del derecho fundamental de asistencia letrada.</w:t>
      </w:r>
    </w:p>
    <w:p w:rsidR="008B3772" w:rsidRDefault="008B3772" w:rsidP="008B3772">
      <w:pPr>
        <w:pStyle w:val="TextoNormal"/>
      </w:pPr>
    </w:p>
    <w:p w:rsidR="008B3772" w:rsidRDefault="008B3772" w:rsidP="008B3772">
      <w:pPr>
        <w:pStyle w:val="TextoNormal"/>
      </w:pPr>
      <w:r w:rsidRPr="008B3772">
        <w:rPr>
          <w:rStyle w:val="NumeroAFNegritaCaracter"/>
        </w:rPr>
        <w:t>7</w:t>
      </w:r>
      <w:r>
        <w:t xml:space="preserve">. Por su parte, el Ministerio Fiscal interesó la inadmisión del recurso de amparo por falta manifiesta de contenido constitucional [art.50.1 c) LOTC]. Alega que en la evaluación de una lesión del derecho a la asistencia letrada se han de tener en cuenta, no solamente las </w:t>
      </w:r>
      <w:r>
        <w:lastRenderedPageBreak/>
        <w:t>obligaciones que de oficio le viene impuestas al juzgador en defensa de los derechos de los justiciables, sino la propia actuación de estos, así como la real existencia de indefensión, lo que implica también una indefensión material. A juicio del Ministerio Fiscal, en el presente caso los recurrentes hicieron dejación de sus derechos y no existió indefensión material.</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demandante de amparo pretende que este Tribunal anule la Sentencia de 5 de noviembre de 2004 de la Sección Octava de la Audiencia Provincial de Madrid, dictada en apelación en juicio de desahucio por falta de pago. Alega indefensión, en concreto vulneración de su derecho fundamental a la asistencia letrada (art. 24.1 y 2 CE).</w:t>
      </w:r>
    </w:p>
    <w:p w:rsidR="008B3772" w:rsidRDefault="008B3772" w:rsidP="008B3772">
      <w:pPr>
        <w:pStyle w:val="TextoNormal"/>
      </w:pPr>
    </w:p>
    <w:p w:rsidR="008B3772" w:rsidRDefault="008B3772" w:rsidP="008B3772">
      <w:pPr>
        <w:pStyle w:val="TextoNormal"/>
      </w:pPr>
      <w:r w:rsidRPr="008B3772">
        <w:rPr>
          <w:rStyle w:val="NumeroAFNegritaCaracter"/>
        </w:rPr>
        <w:t>2</w:t>
      </w:r>
      <w:r>
        <w:t>. Conviene, en primer lugar, delimitar el objeto de la pretensión, pues ha de señalarse que no nos hallamos ante un supuesto en el que el órgano judicial incumplió su deber de instruir al demandado del derecho a ser asistido de Letrado en su primera declaración como tal. La queja se concreta en la presunta vulneración por parte del órgano judicial de su obligación de suplir la pasividad del titular del derecho en los casos en los que la intervención del Letrado sea legalmente preceptiva, lo que encontraría su fundamento en que la conexión existente entre el derecho y la institución misma del proceso convertiría la garantía constitucional del derecho a la asistencia letrada en una exigencia estructural del procedimiento, tendente a asegurar su correcto desenvolvimiento, por el cual el órgano judicial debe velar.</w:t>
      </w:r>
    </w:p>
    <w:p w:rsidR="008B3772" w:rsidRDefault="008B3772" w:rsidP="008B3772">
      <w:pPr>
        <w:pStyle w:val="TextoNormal"/>
      </w:pPr>
      <w:r>
        <w:t>Resulta pertinente recordar la doctrina constitucional a este respecto. Este Tribunal ha defendido que la exigencia de asistencia letrada no tiene un alcance único ni un contenido unívoco en todos los supuestos en que está reconocida constitucionalmente, sino que está vinculada a la diferente función que como garantía constitucional ha de cumplir en cada uno de dichos supuestos (STC 199/2003 de 10 de noviembre, FJ 4). También hemos declarado que, en el proceso penal —lo que no es este caso—, el derecho de asistencia letrada tiene una especial proyección por dos motivos; uno, la complejidad técnica de las cuestiones jurídicas que en él se debaten, y dos, la relevancia de los bienes jurídicos que pueden verse afectados (SSTC 233/1998, de 1 de diciembre, FJ 3; 162/1999, de 27 de septiembre, FJ 3). En ésta línea hemos afirmado que el mandato legal de defensa por medio de Abogado en el proceso penal es una garantía de un correcto desenvolvimiento del mismo, que pretende asegurar, en particular, la ausencia de coacciones durante el interrogatorio policial y, en general, la igualdad de las partes en el juicio oral, siendo ello lo que justifica que la asistencia letrada “ha de ser proporcionada en determinadas condiciones por los poderes públicos, por lo que la designación de tales profesionales se torna en una obligación jurídico-constitucional que incumbe singularmente a los órganos judiciales (SSTC 47/1987, 139/1987 y 135/1991)” (STC 132/1992, FJ 2). Es ésta una doctrina iniciada en la STC 18/1995, de 24 de enero, FJ 2, y seguida en nuestra actual jurisprudencia, alegada por el demandante de amparo: “…la conexión existente entre el derecho a la asistencia letrada y la institución misma del proceso determina que la pasividad del titular del derecho deba ser suplida por el órgano judicial para cuya propia actuación, y no sólo para el mejor servicio de los derechos e intereses del defendido, es necesaria la asistencia del Letrado (STC 199/2003 de 10 de noviembre, FJ 5).</w:t>
      </w:r>
    </w:p>
    <w:p w:rsidR="008B3772" w:rsidRDefault="008B3772" w:rsidP="008B3772">
      <w:pPr>
        <w:pStyle w:val="TextoNormal"/>
      </w:pPr>
      <w:r>
        <w:t xml:space="preserve">Concretado todo ello en el proceso penal, la extrapolación sin más de los términos expuestos al proceso civil que nos ocupa no resultaría correcta, pues parcialmente han decaído </w:t>
      </w:r>
      <w:r>
        <w:lastRenderedPageBreak/>
        <w:t>los motivos que justificaban extremar la obligación jurídico-constitucional de los órganos judiciales —complejidad técnica del debate, relevancia del bien jurídico protegido—.</w:t>
      </w:r>
    </w:p>
    <w:p w:rsidR="008B3772" w:rsidRDefault="008B3772" w:rsidP="008B3772">
      <w:pPr>
        <w:pStyle w:val="TextoNormal"/>
      </w:pPr>
      <w:r>
        <w:t>No obstante, este Tribunal ha afirmado que entre el haz de garantías que integran el derecho a un proceso justo se incluye el derecho a la defensa y a la asistencia letrada que el art. 24.2 CE reconoce, no sólo para el proceso penal, sino también para el resto de los procesos, con las salvedades oportunas y la finalidad de asegurar la efectiva realización de los principios de igualdad de las partes y de contradicción, lo que impone a los órganos judiciales el deber positivo de evitar desequilibrios entre la respectiva posición procesal de las partes, o limitaciones en la defensa que puedan inferir a alguna de ellas un resultado de indefensión, prohibido en el art. 24.1 CE. Y en este contexto hemos afirmado, en consonancia con la doctrina del Tribunal Europeo de Derechos Humanos (SSTEDH de 9 de octubre de 1979 —caso Airey—, y de 25 de abril de 1983 —caso Pakelli), que, desde la perspectiva constitucional, quien alegue indefensión como consecuencia de la vulneración del derecho a la asistencia de Letrado no debe haber provocado dicha situación con su falta de diligencia, así como que dicha indefensión debe ser real y efectiva, de forma que la situación de indefensión generada por la falta de defensa técnica no resulte ser consecuencia directa del proceder de la parte y además la autodefensa del litigante debe haberse revelado como insuficiente y perjudicial para el mismo, impidiéndole articular una protección adecuada de sus derechos e intereses legítimos en el proceso.  En suma, resulta preciso que se haya producido un menoscabo real y efectivo de su derecho de defensa (por todas, SSTC 211/2003 y 215/2003, ambas de 1 de diciembre)</w:t>
      </w:r>
    </w:p>
    <w:p w:rsidR="008B3772" w:rsidRDefault="008B3772" w:rsidP="008B3772">
      <w:pPr>
        <w:pStyle w:val="TextoNormal"/>
      </w:pPr>
      <w:r>
        <w:t>Pues bien, la aplicación de la doctrina expuesta al caso que nos ocupa nos lleva a negar la existencia de indefensión como consecuencia de la vulneración del derecho a la asistencia de Letrado. En efecto, a pesar de que el recurrente en su recurso de apelación y en la demanda de amparo alega que había solicitado la designación de Letrado de oficio, lo cierto es que en las actuaciones no aparece acreditada dicha solicitud (soporte de sonido e imagen) y en las mismas resulta evidente que tal solicitud, en legal forma y tiempo oportuno, se realizó una vez conocida la Sentencia condenatoria y a los efectos de una segunda instancia, en la que el recurrente sí fue asistido por Abogado y Procurador. En consecuencia, debe concluirse que la ausencia de intervención de Letrado y Procurador de oficio que defendiera y representara al recurrente tiene su origen en su propio desinterés, pasividad, negligencia y estrategia procesal. Por otra parte, es de señalar, como argumenta el Ministerio Fiscal, que el hecho de que había base probatoria suficiente para estimar la acción del arrendador —el demandado reconoció la deuda y no cumplió el requisito de hallarse al corriente del pago de las deudas para que el recurso de apelación sea tramitado—, por lo que tampoco se puede hablar de indefensión material.</w:t>
      </w:r>
    </w:p>
    <w:p w:rsidR="008B3772" w:rsidRDefault="008B3772" w:rsidP="008B3772">
      <w:pPr>
        <w:pStyle w:val="TextoNormal"/>
      </w:pPr>
    </w:p>
    <w:p w:rsidR="008B3772" w:rsidRDefault="008B3772" w:rsidP="008B3772">
      <w:pPr>
        <w:pStyle w:val="TextoNormal"/>
      </w:pPr>
      <w:r>
        <w:t>Por lo expuesto, la Sección</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Inadmitir el presente recurso de amparo, por concurrir la causa prevista en el art. 50.1 c) LOTC y el archivo de actuaciones.</w:t>
      </w:r>
    </w:p>
    <w:p w:rsidR="008B3772" w:rsidRDefault="008B3772" w:rsidP="008B3772">
      <w:pPr>
        <w:pStyle w:val="TextoNormal"/>
      </w:pPr>
    </w:p>
    <w:p w:rsidR="008B3772" w:rsidRDefault="008B3772" w:rsidP="008B3772">
      <w:pPr>
        <w:pStyle w:val="TextoNormal"/>
      </w:pPr>
      <w:r>
        <w:t>Madrid, a veintitrés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20" w:name="AUTO_2007_256"/>
      <w:r>
        <w:lastRenderedPageBreak/>
        <w:t>AUTO 256/2007, de 23 de mayo de 2007</w:t>
      </w:r>
    </w:p>
    <w:bookmarkEnd w:id="120"/>
    <w:p w:rsidR="008B3772" w:rsidRDefault="008B3772" w:rsidP="008B3772">
      <w:pPr>
        <w:pStyle w:val="TtuloResolucin"/>
      </w:pPr>
      <w:r>
        <w:t>Sección Primera</w:t>
      </w:r>
    </w:p>
    <w:p w:rsidR="008B3772" w:rsidRDefault="008B3772" w:rsidP="008B3772">
      <w:pPr>
        <w:pStyle w:val="TtuloResolucin"/>
      </w:pPr>
    </w:p>
    <w:p w:rsidR="008B3772" w:rsidRDefault="008B3772" w:rsidP="008B3772">
      <w:pPr>
        <w:pStyle w:val="SntesisDescriptiva"/>
      </w:pPr>
      <w:r>
        <w:t>ECLI:ES:TC:2007:256A</w:t>
      </w:r>
    </w:p>
    <w:p w:rsidR="008B3772" w:rsidRDefault="008B3772" w:rsidP="008B3772">
      <w:pPr>
        <w:pStyle w:val="SntesisDescriptiva"/>
      </w:pPr>
    </w:p>
    <w:p w:rsidR="008B3772" w:rsidRDefault="008B3772" w:rsidP="008B3772">
      <w:pPr>
        <w:pStyle w:val="SntesisDescriptiva"/>
      </w:pPr>
      <w:r>
        <w:t>Excms. Srs. doña María Emilia Casas Baamonde, don Javier Delgado Barrio y don Manuel Aragón Reyes.</w:t>
      </w:r>
    </w:p>
    <w:p w:rsidR="008B3772" w:rsidRDefault="008B3772" w:rsidP="008B3772">
      <w:pPr>
        <w:pStyle w:val="SntesisDescriptiva"/>
      </w:pPr>
    </w:p>
    <w:p w:rsidR="008B3772" w:rsidRDefault="008B3772" w:rsidP="008B3772">
      <w:pPr>
        <w:pStyle w:val="SntesisDescriptiva"/>
      </w:pPr>
      <w:r>
        <w:t>Inadmite a trámite el recurso de amparo 1208-2005, promovido por la Diputación Foral de Guipúzcoa en contencioso acerca de normas forales de 1996, reguladoras del impuesto sobre sociedades.</w:t>
      </w:r>
    </w:p>
    <w:p w:rsidR="008B3772" w:rsidRDefault="008B3772" w:rsidP="008B3772">
      <w:pPr>
        <w:pStyle w:val="SntesisDescriptiva"/>
      </w:pPr>
    </w:p>
    <w:p w:rsidR="008B3772" w:rsidRDefault="008B3772" w:rsidP="008B3772">
      <w:pPr>
        <w:pStyle w:val="SntesisAnaltica"/>
      </w:pPr>
      <w:r>
        <w:t>Agotamiento de recursos en la vía judicial: incidente de nulidad de actuaciones formulado junto con la demanda de amparo; recurso de amparo prematuro (ATC 461/2006).</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día 22 de febrero de 2005 tuvo entrada en el Registro General de este Tribunal Constitucional un escrito de la Procuradora de los Tribunales doña Rocío Martín Echagüe en nombre y representación de la Diputación Foral de Guipúzcoa, por el que interponía un recurso de amparo contra la Sentencia de la Sección Segunda de la Sala Tercera del Tribunal Supremo, de fecha 9 de diciembre de 2004 (recurso núm. 7893-1999), en materia de Normas Forales de Guipúzcoa, Vizcaya y Álava de 1996, reguladoras del impuesto sobre sociedades de los Territorios Históricos, por supuesta vulneración de su derecho a la tutela judicial efectiva (art. 24.1 CE), al juez ordinario predeterminado por la ley (art. 24.2 CE) y a un proceso con todas las garantías (art. 24.2 CE).</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Los antecedentes de hecho del planteamiento del presente recurso de amparo son los siguientes: </w:t>
      </w:r>
    </w:p>
    <w:p w:rsidR="008B3772" w:rsidRDefault="008B3772" w:rsidP="008B3772">
      <w:pPr>
        <w:pStyle w:val="TextoNormal"/>
      </w:pPr>
      <w:r>
        <w:t xml:space="preserve">a) La Federación de Empresarios de La Rioja presentó el día 10 de septiembre de 1996 un recurso contencioso-administrativo (núm. 3753-1996) ante la Sección Primera de la Sala de lo Contencioso-Administrativo del Tribunal Superior de Justicia del País Vasco, contra las Normas Forales de las Juntas Generales de Guipúzcoa 7/1996, de 4 de julio, Vizcaya 3/1996, de 26 de junio, y Álava 24/1996, de 5 de julio, reguladoras del impuesto sobre sociedades en cada uno de los Territorios Históricos. En el recurso se solicitaba la declaración de nulidad de las citadas normas forales y, subsidiariamente, la de los arts. 5 (estimación de rentas), 11 (correcciones de valor: amortizaciones), 12 (correcciones de valor: pérdida de valor de los elementos patrimoniales), 13 (provisión para riesgos y gastos), 14 (gastos no deducibles), 15 (reglas de valoración: regla general y reglas especiales en los supuestos de transmisiones lucrativas y operaciones societarias), 19 (tratamiento de la doble imposición internacional en dividendos y participaciones en beneficios), 24 (compensación de bases imponibles negativas), 26 (reducciones en la base imponible: empresas de nueva creación), 29 (tipo de gravamen), 34 (deducción para evitar la doble imposición internacional: </w:t>
      </w:r>
      <w:r>
        <w:lastRenderedPageBreak/>
        <w:t xml:space="preserve">impuesto soportado por el sujeto pasivo), 37 (deducción por inversiones en activos fijos materiales nuevos), 40 (adquisición de valores de renta variable), 41 (deducción por la realización de actividades de investigación y desarrollo), 42 (deducción por actividades de conservación y mejora del medio ambiente), 43 (deducción por actividades de exportación), 44 (deducción por gastos de formación profesional), 45 (deducción por creación de empleo), 49 (concepto de pequeña y mediana empresa), 50 (amortización del inmovilizado material nuevo), 52 (exención por reinversión), 53 (definición de centros de dirección, de coordinación y financieros), 54 (determinación de la imposición), 59 (sociedades y Fondos de capital-riesgo), 60 (sociedades de promoción de empresas) y 117 (ámbito de aplicación del régimen de las entidades parcialmente exentas), de cada una de las normas forales. </w:t>
      </w:r>
    </w:p>
    <w:p w:rsidR="008B3772" w:rsidRDefault="008B3772" w:rsidP="008B3772">
      <w:pPr>
        <w:pStyle w:val="TextoNormal"/>
      </w:pPr>
      <w:r>
        <w:t xml:space="preserve">En este recurso actuaron como demandadas las Juntas Generales de Vizcaya, Guipúzcoa y Álava; como codemandadas las Diputaciones Forales de Vizcaya y Álava; y como coadyuvantes, el Gobierno Vasco, la Diputación Foral de Guipúzcoa, la Cámara de Comercio e Industria de Álava, la Cámara de Comercio, Industria y Navegación de Bilbao y la Confederación Empresarial Vasca (Confebask). </w:t>
      </w:r>
    </w:p>
    <w:p w:rsidR="008B3772" w:rsidRDefault="008B3772" w:rsidP="008B3772">
      <w:pPr>
        <w:pStyle w:val="TextoNormal"/>
      </w:pPr>
      <w:r>
        <w:t xml:space="preserve">b) Tramitado dicho recurso, por Sentencia núm. 718-1999, de 30 de septiembre, se estimó parcialmente, declarando contrario a Derecho y, en consecuencia, anulando, el art. 26 (reducciones en la base imponible: empresas de nueva creación) de cada una de las disposiciones normativas forales impugnadas, desestimando el recurso en todo lo demás. Aunque el órgano judicial admite, desde la perspectiva del Derecho comunitario, que le asiste tanto la posibilidad de inaplicar, en su caso, las Normas Forales, cómo de plantear una cuestión prejudicial (al no constarle que hasta la fecha hubiese sido objeto de decisión prejudicial una cuestión materialmente idéntica), sin embargo, con base en la propia jurisprudencia comunitaria —que rechaza la remisión prejudicial de cuestiones en contextos procesales ficticios—, alcanza la conclusión de que “se está en presencia de un conflicto de Derecho netamente interno y resoluble por el juego de las propias normas y principios constitucionales y de legalidad ordinaria, excediendo de los intereses legitimantes y de las facultades concretas de dicha asociación suscitar una cuestión como la de la definición de las “ayudas de Estado”, que lo que pone en conflicto hipotético es la normativa tributaria vasca con la igualdad de trato, la libre competencia y el derecho al libre establecimiento por parte de empresas comunitarias, y no los principios y derechos fundamentales que los ciudadanos españoles pueden oponer al contenido de tales regulaciones fiscales (aunque sean de contenido similar)” (FJ 2); conflicto que le conduce a la anulación de aquel art. 26 (que establece una reducción de hasta el 99 por 100 en la base imponible del Impuesto sobre Sociedades en los supuestos de inicio de actividades económicas), al entender que produce “una acusada exoneración del gravamen que afecta al deber básico de contribuir del art. 31.1 CE en conexión con el de capacidad económica, y puede predicarse de ella el carácter de medida desproporcionada e inidónea para obtener fines legítimos de promoción económica, por ser susceptible de afectar indirectamente a la libre circulación de personas y bienes y a la originación de unas condiciones de ventaja competitiva inasumibles” (FJ 7). </w:t>
      </w:r>
    </w:p>
    <w:p w:rsidR="008B3772" w:rsidRDefault="008B3772" w:rsidP="008B3772">
      <w:pPr>
        <w:pStyle w:val="TextoNormal"/>
      </w:pPr>
      <w:r>
        <w:t xml:space="preserve">c) Contra la anterior Sentencia se interpuso recurso de casación (núm. 7893-1999) ante la Sección Segunda de la Sala Tercera del Tribunal Supremo, tanto por la Federación de Empresarios de La Rioja y por las Diputaciones Forales de Vizcaya y Guipúzcoa, como por las Juntas Generales de los Territorios Históricos de Vizcaya y Guipúzcoa (la Confederación Empresarial Vasca, la Diputación Foral de Álava y las Juntas Generales de Álava desistieron de los recursos interpuestos en su momento). La Federación de Empresarios de La Rioja suplicaba nuevamente la anulación de las Normas Forales o, en su defecto, de los arts. 5, 11, 12, 13, 14, 15, 19, 24, 26, 29, 34, 37, 39, 40, 41, 42, 43, 44, 45, 49, 50, 52, 53, 54, 59, </w:t>
      </w:r>
      <w:r>
        <w:lastRenderedPageBreak/>
        <w:t xml:space="preserve">60 y 117. Por su parte, la partes demandadas interesaban la revocación de la Sentencia del Tribunal Superior de Justicia del País Vasco, con declaración de conformidad a Derecho del art. 26 anulado de cada Norma Foral. </w:t>
      </w:r>
    </w:p>
    <w:p w:rsidR="008B3772" w:rsidRDefault="008B3772" w:rsidP="008B3772">
      <w:pPr>
        <w:pStyle w:val="TextoNormal"/>
      </w:pPr>
      <w:r>
        <w:t xml:space="preserve">d) Por Sentencia de 9 de diciembre de 2004, el Tribunal Supremo desestima los recursos de casación interpuestos tanto por las Diputaciones Forales de Vizcaya y Guipúzcoa como por las Juntas Generales de Vizcaya y Guipúzcoa, confirmando la nulidad del art. 26 (reducciones en la base imponible: empresas de nueva creación). Asimismo, estima el recurso de casación interpuesto por la Federación de Empresarios de La Rioja, revocando la Sentencia impugnada y, en su lugar, procede a anular los siguientes preceptos: art. 11 (correcciones de valor: amortizaciones); art. 14, apto. 2 a) (deducción de las donaciones a las sociedades de promoción de empresas y las sociedades de desarrollo industrial regional); art. 15, apto. 11 (deducción de la depreciación de bienes en el cálculo de las ganancias patrimoniales); art. 26 (reducciones en la base imponible para las empresas de nueva creación del 99, 75, 50 ó 25 por 100; art. 29, apto. 1 a: tipo general de gravamen de los sujetos pasivos por obligación personal de contribuir del 32,5 por 100); art. 37 (deducción del 10 por 100 de las inversiones en activos fijos materiales nuevos); art. 39 (deducción del 10 por 100 de las cantidades destinadas a una “reserva para inversiones productivas”); art. 40 (deducción del 5 por 100 por la adquisición de valores de renta variable); art. 45, apto. 2.1 (libertad de amortización para el inmovilizado material existente y el de nueva adquisición); art. 49 (concepto de pequeña y mediana empresa); art. 53 (definición de centros de dirección, de coordinación y financieros); art. 54 (no inclusión en la base imponible de los dividendos percibidos de entidades no residentes en territorio español); y art. 60 (sociedades de promoción de empresas). </w:t>
      </w:r>
    </w:p>
    <w:p w:rsidR="008B3772" w:rsidRDefault="008B3772" w:rsidP="008B3772">
      <w:pPr>
        <w:pStyle w:val="TextoNormal"/>
      </w:pPr>
      <w:r>
        <w:t>e) Frente a la anterior Sentencia, la Diputación Foral de Guipúzcoa planteó con fecha de 22 de febrero de 2005, de un lado, el presente recurso de amparo (núm. 1208-2005), y, de otro, un incidente de nulidad de actuaciones ante el Tribunal Supremo, al amparo del art. 241 LOPJ, que fue desestimado por Auto de 4 de abril de 2005, contra el cual se interpuso, a su vez, un nuevo recurso de amparo (núm. 3952-2005).</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su recurso de amparo la demandante imputa a la resolución judicial las lesiones de los derechos al Juez predeterminado por la ley (art. 24.2 CE), a un proceso con todas las garantías (art. 24.2 CE) y a la tutela judicial efectiva sin indefensión (art. 24.1 CE), como consecuencia de que el Tribunal Supremo, antes de dictar el fallo de la Sentencia recurrida, no planteó la cuestión prejudicial prevista en el art. 234 TUE en orden a inaplicar las Normas Forales anuladas, lo que, a su juicio, le abre la vía del recurso de amparo conforme a la doctrina sentada en la STC 58/2004, de 19 de abril, y ello sin perjuicio de que la recurrente no hubiese solicitado la remisión prejudicial en el proceso judicial (asunto 126/80, Salonia/Poidomani e Giglio). </w:t>
      </w:r>
    </w:p>
    <w:p w:rsidR="008B3772" w:rsidRDefault="008B3772" w:rsidP="008B3772">
      <w:pPr>
        <w:pStyle w:val="TextoNormal"/>
      </w:pPr>
      <w:r>
        <w:t xml:space="preserve">En efecto, para la Diputación Foral de Guipúzcoa, el art. 234 TUE, conforme ha sido reconocido por la doctrina del Tribunal Constitucional, forma parte del sistema de fuentes del Derecho y constituye un instrumento de depuración del Ordenamiento jurídico (SSTC 28/1991, de 14 de febrero, FJ 4; 64/1991, de 22 de marzo, FJ 4; 130/1995, de 11 de septiembre, FJ 4, y 58/2004, de 19 de abril, FJ 10). Así, el incumplimiento por parte del órgano jurisdiccional interno de su obligación de remisión prejudicial en virtud del art. 234.3 TUE constituye, salvo que concurra alguno de los supuestos jurisprudenciales de dispensa, una infracción del Derecho comunitario, la cual es susceptible de reparación a través del recurso de amparo. Esos supuestos en los que la obligación de remisión prejudicial decaería son los </w:t>
      </w:r>
      <w:r>
        <w:lastRenderedPageBreak/>
        <w:t xml:space="preserve">siguientes: a) cuando la cuestión es irrelevante desde la perspectiva del Derecho comunitario; b) cuando la cuestión a resolver internamente sea materialmente idéntica a otra que ya haya sido objeto de una decisión prejudicial del TJCE (asunto Da Costa); y c) cuando la aplicación del Derecho comunitario pueda imponerse como una evidencia tal que elimine toda duda razonable sobre la manera de resolver la cuestión planteada (asunto CILFIT). Ahora bien, para la parte demandante no concurren, sin embargo, ninguno de los supuestos jurisprudenciales de dispensa de la remisión prejudicial ni por lo que se refiere al concepto de ayuda utilizado por el Tribunal Supremo en la Sentencia impugnada, ni respecto de la aplicación realizada de forma mecánica del art. 88.3 TUE, tanto más cuando el órgano judicial interpreta y aplica de forma errónea el Derecho comunitario, lo que demuestra la arbitrariedad injusta y el exceso de jurisdicción en que incurre al no plantear la citada cuestión prejudicial. </w:t>
      </w:r>
    </w:p>
    <w:p w:rsidR="008B3772" w:rsidRDefault="008B3772" w:rsidP="008B3772">
      <w:pPr>
        <w:pStyle w:val="TextoNormal"/>
      </w:pPr>
      <w:r>
        <w:t xml:space="preserve">Para fundamentar sus quejas, parte la Diputación Foral de Guipúzcoa analizando si, conforme a la jurisprudencia comunitaria, se da alguna de las excepciones que permitirían al Tribunal Supremo no plantear una cuestión prejudicial en orden a la inaplicación de la normativa interna (de acuerdo con la doctrina del acto aclarado o del acto claro), pues las disposiciones forales anuladas son calificadas como ayudas de Estado sobre la base de un supuesto carácter “selectivo” que “no encuentra la más mínima justificación a la luz de todos los precedentes existentes en el Derecho comunitario derivado (las decisiones de la Comisión)” (pág. 35). Además, aunque la interpretación que ha hecho la Comisión del requisito de la selectividad ha sido corroborada por el Tribunal de Primera Instancia en Sentencias de 6 de marzo de 2002 (asuntos Demesa y Ramondín), dichas Sentencias, aunque conocidas por el Tribunal Supremo, han sido ignoradas. A su entender, el Tribunal Supremo no tenía —ni actualmente tiene— precedente de “cuestión materialmente idéntica que haya sido objeto de una cuestión prejudicial” en el que basarse para justificar una derogación de la obligación que le viene impuesta por el art. 234 TUE, párrafo 3, lo que implica que el órgano judicial debería haber tenido, al menos, una duda, provocada por la Sentencia de instancia. De esta manera, la actuación del Tribunal Supremo implica la vulneración tanto del derecho fundamental al juez ordinario predeterminado (STC 50/1994 y ATC 254/1982), como del derecho a un proceso con todas las garantías (STC 173/2002). </w:t>
      </w:r>
    </w:p>
    <w:p w:rsidR="008B3772" w:rsidRDefault="008B3772" w:rsidP="008B3772">
      <w:pPr>
        <w:pStyle w:val="TextoNormal"/>
      </w:pPr>
      <w:r>
        <w:t xml:space="preserve">Tampoco existen evidencias, a juicio de la parte demandante, que eliminen toda duda razonable sobre la manera de resolver el problema planteado (doctrina del acto claro), que sería la otra excepción al planteamiento obligatorio de la cuestión prejudicial. En efecto, conforme a la doctrina de la STC 58/2004 la existencia o no de una duda “no puede entenderse en términos de convicción subjetiva del juzgador sobre una determinada interpretación del Derecho comunitario (una apreciación subjetiva), sino como una inexistencia objetiva, clara y terminante, de duda alguna en su aplicación. No se trata, pues, de que no haya dudas razonables sino, simplemente de que no haya duda alguna”. Pues bien, dado que el Tribunal Supremo se separa del criterio de la selectividad utilizado por la Comisión, para la parte demandante está introduciendo cuando menos una duda en la aplicación del Derecho Comunitario donde hasta ese momento no existía, lo que le obligaba a la remisión prejudicial conforme al art. 234 TUE. </w:t>
      </w:r>
    </w:p>
    <w:p w:rsidR="008B3772" w:rsidRDefault="008B3772" w:rsidP="008B3772">
      <w:pPr>
        <w:pStyle w:val="TextoNormal"/>
      </w:pPr>
      <w:r>
        <w:t xml:space="preserve">En consecuencia, entiende la recurrente en amparo que el Tribunal Supremo carece de apoyo alguno para justificar su particular criterio de la “selectividad”, tanto más cuando ha ignorado también el contenido de la Comunicación de la Comisión 98/C 384/03 relativa a la aplicación de las normas sobre ayudas de Estado a las medidas relacionadas con la fiscalidad directa de las empresas, pues aplica el art. 88 TUE a unas medidas fiscales que no constituyen ayudas de Estado en el sentido del art. 87 TUE, mediante una interpretación del </w:t>
      </w:r>
      <w:r>
        <w:lastRenderedPageBreak/>
        <w:t xml:space="preserve">todo irrazonable que parte de la premisa arbitraria y equivocada del argumento de “selectividad”. En efecto, ni la Comunicación citada ni ninguna disposición del Tratado exigen que en cada Estado miembro exista un solo y único sistema tributario aplicable para todo el territorio, por lo que basta con que la medida sea susceptible de ser aplicada a todos los contribuyentes del impuesto sobre sociedades —como ocurre con todas las medidas adoptadas por las Normas Forales anuladas— en cada Territorio Histórico para que no se cumpla con el requisito de la selectividad. Además, las medidas forales se justifican en la singularidad y naturaleza del sistema tributario español. </w:t>
      </w:r>
    </w:p>
    <w:p w:rsidR="008B3772" w:rsidRDefault="008B3772" w:rsidP="008B3772">
      <w:pPr>
        <w:pStyle w:val="TextoNormal"/>
      </w:pPr>
      <w:r>
        <w:t xml:space="preserve">Dicho lo que antecede, entiende la parte demandante que la Sentencia impugnada ha incurrido en un error patente en la interpretación del art. 88.3 TUE, pues se aplica por el Tribunal Supremo a “medidas que indiciariamente pueden constituir ayudas de Estado” (FJ 18 de la Sentencia), mientras que el art. 87 TUE se refiere sólo a “ayudas” y no a medidas que “pueden constituir ayudas”, ni a medidas que “inicialmente constituyan ayudas”. El régimen del art. 87 y 88 TUE no contempla presuntas ayudas, tanto más cuanto la Comisión, en el pasado, con ocasión de denuncias en los años 1994-1996 contra las Normas Forales vigentes en la época, adoptó una actitud favorable no sólo respecto a esas dos disposiciones fiscales (art. 14 de las Normas Forales de 1993 y art. 26 de las Normas Forales de 1996), sino respecto a todas las disposiciones fiscales previstas en las citadas Normas Forales que, en su caso, pudieran llegar a ser calificadas de ayudas de Estado. </w:t>
      </w:r>
    </w:p>
    <w:p w:rsidR="008B3772" w:rsidRDefault="008B3772" w:rsidP="008B3772">
      <w:pPr>
        <w:pStyle w:val="TextoNormal"/>
      </w:pPr>
      <w:r>
        <w:t xml:space="preserve">En suma, concluye la parte demandante, la Sala del Tribunal Supremo hubiera debido plantear remisión prejudicial al TJCE sobre la interpretación o bien del concepto de ayuda existente a que se refieren diversos incisos de la letra b) del art. 1 del Reglamento 659/1999, o bien del art. 88 TUE, apartado 3, última frase en el sentido de, por una parte, su aplicabilidad a medidas que pueden constituir ayudas y, por otra, su aplicabilidad al supuesto de estar en presencia de ayudas existentes en el sentido del art. 88 TUE, apartado 1 y del art. 1 del Reglamento 659/1999. La obligación de esta remisión judicial se inscribe, a su juicio, en la lógica del derecho al juez ordinario predeterminado y, como en el Derecho alemán (que considera que el TJCE es un juez legal para las partes en el sentido del art. 101 de la Constitución alemana), el caso español tras la STC 58/2004 es todo un ejemplo de protección. </w:t>
      </w:r>
    </w:p>
    <w:p w:rsidR="008B3772" w:rsidRDefault="008B3772" w:rsidP="008B3772">
      <w:pPr>
        <w:pStyle w:val="TextoNormal"/>
      </w:pPr>
      <w:r>
        <w:t>Finalmente, y mediante otrosí, la parte demandante solicitaba “la suspensión de la ejecución y eficacia de la Sentencia de 9 de diciembre de 2004” con el objeto de evitar que el recurso pueda perder su eficacia, tanto más cuando “no se perturban, ni leve ni gravemente, intereses generales, ni derechos fundamentales o libertades públicas de terceros”. Además, se solicitaba igualmente “la paralización de la publicación del fallo en el Boletín Oficial, y para el caso de que tal publicación se hubiera efectuado, ordenando, a quien en Derecho proceda, la publicación de la suspensión de ejecución y efectividad de la Sentencia acordada”.</w:t>
      </w:r>
    </w:p>
    <w:p w:rsidR="008B3772" w:rsidRDefault="008B3772" w:rsidP="008B3772">
      <w:pPr>
        <w:pStyle w:val="TextoNormal"/>
      </w:pPr>
    </w:p>
    <w:p w:rsidR="008B3772" w:rsidRDefault="008B3772" w:rsidP="008B3772">
      <w:pPr>
        <w:pStyle w:val="TextoNormal"/>
      </w:pPr>
      <w:r w:rsidRPr="008B3772">
        <w:rPr>
          <w:rStyle w:val="NumeroAFNegritaCaracter"/>
        </w:rPr>
        <w:t>4</w:t>
      </w:r>
      <w:r>
        <w:t>. Por providencia de la Sección Primera de 19 de octubre de 2005 se acordó conceder un plazo común de diez días, al Ministerio Fiscal y al solicitante del amparo, para que alegasen lo que estimasen pertinente en relación con la posible concurrencia del motivo de inadmisión consistente en carecer la demanda manifiestamente de contenido que justifique una decisión sobre el fondo de la misma por parte de este Tribunal, de conformidad con lo prevenido en el art. 50.1 c) LOTC.</w:t>
      </w:r>
    </w:p>
    <w:p w:rsidR="008B3772" w:rsidRDefault="008B3772" w:rsidP="008B3772">
      <w:pPr>
        <w:pStyle w:val="TextoNormal"/>
      </w:pPr>
    </w:p>
    <w:p w:rsidR="008B3772" w:rsidRDefault="008B3772" w:rsidP="008B3772">
      <w:pPr>
        <w:pStyle w:val="TextoNormal"/>
      </w:pPr>
      <w:r w:rsidRPr="008B3772">
        <w:rPr>
          <w:rStyle w:val="NumeroAFNegritaCaracter"/>
        </w:rPr>
        <w:t>5</w:t>
      </w:r>
      <w:r>
        <w:t xml:space="preserve">. Mediante escrito registrado en este Tribunal el día 7 de noviembre de 2005, la representación procesal de la parte demandante evacuó el trámite conferido, alegando que, a su </w:t>
      </w:r>
      <w:r>
        <w:lastRenderedPageBreak/>
        <w:t>juicio, la demanda no carece de contenido de forma manifiesta ni evidente al contar con una argumentación jurídica suficiente para solicitar el amparo constitucional. Además, añade, la STC 58/2004, de 19 de abril, ha reconocido que la falta de remisión prejudicial es susceptible de amparo por el cauce del art. 24 CE.</w:t>
      </w:r>
    </w:p>
    <w:p w:rsidR="008B3772" w:rsidRDefault="008B3772" w:rsidP="008B3772">
      <w:pPr>
        <w:pStyle w:val="TextoNormal"/>
      </w:pPr>
    </w:p>
    <w:p w:rsidR="008B3772" w:rsidRDefault="008B3772" w:rsidP="008B3772">
      <w:pPr>
        <w:pStyle w:val="TextoNormal"/>
      </w:pPr>
      <w:r w:rsidRPr="008B3772">
        <w:rPr>
          <w:rStyle w:val="NumeroAFNegritaCaracter"/>
        </w:rPr>
        <w:t>6</w:t>
      </w:r>
      <w:r>
        <w:t>. Por escrito registrado en este Tribunal el día 14 de noviembre de 2005, el Fiscal evacuó el trámite de alegaciones conferido suplicando la inadmisión del recurso de amparo por falta de agotamiento de la vía judicial previa, al haberse simultaneado su interposición con el planteamiento de un incidente de nulidad de actuaciones ante el Tribunal Supremo. Así, tras exponer brevemente el Fiscal los antecedentes y concretar las pretensiones de la parte demandante, subraya que resulta patente que la vía judicial no está objetivamente agotada, ya que se ha planteado un incidente de nulidad de actuaciones que ha sido admitido a trámite y está pendiente de resolución, lo que provocaría que, de estimarse el citado incidente, el presente recurso de amparo carecería de objeto. Esta situación no respeta, a juicio del Fiscal, el carácter estrictamente subsidiario del recurso de amparo, que está previsto para cuando no quepa otro remedio procesal en vía judicial interna para intentar la reparación del derecho fundamental que se estima vulnerado, como se desprende de lo establecido en el artículo 44.1 a) LOTC. Incumplido en este caso el requisito procesal mencionado procede, pues, la inadmisión a trámite de la demanda de amparo por falta de agotamiento de la vía judicial previa, sin que sea pertinente abordar la causa de inadmisión puesta de manifiesto por la Sala (carencia manifiesta de contenido).</w:t>
      </w:r>
    </w:p>
    <w:p w:rsidR="008B3772" w:rsidRDefault="008B3772" w:rsidP="008B3772">
      <w:pPr>
        <w:pStyle w:val="TextoNormal"/>
      </w:pPr>
    </w:p>
    <w:p w:rsidR="008B3772" w:rsidRDefault="008B3772" w:rsidP="008B3772">
      <w:pPr>
        <w:pStyle w:val="TextoNormal"/>
      </w:pPr>
      <w:r w:rsidRPr="008B3772">
        <w:rPr>
          <w:rStyle w:val="NumeroAFNegritaCaracter"/>
        </w:rPr>
        <w:t>7</w:t>
      </w:r>
      <w:r>
        <w:t>. Con fecha de 26 de septiembre de 2006, la representación procesal de la parte demandante presenta un escrito poniendo en conocimiento de este Tribunal las Sentencias del Tribunal de Justicia de las Comunidades Europeas, Gran Sala, de fechas de 13 de junio y 6 de septiembre de 2006, relativas a la interpretación del concepto de ayuda existente a que se refiere la letra b) del art. 1 del Reglamento 659/1999 o bien del art. 88 TUE.</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Imputa la parte demandante a la Sentencia del Tribunal Supremo impugnada en este proceso constitucional la lesión de los derechos al Juez predeterminado por la ley (art. 24.2 CE), a un proceso con todas las garantías (art. 24.2 CE) y a la tutela judicial efectiva sin indefensión (art. 24.1 CE), lesiones todas ellas que anuda al hecho de que el órgano judicial no haya planteado la cuestión prejudicial prevista en el art. 234 Tratado de la Unión Europea, en orden a inaplicar las Normas Forales anuladas por la Sentencia objeto del presente recurso de amparo.</w:t>
      </w:r>
    </w:p>
    <w:p w:rsidR="008B3772" w:rsidRDefault="008B3772" w:rsidP="008B3772">
      <w:pPr>
        <w:pStyle w:val="TextoNormal"/>
      </w:pPr>
      <w:r>
        <w:t>El Ministerio Fiscal, en las alegaciones presentadas en el trámite previsto en el art. 50.3 LOTC, solicita la inadmisión del recurso de amparo, por falta de agotamiento de la vía judicial previa, por haberse interpuesto ante la Sala Tercera del Tribunal Supremo, simultáneamente al recurso de amparo, un incidente de nulidad de actuaciones.</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Antes de entrar a analizar, en su caso, las vulneraciones que la parte demandante imputa a la resolución judicial impugnada, es necesario dar respuesta al óbice de procedibilidad puesto de manifiesto por el Ministerio Fiscal en su escrito de alegaciones con referencia a la falta de agotamiento de la vía judicial previa mediante la interposición de todos los </w:t>
      </w:r>
      <w:r>
        <w:lastRenderedPageBreak/>
        <w:t>recursos utilizables y que, caso de apreciarse, conduciría a la inadmisión del recurso de amparo —ex art. 50.1 a) LOTC, en relación con el art. 44.1 a) LOTC—. En este sentido, destaca el Fiscal que la parte demandante ha simultaneado el presente recurso de amparo (interpuesto con fecha de 22 de febrero de 2005) con el planteamiento de un incidente de nulidad de actuaciones al amparo del art. 241 LOPJ ante el Tribunal Supremo (presentado el mismo día 22 de febrero de 2005), por lo que, a su juicio, es patente que no se había agotado la vía judicial previa al momento de impetrar el auxilio de este Tribunal.</w:t>
      </w:r>
    </w:p>
    <w:p w:rsidR="008B3772" w:rsidRDefault="008B3772" w:rsidP="008B3772">
      <w:pPr>
        <w:pStyle w:val="TextoNormal"/>
      </w:pPr>
      <w:r>
        <w:t>Pues bien, al igual que hemos declarado recientemente en el ATC 461/2006, de 18 de diciembre (en el recurso de amparo núm. 1204-2005 interpuesto por la Diputación Foral de Vizcaya contra la misma Sentencia de la Sala Tercera del Tribunal Supremo de fecha 9 de diciembre de 2004 y sobre la base de los mismos motivos), siendo cierto que la parte demandante ha simultaneado ambos recursos, la objeción debe prosperar, por las razones que se exponen a continuación. En efecto, conforme a reiterada doctrina de este Tribunal, el art. 43.2 en relación con el art. 44.1 a), ambos LOTC, establece, entre otras, la exigencia de agotar todos los recursos utilizables en la vía judicial ordinaria, requisito éste que, lejos de constituir una formalidad vacía, deriva de la necesidad de respetar la subsidiariedad del recurso de amparo, dado que, en virtud de lo dispuesto en el art. 53.2 CE, la tutela general de los derechos y libertades corresponde, en primer lugar, a los órganos del Poder Judicial.</w:t>
      </w:r>
    </w:p>
    <w:p w:rsidR="008B3772" w:rsidRDefault="008B3772" w:rsidP="008B3772">
      <w:pPr>
        <w:pStyle w:val="TextoNormal"/>
      </w:pPr>
      <w:r>
        <w:t>Consecuencia de lo anterior es que, en la misma línea de la doctrina expuesta, como también hemos señalado en reiteradas ocasiones, para que entre en funcionamiento la justicia constitucional es preciso que estén agotadas las vías judiciales, razón por la cual “no puede acudir ante este Tribunal por la vía del amparo quien ha considerado procedente la utilización de un recurso o remedio procesal en la vía ordinaria en tanto ésta no haya concluido, ya que, de lo contrario se estaría afectando a la naturaleza subsidiaria del recurso de amparo, resultando imposible la coexistencia temporal de un recurso de amparo con la vía judicial, dado que es necesario esperar a la conclusión de ésta para acudir ante este Tribunal” (por todas, SSTC 44/2002, de 25 de febrero, FJ 2; 189/2002, de 14 de octubre, FJ 6; 15/2003, de 28 de enero, FJ 2; 72/2004, de 19 de abril, FJ 3; 82/2004, de 10 de mayo, FJ 3; 97/2004, de 27 de mayo, FJ 3; 13/2005, de 31 de enero, FJ 3; 85/2006, de 27 de marzo, FJ 2, y 249/2006, de 24 de julio, FJ 2).</w:t>
      </w:r>
    </w:p>
    <w:p w:rsidR="008B3772" w:rsidRDefault="008B3772" w:rsidP="008B3772">
      <w:pPr>
        <w:pStyle w:val="TextoNormal"/>
      </w:pPr>
      <w:r>
        <w:t>Entre los recursos ineludibles para cumplir el requisito del agotamiento cuando se pretende la reparación de los defectos de forma que hubieran causado indefensión o la incongruencia del fallo, este Tribunal ha incluido, cuando proceda, el incidente de nulidad de actuaciones previsto en el art. 241 LOPJ (anterior art. 240.3 LOPJ) que, como remedio último debe ser intentado antes de acudir al recurso de amparo y sin cuyo requisito la demanda de amparo deviene inadmisible [por todas, SSTC 28/2004, de 4 de marzo, FJ 4; 235/2005, de 26 de septiembre, FJ 2; 192/2006, de 19 de junio, FJ 2 a); 237/2006, de 17 de julio, FJ 3, y 269/2006, de 11 de septiembre, FJ 2].</w:t>
      </w:r>
    </w:p>
    <w:p w:rsidR="008B3772" w:rsidRDefault="008B3772" w:rsidP="008B3772">
      <w:pPr>
        <w:pStyle w:val="TextoNormal"/>
      </w:pPr>
      <w:r>
        <w:t xml:space="preserve">Por tanto, es contrario al carácter subsidiario de esta jurisdicción constitucional la coexistencia temporal de un recurso de amparo con otro recurso seguido en la vía judicial ordinaria, anomalía que acontece cuando se inicia el proceso de amparo antes de que se resuelvan los recursos interpuestos en la vía judicial ordinaria contra la resolución jurisdiccional recurrida (SSTC 129/2000, de 16 de mayo, FJ 2; 225/2000, de 2 de octubre, FJ 3; 192/2001, de 1 de octubre, FJ 3; 44/2002, de 25 de febrero, FJ 2; 72/2004, de 19 de abril, FJ 3; 82/2004, de 10 de mayo, FJ 3; 97/2004, de 24 de mayo, FJ 3; 13/2005, de 20 de enero, FJ 3, y 188/2006, de 19 de junio, FJ 3), por lo que cualquier pronunciamiento de fondo acerca del mismo sería prematuro y supondría ignorar el carácter subsidiario que en nuestro </w:t>
      </w:r>
      <w:r>
        <w:lastRenderedPageBreak/>
        <w:t>sistema de protección de los derechos y libertades tiene el recurso de amparo constitucional (por todas, STC 249/2006, de 24 de julio, FJ 2).</w:t>
      </w:r>
    </w:p>
    <w:p w:rsidR="008B3772" w:rsidRDefault="008B3772" w:rsidP="008B3772">
      <w:pPr>
        <w:pStyle w:val="TextoNormal"/>
      </w:pPr>
    </w:p>
    <w:p w:rsidR="008B3772" w:rsidRDefault="008B3772" w:rsidP="008B3772">
      <w:pPr>
        <w:pStyle w:val="TextoNormal"/>
      </w:pPr>
      <w:r w:rsidRPr="008B3772">
        <w:rPr>
          <w:rStyle w:val="NumeroAFNegritaCaracter"/>
        </w:rPr>
        <w:t>3</w:t>
      </w:r>
      <w:r>
        <w:t>. Pues bien, habiendo interpuesto la parte demandante el presente recurso de amparo sin esperar a la resolución en la vía judicial ordinaria del incidente de nulidad de actuaciones presentado contra la resolución judicial objeto del actual proceso constitucional, debe, sin perjuicio del eventual resultado de dicho incidente, apreciarse su carácter prematuro y, en consecuencia, declarar su inadmisión.</w:t>
      </w:r>
    </w:p>
    <w:p w:rsidR="008B3772" w:rsidRDefault="008B3772" w:rsidP="008B3772">
      <w:pPr>
        <w:pStyle w:val="TextoNormal"/>
      </w:pPr>
    </w:p>
    <w:p w:rsidR="008B3772" w:rsidRDefault="008B3772" w:rsidP="008B3772">
      <w:pPr>
        <w:pStyle w:val="TextoNormal"/>
      </w:pPr>
      <w:r>
        <w:t>Por lo expuesto, la Sección</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Inadmitir a trámite el presente recurso de amparo por concurrir la causa prevista en el art.  50.1 a), en relación con el art. 44.1 a), ambos LOTC, y el archivo de las actuaciones.</w:t>
      </w:r>
    </w:p>
    <w:p w:rsidR="008B3772" w:rsidRDefault="008B3772" w:rsidP="008B3772">
      <w:pPr>
        <w:pStyle w:val="TextoNormal"/>
      </w:pPr>
    </w:p>
    <w:p w:rsidR="008B3772" w:rsidRDefault="008B3772" w:rsidP="008B3772">
      <w:pPr>
        <w:pStyle w:val="TextoNormal"/>
      </w:pPr>
      <w:r>
        <w:t>Madrid, a veintitrés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21" w:name="AUTO_2007_257"/>
      <w:r>
        <w:lastRenderedPageBreak/>
        <w:t>AUTO 257/2007, de 23 de mayo de 2007</w:t>
      </w:r>
    </w:p>
    <w:bookmarkEnd w:id="121"/>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ECLI:ES:TC:2007:257A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Inadmite a trámite por infundada la cuestión de inconstitucionalidad 163-2007, planteada por la Sala de lo Social del Tribunal Superior de Justicia de Canarias en relación con la disposición adicional segunda de la Ley Orgánica 1/1990, de 3 de octubre, de ordenación general del sistema educativo.</w:t>
      </w:r>
    </w:p>
    <w:p w:rsidR="008B3772" w:rsidRDefault="008B3772" w:rsidP="008B3772">
      <w:pPr>
        <w:pStyle w:val="SntesisDescriptiva"/>
      </w:pPr>
    </w:p>
    <w:p w:rsidR="008B3772" w:rsidRDefault="008B3772" w:rsidP="008B3772">
      <w:pPr>
        <w:pStyle w:val="SntesisAnaltica"/>
      </w:pPr>
      <w:r>
        <w:t>Control jurisdiccional: actos de autoridades religiosas. Cuestión de inconstitucionalidad: audiencia previa al Ministerio Fiscal; juicio de relevancia no justificado; motivación del Auto de planteamiento; pérdida sobrevenida de objeto por derogación de la norma; requisitos procesales. Inadmisión de cuestión de inconstitucionalidad: inadmisión de cuestión de inconstitucionalidad por infundada. Libertad religiosa y de culto: enseñanza de religión. Profesores de religión: contratación en centros públicos; declaración eclesiástica de idoneidad.</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Con fecha 8 de enero de 2007 se registró en este Tribunal escrito del Presidente de la Sala de lo Social del Tribunal Superior de Justicia de Canarias al que se adjuntaba testimonio del rollo de suplicación núm. 447-2006 y Auto de 11 de octubre de 2006, por el que se acuerda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8B3772" w:rsidRDefault="008B3772" w:rsidP="008B3772">
      <w:pPr>
        <w:pStyle w:val="TextoNormal"/>
      </w:pPr>
      <w:r>
        <w:lastRenderedPageBreak/>
        <w:t xml:space="preserve">a) Don Martín Domingo Suárez Quesada había venido prestando servicios como profesor de religión y moral católicas desde el 14 de octubre de 1993, siendo miembro del Secretariado General de la Federación Nacional de Profesores de Religión de la Confederación Canaria de Trabajadores. </w:t>
      </w:r>
    </w:p>
    <w:p w:rsidR="008B3772" w:rsidRDefault="008B3772" w:rsidP="008B3772">
      <w:pPr>
        <w:pStyle w:val="TextoNormal"/>
      </w:pPr>
      <w:r>
        <w:t xml:space="preserve">b) Por Sentencia del Juzgado de lo Social núm. 5 de Las Palmas de Gran Canaria de 31 de enero de 2005 se declaró la nulidad del despido del Sr. Suárez Quesada por vulneración del derecho de libertad sindical, condenando a la Comunidad Autónoma a la readmisión del trabajador, con abono de los salarios dejados de percibir. Además, la Sentencia condenaba a la Comunidad Autónoma a abonar al actor la suma de 3.005,07 € en concepto de indemnización por daños y perjuicios. </w:t>
      </w:r>
    </w:p>
    <w:p w:rsidR="008B3772" w:rsidRDefault="008B3772" w:rsidP="008B3772">
      <w:pPr>
        <w:pStyle w:val="TextoNormal"/>
      </w:pPr>
      <w:r>
        <w:t xml:space="preserve">c) Interpuesta por el profesor demanda de tutela de derechos fundamentales contra el Obispado, el Juzgado de lo Social núm. 7 de Las Palmas de Gran Canaria dictó Sentencia de 22 de noviembre de 2005 estimando la demanda. En el Auto de planteamiento de la presente cuestión no se da cuenta del contenido ni de los antecedentes de dicha Sentencia, de la que tampoco se adjunta testimonio. En todo caso, contra la misma interpuso recurso de suplicación el Obispado de Canarias, que dio lugar al rollo núm. 447-2006, en el que se acuerda plantear esta cuestión de inconstitucionalidad. </w:t>
      </w:r>
    </w:p>
    <w:p w:rsidR="008B3772" w:rsidRDefault="008B3772" w:rsidP="008B3772">
      <w:pPr>
        <w:pStyle w:val="TextoNormal"/>
      </w:pPr>
      <w:r>
        <w:t xml:space="preserve">d) Aún cuando no se hace constar en el Auto de planteamiento, la Sala que eleva la cuestión, de conformidad con lo dispuesto en el art. 35.2 LOTC, dictó providencia de 27 de julio de 2006 por la que requirió a las partes para que alegaran lo que estimasen conveniente en relación con la pertinencia de cuestionar la constitucionalidad de la disposición adicional segunda de la Ley Orgánica 1/1990, de 3 de octubre, de ordenación general del sistema educativo (en la redacción dada por la Ley 50/1998, de 30 de diciembre, de medidas fiscales, administrativas y del orden social), y de los arts. III y IV del Acuerdo sobre enseñanza y asuntos culturales suscrito con la Santa Sede el 3 de enero de 1979. En dicho proveído se señalaban como supuestamente conculcados los arts. 9, 14, 16, 18, 20, 23, 24, 27 y 103.3 de la Constitución. </w:t>
      </w:r>
    </w:p>
    <w:p w:rsidR="008B3772" w:rsidRDefault="008B3772" w:rsidP="008B3772">
      <w:pPr>
        <w:pStyle w:val="TextoNormal"/>
      </w:pPr>
      <w:r>
        <w:t>e) Entre las actuaciones remitidas por la Sala figuran las alegaciones ex art. 35.2 LOTC evacuadas por la representación del Sr. Suárez Quesada, por la Comunidad Autónoma canaria y por el Obispado de Canarias. Mientras el primero interesa el planteamiento de la cuestión y la Comunidad Autónoma se opone a ello, el Obispado denuncia que la cuestión debatida en el proceso a quo no tiene que ver con la duda de constitucionalidad suscitada por la Sala, pues lo discutido es si el Obispo había lesionado el derecho al honor del Sr. Suárez Quesada con el contenido de la carta dirigida a los padres de los alumnos.</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Mediante Auto de 11 de octubre de 2006, la Sala acordó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arts. III, VI y VII del Acuerdo sobre enseñanza y asuntos culturales, suscrito el 3 de enero de 1979 entre el Estado español y la Santa Sede, ratificado por Instrumento de 4 de diciembre de 1979, por posible infracción de los arts. 9.3, 14, 16.3, 20.1, 23.2, 24.1, 28.2 y 103.3 de la Constitución. </w:t>
      </w:r>
    </w:p>
    <w:p w:rsidR="008B3772" w:rsidRDefault="008B3772" w:rsidP="008B3772">
      <w:pPr>
        <w:pStyle w:val="TextoNormal"/>
      </w:pPr>
      <w:r>
        <w:t xml:space="preserve">El Auto de la Sala reproduce el contenido de un anterior Auto dictado en el recurso de suplicación 419-2002, en el que la Sala había ya planteado en otro supuesto similar cuestión de inconstitucionalidad ya admitida a trámite, añadiendo la argumentación relativa a la posible vulneración por las disposiciones cuestionadas de los arts. 20.1 y 28.2 CE, a los que no se aludía en el Auto de planteamiento de aquella cuestión anterior. </w:t>
      </w:r>
    </w:p>
    <w:p w:rsidR="008B3772" w:rsidRDefault="008B3772" w:rsidP="008B3772">
      <w:pPr>
        <w:pStyle w:val="TextoNormal"/>
      </w:pPr>
      <w:r>
        <w:lastRenderedPageBreak/>
        <w:t xml:space="preserve">Tras exponer con detalle los avatares de la evolución del régimen normativo de la enseñanza de la religión católica en los centros públicos (FJ 1) y la disciplina canónica observada por la Iglesia en materia docente (FJ 2), el órgano judicial advierte de que “no es objeto de esta cuestión la constitucionalidad de la inserción de la religión y moral católica en el itinerario educativo de la enseñanza reglada … El objeto de la cuestión … se limita a dos opciones normativas que constituyen un mero instrumento contingente de dicha enseñanza y que son, en primer lugar, el que se haya acudido a contratos de naturaleza laboral para cumplir la función de enseñar de la Iglesia y, en segundo lugar, que, además, los correspondientes trabajadores sean contratados por las Administraciones públicas, configurando, en definitiva, supuestos de empleo público. Ambas opciones imponen determinadas exigencias desde el punto de vista de la constitucionalidad que parecen difícilmente compatibles con la regulación específica de los profesores de religión católica resultante de la normativa [vigente] y, en concreto, con la inmunidad frente al Derecho de las decisiones sobre la contratación y renovación de los profesores adoptadas por el Obispado y, en segundo lugar, con el condicionamiento del acceso y mantenimiento de empleos públicos a criterios de índole religiosa y confesional” (FJ 3). </w:t>
      </w:r>
    </w:p>
    <w:p w:rsidR="008B3772" w:rsidRDefault="008B3772" w:rsidP="008B3772">
      <w:pPr>
        <w:pStyle w:val="TextoNormal"/>
      </w:pPr>
      <w:r>
        <w:t xml:space="preserve">A juicio de la Sala, la declaración eclesiástica de idoneidad necesaria para la contratación de los profesores de religión no puede concederse o denegarse sin otra referencia que la propia del Derecho canónico, sino que debe ser compatible con los derechos fundamentales del trabajador, en cuyo respeto ha de encontrar un límite insuperable. Sin embargo, del art. III del Acuerdo con la Santa Sede sobre educación y asuntos culturales se desprende que la decisión eclesiástica sobre el particular únicamente debe ajustarse a la normativa canónica y que, además, el Estado no puede oponer a ello ninguna norma interna, ni someterla a control judicial, so pena de infringir el Derecho internacional. Tal situación sería, para el órgano judicial, radicalmente contraria a la Constitución. </w:t>
      </w:r>
    </w:p>
    <w:p w:rsidR="008B3772" w:rsidRDefault="008B3772" w:rsidP="008B3772">
      <w:pPr>
        <w:pStyle w:val="TextoNormal"/>
      </w:pPr>
      <w:r>
        <w:t>La Sala cuestiona asimismo la constitucionalidad de la condición de empleo público atribuida a los puestos de trabajo de los profesores de religión católica y resultante de la disposición adicional segunda de la Ley Orgánica 1/1990 (LOGSE), en la redacción dada por la Ley 50/1998, en conjunción con los arts. III, VI y VII del Acuerdo con la Santa Sede. Para la Sala, de esa conjunción se deriva que el acceso a empleos públicos y su mantenimiento sean determinados exclusivamente por un sujeto ajeno a la Administración pública (el Obispado) y sometido únicamente a un Derecho externo e indisponible por los órganos judiciales nacionales (el Derecho canónico).</w:t>
      </w:r>
    </w:p>
    <w:p w:rsidR="008B3772" w:rsidRDefault="008B3772" w:rsidP="008B3772">
      <w:pPr>
        <w:pStyle w:val="TextoNormal"/>
      </w:pPr>
    </w:p>
    <w:p w:rsidR="008B3772" w:rsidRDefault="008B3772" w:rsidP="008B3772">
      <w:pPr>
        <w:pStyle w:val="TextoNormal"/>
      </w:pPr>
      <w:r w:rsidRPr="008B3772">
        <w:rPr>
          <w:rStyle w:val="NumeroAFNegritaCaracter"/>
        </w:rPr>
        <w:t>4</w:t>
      </w:r>
      <w:r>
        <w:t>. Mediante diligencia de ordenación de la Secretaría del Pleno de este Tribunal Constitucional de 11 de enero de 2007 se requirió a la Sala de lo Social del Tribunal Superior de Justicia de Canarias para que, de conformidad con el art. 36 LOTC, remitiera testimonio de las actuaciones correspondientes al recurso de suplicación núm. 447-2006, así como de la providencia dictada por la Sala ex art. 35.2 LOTC, acreditando su notificación a todas las partes y al Ministerio Fiscal, con remisión del escrito de alegaciones presentado por este último.</w:t>
      </w:r>
    </w:p>
    <w:p w:rsidR="008B3772" w:rsidRDefault="008B3772" w:rsidP="008B3772">
      <w:pPr>
        <w:pStyle w:val="TextoNormal"/>
      </w:pPr>
    </w:p>
    <w:p w:rsidR="008B3772" w:rsidRDefault="008B3772" w:rsidP="008B3772">
      <w:pPr>
        <w:pStyle w:val="TextoNormal"/>
      </w:pPr>
      <w:r w:rsidRPr="008B3772">
        <w:rPr>
          <w:rStyle w:val="NumeroAFNegritaCaracter"/>
        </w:rPr>
        <w:t>5</w:t>
      </w:r>
      <w:r>
        <w:t xml:space="preserve">. Los testimonios interesados se registraron en el Tribunal el 26 de enero de 2007. Figura entre ellos copia de una providencia de la Sala, de fecha 12 de enero de 2007, por la que, una vez verificado que la providencia dictada en su día ex art. 35.2 LOTC no le había sido notificada al Ministerio Fiscal, se acuerda darle “traslado de la misma y una vez transcurrido el plazo [,] con alegaciones o no [,] remítase al Tribunal Constitucional para su resolución”. </w:t>
      </w:r>
    </w:p>
    <w:p w:rsidR="008B3772" w:rsidRDefault="008B3772" w:rsidP="008B3772">
      <w:pPr>
        <w:pStyle w:val="TextoNormal"/>
      </w:pPr>
      <w:r>
        <w:lastRenderedPageBreak/>
        <w:t>El escrito de alegaciones del Ministerio Fiscal se presentó en el órgano a quo el 16 de enero de 2007 y en él se consideró pertinente el planteamiento de la cuestión.</w:t>
      </w:r>
    </w:p>
    <w:p w:rsidR="008B3772" w:rsidRDefault="008B3772" w:rsidP="008B3772">
      <w:pPr>
        <w:pStyle w:val="TextoNormal"/>
      </w:pPr>
    </w:p>
    <w:p w:rsidR="008B3772" w:rsidRDefault="008B3772" w:rsidP="008B3772">
      <w:pPr>
        <w:pStyle w:val="TextoNormal"/>
      </w:pPr>
      <w:r w:rsidRPr="008B3772">
        <w:rPr>
          <w:rStyle w:val="NumeroAFNegritaCaracter"/>
        </w:rPr>
        <w:t>6</w:t>
      </w:r>
      <w:r>
        <w:t>. Mediante providencia de 27 de febrero de 2007 la Sección Segunda de este Tribunal acordó, a los efectos que determina el art. 37.1 LOTC, oír al Fiscal General del Estado para que en el plazo de diez días alegase lo que considerara conveniente acerca de la admisibilidad de la presente cuestión de inconstitucionalidad, en relación con la posible falta de las condiciones procesales para su admisión.</w:t>
      </w:r>
    </w:p>
    <w:p w:rsidR="008B3772" w:rsidRDefault="008B3772" w:rsidP="008B3772">
      <w:pPr>
        <w:pStyle w:val="TextoNormal"/>
      </w:pPr>
    </w:p>
    <w:p w:rsidR="008B3772" w:rsidRDefault="008B3772" w:rsidP="008B3772">
      <w:pPr>
        <w:pStyle w:val="TextoNormal"/>
      </w:pPr>
      <w:r w:rsidRPr="008B3772">
        <w:rPr>
          <w:rStyle w:val="NumeroAFNegritaCaracter"/>
        </w:rPr>
        <w:t>7</w:t>
      </w:r>
      <w:r>
        <w:t>. Mediante escrito registrado el día 20 de marzo de 2007 el Fiscal General del Estado evacuó el trámite conferido interesando la desestimación de la cuestión. Tras exponer los antecedentes de la misma y poner de relieve que es idéntica a otras planteadas con anterioridad por la misma Sala, a una de las cuales se remite en todo al Auto de planteamiento de la cuestión, recuerda el Fiscal que, con posterioridad al planteamiento de la cuestión, el Tribunal ha dictado la STC 38/2007, de 15 de febrero, que resuelve la cuestión de inconstitucionalidad 4831/2002, por lo que interesa que se dicte Sentencia desestimando la presente cuestión en los términos acordados en la citada STC 38/2007.</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La Sala de lo Social del Tribunal Superior de Justicia de Canarias cuestiona en este procedimiento la constitucionalidad de varias normas. De un lado, tres preceptos incluidos en el Acuerdo entre el Estado Español y la Santa Sede sobre enseñanza y asuntos culturales, de 3 de enero de 1979, ratificado por Instrumento de 4 de diciembre de 1979 (BOE núm. 300, de 15 de diciembre), y cuyo tenor es el que sigue:</w:t>
      </w:r>
    </w:p>
    <w:p w:rsidR="008B3772" w:rsidRDefault="008B3772" w:rsidP="008B3772">
      <w:pPr>
        <w:pStyle w:val="TextoNormal"/>
      </w:pPr>
      <w:r>
        <w:t>Artículo III</w:t>
      </w:r>
    </w:p>
    <w:p w:rsidR="008B3772" w:rsidRDefault="008B3772" w:rsidP="008B3772">
      <w:pPr>
        <w:pStyle w:val="TextoNormal"/>
      </w:pPr>
      <w:r>
        <w:t>“En los niveles educativos a los que se refiere el artículo anterior, la enseñanza religiosa será impartida por las personas que, para cada año escolar, sean designadas por la autoridad académica entre aquéllas que el Ordinario diocesano proponga para ejercer esta enseñanza. Con antelación suficiente, el Ordinario diocesano comunicará los nombres de los Profesores y personas que sean consideradas competentes para dicha enseñanza.</w:t>
      </w:r>
    </w:p>
    <w:p w:rsidR="008B3772" w:rsidRDefault="008B3772" w:rsidP="008B3772">
      <w:pPr>
        <w:pStyle w:val="TextoNormal"/>
      </w:pPr>
      <w:r>
        <w:t>En los centros públicos de Educación Preescolar, de Educación General Básica y de Formación Profesional de primer grado, la designación, en la forma antes señalada, recaerá con preferencia en los profesores de EGB que así lo soliciten.</w:t>
      </w:r>
    </w:p>
    <w:p w:rsidR="008B3772" w:rsidRDefault="008B3772" w:rsidP="008B3772">
      <w:pPr>
        <w:pStyle w:val="TextoNormal"/>
      </w:pPr>
      <w:r>
        <w:t>Nadie estará obligado a impartir enseñanza religiosa.</w:t>
      </w:r>
    </w:p>
    <w:p w:rsidR="008B3772" w:rsidRDefault="008B3772" w:rsidP="008B3772">
      <w:pPr>
        <w:pStyle w:val="TextoNormal"/>
      </w:pPr>
      <w:r>
        <w:t>Los Profesores de religión formarán parte, a todos los efectos, del Claustro de Profesores de los respectivos Centros”.</w:t>
      </w:r>
    </w:p>
    <w:p w:rsidR="008B3772" w:rsidRDefault="008B3772" w:rsidP="008B3772">
      <w:pPr>
        <w:pStyle w:val="TextoNormal"/>
      </w:pPr>
      <w:r>
        <w:t>Artículo VI</w:t>
      </w:r>
    </w:p>
    <w:p w:rsidR="008B3772" w:rsidRDefault="008B3772" w:rsidP="008B3772">
      <w:pPr>
        <w:pStyle w:val="TextoNormal"/>
      </w:pPr>
      <w:r>
        <w:t>“A la jerarquía eclesiástica corresponde señalar los contenidos de la enseñanza y formación religiosa católica, así como proponer los libros de texto y material didáctico relativos a dicha enseñanza y formación.</w:t>
      </w:r>
    </w:p>
    <w:p w:rsidR="008B3772" w:rsidRDefault="008B3772" w:rsidP="008B3772">
      <w:pPr>
        <w:pStyle w:val="TextoNormal"/>
      </w:pPr>
      <w:r>
        <w:t>La jerarquía eclesiástica y los órganos del Estado, en el ámbito de sus respectivas competencias, velarán por que esta enseñanza y formación sean impartidas adecuadamente, quedando sometido el profesorado de religión al régimen general disciplinario de los Centros”.</w:t>
      </w:r>
    </w:p>
    <w:p w:rsidR="008B3772" w:rsidRDefault="008B3772" w:rsidP="008B3772">
      <w:pPr>
        <w:pStyle w:val="TextoNormal"/>
      </w:pPr>
      <w:r>
        <w:t>Artículo VII</w:t>
      </w:r>
    </w:p>
    <w:p w:rsidR="008B3772" w:rsidRDefault="008B3772" w:rsidP="008B3772">
      <w:pPr>
        <w:pStyle w:val="TextoNormal"/>
      </w:pPr>
      <w:r>
        <w:t xml:space="preserve">“La situación económica de los Profesores de religión católica, en los distintos niveles educativos que no pertenezcan a los Cuerpos docentes del Estado, se concertará entre la </w:t>
      </w:r>
      <w:r>
        <w:lastRenderedPageBreak/>
        <w:t>Administración Central y la Conferencia Episcopal Española, con objeto de que sea de aplicación a partir de la entrada en vigor del presente Acuerdo”.</w:t>
      </w:r>
    </w:p>
    <w:p w:rsidR="008B3772" w:rsidRDefault="008B3772" w:rsidP="008B3772">
      <w:pPr>
        <w:pStyle w:val="TextoNormal"/>
      </w:pPr>
      <w:r>
        <w:t>De otro lado, se cuestiona la disposición adicional segunda de la Ley Orgánica 1/1990, de 3 de octubre, de ordenación general del sistema educativo, en la redacción dada a la misma por el art. 93 de la Ley 50/1998, de 30 de diciembre, de medidas fiscales, administrativas y del orden social, que establece lo siguiente:</w:t>
      </w:r>
    </w:p>
    <w:p w:rsidR="008B3772" w:rsidRDefault="008B3772" w:rsidP="008B3772">
      <w:pPr>
        <w:pStyle w:val="TextoNormal"/>
      </w:pPr>
      <w:r>
        <w:t>“La enseñanza de la religión se ajustará a lo establecido en el Acuerdo sobre enseñanza y asuntos culturales suscrito entre la Santa Sede y el Estado Español y, en su caso, a lo dispuesto en aquellos otros que pudieran suscribirse con otras confesiones religiosas. A tal fin, y de conformidad con lo que dispongan dichos acuerdos, se incluirá la religión como área o materia en los niveles educativos que corresponda, que será de oferta obligatoria para los centros y de carácter voluntario para los alumnos.</w:t>
      </w:r>
    </w:p>
    <w:p w:rsidR="008B3772" w:rsidRDefault="008B3772" w:rsidP="008B3772">
      <w:pPr>
        <w:pStyle w:val="TextoNormal"/>
      </w:pPr>
      <w:r>
        <w:t>Los profesores que, no perteneciendo a los Cuerpos de funcionarios docentes, impartan enseñanzas de religión en los centros públicos en los que se desarrollan las enseñanzas reguladas en la presente Ley, lo harán en régimen de contratación laboral, de duración determinada y coincidente con el curso escolar, a tiempo completo o parcial. Estos profesores percibirán las retribuciones que correspondan en el respectivo nivel educativo a los profesores interinos, debiendo alcanzarse la equiparación retributiva en cuatro ejercicios presupuestarios a partir de 1999”.</w:t>
      </w:r>
    </w:p>
    <w:p w:rsidR="008B3772" w:rsidRDefault="008B3772" w:rsidP="008B3772">
      <w:pPr>
        <w:pStyle w:val="TextoNormal"/>
      </w:pPr>
    </w:p>
    <w:p w:rsidR="008B3772" w:rsidRDefault="008B3772" w:rsidP="008B3772">
      <w:pPr>
        <w:pStyle w:val="TextoNormal"/>
      </w:pPr>
      <w:r w:rsidRPr="008B3772">
        <w:rPr>
          <w:rStyle w:val="NumeroAFNegritaCaracter"/>
        </w:rPr>
        <w:t>2</w:t>
      </w:r>
      <w:r>
        <w:t>. Conforme a lo dispuesto en el art. 37.1 LOTC, este Tribunal puede rechazar en trámite de admisión y mediante Auto aquellas cuestiones de inconstitucionalidad que adolezcan de la falta de los necesarios requisitos procesales o que fueren notoriamente infundadas.</w:t>
      </w:r>
    </w:p>
    <w:p w:rsidR="008B3772" w:rsidRDefault="008B3772" w:rsidP="008B3772">
      <w:pPr>
        <w:pStyle w:val="TextoNormal"/>
      </w:pPr>
      <w:r>
        <w:t>En este sentido, hemos señalado que: a) Las exigencias de naturaleza procesal, en primer lugar, impuestas por “el art. 35.2 LOTC, en desarrollo de lo dispuesto en el art. 163 CE,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Se trata con ello de impedir que esta vía procesal resulte desvirtuada por un uso no acomodado a su naturaleza y finalidad propias” (ATC 188/2003, de 3 de junio, FJ 1). b) El concepto de “cuestión notoriamente infundada”, en segundo lugar, “encierra un cierto grado de indefinición que se traduce procesalmente en otorgar a este Tribunal un margen de apreciación a la hora de controlar la solidez de la fundamentación de las cuestiones de inconstitucionalidad” (AATC 389/1990, de 29 de octubre, FJ 1; 165/2001, de 19 de junio, FJ 2), existiendo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389/1990, de 29 de octubre, FJ 1; 134/1995, de 9 de mayo, FJ 2; 380/1996, de 17 de diciembre, FJ 2; 229/1999, de 28 de septiembre, FJ 2; 119/2000, de 10 de mayo, FJ 2; 311/2000, de 19 de diciembre, FJ 3; 46/2001, de 27 de febrero, FJ 2, y 47/2001, de 27 de febrero, FJ 3)” (ATC 165/2001, de 19 de junio, FJ 2).</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3</w:t>
      </w:r>
      <w:r>
        <w:t>. Pues bien, el análisis de la cuestión de inconstitucionalidad pone de manifiesto que en la misma concurren ambos motivos de inadmisión, dado que la misma no satisface las exigencias que para su promoción se derivan de los arts. 163 CE y 35 a 37 LOTC y resulta, además, notoriamente infundada.</w:t>
      </w:r>
    </w:p>
    <w:p w:rsidR="008B3772" w:rsidRDefault="008B3772" w:rsidP="008B3772">
      <w:pPr>
        <w:pStyle w:val="TextoNormal"/>
      </w:pPr>
      <w:r>
        <w:t>a) Según reconoce la propia Sala en su providencia de 12 de enero de 2007, de la providencia dictada ex art. 35.2 LOTC el 27 de julio de 2006 no se dio traslado al Ministerio Fiscal sino hasta el día 12 de enero de 2007, esto es, varios meses después del Auto de planteamiento de la cuestión (de 11 de octubre de 2006) y sin que la Sala, a la vista de las alegaciones del Ministerio público evacuadas el 16 de enero de 2007, haya dictado nuevo Auto de planteamiento. De manera que la cuestión se ha elevado a este Tribunal sin tener a la vista las alegaciones de una de las partes en el proceso.</w:t>
      </w:r>
    </w:p>
    <w:p w:rsidR="008B3772" w:rsidRDefault="008B3772" w:rsidP="008B3772">
      <w:pPr>
        <w:pStyle w:val="TextoNormal"/>
      </w:pPr>
      <w:r>
        <w:t>Por lo demás, en el repetido Auto ni siquiera se hace constar la apertura del trámite de audiencia del art. 35.2 LOTC, ni se da cuenta de las alegaciones presentadas por las demás partes procesales que, no obstante, obran en las actuaciones.</w:t>
      </w:r>
    </w:p>
    <w:p w:rsidR="008B3772" w:rsidRDefault="008B3772" w:rsidP="008B3772">
      <w:pPr>
        <w:pStyle w:val="TextoNormal"/>
      </w:pPr>
      <w:r>
        <w:t>Finalmente, siempre en relación con el trámite de audiencia, se constata que en la providencia dictada al efecto no se aludió a dos de los preceptos legales finalmente cuestionados, arts. VI y VII del Acuerdo de 3 de enero de 1979, ni se invocó tampoco, como precepto supuestamente infringido, el art. 28.2 CE.</w:t>
      </w:r>
    </w:p>
    <w:p w:rsidR="008B3772" w:rsidRDefault="008B3772" w:rsidP="008B3772">
      <w:pPr>
        <w:pStyle w:val="TextoNormal"/>
      </w:pPr>
      <w:r>
        <w:t>b) En segundo lugar, una de las disposiciones cuestionadas, la disposición adicional segunda de la Ley Orgánica 1/1990, no puede ser una norma aplicable al caso y de cuya validez dependa la decisión del proceso a quo, toda vez que dicha disposición no se encontraba en vigor en la fecha en que se produjeron los hechos que dieron lugar al proceso, habiendo sido expresamente derogada, varios años antes, por la Ley Orgánica 10/2002, de 23 de diciembre, de calidad de la educación (disposición derogatoria única).</w:t>
      </w:r>
    </w:p>
    <w:p w:rsidR="008B3772" w:rsidRDefault="008B3772" w:rsidP="008B3772">
      <w:pPr>
        <w:pStyle w:val="TextoNormal"/>
      </w:pPr>
      <w:r>
        <w:t>c) En tercer lugar, la Sala de lo Social no ha cumplido correctamente en el Auto de planteamiento de la cuestión el requisito previsto en el art. 35.2 LOTC, que exige al órgano judicial que especifique “en qué medida la decisión del proceso depende de la validez de la norma en cuestión”. Al reproducir íntegramente en el Auto el contenido de anteriores Autos a través de los cuales ha planteado diversas cuestiones de inconstitucionalidad ante este Tribunal en relación con los mismos preceptos, la Sala analiza la relevancia de la cuestión planteada con respecto a un proceso por despido que nada parece tener que ver con el que da origen a las presentes actuaciones, en las que, como puso de relieve el Obispado de Canarias en sus alegaciones ex art.  35.2 LOTC, lo que se discute es la existencia de una vulneración de derechos fundamentales del Sr.  Suárez Quesada como consecuencia del contenido de una carta dirigida por el Obispado a los padres de los alumnos, y no una decisión relativa a la renovación o no del mismo como profesor de religión. Con ello la Sala omite cualquier consideración sobre la relevancia que, para la resolución del recurso de suplicación a ella sometido, posea la validez de la norma cuestionada, impidiendo así garantizar que su uso sirva a la finalidad prevista por la Constitución.</w:t>
      </w:r>
    </w:p>
    <w:p w:rsidR="008B3772" w:rsidRDefault="008B3772" w:rsidP="008B3772">
      <w:pPr>
        <w:pStyle w:val="TextoNormal"/>
      </w:pPr>
      <w:r>
        <w:t xml:space="preserve">d) Finalmente, la cuestión planteada resulta notoriamente infundada. Como ha puesto de relieve el Fiscal General del Estado en sus alegaciones ex art. 37.1 LOTC, con posterioridad al planteamiento de la cuestión este Tribunal ha resuelto en su STC 38/2007, de 15 de febrero, la cuestión de inconstitucional núm. 4831-2002, planteada por la misma Sala de lo Social del Tribunal Superior de Justicia de Canarias en relación con los mismos preceptos legales y en términos prácticamente idénticos a los de la presente cuestión. En el fallo de dicha Sentencia el Tribunal declaró inadmisible la cuestión respecto de los párrafos tercero y cuarto del art. III, el art. VI y el art. VII del Acuerdo sobre enseñanza y asuntos culturales, </w:t>
      </w:r>
      <w:r>
        <w:lastRenderedPageBreak/>
        <w:t>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 y desestimó la cuestión en todo lo demás (párrafos primero y segundo del art. III del Acuerdo y párrafo segundo de la disposición adicional segunda de la Ley Orgánica 1/1990), por considerar que los preceptos legales cuestionados no vulneraban los arts. 9.3, 14, 16.3, 23.2, 24.1 y 103.3 de la Constitución.</w:t>
      </w:r>
    </w:p>
    <w:p w:rsidR="008B3772" w:rsidRDefault="008B3772" w:rsidP="008B3772">
      <w:pPr>
        <w:pStyle w:val="TextoNormal"/>
      </w:pPr>
      <w:r>
        <w:t>Respecto a lo considerado en la STC 38/2007, la presente cuestión suscita únicamente dos problemas adicionales relevantes: de una parte, el ya analizado de la derogación de la disposición adicional segunda de la Ley Orgánica 1/1990; de otra, la necesidad de considerar la eventual vulneración por los preceptos legales cuestionados de los derechos a la libertad de expresión (art. 20.1 CE) y a la huelga (art. 28.1 CE), invocados por el órgano judicial en el Auto de planteamiento de ésta y no en el de aquélla.</w:t>
      </w:r>
    </w:p>
    <w:p w:rsidR="008B3772" w:rsidRDefault="008B3772" w:rsidP="008B3772">
      <w:pPr>
        <w:pStyle w:val="TextoNormal"/>
      </w:pPr>
      <w:r>
        <w:t>En relación con esto último, debemos partir de la consideración de que el Auto de planteamiento de la cuestión no argumenta la existencia de una incompatibilidad entre el contenido de las disposiciones legales cuestionadas y los señalados derechos fundamentales a la libertad de expresión (art. 20.1 CE) y a la huelga (art. 28.2 CE), sino que parece vincular tal vulneración a la pretendida inmunidad frente al Estado de la decisión eclesiástica, que impediría la tutela judicial de los derechos fundamentales supuestamente vulnerados por la misma.</w:t>
      </w:r>
    </w:p>
    <w:p w:rsidR="008B3772" w:rsidRDefault="008B3772" w:rsidP="008B3772">
      <w:pPr>
        <w:pStyle w:val="TextoNormal"/>
      </w:pPr>
      <w:r>
        <w:t>Pues bien, hemos declarado en nuestra Sentencia 38/2007, de 15 de febrero, FJ 7, que “ni el art. III del Acuerdo sobre la enseñanza y asuntos culturales suscrito el 3 de enero de 1979 entre el Estado Español y la Santa Sede, ni el párrafo segundo de la disposición adicional segunda de la Ley Orgánica 1/1990, de 3 de octubre, excluyen el control jurisdiccional de las decisiones de contratación de los profesores de religión ni vulneran, por tanto, el derecho a la tutela judicial efectiva del art. 24.1 CE”, así como que “en el ejercicio de este control los órganos judiciales y, en su caso, este Tribunal Constitucional habrán de encontrar criterios practicables que permitan conciliar en el caso concreto las exigencias de la libertad religiosa (individual y colectiva) y el principio de neutralidad religiosa del Estado con la protección jurisdiccional de los derechos fundamentales y laborales de los profesores”, dado que “por más que haya de respetarse la libertad de criterio de las confesiones a la hora de establecer los contenidos de las enseñanzas religiosas y los criterios con arreglo a los cuales determinen la concurrencia de la cualificación necesaria para la contratación de una persona como profesor de su doctrina, tal libertad no es en modo alguno absoluta, como tampoco lo son los derechos reconocidos en el art. 16 CE ni en ningún otro precepto de la Constitución, pues en todo caso han de operar las exigencias inexcusables de indemnidad del orden constitucional de valores y principios cifrado en la cláusula del orden público constitucional”.</w:t>
      </w:r>
    </w:p>
    <w:p w:rsidR="008B3772" w:rsidRDefault="008B3772" w:rsidP="008B3772">
      <w:pPr>
        <w:pStyle w:val="TextoNormal"/>
      </w:pPr>
      <w:r>
        <w:t>En consecuencia, en lo que respecta al control de constitucionalidad que delimita el objeto de la presente cuestión de inconstitucionalidad no podemos sino descartar que las disposiciones legales cuestionadas vulneren los invocados arts. 20.1 y 28.2 CE, sin perjuicio de las consideraciones que, en su caso, proceda efectuar en el ámbito del control concreto de los actos de aplicación de estas disposiciones legales y de su conformidad con los derechos fundamentales, que corresponde, según hemos señalado, a los órganos judiciales y, en su caso, a este Tribunal Constitucional en el marco del recurso de amparo (STC 38/2007, de 15 de febrero, FJ 14).</w:t>
      </w:r>
    </w:p>
    <w:p w:rsidR="008B3772" w:rsidRDefault="008B3772" w:rsidP="008B3772">
      <w:pPr>
        <w:pStyle w:val="TextoNormal"/>
      </w:pPr>
    </w:p>
    <w:p w:rsidR="008B3772" w:rsidRDefault="008B3772" w:rsidP="008B3772">
      <w:pPr>
        <w:pStyle w:val="TextoNormal"/>
      </w:pPr>
      <w:r>
        <w:lastRenderedPageBreak/>
        <w:t>Por todo lo cual, tras haberse dictado la STC 38/2007 la presente cuestión de inconstitucionalidad resulta notoriamente infundada.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Inadmitir a trámite la presente cuestión de inconstitucionalidad núm. 163-2007, presentada por la Sala de lo Social del Tribunal Superior de Justicia de Canarias en el recurso de suplicación núm. 447-2006.</w:t>
      </w:r>
    </w:p>
    <w:p w:rsidR="008B3772" w:rsidRDefault="008B3772" w:rsidP="008B3772">
      <w:pPr>
        <w:pStyle w:val="TextoNormal"/>
      </w:pPr>
    </w:p>
    <w:p w:rsidR="008B3772" w:rsidRDefault="008B3772" w:rsidP="008B3772">
      <w:pPr>
        <w:pStyle w:val="TextoNormal"/>
      </w:pPr>
      <w:r>
        <w:t>Madrid, a veintitrés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22" w:name="AUTO_2007_258"/>
      <w:r>
        <w:lastRenderedPageBreak/>
        <w:t>AUTO 258/2007, de 23 de mayo de 2007</w:t>
      </w:r>
    </w:p>
    <w:bookmarkEnd w:id="122"/>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ECLI:ES:TC:2007:258A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Acuerda denegar la suspensión en el conflicto positivo de competencias 1301-2007, planteado por el Consejo de Gobierno de la Comunidad de Madrid en relación con el Real Decreto 1301/2006, de 10 de noviembre, por el que se establecen normas de calidad y seguridad de células y tejidos humanos.</w:t>
      </w:r>
    </w:p>
    <w:p w:rsidR="008B3772" w:rsidRDefault="008B3772" w:rsidP="008B3772">
      <w:pPr>
        <w:pStyle w:val="SntesisDescriptiva"/>
      </w:pPr>
    </w:p>
    <w:p w:rsidR="008B3772" w:rsidRDefault="008B3772" w:rsidP="008B3772">
      <w:pPr>
        <w:pStyle w:val="SntesisAnaltica"/>
      </w:pPr>
      <w:r>
        <w:t>Suspensión de disposiciones del Gobierno: denegación de la suspensión.</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este Tribunal el día 14 de febrero de 2007, el Letrado de la Comunidad de Madrid, en la representación que legalmente ostenta, promueve conflicto positivo de competencia contra el Real Decreto 1301/2006, de 10 de noviembre, por el que se establecen las normas de calidad y seguridad para la donación, la obtención, la evaluación, el procesamiento, la preservación, el almacenamiento y la distribución de células y tejidos humanos y se aprueban las normas de coordinación y funcionamiento para su uso en humanos.</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Por otrosí el Letrado de la Comunidad de Madrid solicita, al amparo de lo previsto en el art. 64.3 LOTC, la suspensión de la vigencia de la totalidad del Real Decreto 1301/2006 o, subsidiariamente, de sus arts. 3.5, 13, 14.2, 25, 26.2 y 4, 28, 30.2 y 35.4 y 6, por entender que el mantenimiento de la efectividad de la resolución impugnada o de los preceptos citados podría producir perjuicios de imposible o difícil reparación. Al respecto formula las siguientes alegaciones: </w:t>
      </w:r>
    </w:p>
    <w:p w:rsidR="008B3772" w:rsidRDefault="008B3772" w:rsidP="008B3772">
      <w:pPr>
        <w:pStyle w:val="TextoNormal"/>
      </w:pPr>
      <w:r>
        <w:t xml:space="preserve">Comienza señalando la doctrina constitucional en relación con este incidente, en virtud de la cual resulta necesario que se acrediten por la parte actora los perjuicios de imposible o difícil reparación o, cuando menos, se razone convincentemente sobre su existencia y las dificultades que entrañe su reparación. Asimismo indica también la posibilidad de alegar que la situación perjudicial que se trata de evitar como posible sea mayor que la que se produce con la suspensión. Conforme a tales criterios considera que el mantenimiento de la efectividad del Real Decreto 1301/2006, de 10 de noviembre, causaría perjuicios de imposible o difícil reparación al propio orden constitucional de distribución de competencias, dada la clara apariencia de nulidad de pleno derecho de la norma por falta de habilitación o </w:t>
      </w:r>
      <w:r>
        <w:lastRenderedPageBreak/>
        <w:t xml:space="preserve">fundamento legal para dictarla y por la imposibilidad de que las Comunidades Autónomas, y en particular la Comunidad de Madrid, puedan desarrollar reglamentariamente esta normativa y ejercer sus competencias ejecutivas conforme a sus propias políticas sanitarias, en especial en lo relativo a la restrictiva regulación de los bancos o establecimientos privados de tejidos destinados a una eventual aplicación a la propia persona del donante (el denominado uso autólogo). </w:t>
      </w:r>
    </w:p>
    <w:p w:rsidR="008B3772" w:rsidRDefault="008B3772" w:rsidP="008B3772">
      <w:pPr>
        <w:pStyle w:val="TextoNormal"/>
      </w:pPr>
      <w:r>
        <w:t>A continuación la representación procesal de la Comunidad de Madrid expone las notas fundamentales del régimen jurídico de los nuevos establecimientos o bancos privados de células y tejidos destinados al uso autólogo eventual, para concluir que, a la vista de la misma, es prácticamente inviable que existan empresas que decidan crear establecimientos o bancos privados de células y tejidos, vulnerándose con ello la libertad de empresa reconocida en el art. 38 CE y las legítimas expectativas de los ciudadanos en relación con la conservación de las células contenidas en la sangre de los cordones umbilicales, cuestión fuertemente vinculada al principio de protección integral de la familia y de los hijos (art. 39 CE) y al derecho a la protección de la salud (art.43 CE).</w:t>
      </w:r>
    </w:p>
    <w:p w:rsidR="008B3772" w:rsidRDefault="008B3772" w:rsidP="008B3772">
      <w:pPr>
        <w:pStyle w:val="TextoNormal"/>
      </w:pPr>
    </w:p>
    <w:p w:rsidR="008B3772" w:rsidRDefault="008B3772" w:rsidP="008B3772">
      <w:pPr>
        <w:pStyle w:val="TextoNormal"/>
      </w:pPr>
      <w:r w:rsidRPr="008B3772">
        <w:rPr>
          <w:rStyle w:val="NumeroAFNegritaCaracter"/>
        </w:rPr>
        <w:t>3</w:t>
      </w:r>
      <w:r>
        <w:t>. La Sección Cuarta del Tribunal Constitucional, por providencia de 27 de febrero de 2007, acordó admitir a trámite el conflicto positivo de competencia promovido por el Consejo de Gobierno de la Comunidad de Madrid; dar traslado de la demanda y documentos presentados al Gobierno de la Nación, por conducto de su Presidente, al objeto de que en el plazo de veinte días aporte cuantos documentos y alegaciones considere convenientes; oír al Gobierno de la Nación, para que, en ese mismo plazo de veinte días, efectúe las alegaciones que estime oportunas en lo relativo a la suspensión del Real Decreto solicitado en la demanda por la parte actora; comunicar la incoación del conflicto a la Sala Tercera de lo Contencioso-Administrativo del Tribunal Supremo, por si ante la misma estuviera impugnado o se impugnare el citado Real Decreto, en cuyo caso se suspenderá el curso del proceso hasta la decisión del conflicto, según dispone el art. 61.2 LOTC, y publicar la incoación del conflicto en el Boletín Oficial del Estado y en el Boletín Oficial de la Comunidad de Madrid.</w:t>
      </w:r>
    </w:p>
    <w:p w:rsidR="008B3772" w:rsidRDefault="008B3772" w:rsidP="008B3772">
      <w:pPr>
        <w:pStyle w:val="TextoNormal"/>
      </w:pPr>
    </w:p>
    <w:p w:rsidR="008B3772" w:rsidRDefault="008B3772" w:rsidP="008B3772">
      <w:pPr>
        <w:pStyle w:val="TextoNormal"/>
      </w:pPr>
      <w:r w:rsidRPr="008B3772">
        <w:rPr>
          <w:rStyle w:val="NumeroAFNegritaCaracter"/>
        </w:rPr>
        <w:t>4</w:t>
      </w:r>
      <w:r>
        <w:t>. Por escrito registrado en este Tribunal Constitucional el día 7 de marzo de 2007 el Abogado del Estado, en la representación que ostenta, se personó en el procedimiento solicitando una prórroga de diez días del plazo inicialmente concedido para formular alegaciones. Mediante providencia de 12 de marzo de 2007 de la Sección Cuarta de este Tribunal Constitucional se tuvo por personado y parte al Abogado del Estado, en representación del Gobierno, accediéndose, asimismo, a la prórroga solicitada.</w:t>
      </w:r>
    </w:p>
    <w:p w:rsidR="008B3772" w:rsidRDefault="008B3772" w:rsidP="008B3772">
      <w:pPr>
        <w:pStyle w:val="TextoNormal"/>
      </w:pPr>
    </w:p>
    <w:p w:rsidR="008B3772" w:rsidRDefault="008B3772" w:rsidP="008B3772">
      <w:pPr>
        <w:pStyle w:val="TextoNormal"/>
      </w:pPr>
      <w:r w:rsidRPr="008B3772">
        <w:rPr>
          <w:rStyle w:val="NumeroAFNegritaCaracter"/>
        </w:rPr>
        <w:t>5</w:t>
      </w:r>
      <w:r>
        <w:t>. El Abogado del Estado presenta su escrito de alegaciones en el Registro del Tribunal Constitucional el día 16 de abril de 2007. En dicho escrito se opone a la demanda y solicita que se dicte sentencia desestimando el conflicto planteado en todos sus extremos y declarando la constitucionalidad del Real Decreto 1301/2006.</w:t>
      </w:r>
    </w:p>
    <w:p w:rsidR="008B3772" w:rsidRDefault="008B3772" w:rsidP="008B3772">
      <w:pPr>
        <w:pStyle w:val="TextoNormal"/>
      </w:pPr>
    </w:p>
    <w:p w:rsidR="008B3772" w:rsidRDefault="008B3772" w:rsidP="008B3772">
      <w:pPr>
        <w:pStyle w:val="TextoNormal"/>
      </w:pPr>
      <w:r w:rsidRPr="008B3772">
        <w:rPr>
          <w:rStyle w:val="NumeroAFNegritaCaracter"/>
        </w:rPr>
        <w:t>6</w:t>
      </w:r>
      <w:r>
        <w:t xml:space="preserve">. Mediante otrosí el Abogado del Estado se opone a la suspensión del Real Decreto 1301/2006 y, subsidiariamente, de sus arts. 3.5, 13, 14.2, 25, 26.2 y 4, 28, 30.2 y 35.4 y 6, solicitadas ambas por el Letrado de la Comunidad de Madrid en su escrito de promoción. Tal oposición se fundamenta en las siguientes alegaciones: </w:t>
      </w:r>
    </w:p>
    <w:p w:rsidR="008B3772" w:rsidRDefault="008B3772" w:rsidP="008B3772">
      <w:pPr>
        <w:pStyle w:val="TextoNormal"/>
      </w:pPr>
      <w:r>
        <w:lastRenderedPageBreak/>
        <w:t xml:space="preserve">Señala inicialmente que, de conformidad con la doctrina constitucional en relación con la medida cautelar de suspensión, no basta con la mera invocación de los pretendidos perjuicios sino que estos han de ser acreditados, ya que, en caso contrario, juega la presunción de la constitucionalidad de la norma o acto objeto de conflicto. A ello ha de añadirse la necesidad de ponderar adecuadamente los intereses implicados, tanto el general y público como el particular de las personas afectadas, en relación con los perjuicios que se irrogan de la suspensión, debiendo efectuarse esta valoración al margen de la viabilidad de las cuestiones que se formulan en la demanda y siendo carga de quien insta la suspensión acreditar los perjuicios que aduce. </w:t>
      </w:r>
    </w:p>
    <w:p w:rsidR="008B3772" w:rsidRDefault="008B3772" w:rsidP="008B3772">
      <w:pPr>
        <w:pStyle w:val="TextoNormal"/>
      </w:pPr>
      <w:r>
        <w:t xml:space="preserve">A continuación considera que la alegación relativa a la eventual nulidad de pleno derecho del Real Decreto 1301/2006 y a su imposibilidad de desarrollo por las Comunidades Autónomas no hace sino reiterar la cuestión de fondo que plantea en el mismo escrito de demanda, por lo que dicha alegación debería ser rechazada. Por otra parte entiende que no resultan acreditados los graves perjuicios de reparación imposible que se irrogarían a los ciudadanos y a las empresas por la restrictiva regulación de los establecimientos privados de tejidos destinados al uso autólogo eventual. De este modo se incumple la carga de argumentación que recae sobre la parte actora, puesto que la demanda se limita a relacionar los aspectos fundamentales del régimen jurídico de este tipo de establecimientos y a considerar genéricamente que tal regulación hace inviable que existan empresas que vayan a dedicarse a esta actividad, frustrando así las expectativas de los ciudadanos en relación a la conservación de las células progenitoras hematopoyéticas contenidas en la sangre de los cordones umbilicales. Frente a estas afirmaciones el Abogado del Estado considera que no se producen daños irreparables a la libertad de empresa ni para el interés general, puesto que el Real Decreto 1301/2006 no impide que puedan implantarse establecimientos de titularidad privada para el depósito de sangre de cordón umbilical, siempre que cumplan los requisitos reglamentariamente establecidos, ni tampoco que se pueda depositar la misma en un banco en el exterior, siempre que el centro donde se extraiga y el centro extranjero tengan autorización para el ejercicio de esa actividad, a lo que debe añadirse la existencia de ocho bancos públicos de cordón umbilical en nuestro país en los que resulta posible depositar los cordones donados. </w:t>
      </w:r>
    </w:p>
    <w:p w:rsidR="008B3772" w:rsidRDefault="008B3772" w:rsidP="008B3772">
      <w:pPr>
        <w:pStyle w:val="TextoNormal"/>
      </w:pPr>
      <w:r>
        <w:t xml:space="preserve">Asimismo cita los pronunciamientos del Tribunal Supremo (Auto de 22 de febrero de 2007, que deniega la suspensión solicitada por la mercantil Vidacord, S.L., recurrente del Real Decreto 1301/2006) y del Tribunal Superior de Justicia de Madrid (Autos de 4 de mayo y 8 de junio de 2006 que suspenden cautelarmente el Decreto de la Comunidad de Madrid 28/2006, de 23 de marzo, por el que se regula la constitución y régimen de funcionamiento de los depósitos de sangre procedentes de cordón umbilical, y la Orden 837/2006, de 6 de abril que desarrolla el anterior) relacionados directa o indirectamente con la suspensión que aquí se examina. </w:t>
      </w:r>
    </w:p>
    <w:p w:rsidR="008B3772" w:rsidRDefault="008B3772" w:rsidP="008B3772">
      <w:pPr>
        <w:pStyle w:val="TextoNormal"/>
      </w:pPr>
      <w:r>
        <w:t>Por último destaca el perjuicio que, para el interés general, daría lugar la suspensión de la vigencia del Real Decreto impugnado, en tanto que dicha suspensión dejaría sin control sanitario real y efectivo numerosas actividades previstas en el mismo y ello entrañaría un riesgo evidente para la salud de los ciudadanos así como evidentes perjuicios al interés general en materia de seguridad biológica, puesto que la normativa cuya suspensión se discute recoge los requisitos que deben cumplir los centros que deseen ser autorizados para obtener, procesar o utilizar tejidos y células de origen humano en humanos, así como establece los mínimos estándares técnicos aplicables a la evaluación, procesamiento y utilización de estos tejidos y células, adecuándolos al conocimiento científico actual.</w:t>
      </w:r>
    </w:p>
    <w:p w:rsidR="008B3772" w:rsidRDefault="008B3772" w:rsidP="008B3772">
      <w:pPr>
        <w:pStyle w:val="TextoNormal"/>
      </w:pPr>
    </w:p>
    <w:p w:rsidR="008B3772" w:rsidRDefault="008B3772" w:rsidP="008B3772">
      <w:pPr>
        <w:pStyle w:val="TextoNormalNegritaCentrado"/>
        <w:keepNext/>
      </w:pPr>
      <w:r>
        <w:lastRenderedPageBreak/>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objeto de esta resolución es determinar si procede, de acuerdo con lo regulado en el art.  64.3 LOTC, acordar la suspensión de la vigencia del Real Decreto 1301/2006, de 10 de noviembre, por el que se establecen las normas de calidad y seguridad para la donación, la obtención, la evaluación, el procesamiento, la preservación, el almacenamiento y la distribución de células y tejidos humanos y se aprueban las normas de coordinación y funcionamiento para su uso en humanos o, subsidiariamente, la de sus arts. 3.5, 13, 14.2, 25, 26.2 y 4, 28, 30.2 y 35.4 y 6. Dicha suspensión ha sido solicitada por la representación procesal del Consejo de Gobierno de la Comunidad de Madrid en su escrito de formalización del conflicto positivo de competencia frente a dicho Real Decreto.</w:t>
      </w:r>
    </w:p>
    <w:p w:rsidR="008B3772" w:rsidRDefault="008B3772" w:rsidP="008B3772">
      <w:pPr>
        <w:pStyle w:val="TextoNormal"/>
      </w:pPr>
    </w:p>
    <w:p w:rsidR="008B3772" w:rsidRDefault="008B3772" w:rsidP="008B3772">
      <w:pPr>
        <w:pStyle w:val="TextoNormal"/>
      </w:pPr>
      <w:r w:rsidRPr="008B3772">
        <w:rPr>
          <w:rStyle w:val="NumeroAFNegritaCaracter"/>
        </w:rPr>
        <w:t>2</w:t>
      </w:r>
      <w:r>
        <w:t>. Según una consolidada jurisprudencia constitucional recaída en este tipo de incidentes la suspensión de la disposición o acto objeto de un conflicto positivo de competencia es una medida cautelar dirigida a prevenir las repercusiones perjudiciales que fueran consecuencia de la ejecución de aquellas decisiones durante la tramitación del proceso, por poderse generar situaciones de imposible o difícil reparación para los intereses comprometidos. Es preciso ponderar, de un lado, los intereses en presencia, tanto el general y público como el particular y privado de terceras personas afectadas, y, de otro, los perjuicios de imposible o difícil reparación que la medida, según su sentido, pudiera deparar. Una ponderación que debe efectuarse mediante el estricto examen de las situaciones de hecho creadas por los preceptos discutidos y al margen de la viabilidad de las pretensiones que en la demanda se formulan, pues la interpretación de las reglas de deslinde competencial que al caso hagan debe, obviamente, quedar diferida a la sentencia que resuelva la controversia competencial. Por último, no es ocioso recordar que no basta para decidir la suspensión la mera invocación de aquellos perjuicios, sino que es preciso demostrar o, al menos, razonar consistentemente su procedencia y la imposible o difícil reparación de los mismos, ya que debe partirse, en principio, de la existencia de una presunción de constitucionalidad en favor de las normas o actos objeto de conflicto (AATC 472/1988, 589/1988, 285/1990, 266/1994, 267/1994, 39/1995) (ATC 156/1996, de 11 de junio, FJ1).</w:t>
      </w:r>
    </w:p>
    <w:p w:rsidR="008B3772" w:rsidRDefault="008B3772" w:rsidP="008B3772">
      <w:pPr>
        <w:pStyle w:val="TextoNormal"/>
      </w:pPr>
      <w:r>
        <w:t>Esta doctrina, establecida en principio en resoluciones en las que nos pronunciábamos sobre el levantamiento o el mantenimiento de la suspensión de disposiciones o actos dictados por las Comunidades Autónomas que se encontraban suspendidas ex art.  161.2 CE, resulta también de plena aplicación cuando han sido las propias Comunidades Autónomas las que han solicitado la suspensión de normas o resoluciones estatales impugnadas (entre otros, AATC 147/2001, de 5 de junio; 162/2001, de 19 de junio; 190/2003, de 3 de junio; 295/2003, de 16 de septiembre o 314/2003, de 30 de septiembre).</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El Real Decreto 1301/2006, de 10 de noviembre, tiene por objeto, de acuerdo con su art.  1, regular las actividades relacionadas con la utilización de células y tejidos humanos y los productos elaborados derivados de ellos, cuando están destinados a ser aplicados en el ser humano. Las actividades reguladas incluyen su donación, obtención, evaluación, procesamiento, preservación, almacenamiento, distribución, aplicación e investigación clínica. Todo ello, de acuerdo con el preámbulo de la norma, con el objetivo de asegurar la calidad y la seguridad de las células y tejidos utilizados que eviten la transmisión de enfermedades y faciliten su utilización terapéutica. Por otra parte la norma en cuestión persigue el establecimiento de criterios transparentes y objetivos de acceso a estas células y tejidos sobre la </w:t>
      </w:r>
      <w:r>
        <w:lastRenderedPageBreak/>
        <w:t>base de una evaluación objetiva de las necesidades médicas, así como fomentar una participación destacada del sector público y de las organizaciones sin ánimo de lucro en la prestación de los servicios de utilización de células y tejidos humanos.</w:t>
      </w:r>
    </w:p>
    <w:p w:rsidR="008B3772" w:rsidRDefault="008B3772" w:rsidP="008B3772">
      <w:pPr>
        <w:pStyle w:val="TextoNormal"/>
      </w:pPr>
      <w:r>
        <w:t>En concreto los arts. 3.5, 13, 14.2, 25, 26.2 y 4, 28, 30.2 y 35.4 y 6 del citado Real Decreto, cuya suspensión ha solicitado subsidiariamente el Letrado de la Comunidad de Madrid, regulan cuestiones tales como el carácter no lucrativo de los establecimientos dedicados a las actividades previstas en la norma; la articulación de un sistema de recogida y custodia de la información para la donación, obtención, procesamiento, almacenamiento, distribución y aplicación de células y tejidos humanos; el sometimiento de las anteriores actividades a un régimen de autorización administrativa especifica para cada actividad y tipo de tejido o grupo celular, así como su notificación a la Organización Nacional de Transplantes, y la fijación de previsiones relativas al ámbito temporal y subjetivo de la inspección.</w:t>
      </w:r>
    </w:p>
    <w:p w:rsidR="008B3772" w:rsidRDefault="008B3772" w:rsidP="008B3772">
      <w:pPr>
        <w:pStyle w:val="TextoNormal"/>
      </w:pPr>
      <w:r>
        <w:t>El Letrado de la Comunidad de Madrid solicita la suspensión del Real Decreto impugnado o, subsidiariamente, de los preceptos del mismo a los que ya se ha hecho referencia, en el entendimiento de que la norma cuestionada presenta una manifiesta apariencia de nulidad de pleno derecho por la falta de fundamento legal de la misma con la consiguiente vulneración de los principios de legalidad, jerarquía normativa y de reserva de ley. Esos perjuicios se concretan materialmente en la imposibilidad de que las Comunidades Autónomas puedan ejercer sus competencias normativas y ejecutivas conforme a sus propias políticas sanitarias. En particular la representación procesal de la Comunidad de Madrid destaca en su alegato que la regulación de los bancos o establecimientos privados destinados al uso autólogo habitual es tan restrictiva que produce perjuicios de imposible reparación, tanto para las empresas, puesto que hace prácticamente inviable que existan empresas que decidan crear este tipo de establecimientos, como para los ciudadanos, por la frustración de la expectativas vinculadas a la conservación de las células progenitoras hematopoyéticas contenidas en la sangre de los cordones umbilicales.</w:t>
      </w:r>
    </w:p>
    <w:p w:rsidR="008B3772" w:rsidRDefault="008B3772" w:rsidP="008B3772">
      <w:pPr>
        <w:pStyle w:val="TextoNormal"/>
      </w:pPr>
      <w:r>
        <w:t>Por el contrario el Abogado del Estado entiende que no se justifica en modo alguno la procedencia de la suspensión solicitada, puesto que las alegaciones presentadas se refieren al fondo del asunto, sin que se haya cumplido la carga de acreditar o demostrar los pretendidos perjuicios, en particular en lo relativo al régimen jurídico de los nuevos establecimientos o bancos privados de células y tejidos destinados al uso autólogo eventual. Por otra parte, en su opinión, la suspensión de la vigencia del Real Decreto 1301/2006 provocaría un perjuicio cierto e irreparable para la salud pública, en tanto que dicha suspensión afectaría al necesario control sanitario de numerosas actividades relacionadas con las células y tejidos humanos.</w:t>
      </w:r>
    </w:p>
    <w:p w:rsidR="008B3772" w:rsidRDefault="008B3772" w:rsidP="008B3772">
      <w:pPr>
        <w:pStyle w:val="TextoNormal"/>
      </w:pPr>
    </w:p>
    <w:p w:rsidR="008B3772" w:rsidRDefault="008B3772" w:rsidP="008B3772">
      <w:pPr>
        <w:pStyle w:val="TextoNormal"/>
      </w:pPr>
      <w:r w:rsidRPr="008B3772">
        <w:rPr>
          <w:rStyle w:val="NumeroAFNegritaCaracter"/>
        </w:rPr>
        <w:t>4</w:t>
      </w:r>
      <w:r>
        <w:t xml:space="preserve">. La petición de suspensión formulada por la representación procesal de la Comunidad de Madrid se fundamenta en la consideración de que la vigencia del Real Decreto impugnado produciría perjuicios de imposible o difícil reparación tanto para los intereses públicos comprometidos como para los propios ciudadanos. Al respecto es doctrina reiterada de este Tribunal Constitucional que ha de rechazarse en el presente trámite cualquier tipo de consideración relativa al fondo de la cuestión litigiosa o, lo que es lo mismo, a la decisión sobre la titularidad de la competencia controvertida, la cual ha de quedar al margen de la resolución que ahora vayamos a adoptar. Como señala el ATC 314/2003, de 30 de septiembre, “de lo que en este incidente se trata, no es de vindicar o defender la titularidad de la competencia discutida, sino de alegar y acreditar los perjuicios irreparables o de difícil reparación que se producirían, en concreto, por la vigencia de los preceptos impugnados durante el </w:t>
      </w:r>
      <w:r>
        <w:lastRenderedPageBreak/>
        <w:t>tiempo que dure el proceso constitucional (AATC 12/1992, 103/1994). Además, los perjuicios meramente invocados, que se cifrarían en la eventual invasión de la competencia autonómica y, por consiguiente, en la privación de su ejercicio, no son reales, actuales y efectivos, sino potenciales e hipotéticos, cuya verosimilitud resultaría condicionada, en primer término, a que en su momento se declarara de titularidad de la actora la competencia controvertida y, en segundo término, al alcance de los efectos de la Sentencia que resuelva la controversia competencial, no demostrándose en todo caso que, de llegar a existir, fuesen irreversibles y, por ende, irreparables (ATC 156/1996, de 11 de junio, FJ 3. En igual sentido, AATC 147/2001, de 5 de junio, FJ 3 y 162/2001, de 19 de junio, FJ 4)”.</w:t>
      </w:r>
    </w:p>
    <w:p w:rsidR="008B3772" w:rsidRDefault="008B3772" w:rsidP="008B3772">
      <w:pPr>
        <w:pStyle w:val="TextoNormal"/>
      </w:pPr>
      <w:r>
        <w:t>El Letrado de la Comunidad de Madrid no concreta en su alegato los perjuicios que produciría la vigencia del Real Decreto 1301/2006 más allá de plantear su discrepancia con respecto al contenido del mismo, por considerar que impide el desarrollo de las competencias autonómicas. Sin embargo esa alegación supone una valoración relativa a la cuestión controvertida que, como tal, deberá ser resuelta en el proceso principal, resultando, por tanto, ajena y no vinculada al incidente cautelar, en el que la petición de suspensión debe resolverse al margen de las controversias de fondo planteadas en el escrito de demanda. Por ello no procede acordar la solicitada suspensión de la totalidad del Real Decreto 1301/2006.</w:t>
      </w:r>
    </w:p>
    <w:p w:rsidR="008B3772" w:rsidRDefault="008B3772" w:rsidP="008B3772">
      <w:pPr>
        <w:pStyle w:val="TextoNormal"/>
      </w:pPr>
    </w:p>
    <w:p w:rsidR="008B3772" w:rsidRDefault="008B3772" w:rsidP="008B3772">
      <w:pPr>
        <w:pStyle w:val="TextoNormal"/>
      </w:pPr>
      <w:r w:rsidRPr="008B3772">
        <w:rPr>
          <w:rStyle w:val="NumeroAFNegritaCaracter"/>
        </w:rPr>
        <w:t>5</w:t>
      </w:r>
      <w:r>
        <w:t>. Subsidiariamente la representación procesal de la Comunidad de Madrid solicita la suspensión de los arts. 3.5, 13, 14.2, 25, 26.2 y 4, 28, 30.2 y 35.4 y 6 del Real Decreto 1301/2006, basándose en la consideración que la regulación contenida en estos preceptos va a hacer inviable la existencia de establecimientos o bancos privados de células y tejidos, lo que determina la vulneración del principio de libertad de empresa del art. 38 CE, así como la frustración de las expectativas de los ciudadanos en relación con la actividad de dichos establecimientos privados. En tal sentido ha de recordarse que, conforme a la doctrina de este Tribunal Constitucional (ATC 285/1990, de 11 de julio, FJ1), no es suficiente la mera invocación de perjuicios, sino que sobre el solicitante de la suspensión pesa la carga de acreditar o, cuando menos, razonar convincentemente la existencia de los perjuicios que aduce y las dificultades que entraña su reparación, ya que, en caso contrario, ha de prevalecer la presunción de constitucionalidad de los preceptos controvertidos. Al respecto ha de advertirse que los preceptos en cuestión no impiden el funcionamiento de los citados bancos o establecimientos privados, sino que únicamente exigen que éstos cumplan los requisitos establecidos en la norma que constituye el objeto del conflicto positivo de competencia.  Precisamente en la discrepancia con respecto a tales requisitos fundamenta el Letrado de la Comunidad de Madrid su alegato de suspensión, si bien en cuanto a los pretendidos perjuicios que causaría la vigencia de los concretos preceptos cuya suspensión se solicita únicamente se realizan invocaciones genéricas, relativas a la vulneración de la libertad de empresa y a la defraudación de las expectativas de los ciudadanos. En este sentido no han sido concretados ni acreditados los perjuicios derivados de ambas circunstancias y la gravedad de los mismos, y, por tanto, no ha resultado desvirtuada la presunción de constitucionalidad en favor de la norma objeto de conflicto (entre otros muchos AATC 329/1992, de 27 de octubre; 243/1993, de 13 de julio; 46/1994, de 8 de febrero; 39/1995, de 31 de enero; 25/1996, de 17 de septiembre; 231/1997, de 24 de junio; 44/1998, de 19 de febrero; 287/1999, de 30 de noviembre; 199/2000, de 25 de julio; 66/2001, de 27 de marzo; 171/2002, de 1 de octubre; 71/2003, de 26 de febrero y 264/2003, de 15 de julio), sin que ello suponga pronunciamiento alguno sobre el fondo del asunto.</w:t>
      </w:r>
    </w:p>
    <w:p w:rsidR="008B3772" w:rsidRDefault="008B3772" w:rsidP="008B3772">
      <w:pPr>
        <w:pStyle w:val="TextoNormal"/>
      </w:pPr>
      <w:r>
        <w:t xml:space="preserve">Por el contrario la suspensión de los preceptos cuestionados durante la tramitación del presente proceso constitucional irrogaría evidentes perjuicios para el interés general, en </w:t>
      </w:r>
      <w:r>
        <w:lastRenderedPageBreak/>
        <w:t>cuanto que quedarían sin regulación numerosas actividades relacionadas con la aplicación terapéutica de células y tejidos humanos, con el consiguiente riesgo para la salud pública.</w:t>
      </w:r>
    </w:p>
    <w:p w:rsidR="008B3772" w:rsidRDefault="008B3772" w:rsidP="008B3772">
      <w:pPr>
        <w:pStyle w:val="TextoNormal"/>
      </w:pPr>
      <w:r>
        <w:t>En consecuencia, y de acuerdo con lo expuesto, no procede acceder a la suspensión solicitada subsidiariamente por el Consejo de Gobierno de la Comunidad de Madrid.</w:t>
      </w:r>
    </w:p>
    <w:p w:rsidR="008B3772" w:rsidRDefault="008B3772" w:rsidP="008B3772">
      <w:pPr>
        <w:pStyle w:val="TextoNormal"/>
      </w:pPr>
    </w:p>
    <w:p w:rsidR="008B3772" w:rsidRDefault="008B3772" w:rsidP="008B3772">
      <w:pPr>
        <w:pStyle w:val="TextoNormal"/>
      </w:pPr>
      <w:r>
        <w:t>Por lo expuesto, el Pleno</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No acceder a la suspensión de la vigencia del Real Decreto 1301/2006, de 10 de noviembre, por el que se establecen las normas de calidad y seguridad para la donación, la obtención, la evaluación, el procesamiento, la preservación, el almacenamiento y la</w:t>
      </w:r>
    </w:p>
    <w:p w:rsidR="008B3772" w:rsidRDefault="008B3772" w:rsidP="008B3772">
      <w:pPr>
        <w:pStyle w:val="TextoNormal"/>
      </w:pPr>
      <w:r>
        <w:t>distribución de células y tejidos humanos y se aprueban las normas de coordinación y funcionamiento para su uso en humanos, ni a la de sus arts. 3.5, 13, 14.2, 25, 26.2 y 4, 28, 30.2 y 35.4 y 6.</w:t>
      </w:r>
    </w:p>
    <w:p w:rsidR="008B3772" w:rsidRDefault="008B3772" w:rsidP="008B3772">
      <w:pPr>
        <w:pStyle w:val="TextoNormal"/>
      </w:pPr>
    </w:p>
    <w:p w:rsidR="008B3772" w:rsidRDefault="008B3772" w:rsidP="008B3772">
      <w:pPr>
        <w:pStyle w:val="TextoNormal"/>
      </w:pPr>
      <w:r>
        <w:t>Madrid, a veintitrés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23" w:name="AUTO_2007_259"/>
      <w:r>
        <w:lastRenderedPageBreak/>
        <w:t>AUTO 259/2007, de 24 de mayo de 2007</w:t>
      </w:r>
    </w:p>
    <w:bookmarkEnd w:id="123"/>
    <w:p w:rsidR="008B3772" w:rsidRDefault="008B3772" w:rsidP="008B3772">
      <w:pPr>
        <w:pStyle w:val="TtuloResolucin"/>
      </w:pPr>
      <w:r>
        <w:t>Sección Primera</w:t>
      </w:r>
    </w:p>
    <w:p w:rsidR="008B3772" w:rsidRDefault="008B3772" w:rsidP="008B3772">
      <w:pPr>
        <w:pStyle w:val="TtuloResolucin"/>
      </w:pPr>
    </w:p>
    <w:p w:rsidR="008B3772" w:rsidRDefault="008B3772" w:rsidP="008B3772">
      <w:pPr>
        <w:pStyle w:val="SntesisDescriptiva"/>
      </w:pPr>
      <w:r>
        <w:t>ECLI:ES:TC:2007:259A</w:t>
      </w:r>
    </w:p>
    <w:p w:rsidR="008B3772" w:rsidRDefault="008B3772" w:rsidP="008B3772">
      <w:pPr>
        <w:pStyle w:val="SntesisDescriptiva"/>
      </w:pPr>
    </w:p>
    <w:p w:rsidR="008B3772" w:rsidRDefault="008B3772" w:rsidP="008B3772">
      <w:pPr>
        <w:pStyle w:val="SntesisDescriptiva"/>
      </w:pPr>
      <w:r>
        <w:t>Excms. Srs. doña María Emilia Casas Baamonde, don Javier Delgado Barrio y don Manuel Aragón Reyes.</w:t>
      </w:r>
    </w:p>
    <w:p w:rsidR="008B3772" w:rsidRDefault="008B3772" w:rsidP="008B3772">
      <w:pPr>
        <w:pStyle w:val="SntesisDescriptiva"/>
      </w:pPr>
    </w:p>
    <w:p w:rsidR="008B3772" w:rsidRDefault="008B3772" w:rsidP="008B3772">
      <w:pPr>
        <w:pStyle w:val="SntesisDescriptiva"/>
      </w:pPr>
      <w:r>
        <w:t>Inadmite a trámite el recurso de amparo 1207-2005, promovido por las Juntas Generales de Guipúzcoa en contencioso acerca de normas forales de 1996, reguladoras del impuesto sobre sociedades.</w:t>
      </w:r>
    </w:p>
    <w:p w:rsidR="008B3772" w:rsidRDefault="008B3772" w:rsidP="008B3772">
      <w:pPr>
        <w:pStyle w:val="SntesisDescriptiva"/>
      </w:pPr>
    </w:p>
    <w:p w:rsidR="008B3772" w:rsidRDefault="008B3772" w:rsidP="008B3772">
      <w:pPr>
        <w:pStyle w:val="SntesisAnaltica"/>
      </w:pPr>
      <w:r>
        <w:t>Agotamiento de recursos en la vía judicial: ATC 256/2007.</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día 22 de febrero de 2005 tuvo entrada en el Registro General de este Tribunal Constitucional un escrito de la Procuradora de los Tribunales doña Rocío Martín Echagüe, en nombre y representación de las Juntas Generales de Guipúzcoa, por el que interponía un recurso de amparo contra la Sentencia de la Sección Segunda de la Sala Tercera del Tribunal Supremo, de fecha 9 de diciembre de 2004 (recurso núm. 7893-1999), en materia de Normas Forales de Guipúzcoa, Vizcaya y Álava de 1996, reguladoras del impuesto sobre sociedades de los Territorios Históricos, por supuesta vulneración de su derecho a la tutela judicial efectiva (art. 24.1 CE), al juez ordinario predeterminado por la ley (art. 24.2 CE) y a un proceso con todas las garantías (art. 24.2 CE).</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Los antecedentes de hecho del planteamiento del presente recurso de amparo son los siguientes: </w:t>
      </w:r>
    </w:p>
    <w:p w:rsidR="008B3772" w:rsidRDefault="008B3772" w:rsidP="008B3772">
      <w:pPr>
        <w:pStyle w:val="TextoNormal"/>
      </w:pPr>
      <w:r>
        <w:t xml:space="preserve">a) La Federación de Empresarios de La Rioja presentó el día 10 de septiembre de 1996 un recurso contencioso-administrativo (núm. 3753-1996) ante la Sección Primera de la Sala de lo Contencioso-Administrativo del Tribunal Superior de Justicia del País Vasco, contra las Normas Forales de las Juntas Generales de Guipúzcoa 7/1996, de 4 de julio, Vizcaya 3/1996, de 26 de junio, y Álava 24/1996, de 5 de julio, reguladoras del impuesto sobre sociedades en cada uno de los Territorios Históricos. En el recurso se solicitaba la declaración de nulidad de las citadas normas forales y, subsidiariamente, la de los arts. 5 (estimación de rentas), 11 (correcciones de valor: amortizaciones), 12 (correcciones de valor: pérdida de valor de los elementos patrimoniales), 13 (provisión para riesgos y gastos), 14 (gastos no deducibles), 15 (reglas de valoración: regla general y reglas especiales en los supuestos de transmisiones lucrativas y operaciones societarias), 19 (tratamiento de la doble imposición internacional en dividendos y participaciones en beneficios), 24 (compensación de bases imponibles negativas), 26 (reducciones en la base imponible: empresas de nueva creación), 29 (tipo de gravamen), 34 (deducción para evitar la doble imposición internacional: impuesto soportado por el sujeto pasivo), 37 (deducción por inversiones en activos fijos </w:t>
      </w:r>
      <w:r>
        <w:lastRenderedPageBreak/>
        <w:t xml:space="preserve">materiales nuevos), 40 (adquisición de valores de renta variable), 41 (deducción por la realización de actividades de investigación y desarrollo), 42 (deducción por actividades de conservación y mejora del medio ambiente), 43 (deducción por actividades de exportación), 44 (deducción por gastos de formación profesional), 45 (deducción por creación de empleo), 49 (concepto de pequeña y mediana empresa), 50 (amortización del inmovilizado material nuevo), 52 (exención por reinversión), 53 (definición de centros de dirección, de coordinación y financieros), 54 (determinación de la imposición), 59 (sociedades y fondos de capital-riesgo), 60 (sociedades de promoción de empresas) y 117 (ámbito de aplicación del régimen de las entidades parcialmente exentas), de cada una de las normas forales. </w:t>
      </w:r>
    </w:p>
    <w:p w:rsidR="008B3772" w:rsidRDefault="008B3772" w:rsidP="008B3772">
      <w:pPr>
        <w:pStyle w:val="TextoNormal"/>
      </w:pPr>
      <w:r>
        <w:t xml:space="preserve">En este recurso actuaron como demandadas las Juntas Generales de Vizcaya, Guipúzcoa y Álava; como codemandadas las Diputaciones Forales de Vizcaya y Álava; y como coadyuvantes, el Gobierno Vasco, la Diputación Foral de Guipúzcoa, la Cámara de Comercio e Industria de Álava, la Cámara de Comercio, Industria y Navegación de Bilbao y la Confederación Empresarial Vasca (Confebask). </w:t>
      </w:r>
    </w:p>
    <w:p w:rsidR="008B3772" w:rsidRDefault="008B3772" w:rsidP="008B3772">
      <w:pPr>
        <w:pStyle w:val="TextoNormal"/>
      </w:pPr>
      <w:r>
        <w:t xml:space="preserve">b) Tramitado dicho recurso, por Sentencia núm. 718/99, de 30 de septiembre de 1999 se estimó parcialmente, declarando contrario a Derecho y, en consecuencia, anulando, el art. 26 (reducciones en la base imponible: empresas de nueva creación) de cada una de las disposiciones normativas forales impugnadas, desestimando el recurso en todo lo demás. Aunque el órgano judicial admite, desde la perspectiva del Derecho comunitario, que le asiste tanto la posibilidad de inaplicar, en su caso, las Normas Forales, cómo de plantear una cuestión prejudicial (al no constarle que hasta la fecha hubiese sido objeto de decisión prejudicial una cuestión materialmente idéntica), sin embargo, con base en la propia jurisprudencia comunitaria —que rechaza la remisión prejudicial de cuestiones en contextos procesales ficticios—, alcanza la conclusión de que “se está en presencia de un conflicto de Derecho netamente interno y resoluble por el juego de las propias normas y principios constitucionales y de legalidad ordinaria, excediendo de los intereses legitimantes y de las facultades concretas de dicha asociación suscitar una cuestión como la de la definición de las ‘ayudas de Estado’, que lo que pone en conflicto hipotético es la normativa tributaria vasca con la igualdad de trato, la libre competencia y el derecho al libre establecimiento por parte de empresas comunitarias, y no los principios y derechos fundamentales que los ciudadanos españoles pueden oponer al contenido de tales regulaciones fiscales (aunque sean de contenido similar)” (FJ 2); conflicto que le conduce a la anulación de aquel art. 26 (que establece una reducción de hasta el 99 por 100 en la base imponible del Impuesto sobre sociedades en los supuestos de inicio de actividades económicas), al entender que produce “una acusada exoneración del gravamen que afecta al deber básico de contribuir del art. 31.1 CE en conexión con el de capacidad económica, y puede predicarse de ella el carácter de medida desproporcionada e inidónea para obtener fines legítimos de promoción económica, por ser susceptible de afectar indirectamente a la libre circulación de personas y bienes y a la originación de unas condiciones de ventaja competitiva inasumibles” (FJ 7). </w:t>
      </w:r>
    </w:p>
    <w:p w:rsidR="008B3772" w:rsidRDefault="008B3772" w:rsidP="008B3772">
      <w:pPr>
        <w:pStyle w:val="TextoNormal"/>
      </w:pPr>
      <w:r>
        <w:t xml:space="preserve">c) Contra la anterior Sentencia se interpuso recurso de casación (núm. 7893-1999) ante la Sección Segunda de la Sala Tercera del Tribunal Supremo, tanto por la Federación de Empresarios de La Rioja y por las Diputaciones Forales de Vizcaya y Guipúzcoa, como por las Juntas Generales de los Territorios Históricos de Vizcaya y Guipúzcoa (la Confederación Empresarial Vasca, la Diputación Foral de Álava y las Juntas Generales de Álava desistieron de los recursos interpuestos en su momento). La Federación de Empresarios de La Rioja suplicaba nuevamente la anulación de las Normas Forales o, en su defecto, de los arts. 5, 11, 12, 13, 14, 15, 19, 24, 26, 29, 34, 37, 39, 40, 41, 42, 43, 44, 45, 49, 50, 52, 53, 54, 59, 60 y 117. Por su parte, la partes demandadas interesaban la revocación de la Sentencia del </w:t>
      </w:r>
      <w:r>
        <w:lastRenderedPageBreak/>
        <w:t xml:space="preserve">Tribunal Superior de Justicia del País Vasco, con declaración de conformidad a Derecho del art. 26 anulado de cada Norma Foral. </w:t>
      </w:r>
    </w:p>
    <w:p w:rsidR="008B3772" w:rsidRDefault="008B3772" w:rsidP="008B3772">
      <w:pPr>
        <w:pStyle w:val="TextoNormal"/>
      </w:pPr>
      <w:r>
        <w:t xml:space="preserve">d) Por Sentencia de 9 de diciembre de 2004, el Tribunal Supremo desestima los recursos de casación interpuestos tanto por las Diputaciones Forales de Vizcaya y Guipúzcoa como por las Juntas Generales de Vizcaya y Guipúzcoa, confirmando la nulidad del art. 26 (reducciones en la base imponible: empresas de nueva creación). Asimismo, estima el recurso de casación interpuesto por la Federación de Empresarios de La Rioja, revocando la Sentencia impugnada y, en su lugar, procede a anular los siguientes preceptos: art. 11 (correcciones de valor: amortizaciones); art. 14, apto 2.a) (deducción de las donaciones a las sociedades de promoción de empresas y las sociedades de desarrollo industrial regional); art. 15, apto 11 (deducción de la depreciación de bienes en el cálculo de las ganancias patrimoniales); art. 26 (reducciones en la base imponible para las empresas de nueva creación del 99, 75, 50 ó 25 por 100; art. 29, apto 1 a: Tipo general de gravamen de los sujetos pasivos por obligación personal de contribuir del 32,5 por 100); art. 37 (deducción del 10 por 100 de las inversiones en activos fijos materiales nuevos); art. 39 (deducción del 10 por 100 de las cantidades destinadas a una “reserva para inversiones productivas”); art. 40 (deducción del 5 por 100 por la adquisición de valores de renta variable); art. 45, apto 2.1 (libertad de amortización para el inmovilizado material existente y el de nueva adquisición); art. 49 (concepto de pequeña y mediana empresa); art. 53 (definición de centros de dirección, de coordinación y financieros); art. 54 (no inclusión en la base imponible de los dividendos percibidos de entidades no residentes en territorio español); y art. 60 (sociedades de promoción de empresas). </w:t>
      </w:r>
    </w:p>
    <w:p w:rsidR="008B3772" w:rsidRDefault="008B3772" w:rsidP="008B3772">
      <w:pPr>
        <w:pStyle w:val="TextoNormal"/>
      </w:pPr>
      <w:r>
        <w:t>e) Frente a la anterior Sentencia, las Juntas Generales de Guipúzcoa plantearon con fecha de 22 de febrero de 2005, de un lado, el presente recurso de amparo (núm. 1207-2005), y, de otro, un incidente de nulidad de actuaciones ante el Tribunal Supremo, al amparo del art. 241 LOPJ, que fue desestimado por Auto de 4 de abril de 2005, contra el cual se interpuso, a su vez, un nuevo recurso de amparo (núm. 3952-2005).</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su demanda de amparo la demandante imputa a la resolución judicial las lesiones de los derechos al juez predeterminado por la ley (art. 24.2 CE), a un proceso con todas las garantías (art. 24.2 CE) y a la tutela judicial efectiva sin indefensión (art. 24.1 CE), como consecuencia de que el Tribunal Supremo, antes de dictar el fallo de la Sentencia recurrida, no planteó la cuestión prejudicial prevista en el art. 234 TUE en orden a inaplicar las Normas Forales anuladas, lo que, a su juicio, le abre la vía del recurso de amparo conforme a la doctrina sentada en la STC 58/2004, de 19 de abril, y ello sin perjuicio de que la recurrente no hubiese solicitado la remisión prejudicial en el proceso judicial (asunto 126/80, Salonia/Poidomani e Giglio). </w:t>
      </w:r>
    </w:p>
    <w:p w:rsidR="008B3772" w:rsidRDefault="008B3772" w:rsidP="008B3772">
      <w:pPr>
        <w:pStyle w:val="TextoNormal"/>
      </w:pPr>
      <w:r>
        <w:t xml:space="preserve">En efecto, para las Juntas Generales de Guipúzcoa, el art. 234 TUE, conforme ha sido reconocido por la doctrina del Tribunal Constitucional, forma parte del sistema de fuentes del Derecho y constituye un instrumento de depuración del Ordenamiento jurídico (SSTC 28/1991, de 14 de febrero, FJ 4; 64/1991, de 22 de marzo, FJ 4; 130/1995, de 11 de septiembre, FJ 4, y 58/2004, de 19 de abril, FJ 10). Así, el incumplimiento por parte del órgano jurisdiccional interno de su obligación de remisión prejudicial en virtud del art. 234.3 TUE constituye, salvo que concurra alguno de los supuestos jurisprudenciales de dispensa, una infracción del Derecho comunitario, la cual es susceptible de reparación a través del recurso de amparo. Esos supuestos en los que la obligación de remisión prejudicial decaería son los siguientes: a) cuando la cuestión es irrelevante desde la perspectiva del Derecho comunitario; b) cuando la cuestión a resolver internamente sea una cuestión materialmente idéntica </w:t>
      </w:r>
      <w:r>
        <w:lastRenderedPageBreak/>
        <w:t xml:space="preserve">a otra que ya haya sido objeto de una decisión prejudicial del TJCE (asunto Da Costa); y c) cuando la aplicación del Derecho comunitario pueda imponerse como una evidencia tal que elimine toda duda razonable sobre la manera de resolver la cuestión planteada (asunto CILFIT). Ahora bien, para la parte demandante no concurren, sin embargo, ninguno de los supuestos jurisprudenciales de dispensa de la remisión prejudicial ni por lo que se refiere al concepto de ayuda utilizado por el Tribunal Supremo en la Sentencia impugnada, ni respecto de la aplicación realizada de forma mecánica del art. 88.3 TUE, tanto más cuando el órgano judicial interpreta y aplica de forma errónea el Derecho comunitario, lo que demuestra la arbitrariedad injusta y el exceso de jurisdicción en que incurre al no plantear la citada cuestión prejudicial. </w:t>
      </w:r>
    </w:p>
    <w:p w:rsidR="008B3772" w:rsidRDefault="008B3772" w:rsidP="008B3772">
      <w:pPr>
        <w:pStyle w:val="TextoNormal"/>
      </w:pPr>
      <w:r>
        <w:t xml:space="preserve">Para fundamentar sus quejas, parten las Juntas Generales de Guipúzcoa analizando si, conforme a la jurisprudencia comunitaria, se da alguna de las excepciones que permitirían al Tribunal Supremo no plantear una cuestión prejudicial en orden a la inaplicación de la normativa interna (de acuerdo con la doctrina del acto aclarado o del acto claro), pues las disposiciones forales anuladas son calificadas como ayudas de Estado sobre la base de un supuesto carácter “selectivo” que “no encuentra la más mínima justificación a la luz de todos los precedentes existentes en el Derecho comunitario derivado (las decisiones de la Comisión)” (pág. 35). Además, aunque la interpretación que ha hecho la Comisión del requisito de la selectividad ha sido corroborada por el Tribunal de Primera Instancia en Sentencias de 6 de marzo de 2002 (asuntos Demesa y Ramondín), dichas Sentencias, aunque conocidas por el Tribunal Supremo, han sido ignoradas. A su entender, el Tribunal Supremo no tenía —ni actualmente tiene— precedente de “cuestión materialmente idéntica que haya sido objeto de una cuestión prejudicial” en el que basarse para justificar una derogación de la obligación que le viene impuesta por el art. 234 TUE, párrafo 3, lo que implica que el órgano judicial debería haber tenido, al menos, una duda, provocada por la Sentencia de instancia. De esta manera, la actuación del Tribunal Supremo implica la vulneración tanto del derecho fundamental al juez ordinario predeterminado (STC 50/1994 y ATC 254/1982), como del derecho a un proceso con todas las garantías (STC 173/2002). </w:t>
      </w:r>
    </w:p>
    <w:p w:rsidR="008B3772" w:rsidRDefault="008B3772" w:rsidP="008B3772">
      <w:pPr>
        <w:pStyle w:val="TextoNormal"/>
      </w:pPr>
      <w:r>
        <w:t xml:space="preserve">Tampoco existen evidencias, a juicio de la parte demandante, que eliminen toda duda razonable sobre la manera de resolver la cuestión planteada (doctrina del acto claro), que sería la otra excepción al planteamiento obligatorio de la cuestión prejudicial. En efecto, conforme a la doctrina de la STC 58/2004 la existencia o no de una duda “no puede entenderse en términos de convicción subjetiva el juzgador sobre una determinada interpretación del Derecho comunitario (una apreciación subjetiva), sino como una inexistencia objetiva, clara y terminante, de duda alguna en su aplicación. No se trata, pues, de que no haya dudas razonables sino, simplemente de que no haya duda alguna”. Pues bien, dado que el Tribunal Supremo se separa del criterio de la selectividad utilizado por la Comisión, para la parte demandante está introduciendo cuando menos una duda en la aplicación del Derecho comunitario donde hasta ese momento antes no existía, lo que le obligaba a la remisión prejudicial conforme al art. 234 TUE. </w:t>
      </w:r>
    </w:p>
    <w:p w:rsidR="008B3772" w:rsidRDefault="008B3772" w:rsidP="008B3772">
      <w:pPr>
        <w:pStyle w:val="TextoNormal"/>
      </w:pPr>
      <w:r>
        <w:t xml:space="preserve">En consecuencia, entiende la recurrente en amparo que el Tribunal Supremo carece de apoyo alguno para justificar su particular criterio de la “selectividad, tanto más cuando ha ignorado también el contenido de la Comunicación de la Comisión 98/C 384/03 relativa a la aplicación de las normas sobre ayudas de Estado a las medidas relacionadas con la fiscalidad directa de las empresas, pues aplica el art. 88 TUE a unas medidas fiscales que no constituyen ayudas de Estado en el sentido del art. 87 TUE, mediante una interpretación del todo irrazonable que parte de la premisa arbitraria y equivocada del argumento de “selectividad”. En efecto, ni la Comunicación citada ni ninguna disposición del Tratado exigen que </w:t>
      </w:r>
      <w:r>
        <w:lastRenderedPageBreak/>
        <w:t xml:space="preserve">en cada Estado miembro exista un sólo y único sistema tributario aplicable para todo el territorio, por lo que basta con que la medida sea susceptible de ser aplicada a todos los contribuyentes del impuesto sobre sociedades —como ocurre con todas las medidas adoptadas por las Normas Forales anuladas— en cada Territorio Histórico para que no se cumpla con el requisito de la selectividad. Además, las medidas forales se justifican en la singularidad y naturaleza del sistema tributario español. </w:t>
      </w:r>
    </w:p>
    <w:p w:rsidR="008B3772" w:rsidRDefault="008B3772" w:rsidP="008B3772">
      <w:pPr>
        <w:pStyle w:val="TextoNormal"/>
      </w:pPr>
      <w:r>
        <w:t xml:space="preserve">Dicho lo que antecede, entiende la parte actora que la Sentencia impugnada ha incurrido en un error patente en la interpretación del art. 88.3 TUE, pues se aplica por el Tribunal Supremo a “medidas que indiciariamente pueden constituir ayudas de Estado” (FJ 18 de la Sentencia), mientras que el art. 87 TUE se refiere sólo a “ayudas” y no a medidas que “pueden constituir ayudas”, ni a medidas que “inicialmente constituyan ayudas”. El régimen del art. 87 y 88 TUE no contempla presuntas ayudas, tanto más cuanto la Comisión, en el pasado, con ocasión de denuncias en los años 1994-1996 contra las Normas Forales vigentes en la época, adoptó una actitud favorable no sólo respecto a esas dos disposiciones fiscales (art. 14 de las Normas Forales de 1993 y art. 26 de las Normas Forales de 1996), sino respecto a todas las disposiciones fiscales previstas en las citadas Normas Forales que, en su caso, pudieran llegar a ser calificadas de ayudas de Estado. </w:t>
      </w:r>
    </w:p>
    <w:p w:rsidR="008B3772" w:rsidRDefault="008B3772" w:rsidP="008B3772">
      <w:pPr>
        <w:pStyle w:val="TextoNormal"/>
      </w:pPr>
      <w:r>
        <w:t xml:space="preserve">En suma, concluye la parte demandante, la Sala del Tribunal Supremo hubiera debido plantear remisión prejudicial al TJCE sobre la interpretación o bien del concepto de ayuda existente a que se refieren diversos incisos de la letra b) del art. 1 del Reglamento 659/1999, o bien del art. 88 TUE, apartado 3, última frase en el sentido de, por una parte, su aplicabilidad a medidas que pueden constituir ayudas, y, por otra, su aplicabilidad al supuesto de estar en presencia de ayudas existentes en el sentido del art. 88 TUE, apartado 1 y del art. 1 del Reglamento 659/1999. La obligación de esta remisión judicial se inscribe, a su juicio, en la lógica del derecho al juez ordinario predeterminado y , como en el Derecho alemán (que considera que el TJCE es un juez legal para las partes en el sentido del art. 101 de la Constitución alemana), el caso español tras la STC 58/2004 es todo un ejemplo de protección. </w:t>
      </w:r>
    </w:p>
    <w:p w:rsidR="008B3772" w:rsidRDefault="008B3772" w:rsidP="008B3772">
      <w:pPr>
        <w:pStyle w:val="TextoNormal"/>
      </w:pPr>
      <w:r>
        <w:t>Finalmente, y mediante otrosí, la parte actora solicitaba “la suspensión de la ejecución y eficacia de la Sentencia de 9 de diciembre de 2004 con el objeto de evitar que el recurso pueda perder su eficacia, tanto más cuando no se perturban, ni leve ni gravemente, intereses generales, ni derechos fundamentales o libertades públicas de terceros”. Además, se solicitaba igualmente “la paralización de la publicación del fallo en el Boletín Oficial, y para el caso de que tal publicación se hubiera efectuado, ordenando, a quien en Derecho proceda, la publicación de la suspensión de ejecución y efectividad de la sentencia acordada”.</w:t>
      </w:r>
    </w:p>
    <w:p w:rsidR="008B3772" w:rsidRDefault="008B3772" w:rsidP="008B3772">
      <w:pPr>
        <w:pStyle w:val="TextoNormal"/>
      </w:pPr>
    </w:p>
    <w:p w:rsidR="008B3772" w:rsidRDefault="008B3772" w:rsidP="008B3772">
      <w:pPr>
        <w:pStyle w:val="TextoNormal"/>
      </w:pPr>
      <w:r w:rsidRPr="008B3772">
        <w:rPr>
          <w:rStyle w:val="NumeroAFNegritaCaracter"/>
        </w:rPr>
        <w:t>4</w:t>
      </w:r>
      <w:r>
        <w:t>. Por providencia de la Sección Primera de 19 de octubre de 2005 se acordó conceder un plazo común de diez días, al Ministerio Fiscal y al solicitante del amparo, para que alegasen lo que estimasen pertinente en relación con la posible concurrencia del motivo de inadmisión consistente en carecer la demanda manifiestamente de contenido que justifique una decisión sobre el fondo de la misma por parte de este Tribunal, de conformidad con lo prevenido en el art. 50.1 c) LOTC.</w:t>
      </w:r>
    </w:p>
    <w:p w:rsidR="008B3772" w:rsidRDefault="008B3772" w:rsidP="008B3772">
      <w:pPr>
        <w:pStyle w:val="TextoNormal"/>
      </w:pPr>
    </w:p>
    <w:p w:rsidR="008B3772" w:rsidRDefault="008B3772" w:rsidP="008B3772">
      <w:pPr>
        <w:pStyle w:val="TextoNormal"/>
      </w:pPr>
      <w:r w:rsidRPr="008B3772">
        <w:rPr>
          <w:rStyle w:val="NumeroAFNegritaCaracter"/>
        </w:rPr>
        <w:t>5</w:t>
      </w:r>
      <w:r>
        <w:t xml:space="preserve">. Mediante escrito registrado en este Tribunal el día 7 de noviembre de 2005, la representación procesal de la parte demandante evacuó el trámite de alegaciones conferido, alegando que, a su juicio, la demanda no carece de contenido de forma manifiesta ni evidente al contar con una argumentación jurídica suficiente para solicitar el amparo constitucional. </w:t>
      </w:r>
      <w:r>
        <w:lastRenderedPageBreak/>
        <w:t>Además, añade, la STC 58/2004, de 19 de abril, ha reconocido que la falta de remisión prejudicial es susceptible de amparo por el cauce del art. 24 CE.</w:t>
      </w:r>
    </w:p>
    <w:p w:rsidR="008B3772" w:rsidRDefault="008B3772" w:rsidP="008B3772">
      <w:pPr>
        <w:pStyle w:val="TextoNormal"/>
      </w:pPr>
    </w:p>
    <w:p w:rsidR="008B3772" w:rsidRDefault="008B3772" w:rsidP="008B3772">
      <w:pPr>
        <w:pStyle w:val="TextoNormal"/>
      </w:pPr>
      <w:r w:rsidRPr="008B3772">
        <w:rPr>
          <w:rStyle w:val="NumeroAFNegritaCaracter"/>
        </w:rPr>
        <w:t>6</w:t>
      </w:r>
      <w:r>
        <w:t>. Por escrito registrado en este Tribunal el día 14 de noviembre de 2005, el Fiscal evacuó el trámite de alegaciones conferido suplicando la inadmisión del recurso de amparo por falta de agotamiento de la vía judicial previa, al haberse simultaneado la interposición del recurso de amparo con el planteamiento de un incidente de nulidad de actuaciones ante el Tribunal Supremo. Así, tras exponer brevemente el Fiscal los antecedentes del presente recurso de amparo y concretar las pretensiones de la parte demandante, subraya que resulta patente que la vía judicial no está objetivamente agotada, ya que se ha planteado un incidente de nulidad de actuaciones que ha sido admitido a trámite y está pendiente de resolución, lo que provocaría que, de estimarse el citado incidente, el presente recurso de amparo carecería de objeto. Esta situación no respeta, a juicio del Fiscal, el carácter estrictamente subsidiario del recurso de amparo, que está previsto para cuando no quepa otro remedio procesal en vía judicial interna para intentar la reparación del derecho fundamental que se estima vulnerado, como se desprende de lo establecido en el artículo 44.1 a) LOTC. Incumplido en este caso el requisito procesal mencionado procede, pues, la inadmisión a trámite de la demanda de amparo por falta de agotamiento de la vía judicial previa, sin que sea pertinente abordar la causa de inadmisión puesta de manifiesto por la Sala (carencia manifiesta de contenido).</w:t>
      </w:r>
    </w:p>
    <w:p w:rsidR="008B3772" w:rsidRDefault="008B3772" w:rsidP="008B3772">
      <w:pPr>
        <w:pStyle w:val="TextoNormal"/>
      </w:pPr>
    </w:p>
    <w:p w:rsidR="008B3772" w:rsidRDefault="008B3772" w:rsidP="008B3772">
      <w:pPr>
        <w:pStyle w:val="TextoNormal"/>
      </w:pPr>
      <w:r w:rsidRPr="008B3772">
        <w:rPr>
          <w:rStyle w:val="NumeroAFNegritaCaracter"/>
        </w:rPr>
        <w:t>7</w:t>
      </w:r>
      <w:r>
        <w:t>. Con fecha de 25 de septiembre de 2006, la representación procesal de la parte demandante presentó un escrito poniendo en conocimiento de este Tribunal las Sentencias del TJCE, Gran Sala, de 13 de junio y 6 de septiembre de 2006, en lo que se refiere a la interpretación y aplicación correcta del concepto de ayuda existente de la letra b) del art. 1 del Reglamento 659/1999 o del art. 88.3 TUE.</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Imputa la parte demandante a la Sentencia del Tribunal Supremo impugnada en este proceso constitucional la lesión de los derechos al juez predeterminado por la ley (art. 24.2 CE), a un proceso con todas las garantías (art. 24.2 CE) y a la tutela judicial efectiva sin indefensión (art. 24.1 CE), lesiones todas ellas que anuda al hecho de que el órgano judicial no haya planteado la cuestión prejudicial prevista en el art. 234 TUE, en orden a inaplicar las Normas Forales anuladas por la sentencia objeto del presente recurso de amparo.</w:t>
      </w:r>
    </w:p>
    <w:p w:rsidR="008B3772" w:rsidRDefault="008B3772" w:rsidP="008B3772">
      <w:pPr>
        <w:pStyle w:val="TextoNormal"/>
      </w:pPr>
      <w:r>
        <w:t>El Ministerio Fiscal, en las alegaciones presentadas en el trámite de alegaciones previsto en el art. 50.3 LOTC, solicita la inadmisión del recurso de amparo, por falta de agotamiento de la vía judicial previa, por haberse interpuesto ante la Sala Tercera del Tribunal Supremo, simultáneamente al recurso de amparo, un incidente de nulidad de actuaciones.</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Antes de entrar a analizar, en su caso, las vulneraciones que la parte demandante imputa a la resolución judicial impugnada, es necesario dar respuesta al óbice de procedibilidad puesto de manifiesto por el Ministerio Fiscal en su escrito de alegaciones con referencia a la falta de agotamiento de la vía judicial previa mediante la interposición de todos los recursos utilizables y que, caso de apreciarse, conduciría a la inadmisión del recurso de amparo —ex art. 50.1 a) LOTC, en relación con el art. 44.1 a) LOTC—. En este sentido, </w:t>
      </w:r>
      <w:r>
        <w:lastRenderedPageBreak/>
        <w:t>destaca el Fiscal que la parte demandante ha simultaneado el presente recurso de amparo (interpuesto con fecha de 22 de febrero de 2005) con el planteamiento de un incidente de nulidad de actuaciones al amparo del art. 241 LOPJ ante el Tribunal Supremo (presentado el mismo día 22 de febrero de 2005), por lo que, a su juicio, es patente que no se había agotado la vía judicial previa al momento de impetrar el auxilio de este Tribunal.</w:t>
      </w:r>
    </w:p>
    <w:p w:rsidR="008B3772" w:rsidRDefault="008B3772" w:rsidP="008B3772">
      <w:pPr>
        <w:pStyle w:val="TextoNormal"/>
      </w:pPr>
      <w:r>
        <w:t>Pues bien, al igual que hemos declarado recientemente en el ATC 461/2006, de 18 de diciembre (en el recurso de amparo núm. 1204-2005 interpuesto por la Diputación Foral de Vizcaya contra la misma Sentencia de la Sala Tercera del Tribunal Supremo de fecha 9 de diciembre de 2004 y sobre la base de los mismos motivos), siendo cierto que la parte demandante ha simultaneado ambos recursos, la objeción debe prosperar, por las razones que se exponen a continuación. En efecto, conforme a reiterada doctrina de este Tribunal, el art. 43.2 en relación con el art. 44.1 a), ambos LOTC, establecen, entre otras, la exigencia de agotar todos los recursos utilizables en la vía judicial ordinaria, requisito éste que, lejos de constituir una formalidad vacía, deriva de la necesidad de respetar la subsidiariedad del recurso de amparo, dado que, en virtud de lo dispuesto en el art. 53.2 CE, la tutela general de los derechos y libertades corresponde, en primer lugar, a los órganos del Poder Judicial.</w:t>
      </w:r>
    </w:p>
    <w:p w:rsidR="008B3772" w:rsidRDefault="008B3772" w:rsidP="008B3772">
      <w:pPr>
        <w:pStyle w:val="TextoNormal"/>
      </w:pPr>
      <w:r>
        <w:t>Consecuencia de lo anterior es que, en la misma línea de la doctrina expuesta, como también hemos señalado en reiteradas ocasiones para que entre en funcionamiento la justicia constitucional, es preciso que estén agotadas las vías judiciales, razón por la cual “no puede acudir ante este Tribunal por la vía del amparo quien ha considerado procedente la utilización de un recurso o remedio procesal en la vía ordinaria en tanto ésta no haya concluido, ya que, de lo contrario se estaría afectando a la naturaleza subsidiaria del recurso de amparo, resultando imposible la coexistencia temporal de un recurso de amparo con la vía judicial, dado que es necesario esperar a la conclusión de ésta para acudir ante este Tribunal” (por todas, SSTC 44/2002, de 25 de febrero, FJ 2; 189/2002, de 14 de octubre, FJ 6; 15/2003, de 28 de enero, FJ 2; 72/2004, de 19 de abril, FJ 3; 82/2004, de 10 de mayo, FJ 3; 97/2004, de 27 de mayo, FJ 3; 13/2005, de 31 de enero, FJ 3; 85/2006, de 27 de marzo, FJ 2, y 249/2006, de 24 de julio, FJ 2).</w:t>
      </w:r>
    </w:p>
    <w:p w:rsidR="008B3772" w:rsidRDefault="008B3772" w:rsidP="008B3772">
      <w:pPr>
        <w:pStyle w:val="TextoNormal"/>
      </w:pPr>
      <w:r>
        <w:t>Entre los recursos ineludibles para cumplir el requisito del agotamiento cuando se pretende la reparación de los defectos de forma que hubieran causado indefensión o de la incongruencia del fallo, este Tribunal ha incluido, cuando proceda el incidente de nulidad de actuaciones previsto en el art. 241 LOPJ (anterior art. 240.3 LOPJ) que, como remedio último debe ser intentado antes de acudir al recurso de amparo y sin cuyo requisito la demanda de amparo deviene inadmisible [por todas, SSTC 28/2004, de 4 de marzo, FJ 4; 235/2005, de 26 de septiembre, FJ 2; 192/2006, de 19 de junio, FJ 2 a); 237/2006, de 17 de julio, FJ 3, y 269/2006, de 11 de septiembre, FJ 2].</w:t>
      </w:r>
    </w:p>
    <w:p w:rsidR="008B3772" w:rsidRDefault="008B3772" w:rsidP="008B3772">
      <w:pPr>
        <w:pStyle w:val="TextoNormal"/>
      </w:pPr>
      <w:r>
        <w:t>Por tanto, es contrario al carácter subsidiario de esta jurisdicción constitucional la coexistencia temporal de un recurso de amparo con otro recurso seguido en la vía judicial ordinaria, anomalía que acontece cuando se inicia el proceso de amparo antes de que se resuelvan los recursos interpuestos en la vía judicial ordinaria contra la resolución jurisdiccional recurrida (SSTC 129/2000, de 16 de mayo, FJ 2; 225/2000, de 2 de octubre, FJ 3; 192/2001, de 1 de octubre, FJ 3; 44/2002, de 25 de febrero, FJ 2; 72/2004, de 19 de abril, FJ 3; 82/2004, de 10 de mayo, FJ 3; 97/2004, de 24 de mayo, FJ 3; 13/2005, de 20 de enero, FJ 3, y 188/2006, de 19 de junio, FJ 3), por lo que cualquier pronunciamiento de fondo acerca del mismo sería prematuro y supondría ignorar el carácter subsidiario que en nuestro sistema de protección de los derechos y libertades tiene el recurso de amparo constitucional (por todas, STC 249/2006, de 24 de julio, FJ 2).</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3</w:t>
      </w:r>
      <w:r>
        <w:t>. Pues bien, habiendo interpuesto la parte demandante el presente recurso de amparo sin esperar a la resolución en la vía judicial ordinaria del incidente de nulidad de actuaciones presentado contra la resolución judicial objeto del actual proceso constitucional, debe sin perjuicio del eventual resultado de dicho incidente, apreciarse su carácter prematuro y, en consecuencia, declarar su inadmisión.</w:t>
      </w:r>
    </w:p>
    <w:p w:rsidR="008B3772" w:rsidRDefault="008B3772" w:rsidP="008B3772">
      <w:pPr>
        <w:pStyle w:val="TextoNormal"/>
      </w:pPr>
    </w:p>
    <w:p w:rsidR="008B3772" w:rsidRDefault="008B3772" w:rsidP="008B3772">
      <w:pPr>
        <w:pStyle w:val="TextoNormal"/>
      </w:pPr>
      <w:r>
        <w:t>Por lo expuesto, la Sección</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Inadmitir a trámite el presente recurso de amparo por concurrir la causa prevista en el art.  50.1 a), en relación con el art. 44.1 a), ambos LOTC, y el archivo de las actuaciones.</w:t>
      </w:r>
    </w:p>
    <w:p w:rsidR="008B3772" w:rsidRDefault="008B3772" w:rsidP="008B3772">
      <w:pPr>
        <w:pStyle w:val="TextoNormal"/>
      </w:pPr>
    </w:p>
    <w:p w:rsidR="008B3772" w:rsidRDefault="008B3772" w:rsidP="008B3772">
      <w:pPr>
        <w:pStyle w:val="TextoNormal"/>
      </w:pPr>
      <w:r>
        <w:t>Madrid, a veinticuatro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24" w:name="AUTO_2007_260"/>
      <w:r>
        <w:lastRenderedPageBreak/>
        <w:t>AUTO 260/2007, de 24 de mayo de 2007</w:t>
      </w:r>
    </w:p>
    <w:bookmarkEnd w:id="124"/>
    <w:p w:rsidR="008B3772" w:rsidRDefault="008B3772" w:rsidP="008B3772">
      <w:pPr>
        <w:pStyle w:val="TtuloResolucin"/>
      </w:pPr>
      <w:r>
        <w:t>Sección Tercera</w:t>
      </w:r>
    </w:p>
    <w:p w:rsidR="008B3772" w:rsidRDefault="008B3772" w:rsidP="008B3772">
      <w:pPr>
        <w:pStyle w:val="TtuloResolucin"/>
      </w:pPr>
    </w:p>
    <w:p w:rsidR="008B3772" w:rsidRDefault="008B3772" w:rsidP="008B3772">
      <w:pPr>
        <w:pStyle w:val="SntesisDescriptiva"/>
      </w:pPr>
      <w:r>
        <w:t>ECLI:ES:TC:2007:260A</w:t>
      </w:r>
    </w:p>
    <w:p w:rsidR="008B3772" w:rsidRDefault="008B3772" w:rsidP="008B3772">
      <w:pPr>
        <w:pStyle w:val="SntesisDescriptiva"/>
      </w:pPr>
    </w:p>
    <w:p w:rsidR="008B3772" w:rsidRDefault="008B3772" w:rsidP="008B3772">
      <w:pPr>
        <w:pStyle w:val="SntesisDescriptiva"/>
      </w:pPr>
      <w:r>
        <w:t>Excms. Srs. don Guillermo Jiménez Sánchez, don Eugeni Gay Montalvo y don Pascual Sala Sánchez.</w:t>
      </w:r>
    </w:p>
    <w:p w:rsidR="008B3772" w:rsidRDefault="008B3772" w:rsidP="008B3772">
      <w:pPr>
        <w:pStyle w:val="SntesisDescriptiva"/>
      </w:pPr>
    </w:p>
    <w:p w:rsidR="008B3772" w:rsidRDefault="008B3772" w:rsidP="008B3772">
      <w:pPr>
        <w:pStyle w:val="SntesisDescriptiva"/>
      </w:pPr>
      <w:r>
        <w:t>Estima el recurso de súplica e inadmite el recurso de amparo 3779-2006, promovido por doña Paloma Vanessa Velásquez Valencia en contencioso sobre denegación de entrada en territorio español.</w:t>
      </w:r>
    </w:p>
    <w:p w:rsidR="008B3772" w:rsidRDefault="008B3772" w:rsidP="008B3772">
      <w:pPr>
        <w:pStyle w:val="SntesisDescriptiva"/>
      </w:pPr>
    </w:p>
    <w:p w:rsidR="008B3772" w:rsidRDefault="008B3772" w:rsidP="008B3772">
      <w:pPr>
        <w:pStyle w:val="SntesisAnaltica"/>
      </w:pPr>
      <w:r>
        <w:t>Agotamiento de recursos en la vía judicial: subsidiariedad del amparo. Inadmisión de recurso de amparo: inadmisión por providencia. Recurso de súplica contra providencias del Tribunal Constitucional: formulado por el Fiscal contra providencia de inadmisión.</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día 3 de abril de 2006 tuvo entrada en el Registro General de este Tribunal el recurso de amparo interpuesto por doña Paloma Vanessa Velásquez Valencia contra la Sentencia dictada por la Sección Segunda de la Sala de lo Contencioso-Administrativo del Tribunal Superior de Justicia de Madrid, de fecha 12 de enero de 2006, que desestima el recurso contencioso-administrativo núm. 1569-2003 formulado contra la Resolución dictada por la Comisaría de policía adscrita al aeropuerto de Barajas, Servicio de control de entrada de extranjeros, de 17 de junio de 2003, confirmada en alzada por Resolución de 22 de octubre de 2003, por la que se procedió a denegarle la entrada en territorio español.</w:t>
      </w:r>
    </w:p>
    <w:p w:rsidR="008B3772" w:rsidRDefault="008B3772" w:rsidP="008B3772">
      <w:pPr>
        <w:pStyle w:val="TextoNormal"/>
      </w:pPr>
    </w:p>
    <w:p w:rsidR="008B3772" w:rsidRDefault="008B3772" w:rsidP="008B3772">
      <w:pPr>
        <w:pStyle w:val="TextoNormal"/>
      </w:pPr>
      <w:r w:rsidRPr="008B3772">
        <w:rPr>
          <w:rStyle w:val="NumeroAFNegritaCaracter"/>
        </w:rPr>
        <w:t>2</w:t>
      </w:r>
      <w:r>
        <w:t>. Con fecha 13 de abril de 2007 la Sección Tercera de este Tribunal dictó providencia de inadmisión con arreglo a lo dispuesto en el art. 50.1 c) de la Ley Orgánica del Tribunal Constitucional (LOTC en lo sucesivo), al carecer manifiestamente de relevancia constitucional la queja basada en la lesión del art. 24.1 CE, en su vertiente de acceso al recurso de casación.</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El Ministerio Fiscal, mediante escrito registrado con fecha 27 de abril de 2007, interpuso recurso de súplica ex art. 50.2 LOTC contra la anterior providencia de 13 de abril, en el que interesa que se acuerde la nulidad de la referida providencia “y se dicte otra en la que se resuelva sobre la admisibilidad del recurso, sin perjuicio de lo que proceda respecto a su petición de amparo”. El motivo del recurso se basa en el error cometido en la resolución impugnada, que inadmite el recurso de amparo al considerar que carece manifiestamente de contenido la queja fundada en la vertiente del derecho fundamental a la tutela judicial efectiva consistente en el acceso al recurso legalmente previsto (en ese caso de casación), cuando lo cierto es que la demanda de amparo se inspira en el único motivo, también basado en el art. 24.1 CE, pero en su vertiente del derecho a obtener una resolución judicial motivada, </w:t>
      </w:r>
      <w:r>
        <w:lastRenderedPageBreak/>
        <w:t>dado que, en opinión de la recurrente, la Sentencia dictada por el Tribunal a quo incurre en un vicio de incongruencia omisiva.</w:t>
      </w:r>
    </w:p>
    <w:p w:rsidR="008B3772" w:rsidRDefault="008B3772" w:rsidP="008B3772">
      <w:pPr>
        <w:pStyle w:val="TextoNormal"/>
      </w:pPr>
    </w:p>
    <w:p w:rsidR="008B3772" w:rsidRDefault="008B3772" w:rsidP="008B3772">
      <w:pPr>
        <w:pStyle w:val="TextoNormal"/>
      </w:pPr>
      <w:r w:rsidRPr="008B3772">
        <w:rPr>
          <w:rStyle w:val="NumeroAFNegritaCaracter"/>
        </w:rPr>
        <w:t>4</w:t>
      </w:r>
      <w:r>
        <w:t>. Mediante providencia de 8 de mayo de 2007 esta Sección acordó unir a las actuaciones el escrito presentado por el Ministerio Fiscal y conceder un plazo común de tres días a fin de que las partes aleguen lo que estimen pertinente (art. 93.2 LOTC).</w:t>
      </w:r>
    </w:p>
    <w:p w:rsidR="008B3772" w:rsidRDefault="008B3772" w:rsidP="008B3772">
      <w:pPr>
        <w:pStyle w:val="TextoNormal"/>
      </w:pPr>
    </w:p>
    <w:p w:rsidR="008B3772" w:rsidRDefault="008B3772" w:rsidP="008B3772">
      <w:pPr>
        <w:pStyle w:val="TextoNormal"/>
      </w:pPr>
      <w:r w:rsidRPr="008B3772">
        <w:rPr>
          <w:rStyle w:val="NumeroAFNegritaCaracter"/>
        </w:rPr>
        <w:t>5</w:t>
      </w:r>
      <w:r>
        <w:t>. La parte recurrente formuló alegaciones mediante escrito registrado el 21 de mayo de 2007 en el que se adhiere al razonamiento núm. 2 del Ministerio Fiscal y solicita a este Tribunal que dicte una resolución ajustada a Derecho, de acuerdo con su pretensión.</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Procede estimar el recurso de súplica interpuesto por el Ministerio Fiscal con base en el art.  50.2 LOTC, al constatar el error cometido en la providencia impugnada a la hora de determinar la concreta vertiente del art. 24.1 CE invocada por la recurrente en su escrito de demanda.</w:t>
      </w:r>
    </w:p>
    <w:p w:rsidR="008B3772" w:rsidRDefault="008B3772" w:rsidP="008B3772">
      <w:pPr>
        <w:pStyle w:val="TextoNormal"/>
      </w:pPr>
    </w:p>
    <w:p w:rsidR="008B3772" w:rsidRDefault="008B3772" w:rsidP="008B3772">
      <w:pPr>
        <w:pStyle w:val="TextoNormal"/>
      </w:pPr>
      <w:r w:rsidRPr="008B3772">
        <w:rPr>
          <w:rStyle w:val="NumeroAFNegritaCaracter"/>
        </w:rPr>
        <w:t>2</w:t>
      </w:r>
      <w:r>
        <w:t>. Ahora bien, tras el nuevo examen del recurso de amparo la Sección estima que sigue siendo procedente su inadmisión por no haber agotado la vía judicial previa a través del recurso legalmente previsto [art. 50.1 a) en relación con el art. 44.1.a), ambos LOTC].</w:t>
      </w:r>
    </w:p>
    <w:p w:rsidR="008B3772" w:rsidRDefault="008B3772" w:rsidP="008B3772">
      <w:pPr>
        <w:pStyle w:val="TextoNormal"/>
      </w:pPr>
      <w:r>
        <w:t>Este Tribunal, en aplicación de su doctrina sobre la subsidiariedad del amparo, ha afirmado en reiteradas ocasiones que entre los recursos ineludibles para cumplir el requisito previsto en los arts. 43.2 y 44.1 a) LOTC se incluye el incidente de nulidad de actuaciones regulado en el vigente art. 241 de la Ley Orgánica del Poder Judicial (LOPJ), que constituye un remedio destinado a obtener la reparación de los defectos de forma que hubieran causado indefensión o de la incongruencia del fallo, siempre que los primeros no haya sido posible denunciarlos antes de recaer Sentencia o resolución que ponga fin al proceso y que la Sentencia o resolución no sea susceptible de recurso en el que quepa reparar la indefensión sufrida (por todas, SSTC 28/2004, de 4 de marzo, FJ 4; o 192/2006, de 19 de junio, FJ 2).</w:t>
      </w:r>
    </w:p>
    <w:p w:rsidR="008B3772" w:rsidRDefault="008B3772" w:rsidP="008B3772">
      <w:pPr>
        <w:pStyle w:val="TextoNormal"/>
      </w:pPr>
      <w:r>
        <w:t>En el presente caso, si la recurrente entendía que la Sentencia impugnada había incurrido en incongruencia omisiva (único motivo de su demanda, en cuyo suplico se afirma que en la resolución impugnada “existen vicios de incongruencia, tutelados y amparados en el derecho a la tutela judicial efectiva”) tenía la carga de agotar la vía judicial mediante la interposición del incidente excepcional de nulidad de actuaciones, dado que el citado art. 241.1 LOPJ expresamente prevé como una de las causas para ello “la incongruencia del fallo”. Al no hacerlo no ha dado la oportunidad al órgano judicial de pronunciarse sobre la lesión invocada con anterioridad al recurso de amparo, por lo que el recurso de amparo resulta inadmisible conforme al referido art. 50.1 a) LOTC.</w:t>
      </w:r>
    </w:p>
    <w:p w:rsidR="008B3772" w:rsidRDefault="008B3772" w:rsidP="008B3772">
      <w:pPr>
        <w:pStyle w:val="TextoNormal"/>
      </w:pPr>
    </w:p>
    <w:p w:rsidR="008B3772" w:rsidRDefault="008B3772" w:rsidP="008B3772">
      <w:pPr>
        <w:pStyle w:val="TextoNormal"/>
      </w:pPr>
      <w:r>
        <w:t>Por lo expuesto, la Sección</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1º. Estimar el recurso de súplica interpuesto por el Ministerio Fiscal contra la providencia de 13 de abril de 2007, dejando sin efecto la misma.</w:t>
      </w:r>
    </w:p>
    <w:p w:rsidR="008B3772" w:rsidRDefault="008B3772" w:rsidP="008B3772">
      <w:pPr>
        <w:pStyle w:val="TextoNormal"/>
      </w:pPr>
      <w:r>
        <w:lastRenderedPageBreak/>
        <w:t>2º. Inadmitir mediante providencia este recurso de amparo con base en el art. 50.1 a) LOTC.</w:t>
      </w:r>
    </w:p>
    <w:p w:rsidR="008B3772" w:rsidRDefault="008B3772" w:rsidP="008B3772">
      <w:pPr>
        <w:pStyle w:val="TextoNormal"/>
      </w:pPr>
    </w:p>
    <w:p w:rsidR="008B3772" w:rsidRDefault="008B3772" w:rsidP="008B3772">
      <w:pPr>
        <w:pStyle w:val="TextoNormal"/>
      </w:pPr>
      <w:r>
        <w:t>Madrid, veinticuatro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25" w:name="AUTO_2007_261"/>
      <w:r>
        <w:lastRenderedPageBreak/>
        <w:t>AUTO 261/2007, de 24 de mayo de 2007</w:t>
      </w:r>
    </w:p>
    <w:bookmarkEnd w:id="125"/>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ECLI:ES:TC:2007:261A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w:t>
      </w:r>
    </w:p>
    <w:p w:rsidR="008B3772" w:rsidRDefault="008B3772" w:rsidP="008B3772">
      <w:pPr>
        <w:pStyle w:val="SntesisDescriptiva"/>
      </w:pPr>
    </w:p>
    <w:p w:rsidR="008B3772" w:rsidRDefault="008B3772" w:rsidP="008B3772">
      <w:pPr>
        <w:pStyle w:val="SntesisDescriptiva"/>
      </w:pPr>
      <w:r>
        <w:t>Deniega la acumulación de seis recursos de inconstitucionalidad al 8045-2006, interpuesto por más de cincuenta Diputados del Grupo Parlamentario Popular del Congreso de los Diputados en relación con la Ley Orgánica 6/2006, de 19 de julio, de reforma del Estatuto de Autonomía de Cataluña.</w:t>
      </w:r>
    </w:p>
    <w:p w:rsidR="008B3772" w:rsidRDefault="008B3772" w:rsidP="008B3772">
      <w:pPr>
        <w:pStyle w:val="SntesisDescriptiva"/>
      </w:pPr>
    </w:p>
    <w:p w:rsidR="008B3772" w:rsidRDefault="008B3772" w:rsidP="008B3772">
      <w:pPr>
        <w:pStyle w:val="SntesisAnaltica"/>
      </w:pPr>
      <w:r>
        <w:t>Acumulación de procesos constitucionales: acumulación de recursos de inconstitucionalidad, improcedencia.</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el Tribunal el 31 de julio de 2006, don Federico Trillo- Figueroa Martínez-Conde, Diputado del Grupo Parlamentario Popular del Congreso de los Diputados, promueve, en condición de Comisionado de más de cincuenta Diputados de dicho Grupo parlamentario, recurso de inconstitucionalidad contra determinados preceptos de la Ley Orgánica 6/2006, de 19 de julio, de reforma del Estatuto de Autonomía de Cataluña.</w:t>
      </w:r>
    </w:p>
    <w:p w:rsidR="008B3772" w:rsidRDefault="008B3772" w:rsidP="008B3772">
      <w:pPr>
        <w:pStyle w:val="TextoNormal"/>
      </w:pPr>
    </w:p>
    <w:p w:rsidR="008B3772" w:rsidRDefault="008B3772" w:rsidP="008B3772">
      <w:pPr>
        <w:pStyle w:val="TextoNormal"/>
      </w:pPr>
      <w:r w:rsidRPr="008B3772">
        <w:rPr>
          <w:rStyle w:val="NumeroAFNegritaCaracter"/>
        </w:rPr>
        <w:t>2</w:t>
      </w:r>
      <w:r>
        <w:t>. Mediante escrito registrado el día 19 de septiembre de 2006 el Defensor del Pueblo formuló recurso de inconstitucionalidad contra determinados preceptos de la Ley Orgánica 6/2006, de 19 de julio, de reforma del Estatuto de Autonomía de Cataluña.</w:t>
      </w:r>
    </w:p>
    <w:p w:rsidR="008B3772" w:rsidRDefault="008B3772" w:rsidP="008B3772">
      <w:pPr>
        <w:pStyle w:val="TextoNormal"/>
      </w:pPr>
    </w:p>
    <w:p w:rsidR="008B3772" w:rsidRDefault="008B3772" w:rsidP="008B3772">
      <w:pPr>
        <w:pStyle w:val="TextoNormal"/>
      </w:pPr>
      <w:r w:rsidRPr="008B3772">
        <w:rPr>
          <w:rStyle w:val="NumeroAFNegritaCaracter"/>
        </w:rPr>
        <w:t>3</w:t>
      </w:r>
      <w:r>
        <w:t>. Con fecha 25 de septiembre de 2006, la representación procesal del Gobierno de la Comunidad Autónoma de la Región de Murcia interpuso recurso de inconstitucionalidad contra la Ley Orgánica 6/2006, de 19 de julio, de reforma del Estatuto de Autonomía de Cataluña.</w:t>
      </w:r>
    </w:p>
    <w:p w:rsidR="008B3772" w:rsidRDefault="008B3772" w:rsidP="008B3772">
      <w:pPr>
        <w:pStyle w:val="TextoNormal"/>
      </w:pPr>
    </w:p>
    <w:p w:rsidR="008B3772" w:rsidRDefault="008B3772" w:rsidP="008B3772">
      <w:pPr>
        <w:pStyle w:val="TextoNormal"/>
      </w:pPr>
      <w:r w:rsidRPr="008B3772">
        <w:rPr>
          <w:rStyle w:val="NumeroAFNegritaCaracter"/>
        </w:rPr>
        <w:t>4</w:t>
      </w:r>
      <w:r>
        <w:t xml:space="preserve">. Por providencia de 27 de septiembre de 2006, la Sección Cuarta acordó admitir a trámite el recurso de inconstitucionalidad núm. 8045-2006, interpuesto por don Federico Trillo-Figueroa Martínez-Conde Comisionado por más de 50 Diputados del Grupo Parlamentario Popular del Congreso de los Diputados, dando traslado de las alegaciones y documentos presentados, conforme prevé el art. 34 LOTC, al Congreso de los Diputados, al Senado y al Gobierno, así como al Gobierno de la Generalidad de Cataluña y al Parlamento </w:t>
      </w:r>
      <w:r>
        <w:lastRenderedPageBreak/>
        <w:t>de Cataluña para que en el plazo de quince días puedan personarse en el proceso y formular alegaciones.</w:t>
      </w:r>
    </w:p>
    <w:p w:rsidR="008B3772" w:rsidRDefault="008B3772" w:rsidP="008B3772">
      <w:pPr>
        <w:pStyle w:val="TextoNormal"/>
      </w:pPr>
    </w:p>
    <w:p w:rsidR="008B3772" w:rsidRDefault="008B3772" w:rsidP="008B3772">
      <w:pPr>
        <w:pStyle w:val="TextoNormal"/>
      </w:pPr>
      <w:r w:rsidRPr="008B3772">
        <w:rPr>
          <w:rStyle w:val="NumeroAFNegritaCaracter"/>
        </w:rPr>
        <w:t>5</w:t>
      </w:r>
      <w:r>
        <w:t>. Mediante providencia de la Sección Segunda de 10 de octubre de 2006 se acordó admitir a trámite el recuso de inconstitucionalidad núm. 8675-2006, interpuesto por el Defensor del Pueblo, y dar traslado de la demanda, conforme al art. 34 LOTC, al Congreso de los Diputados, al Senado y al Gobierno, así como al Gobierno de la Generalidad de Cataluña y al Parlamento de Cataluña para que puedan personarse en el proceso y formular alegaciones.</w:t>
      </w:r>
    </w:p>
    <w:p w:rsidR="008B3772" w:rsidRDefault="008B3772" w:rsidP="008B3772">
      <w:pPr>
        <w:pStyle w:val="TextoNormal"/>
      </w:pPr>
    </w:p>
    <w:p w:rsidR="008B3772" w:rsidRDefault="008B3772" w:rsidP="008B3772">
      <w:pPr>
        <w:pStyle w:val="TextoNormal"/>
      </w:pPr>
      <w:r w:rsidRPr="008B3772">
        <w:rPr>
          <w:rStyle w:val="NumeroAFNegritaCaracter"/>
        </w:rPr>
        <w:t>6</w:t>
      </w:r>
      <w:r>
        <w:t>. El día 11 de octubre de 2006, el Gobierno de la Comunidad Autónoma de La Rioja interpuso recurso de inconstitucionalidad contra la Ley Orgánica 6/2006, de 19 de julio, de reforma del Estatuto de Autonomía de Cataluña.</w:t>
      </w:r>
    </w:p>
    <w:p w:rsidR="008B3772" w:rsidRDefault="008B3772" w:rsidP="008B3772">
      <w:pPr>
        <w:pStyle w:val="TextoNormal"/>
      </w:pPr>
    </w:p>
    <w:p w:rsidR="008B3772" w:rsidRDefault="008B3772" w:rsidP="008B3772">
      <w:pPr>
        <w:pStyle w:val="TextoNormal"/>
      </w:pPr>
      <w:r w:rsidRPr="008B3772">
        <w:rPr>
          <w:rStyle w:val="NumeroAFNegritaCaracter"/>
        </w:rPr>
        <w:t>7</w:t>
      </w:r>
      <w:r>
        <w:t>. Con fecha 19 de octubre de 2006, el Consell de la Generalitat de la Comunitat Valenciana promovió recurso de inconstitucionalidad contra la Ley Orgánica 6/2006, de 19 de julio, de reforma del Estatuto de Autonomía de Cataluña.</w:t>
      </w:r>
    </w:p>
    <w:p w:rsidR="008B3772" w:rsidRDefault="008B3772" w:rsidP="008B3772">
      <w:pPr>
        <w:pStyle w:val="TextoNormal"/>
      </w:pPr>
    </w:p>
    <w:p w:rsidR="008B3772" w:rsidRDefault="008B3772" w:rsidP="008B3772">
      <w:pPr>
        <w:pStyle w:val="TextoNormal"/>
      </w:pPr>
      <w:r w:rsidRPr="008B3772">
        <w:rPr>
          <w:rStyle w:val="NumeroAFNegritaCaracter"/>
        </w:rPr>
        <w:t>8</w:t>
      </w:r>
      <w:r>
        <w:t>. El día 19 de octubre de 2006, el Gobierno de la Diputación General de Aragón formalizó recurso de inconstitucionalidad contra la Ley Orgánica 6/2006, de 19 de julio, de reforma del Estatuto de Autonomía de Cataluña.</w:t>
      </w:r>
    </w:p>
    <w:p w:rsidR="008B3772" w:rsidRDefault="008B3772" w:rsidP="008B3772">
      <w:pPr>
        <w:pStyle w:val="TextoNormal"/>
      </w:pPr>
    </w:p>
    <w:p w:rsidR="008B3772" w:rsidRDefault="008B3772" w:rsidP="008B3772">
      <w:pPr>
        <w:pStyle w:val="TextoNormal"/>
      </w:pPr>
      <w:r w:rsidRPr="008B3772">
        <w:rPr>
          <w:rStyle w:val="NumeroAFNegritaCaracter"/>
        </w:rPr>
        <w:t>9</w:t>
      </w:r>
      <w:r>
        <w:t>. El 20 de octubre de 2006, se presentó en el Tribunal un escrito del Gobierno de las Illes Balears promoviendo recurso de inconstitucionalidad contra la Ley Orgánica 6/2006, de 19 de julio, de reforma del Estatuto de Autonomía de Cataluña.</w:t>
      </w:r>
    </w:p>
    <w:p w:rsidR="008B3772" w:rsidRDefault="008B3772" w:rsidP="008B3772">
      <w:pPr>
        <w:pStyle w:val="TextoNormal"/>
      </w:pPr>
    </w:p>
    <w:p w:rsidR="008B3772" w:rsidRDefault="008B3772" w:rsidP="008B3772">
      <w:pPr>
        <w:pStyle w:val="TextoNormal"/>
      </w:pPr>
      <w:r w:rsidRPr="008B3772">
        <w:rPr>
          <w:rStyle w:val="NumeroAFNegritaCaracter"/>
        </w:rPr>
        <w:t>10</w:t>
      </w:r>
      <w:r>
        <w:t>. Por providencia de la Sección Segunda, de 24 de octubre de 2006, se admitió a trámite el recurso de inconstitucionalidad núm. 8829-2006, interpuesto por el Gobierno de la Comunidad Autónoma de la Región de Murcia, dando traslado de la demanda, conforme establece el art. 34 LOTC, al Congreso de los Diputados, al Senado y al Gobierno, así como al Gobierno de la Generalidad de Cataluña y al Parlamento de Cataluña para que puedan personarse en el recurso y formular alegaciones.</w:t>
      </w:r>
    </w:p>
    <w:p w:rsidR="008B3772" w:rsidRDefault="008B3772" w:rsidP="008B3772">
      <w:pPr>
        <w:pStyle w:val="TextoNormal"/>
      </w:pPr>
    </w:p>
    <w:p w:rsidR="008B3772" w:rsidRDefault="008B3772" w:rsidP="008B3772">
      <w:pPr>
        <w:pStyle w:val="TextoNormal"/>
      </w:pPr>
      <w:r w:rsidRPr="008B3772">
        <w:rPr>
          <w:rStyle w:val="NumeroAFNegritaCaracter"/>
        </w:rPr>
        <w:t>11</w:t>
      </w:r>
      <w:r>
        <w:t>. Por providencia de la Sección Tercera, de 24 de octubre de 2006, se admitió a trámite el recurso núm. 9330-2006, interpuesto por el Gobierno de la Comunidad Autónoma de La Rioja, dando traslado de la demanda, conforme establece el art. 34 LOTC, al Congreso de los Diputados, al Senado y al Gobierno, así como al Gobierno de la Generalidad de Cataluña y al Parlamento de Cataluña para que puedan personarse en el recurso y formular alegaciones.</w:t>
      </w:r>
    </w:p>
    <w:p w:rsidR="008B3772" w:rsidRDefault="008B3772" w:rsidP="008B3772">
      <w:pPr>
        <w:pStyle w:val="TextoNormal"/>
      </w:pPr>
    </w:p>
    <w:p w:rsidR="008B3772" w:rsidRDefault="008B3772" w:rsidP="008B3772">
      <w:pPr>
        <w:pStyle w:val="TextoNormal"/>
      </w:pPr>
      <w:r w:rsidRPr="008B3772">
        <w:rPr>
          <w:rStyle w:val="NumeroAFNegritaCaracter"/>
        </w:rPr>
        <w:t>12</w:t>
      </w:r>
      <w:r>
        <w:t>. Mediante providencia de la Sección Segunda, de 8 de noviembre de 2006, se admitió a trámite el recurso de inconstitucionalidad núm. 9501-2006, interpuesto por el Consell de la Generalitat de la Comunitat Valenciana, dando traslado de la demanda, conforme establece el art. 34 LOTC, al Congreso de los Diputados, al Senado y al Gobierno, así como al Gobierno de la Generalidad de Cataluña y al Parlamento de Cataluña para que puedan personarse en el recurso y formular alegaciones.</w:t>
      </w:r>
    </w:p>
    <w:p w:rsidR="008B3772" w:rsidRDefault="008B3772" w:rsidP="008B3772">
      <w:pPr>
        <w:pStyle w:val="TextoNormal"/>
      </w:pPr>
    </w:p>
    <w:p w:rsidR="008B3772" w:rsidRDefault="008B3772" w:rsidP="008B3772">
      <w:pPr>
        <w:pStyle w:val="TextoNormal"/>
      </w:pPr>
      <w:r w:rsidRPr="008B3772">
        <w:rPr>
          <w:rStyle w:val="NumeroAFNegritaCaracter"/>
        </w:rPr>
        <w:t>13</w:t>
      </w:r>
      <w:r>
        <w:t>. Por providencia de la Sección Tercera, de 8 de noviembre de 2006, se admitió a trámite el recurso de inconstitucionalidad núm. 9568-2006, promovido por el Gobierno de la Comunidad Autónoma de las Illes Balears, dando traslado de la demanda, conforme establece el art. 34 LOTC, al Congreso de los Diputados, al Senado y al Gobierno, así como al Gobierno de la Generalidad de Cataluña y al Parlamento de Cataluña para que puedan personarse en el recurso y formular alegaciones.</w:t>
      </w:r>
    </w:p>
    <w:p w:rsidR="008B3772" w:rsidRDefault="008B3772" w:rsidP="008B3772">
      <w:pPr>
        <w:pStyle w:val="TextoNormal"/>
      </w:pPr>
    </w:p>
    <w:p w:rsidR="008B3772" w:rsidRDefault="008B3772" w:rsidP="008B3772">
      <w:pPr>
        <w:pStyle w:val="TextoNormal"/>
      </w:pPr>
      <w:r w:rsidRPr="008B3772">
        <w:rPr>
          <w:rStyle w:val="NumeroAFNegritaCaracter"/>
        </w:rPr>
        <w:t>14</w:t>
      </w:r>
      <w:r>
        <w:t>. Mediante providencia de 8 de noviembre de 2006 de la Sección Tercera, se admitió a trámite el recurso de inconstitucionalidad núm. 9491-2006, interpuesto por el Gobierno de la Diputación General de Aragón, dando traslado de la demanda, conforme establece el art. 34 LOTC, al Congreso de los Diputados, al Senado y al Gobierno, así como al Gobierno de la Generalidad de Cataluña y al Parlamento de Cataluña para que puedan personarse en el recurso y formular alegaciones.</w:t>
      </w:r>
    </w:p>
    <w:p w:rsidR="008B3772" w:rsidRDefault="008B3772" w:rsidP="008B3772">
      <w:pPr>
        <w:pStyle w:val="TextoNormal"/>
      </w:pPr>
    </w:p>
    <w:p w:rsidR="008B3772" w:rsidRDefault="008B3772" w:rsidP="008B3772">
      <w:pPr>
        <w:pStyle w:val="TextoNormal"/>
      </w:pPr>
      <w:r w:rsidRPr="008B3772">
        <w:rPr>
          <w:rStyle w:val="NumeroAFNegritaCaracter"/>
        </w:rPr>
        <w:t>15</w:t>
      </w:r>
      <w:r>
        <w:t xml:space="preserve">. Mediante otrosí en sus respectivos escritos de alegaciones, registrados con fechas 20 y 21 de noviembre de 2006, las representaciones procesales del Parlamento de Cataluña y del Gobierno de la Generalidad de Cataluña, respectivamente, solicitan la acumulación de recurso de inconstitucionalidad núm. 8675-2006 al recurso núm. 8045-2006, con el fin de que se proceda a su tramitación y resolución conjunta. </w:t>
      </w:r>
    </w:p>
    <w:p w:rsidR="008B3772" w:rsidRDefault="008B3772" w:rsidP="008B3772">
      <w:pPr>
        <w:pStyle w:val="TextoNormal"/>
      </w:pPr>
      <w:r>
        <w:t>Ambas representaciones procesales reiteran su pretensión de acumulación al recurso núm. 8045-2006 de los recursos núms. 8829-2006, 9330-2006, 9491-2006, 9501-2006 y 9568- 2006 al presentar sus correspondientes escritos de alegaciones.</w:t>
      </w:r>
    </w:p>
    <w:p w:rsidR="008B3772" w:rsidRDefault="008B3772" w:rsidP="008B3772">
      <w:pPr>
        <w:pStyle w:val="TextoNormal"/>
      </w:pPr>
    </w:p>
    <w:p w:rsidR="008B3772" w:rsidRDefault="008B3772" w:rsidP="008B3772">
      <w:pPr>
        <w:pStyle w:val="TextoNormal"/>
      </w:pPr>
      <w:r w:rsidRPr="008B3772">
        <w:rPr>
          <w:rStyle w:val="NumeroAFNegritaCaracter"/>
        </w:rPr>
        <w:t>16</w:t>
      </w:r>
      <w:r>
        <w:t>. Mediante sendas providencias del Pleno del Tribunal de los días 27 y 28 de febrero de 2007 se acordó, respectivamente, oír a las partes personadas en el recurso núm. 8675-2006 acerca de su acumulación al recurso núm. 8045-2006 y a las partes personadas en los recursos núms. 8675-2006, 8829-2006, 9330-2006, 9491-2006, 9501- 2006 y 9568-2006 en relación con su acumulación al mismo recurso 8045-2006.</w:t>
      </w:r>
    </w:p>
    <w:p w:rsidR="008B3772" w:rsidRDefault="008B3772" w:rsidP="008B3772">
      <w:pPr>
        <w:pStyle w:val="TextoNormal"/>
      </w:pPr>
    </w:p>
    <w:p w:rsidR="008B3772" w:rsidRDefault="008B3772" w:rsidP="008B3772">
      <w:pPr>
        <w:pStyle w:val="TextoNormal"/>
      </w:pPr>
      <w:r w:rsidRPr="008B3772">
        <w:rPr>
          <w:rStyle w:val="NumeroAFNegritaCaracter"/>
        </w:rPr>
        <w:t>17</w:t>
      </w:r>
      <w:r>
        <w:t>. El día 7 de marzo de 2007, el Defensor del Pueblo manifiesta su conformidad con la acumulación solicitada.</w:t>
      </w:r>
    </w:p>
    <w:p w:rsidR="008B3772" w:rsidRDefault="008B3772" w:rsidP="008B3772">
      <w:pPr>
        <w:pStyle w:val="TextoNormal"/>
      </w:pPr>
    </w:p>
    <w:p w:rsidR="008B3772" w:rsidRDefault="008B3772" w:rsidP="008B3772">
      <w:pPr>
        <w:pStyle w:val="TextoNormal"/>
      </w:pPr>
      <w:r w:rsidRPr="008B3772">
        <w:rPr>
          <w:rStyle w:val="NumeroAFNegritaCaracter"/>
        </w:rPr>
        <w:t>18</w:t>
      </w:r>
      <w:r>
        <w:t xml:space="preserve">. En escrito registrado el 12 de marzo de 2007, el Abogado del Estado se opone a la acumulación de los recursos. En este sentido, señala que existe una suficiente conexión entre los procesos implicados para que pueda procederse a su acumulación, por dirigirse todos ellos contra un mismo texto legal, aunque difieran los preceptos impugnados. Sin embargo, aduce que existe una circunstancia peculiar que debe ser tenida en cuenta a los efectos de la decisión que se adopte sobre la acumulación. Circunstancia atinente a que sólo en el recurso de inconstitucionalidad núm. 8045-2006 se ha solicitado y acordado la recusación del Magistrado Excmo. Sr. don Pablo Pérez Tremps, pues en los restantes procesos ni se solicitó su recusación ni se ha entendido que concurra causa alguna de abstención. Por tanto, sigue razonado el Abogado del Estado, entendiendo que debe darse una interpretación rigurosa de las causas de recusación (Auto de 5 de febrero de 2007, FJ 2) y, en consecuencia, de sus efectos, concluye que se estaría dando una eficacia desmesurada a la recusación de dicho Magistrado si se acordara la acumulación, toda vez que ello supondría la inhabilitación del </w:t>
      </w:r>
      <w:r>
        <w:lastRenderedPageBreak/>
        <w:t>Magistrado para intervenir en los restantes recursos implicados. En concreto, el Abogado del Estado señala que el apartamiento del proceso núm. 8045-2006 del Excmo. Sr. don Pablo Pérez Tremps se sustentó en que el estudio realizado por éste habría influido en la redacción de los arts. 185, 187, 189.1, 193, 196 y 198 EAC 2006, aunque sólo se impugnaron los arts. 185, 187 y 198 de dicho Estatuto. Por tanto, esa es la única conexión indirecta del Magistrado recusado con el objeto de dicho recurso, por lo que, no habiéndose cuestionado dichos preceptos en ninguno de los demás recursos, resulta del todo evidente que en estos últimos no concurre la causa de recusación apreciada en el recurso de inconstitucionalidad núm. 8045-2006. En conclusión, el Abogado del Estado se opone a la acumulación.</w:t>
      </w:r>
    </w:p>
    <w:p w:rsidR="008B3772" w:rsidRDefault="008B3772" w:rsidP="008B3772">
      <w:pPr>
        <w:pStyle w:val="TextoNormal"/>
      </w:pPr>
    </w:p>
    <w:p w:rsidR="008B3772" w:rsidRDefault="008B3772" w:rsidP="008B3772">
      <w:pPr>
        <w:pStyle w:val="TextoNormal"/>
      </w:pPr>
      <w:r w:rsidRPr="008B3772">
        <w:rPr>
          <w:rStyle w:val="NumeroAFNegritaCaracter"/>
        </w:rPr>
        <w:t>19</w:t>
      </w:r>
      <w:r>
        <w:t>. El 14 de marzo de 2007, el Comisionado de los recurrentes, don Federico Trillo-Figueroa Álvarez-Conde, se manifiesta positivamente sobre la acumulación solicitada, siempre que se mantenga para todos los recursos la recusación estimada.</w:t>
      </w:r>
    </w:p>
    <w:p w:rsidR="008B3772" w:rsidRDefault="008B3772" w:rsidP="008B3772">
      <w:pPr>
        <w:pStyle w:val="TextoNormal"/>
      </w:pPr>
    </w:p>
    <w:p w:rsidR="008B3772" w:rsidRDefault="008B3772" w:rsidP="008B3772">
      <w:pPr>
        <w:pStyle w:val="TextoNormal"/>
      </w:pPr>
      <w:r w:rsidRPr="008B3772">
        <w:rPr>
          <w:rStyle w:val="NumeroAFNegritaCaracter"/>
        </w:rPr>
        <w:t>20</w:t>
      </w:r>
      <w:r>
        <w:t>. El Letrado de la Comunidad Autónoma de La Rioja, en escrito presentado el 14 de marzo de 2007, se muestra favorable a la acumulación.</w:t>
      </w:r>
    </w:p>
    <w:p w:rsidR="008B3772" w:rsidRDefault="008B3772" w:rsidP="008B3772">
      <w:pPr>
        <w:pStyle w:val="TextoNormal"/>
      </w:pPr>
    </w:p>
    <w:p w:rsidR="008B3772" w:rsidRDefault="008B3772" w:rsidP="008B3772">
      <w:pPr>
        <w:pStyle w:val="TextoNormal"/>
      </w:pPr>
      <w:r w:rsidRPr="008B3772">
        <w:rPr>
          <w:rStyle w:val="NumeroAFNegritaCaracter"/>
        </w:rPr>
        <w:t>21</w:t>
      </w:r>
      <w:r>
        <w:t>. En escrito registrado en este Tribunal el 15 de marzo de 2007, el representante procesal de la Comunidad Autónoma de las Illes Balears se manifiesta en contra de la acumulación respecto de algunos recursos y a favor de la de otros. Así, dicha representación manifiesta que los diferentes recursos de inconstitucionalidad afectados por la acumulación no guardan entre sí la necesaria conexión que justifique su unidad de tramitación y resolución, pues mientras en los recursos núms. 8045-2006 y 8675-2006 se plantean cuestiones que por su alcance y relevancia guardan esa conexión, la misma no existe respecto de los demás recursos, en los que se plantean aspectos mucho más específicos, y que, a su vez, pueden separarse en dos grupos: De un lado, el integrado por los recursos núms. 9491-2006, 9501-2006 y 9568-2006, relativos todos ellos a la regulación del Archivo de de la Corona de Aragón ; y, de otro, los recursos 8829- 2006 y 9330-2006, cuyo objeto en nada se refiere a dicho Archivo. Por todo ello, solicita que la acumulación sólo afecte a los recursos 9491-2006, 9501-2006 y 9568- 2006.</w:t>
      </w:r>
    </w:p>
    <w:p w:rsidR="008B3772" w:rsidRDefault="008B3772" w:rsidP="008B3772">
      <w:pPr>
        <w:pStyle w:val="TextoNormal"/>
      </w:pPr>
    </w:p>
    <w:p w:rsidR="008B3772" w:rsidRDefault="008B3772" w:rsidP="008B3772">
      <w:pPr>
        <w:pStyle w:val="TextoNormal"/>
      </w:pPr>
      <w:r w:rsidRPr="008B3772">
        <w:rPr>
          <w:rStyle w:val="NumeroAFNegritaCaracter"/>
        </w:rPr>
        <w:t>22</w:t>
      </w:r>
      <w:r>
        <w:t>. El 20 de marzo de 2007 presenta sus alegaciones el Letrado de la Comunidad Autónoma de Aragón, en sentido favorable a la acumulación respecto de algunos recursos y en contra de la de otros. En este sentido, sólo se manifiesta favorable a la acumulación de los recursos núms. 9491-2006, 9501-2006 y 9568-2006, que contienen análogos planteamientos sobre el Archivo de la Corona de Aragón.</w:t>
      </w:r>
    </w:p>
    <w:p w:rsidR="008B3772" w:rsidRDefault="008B3772" w:rsidP="008B3772">
      <w:pPr>
        <w:pStyle w:val="TextoNormal"/>
      </w:pPr>
    </w:p>
    <w:p w:rsidR="008B3772" w:rsidRDefault="008B3772" w:rsidP="008B3772">
      <w:pPr>
        <w:pStyle w:val="TextoNormal"/>
      </w:pPr>
      <w:r w:rsidRPr="008B3772">
        <w:rPr>
          <w:rStyle w:val="NumeroAFNegritaCaracter"/>
        </w:rPr>
        <w:t>23</w:t>
      </w:r>
      <w:r>
        <w:t>. El 21 de marzo de 2007, el representante de la Generalitat de la Comunidad Valenciana manifiesta su criterio favorable a la acumulación.</w:t>
      </w:r>
    </w:p>
    <w:p w:rsidR="008B3772" w:rsidRDefault="008B3772" w:rsidP="008B3772">
      <w:pPr>
        <w:pStyle w:val="TextoNormal"/>
      </w:pPr>
    </w:p>
    <w:p w:rsidR="008B3772" w:rsidRDefault="008B3772" w:rsidP="008B3772">
      <w:pPr>
        <w:pStyle w:val="TextoNormal"/>
      </w:pPr>
      <w:r w:rsidRPr="008B3772">
        <w:rPr>
          <w:rStyle w:val="NumeroAFNegritaCaracter"/>
        </w:rPr>
        <w:t>24</w:t>
      </w:r>
      <w:r>
        <w:t>. El Letrado del Parlamento de Cataluña, en escrito presentado el 22 de marzo de 2007, manifiesta un criterio divergente sobre la acumulación, condicionado a la estimación del recurso de súplica interpuesto contra el Auto de 5 de febrero de 2007, sobre la recusación del Magistrado Excmo. Sr. Pérez Tremps. Así, expresa su oposición a la acumulación solicitada para el caso de que prospere dicha recusación.</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25</w:t>
      </w:r>
      <w:r>
        <w:t>. No han formulado alegaciones en este trámite el Gobierno de la Generalidad de Cataluña ni la representación procesal del Gobierno de la Comunidad Autónoma de la Región de Murcia.</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art. 83 LOTC faculta a este Tribunal para disponer la acumulación “de aquellos procesos con objetos conexos que justifiquen la unidad de tramitación y decisión”. En consecuencia, junto a la necesaria concurrencia de conexión entre los objetos de aquellos procesos cuya acumulación se pretenda, se impone además un segundo requisito, cual es que esa conexidad objetiva justifique la unidad de tramitación y decisión de los asuntos. De acuerdo con nuestra doctrina, se trata de requisitos diferentes que han de concurrir necesariamente y de manera simultánea para que proceda la acumulación, no bastando con que se dé el primero de ellos (ATC 280/1982, de 29 de septiembre, FJ 1).</w:t>
      </w:r>
    </w:p>
    <w:p w:rsidR="008B3772" w:rsidRDefault="008B3772" w:rsidP="008B3772">
      <w:pPr>
        <w:pStyle w:val="TextoNormal"/>
      </w:pPr>
      <w:r>
        <w:t>La conexidad a que la norma atiende no es la subjetiva (ATC 122/1983, de 23 de marzo, FJ 1) —sin perjuicio de que en no pocas ocasiones la hayamos destacado en aquellos supuestos en los que concurría, para entender reforzada la relación entre los procesos cuya acumulación se enjuiciaba— sino la objetiva, que se desdobla en la fáctica del objeto material del proceso y la causa petendi o razón por la cual se pide (AATC 201/1985, de 14 de marzo, FJ único, y 198/1993, de 15 de junio, FJ 1), siendo así que los procesos cuya acumulación se pretenda deben poseer un contenido idéntico o tan cercano que sean de la misma naturaleza esencialmente, permitiendo que todos los procesos deban integrarse, fundirse o unirse en uno solo (AATC 122/1983, de 23 de marzo, FJ 1, y 129/2000, de 29 de mayo, FJ único).</w:t>
      </w:r>
    </w:p>
    <w:p w:rsidR="008B3772" w:rsidRDefault="008B3772" w:rsidP="008B3772">
      <w:pPr>
        <w:pStyle w:val="TextoNormal"/>
      </w:pPr>
      <w:r>
        <w:t>El segundo de los requisitos implica que la acumulación de los procesos deba ser necesaria para alcanzar una decisión doctrinal y jurídica uniforme, favoreciendo la economía procesal.  En efecto, la indudable flexibilidad de la fórmula legal empleada —que la conexión objetiva justifique la unidad de tramitación y decisión de los asuntos— nos ha llevado a concretar, como razones que justifican una tramitación y decisión unitaria de los procesos acumulables, tanto la economía procesal —cuando la acumulación evite la reiteración innecesaria de trámites— como el más relevante fin de eludir el riesgo de que recaigan resoluciones contradictorias en asuntos que deban tener una misma respuesta (ATC 108/1980, de 3 de diciembre, FJ único).</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En el presente caso, la identidad del objeto de los procesos cuya acumulación se pretende es parcial, pues aun cuando todos los recursos de inconstitucionalidad concernidos se promueven contra preceptos de la misma disposición legal —la Ley Orgánica 6/2006, de 19 de julio, de reforma del Estatuto de Autonomía de Cataluña— no es menos cierto que no concurre una completa equivalencia entre los cuestionados por Diputados del Grupo Parlamentario Popular en el recurso núm. 8045-2006, y los impugnados, tanto por el Defensor del Pueblo (recurso núm. 8675-2006), como por los Gobiernos autonómicos de la Comunidad Autónoma de la Región de Murcia (recurso núm. 8829-2006), de la Comunidad Autónoma de La Rioja (recurso núm. 9330-2006), de la Diputación General de Aragón (recurso núm. 9491-2006), de la Comunidad Valenciana (recurso núm. 9501- 2006), y de la Comunidad Autónoma de las Illes Balears (recurso núm. 9568-2006). A lo anterior se añade que, como hemos señalado, para apreciar si concurre la necesaria conexión de objetos hay que atender no sólo a las pretensiones que se formulan sino también a la causa de pedir, siendo </w:t>
      </w:r>
      <w:r>
        <w:lastRenderedPageBreak/>
        <w:t>así que las fundamentaciones jurídicas contenidas en las diferentes demandas sólo parcialmente son coincidentes. Esta circunstancia nos ha llevado a denegar la acumulación de procesos en diferentes ocasiones (así, AATC 660/1986, de 24 de julio, y 205/2002, de 15 de octubre) en que hemos apreciado como relevante la existencia de diferencias en los preceptos impugnados y en los fundamentos de las impugnaciones.</w:t>
      </w:r>
    </w:p>
    <w:p w:rsidR="008B3772" w:rsidRDefault="008B3772" w:rsidP="008B3772">
      <w:pPr>
        <w:pStyle w:val="TextoNormal"/>
      </w:pPr>
      <w:r>
        <w:t>En relación con el segundo de los requisitos —que la conexión objetiva justifique la unidad de tramitación y decisión de los asuntos— debemos valorar que en el presente caso la tramitación de los recursos de inconstitucionalidad no resultaría beneficiada por su acumulación, habida cuenta de que en el momento actual dichos procesos han alcanzado el mismo estado procesal, habiendo presentado ya todas las partes sus escritos de alegaciones, por lo que de la acumulación no se derivaría otra economía de trámites que la de dictarse una sola sentencia, lo que por sí solo no justifica la acumulación de los procesos. En efecto, en el presente caso la respuesta a los recursos no resultaría facilitada por su acumulación, dado que a la complejidad inherente al número de preceptos impugnados se habría de añadir la diversidad en la fundamentación y sistematización de los propios escritos de alegaciones presentados por las partes. Por consiguiente, del mismo modo que en otras ocasiones hemos denegado la acumulación de procesos por apreciar que la contestación en una única sentencia a la totalidad de las pretensiones suscitadas resultaría excesivamente compleja (AATC 76/2000, de 29 de febrero, FJ 2; 215/2002, de 29 de octubre, FJ 2, y 216/2002, de 29 de octubre, FJ 2), también aquí resulta desaconsejable el tratamiento en una misma sentencia del conjunto de pretensiones, motivos y argumentaciones jurídicas que se han formulado por las partes.</w:t>
      </w:r>
    </w:p>
    <w:p w:rsidR="008B3772" w:rsidRDefault="008B3772" w:rsidP="008B3772">
      <w:pPr>
        <w:pStyle w:val="TextoNormal"/>
      </w:pPr>
      <w:r>
        <w:t>Por último, tampoco cabe apreciar el riesgo de que en las futuras sentencias recaigan pronunciamientos o se contengan fundamentos contradictorios, incompatibles o mutuamente excluyentes, eventualidad posible tratándose de resoluciones que hubieran de ser dictadas por diversas Secciones o Salas del Tribunal, pero de difícil concurrencia cuando la resolución de todos los procesos compete al Pleno del Tribunal.</w:t>
      </w:r>
    </w:p>
    <w:p w:rsidR="008B3772" w:rsidRDefault="008B3772" w:rsidP="008B3772">
      <w:pPr>
        <w:pStyle w:val="TextoNormal"/>
      </w:pPr>
    </w:p>
    <w:p w:rsidR="008B3772" w:rsidRDefault="008B3772" w:rsidP="008B3772">
      <w:pPr>
        <w:pStyle w:val="TextoNormal"/>
      </w:pPr>
      <w:r w:rsidRPr="008B3772">
        <w:rPr>
          <w:rStyle w:val="NumeroAFNegritaCaracter"/>
        </w:rPr>
        <w:t>3</w:t>
      </w:r>
      <w:r>
        <w:t>. El criterio expuesto, que conduce a apreciar la conveniencia de no llevar a cabo una tramitación y resolución unitarias de todos estos procesos de inconstitucionalidad queda, además, reforzado por las alegaciones que al respecto han formulado las partes comparecidas en el proceso y que figuran en los antecedentes. Argumentos que pueden sintetizarse en dos.</w:t>
      </w:r>
    </w:p>
    <w:p w:rsidR="008B3772" w:rsidRDefault="008B3772" w:rsidP="008B3772">
      <w:pPr>
        <w:pStyle w:val="TextoNormal"/>
      </w:pPr>
      <w:r>
        <w:t>De un lado, el planteamiento realizado por el Abogado del Estado que mantiene la inconveniencia de la acumulación por los efectos que ello tendría sobre la composición de este Tribunal en el enjuiciamiento de estos recursos si los mismos se acumularan, problema sobre el que también se pronuncian la representación procesal del Parlamento de Cataluña (de manera condicionada) y el Comisionado de los Diputados del Grupo Parlamentario Popular (en sentido contrario a los de las anteriores representaciones).</w:t>
      </w:r>
    </w:p>
    <w:p w:rsidR="008B3772" w:rsidRDefault="008B3772" w:rsidP="008B3772">
      <w:pPr>
        <w:pStyle w:val="TextoNormal"/>
      </w:pPr>
      <w:r>
        <w:t>Pues bien, la complejidad de estos planteamientos pone de relieve las dificultades que suscitan las acumulaciones solicitadas. Y es que, de acordarse la acumulación se extenderían los efectos de la recusación estimada del Magistrado Excmo. Sr. don Pablo Pérez Tremps en el recurso 8045-2006 a todos los procedimientos objeto de la presente resolución, en contradicción con la doctrina constitucional que mantiene el carácter restrictivo que el alcance de toda recusación debe tener. Carácter restrictivo que, en este caso, se sustentaría, además, en la naturaleza y composición de este Tribunal Constitucional y en el hecho de que el Magistrado no haya sido recusado en ninguno de los restantes procedimientos.</w:t>
      </w:r>
    </w:p>
    <w:p w:rsidR="008B3772" w:rsidRDefault="008B3772" w:rsidP="008B3772">
      <w:pPr>
        <w:pStyle w:val="TextoNormal"/>
      </w:pPr>
      <w:r>
        <w:lastRenderedPageBreak/>
        <w:t>Pues bien hemos de afirmar, efectivamente, que, como señala el Abogado del Estado, los preceptos estatutarios que sirvieron para sustentar y acordar la recusación de don Pablo Pérez Tremps en el recurso núm. 8045-2006, no han sido recurridos, según ha quedado concretado en los antecedentes, en el recurso interpuesto por el Defensor del Pueblo ni en los demás recursos, por lo que no resulta procedente ni posible, ni en términos constitucionales ni de acuerdo con la Ley Orgánica de este Tribunal, que la recusación declarada, que sí afecta, claro está, a la totalidad del proceso del recurso núm.  8045-2006, se extienda a los restantes procesos que aquí consideramos a través de una vía por completo anómala para conseguir tal finalidad, cual es la de una decisión relativa a la acumulación de recursos que debe rechazarse, de manera que la participación del Magistrado en los procesos en los que no ha sido recusado ha de quedar absolutamente garantizada.</w:t>
      </w:r>
    </w:p>
    <w:p w:rsidR="008B3772" w:rsidRDefault="008B3772" w:rsidP="008B3772">
      <w:pPr>
        <w:pStyle w:val="TextoNormal"/>
      </w:pPr>
    </w:p>
    <w:p w:rsidR="008B3772" w:rsidRDefault="008B3772" w:rsidP="008B3772">
      <w:pPr>
        <w:pStyle w:val="TextoNormal"/>
      </w:pPr>
      <w:r w:rsidRPr="008B3772">
        <w:rPr>
          <w:rStyle w:val="NumeroAFNegritaCaracter"/>
        </w:rPr>
        <w:t>4</w:t>
      </w:r>
      <w:r>
        <w:t>. De otro lado, hemos de responder a lo sostenido por las representaciones procesales de los Gobiernos de la Diputación General de Aragón y de la Comunidad Autónoma de las Illes Balears, que plantean la especificidad que reclama la impugnación relativa a la regulación del Archivo de la Corona de Aragón y la conveniencia de su consideración separada respecto de los planteamientos más generales y, a la vez, extensos que se suscitan en los recursos de inconstitucionalidad núms. 8045-2006 y 8675-2006. En su criterio, estos recursos precisan de una tramitación y resolución singularizadas e independientes de las de los demás recursos, sin perjuicio de la acumulación de los restantes en diferentes bloques de acuerdo con los concretos problemas que plantean.  A este respecto ha de tenerse en cuenta que el recurso suscitado por el Consell de la Generalitat de la Comunitat Valenciana se refiere también al Archivo de la Corona de Aragón pero además a otras disposiciones del Estatuto de Autonomía de Cataluña, que el recurso del Gobierno de la Comunidad Autónoma de La Rioja tiene un alcance general, y que el del Gobierno de la Comunidad Autónoma de la Región de Murcia se limita a cierta reglas del art. 117 EAC, sobre los recursos hidráulicos.</w:t>
      </w:r>
    </w:p>
    <w:p w:rsidR="008B3772" w:rsidRDefault="008B3772" w:rsidP="008B3772">
      <w:pPr>
        <w:pStyle w:val="TextoNormal"/>
      </w:pPr>
      <w:r>
        <w:t>Ante tal diversidad de impugnaciones, la respuesta que hemos de dar ha de hacerse a la luz de los criterios expuestos en los anteriores fundamentos jurídicos, cuyas consideraciones son extensibles a las distintas acumulaciones interesadas, conduciendo al rechazo de todas ellas.</w:t>
      </w:r>
    </w:p>
    <w:p w:rsidR="008B3772" w:rsidRDefault="008B3772" w:rsidP="008B3772">
      <w:pPr>
        <w:pStyle w:val="TextoNormal"/>
      </w:pPr>
    </w:p>
    <w:p w:rsidR="008B3772" w:rsidRDefault="008B3772" w:rsidP="008B3772">
      <w:pPr>
        <w:pStyle w:val="TextoNormal"/>
      </w:pPr>
      <w:r>
        <w:t>Por todo lo cual, el Pleno</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1º Denegar las acumulaciones interesadas en los recursos de inconstitucionalidad núms.  8045-2006, 8675-2006, 8829-2006, 9330-2006, 9491-2006, 9501-2006 y 9568-2006.</w:t>
      </w:r>
    </w:p>
    <w:p w:rsidR="008B3772" w:rsidRDefault="008B3772" w:rsidP="008B3772">
      <w:pPr>
        <w:pStyle w:val="TextoNormal"/>
      </w:pPr>
      <w:r>
        <w:t>2º Incorporar testimonio de esta resolución a cada uno de los recursos de inconstitucionalidad concernidos.</w:t>
      </w:r>
    </w:p>
    <w:p w:rsidR="008B3772" w:rsidRDefault="008B3772" w:rsidP="008B3772">
      <w:pPr>
        <w:pStyle w:val="TextoNormal"/>
      </w:pPr>
    </w:p>
    <w:p w:rsidR="008B3772" w:rsidRDefault="008B3772" w:rsidP="008B3772">
      <w:pPr>
        <w:pStyle w:val="TextoNormal"/>
      </w:pPr>
      <w:r>
        <w:t>Madrid, a veinticuatro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26" w:name="AUTO_2007_262"/>
      <w:r>
        <w:lastRenderedPageBreak/>
        <w:t>AUTO 262/2007, de 25 de mayo de 2007</w:t>
      </w:r>
    </w:p>
    <w:bookmarkEnd w:id="126"/>
    <w:p w:rsidR="008B3772" w:rsidRDefault="008B3772" w:rsidP="008B3772">
      <w:pPr>
        <w:pStyle w:val="TtuloResolucin"/>
      </w:pPr>
      <w:r>
        <w:t>Sección Primera</w:t>
      </w:r>
    </w:p>
    <w:p w:rsidR="008B3772" w:rsidRDefault="008B3772" w:rsidP="008B3772">
      <w:pPr>
        <w:pStyle w:val="TtuloResolucin"/>
      </w:pPr>
    </w:p>
    <w:p w:rsidR="008B3772" w:rsidRDefault="008B3772" w:rsidP="008B3772">
      <w:pPr>
        <w:pStyle w:val="SntesisDescriptiva"/>
      </w:pPr>
      <w:r>
        <w:t>ECLI:ES:TC:2007:262A</w:t>
      </w:r>
    </w:p>
    <w:p w:rsidR="008B3772" w:rsidRDefault="008B3772" w:rsidP="008B3772">
      <w:pPr>
        <w:pStyle w:val="SntesisDescriptiva"/>
      </w:pPr>
    </w:p>
    <w:p w:rsidR="008B3772" w:rsidRDefault="008B3772" w:rsidP="008B3772">
      <w:pPr>
        <w:pStyle w:val="SntesisDescriptiva"/>
      </w:pPr>
      <w:r>
        <w:t>Excms. Srs. doña María Emilia Casas Baamonde, don Javier Delgado Barrio y don Manuel Aragón Reyes.</w:t>
      </w:r>
    </w:p>
    <w:p w:rsidR="008B3772" w:rsidRDefault="008B3772" w:rsidP="008B3772">
      <w:pPr>
        <w:pStyle w:val="SntesisDescriptiva"/>
      </w:pPr>
    </w:p>
    <w:p w:rsidR="008B3772" w:rsidRDefault="008B3772" w:rsidP="008B3772">
      <w:pPr>
        <w:pStyle w:val="SntesisDescriptiva"/>
      </w:pPr>
      <w:r>
        <w:t>Inadmite a trámite el recurso de amparo 4564-2004, promovido por el Grupo Parlamentario Popular del Congreso de los Diputados en relación con los Acuerdos de la Mesa del Congreso de los Diputados sobre constitución del grupo parlamentario Esquerra Republicana.</w:t>
      </w:r>
    </w:p>
    <w:p w:rsidR="008B3772" w:rsidRDefault="008B3772" w:rsidP="008B3772">
      <w:pPr>
        <w:pStyle w:val="SntesisDescriptiva"/>
      </w:pPr>
    </w:p>
    <w:p w:rsidR="008B3772" w:rsidRDefault="008B3772" w:rsidP="008B3772">
      <w:pPr>
        <w:pStyle w:val="SntesisAnaltica"/>
      </w:pPr>
      <w:r>
        <w:t>Congreso de los Diputados: constitución de grupos parlamentarios. Derecho a acceder a los cargos públicos: no oponible al reconocimiento público de derechos ajenos. Inadmisión de recurso de amparo: carencia de contenido que justifique una decisión sobre el fondo del asunto. Sentencias del Tribunal Constitucional: distingue la STC 64/2002.</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presentado en el Registro General de este Tribunal el día 13 de julio de 2004, doña Paloma Ortiz-Cañavate Levenfeld, Procuradora de los Tribunales, en nombre del Grupo Parlamentario Popular del Congreso de los Diputados, representado por su portavoz, don Eduardo Zaplana Hernández-Soro, y asistido por los Letrados don Ignacio Astarloa Huarte-Mendicoa y don Federico Trillo-Figueroa Martínez-Conde, interpuso por la vía del art. 42 LOTC recurso de amparo contra los acuerdos de la Mesa del Congreso de los Diputados de 13 y de 14 de abril de 2004, relativos a la aceptación de la constitución del Grupo Parlamentario Esquerra Republicana (ERC) en esta Cámara, por vulneración del art. 23.2 CE.</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Los hechos que han dado lugar al presente recurso son básicamente los siguientes: </w:t>
      </w:r>
    </w:p>
    <w:p w:rsidR="008B3772" w:rsidRDefault="008B3772" w:rsidP="008B3772">
      <w:pPr>
        <w:pStyle w:val="TextoNormal"/>
      </w:pPr>
      <w:r>
        <w:t xml:space="preserve">a) Como consecuencia de las elecciones generales celebradas el 14 de marzo de 2004, las candidaturas presentadas por Esquerra Republicana de Cataluña (ERC) obtuvieron 8 escaños en el Congreso de los Diputados, distribuidos de la siguiente forma: 4 por la provincia de Barcelona, 2 por Girona, 1 por Lleida y 1 por Tarragona. El día 2 de abril, todos los Diputados de esta formación manifestaron a la Mesa del Congreso su voluntad de constituirse como grupo parlamentario propio, al amparo de lo previsto en los arts. 23 y siguientes del Reglamento de Congreso de los Diputados (en adelante, RCD), con la denominación “Grupo Parlamentario de Esquerra Republicana (ERC)”. </w:t>
      </w:r>
    </w:p>
    <w:p w:rsidR="008B3772" w:rsidRDefault="008B3772" w:rsidP="008B3772">
      <w:pPr>
        <w:pStyle w:val="TextoNormal"/>
      </w:pPr>
      <w:r>
        <w:t xml:space="preserve">b) La Mesa del Congreso, a través de Acuerdo de 13 de abril de 2004, aceptó dicha declaración de voluntad, y tuvo a dicho Grupo por constituido, “de acuerdo con lo previsto en los arts. 23 y 24 del Reglamento”. </w:t>
      </w:r>
    </w:p>
    <w:p w:rsidR="008B3772" w:rsidRDefault="008B3772" w:rsidP="008B3772">
      <w:pPr>
        <w:pStyle w:val="TextoNormal"/>
      </w:pPr>
      <w:r>
        <w:t xml:space="preserve">c) Al día siguiente, el Grupo Parlamentario Popular en el Congreso presentó un escrito de reconsideración contra dicho Acuerdo basado en que el mismo contravenía el régimen </w:t>
      </w:r>
      <w:r>
        <w:lastRenderedPageBreak/>
        <w:t xml:space="preserve">de constitución de grupos parlamentarios previsto en el art. 23.1 RCD y, concretamente, la exigencia de haber obtenido no menos de cinco escaños y, al menos, el 15 por 100 de los votos correspondientes a las circunscripciones en que hubieren presentado candidatura. Al no haber tenido en cuenta los votos obtenidos en las circunscripciones de Alicante, Castellón y Valencia por parte de “Esquerra Republicana del País Valencià (ERPV)”, denominación bajo la que dicha formación concurrió en estas tres provincias, la Mesa de la Cámara habría vulnerado el art. 23.2 CE. Para llegar a esta conclusión se aduce, en resumen, que este precepto contempla, según reiterada jurisprudencia, el derecho fundamental a ejercer el cargo parlamentario en condiciones de igualdad, que la constitución del Grupo Parlamentario de ERC afecta directamente a todos los demás Diputados en la medida en que su posición jurídica se ve alterada, y que las facultades de la Mesa del Congreso en relación con la constitución de los grupos parlamentarios son de carácter reglado y en ningún caso permiten separarse tan claramente de la literalidad del art. 23 RCD como se hace en el Acuerdo cuya reconsideración se solicita. </w:t>
      </w:r>
    </w:p>
    <w:p w:rsidR="008B3772" w:rsidRDefault="008B3772" w:rsidP="008B3772">
      <w:pPr>
        <w:pStyle w:val="TextoNormal"/>
      </w:pPr>
      <w:r>
        <w:t>d) A través de Acuerdo de 14 de abril de 2004, la Mesa del Congreso de los Diputados decidió desestimar la anterior solicitud basándose en los siguientes argumentos: por un lado, en que la interpretación del Reglamento Parlamentario corresponde a la Mesa, que según la jurisprudencia constitucional debe realizar siempre la interpretación que resulte más favorable al derecho de los Diputados a constituir grupos parlamentarios; por otro lado, que de acuerdo con la STC 64/2002, de 11 de marzo, este derecho corresponde a los Diputados y no a las formaciones políticas a que pertenecen, lo cual conlleva que los requisitos para constituir grupo parlamentario deben exigirse a los primeros, lo que, a su vez, implica que las circunscripciones que deben ser tenidas en cuenta a estos efectos son aquellas en las que han resultado elegidos los Diputados que desean formar un grupo parlamentario. Sobre la base de estos criterios, y en la medida en que Esquerra Republicana de Cataluña obtuvo más del 15% de los votos en el conjunto de las circunscripciones en las que ha obtenido representación y que han sido ocho los Diputados de esta formación que han expresado su voluntad de integrarse en este Grupo Parlamentario, la Mesa acordó desestimar la solicitud de reconsideración del Acuerdo anterior, señalando, además, que la constitución de este Grupo no produce perjuicio alguno a los derechos de ningún otro grupo y que, sin embargo, podría producir distorsiones en el funcionamiento de la Cámara su incorporación al Grupo Mixto. Finalmente, también se aduce que “es obligación de la Mesa de la Cámara amparar el pluralismo político, que en el Parlamento ha de ser reflejo de lo expresado por la voluntad popular”.</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A partir de esta base fáctica y en virtud de lo previsto en el art. 42 LOTC, la demanda de amparo que ha dado lugar al presente proceso se dirige contra los dos Acuerdos de la Mesa del Congreso que se acaba de mencionar, instando su nulidad y el rechazo de la constitución del Grupo Parlamentario Esquerra Republicana (ERC) por vulnerar el derecho fundamental del Grupo Parlamentario Popular y de los Diputados que lo integran a acceder en condiciones de igualdad a las funciones y cargos públicos (art. 23.2 CE). Invocado el cumplimiento de los requisitos procesales exigidos por el art. 42 LOTC, y una vez recordada la jurisprudencia constitucional recaída sobre esta materia (y, especialmente, la STC 64/2002, de 11 de marzo), la fundamentación jurídica de la demanda, que sigue en gran medida la empleada en la solicitud de reconsideración del primer Acuerdo, puede sintetizarse del siguiente modo: </w:t>
      </w:r>
    </w:p>
    <w:p w:rsidR="008B3772" w:rsidRDefault="008B3772" w:rsidP="008B3772">
      <w:pPr>
        <w:pStyle w:val="TextoNormal"/>
      </w:pPr>
      <w:r>
        <w:t xml:space="preserve">a) En primer lugar, se considera que la aceptación de la constitución del Grupo Parlamentario Esquerra Republicana (ERC) por parte de la Mesa del Congreso de los Diputados </w:t>
      </w:r>
      <w:r>
        <w:lastRenderedPageBreak/>
        <w:t xml:space="preserve">infringe claramente lo dispuesto en el art. 23.1 RCD, por no tener en cuenta los votos obtenidos en las circunscripciones en que esta formación presentó candidaturas, aunque bajo otro nombre, sin obtener representación. Concretamente, se señala que en las siete circunscripciones en que se presentaron candidaturas (las cuatro provincias catalanas y las tres de la Comunidad Valenciana) ERC “obtuvo un 9,87 por 100 de los votos atribuidos a candidaturas y un 9,76 por 100 de los votos válidos”, porcentajes que quedan muy lejos del 15 por 100 exigido por el art. 23.1 RCD. En opinión del recurrente, una interpretación tan claramente contraria al Reglamento de la Cámara como la realizada por la Mesa del Congreso es arbitraria, responde al pacto político entre el grupo mayoritario de la Cámara y Esquerra Republicana de Cataluña para “garantizar la intervención, en el turno de los portavoces, del Grupo Parlamentario Esquerra Republicana (ERC) en el debate de investidura del Presidente del Gobierno que comenzaba al día siguiente”, e infringe el art. 23.2 CE. </w:t>
      </w:r>
    </w:p>
    <w:p w:rsidR="008B3772" w:rsidRDefault="008B3772" w:rsidP="008B3772">
      <w:pPr>
        <w:pStyle w:val="TextoNormal"/>
      </w:pPr>
      <w:r>
        <w:t xml:space="preserve">b) La vulneración de este último precepto, que es el único mencionado en el encabezamiento y el petitum de la demanda, se basaría en que el mismo reconoce el derecho fundamental a ejercer las funciones parlamentarias en condiciones de igualdad y de acuerdo con las previsiones reglamentarias, en que la constitución de los grupos parlamentarios integra, como ha reconocido la jurisprudencia, una manifestación relevante del ius in officium de los representantes, y en que la decisión de la Mesa de reconocer el Grupo Parlamentario de Esquerra Republicana vulnera abiertamente el art. 23.1 RCD. </w:t>
      </w:r>
    </w:p>
    <w:p w:rsidR="008B3772" w:rsidRDefault="008B3772" w:rsidP="008B3772">
      <w:pPr>
        <w:pStyle w:val="TextoNormal"/>
      </w:pPr>
      <w:r>
        <w:t xml:space="preserve">c) Por lo que respecta a la propia argumentación de la Mesa, se aduce que la misma excede el carácter reglado de las facultades que corresponden a este órgano en este ámbito, y que no constituye más que una acumulación de principios genéricos y reglas de conveniencia que no pueden justificar una interpretación contra legem del art. 23.1 RCD. Así, se señala que la alusión del segundo Acuerdo a la interpretación más favorable a los derechos fundamentales de los Diputados de Esquerra Republicana no puede llegar al extremo de contravenir lo dispuesto en la propia norma, mientras que la referencia al pluralismo político no resulta adecuada, puesto que éste debe expresarse por los cauces legalmente establecidos y no puede justificar la contravención del Reglamento de la Cámara. También se esgrime que el argumento de la Mesa en relación con las distorsiones que en el funcionamiento del Grupo Mixto conllevaría la integración de los Diputados de esta formación no es de recibo. Y ello no sólo por ser discutible, sino sobre todo porque podrían adoptarse otras soluciones acordes con la legalidad para evitarlas, como la propia reforma del Reglamento Parlamentario o el establecimiento de una organización especial del Grupo Mixto. A modo de ejemplo, se aduce en este segundo sentido la creación de Agrupaciones de Diputados en la III Legislatura. </w:t>
      </w:r>
    </w:p>
    <w:p w:rsidR="008B3772" w:rsidRDefault="008B3772" w:rsidP="008B3772">
      <w:pPr>
        <w:pStyle w:val="TextoNormal"/>
      </w:pPr>
      <w:r>
        <w:t xml:space="preserve">d) Finalmente, y en relación con el perjuicio que la constitución del Grupo Parlamentario de Esquerra Republicana ocasionaría al Grupo recurrente, la demanda de amparo hace referencia, en diversos momentos, a que la existencia de los grupos parlamentarios no es indiferente para el resto de grupos y miembros de la Cámara, y, en particular, para el grupo más numeroso de la oposición. En este sentido, se recuerda cómo el Reglamento del Congreso de los Diputados se basa en la mayor parte de los casos en la consideración paritaria de todos los grupos con independencia del número de sus miembros, y que, consiguientemente, la existencia de un mayor o menor número de grupos afecta a los demás, en la medida en que reduce o aumenta la importancia de éstos en los debates e incluso les deja mayor capacidad de actuación parlamentaria en las iniciativas sometidas a cupos y en que cada grupo tiene garantizado un mínimo. Esta situación se ve especialmente agravada, según el recurrente, cuando el principal grupo parlamentario de la oposición ha obtenido casi cuatro veces más representación que los otros siete grupos menores que él juntos. Este hecho pondría </w:t>
      </w:r>
      <w:r>
        <w:lastRenderedPageBreak/>
        <w:t>claramente de manifiesto el interés directo y privilegiado del Grupo Popular para plantear el presente recurso de amparo.</w:t>
      </w:r>
    </w:p>
    <w:p w:rsidR="008B3772" w:rsidRDefault="008B3772" w:rsidP="008B3772">
      <w:pPr>
        <w:pStyle w:val="TextoNormal"/>
      </w:pPr>
    </w:p>
    <w:p w:rsidR="008B3772" w:rsidRDefault="008B3772" w:rsidP="008B3772">
      <w:pPr>
        <w:pStyle w:val="TextoNormal"/>
      </w:pPr>
      <w:r w:rsidRPr="008B3772">
        <w:rPr>
          <w:rStyle w:val="NumeroAFNegritaCaracter"/>
        </w:rPr>
        <w:t>4</w:t>
      </w:r>
      <w:r>
        <w:t>. Por diligencia de ordenación del Secretario de Justicia de la Sala Primera de 19 de julio de 2004 se tuvieron por recibidos la demanda de amparo y los documentos que la acompañan.</w:t>
      </w:r>
    </w:p>
    <w:p w:rsidR="008B3772" w:rsidRDefault="008B3772" w:rsidP="008B3772">
      <w:pPr>
        <w:pStyle w:val="TextoNormal"/>
      </w:pPr>
    </w:p>
    <w:p w:rsidR="008B3772" w:rsidRDefault="008B3772" w:rsidP="008B3772">
      <w:pPr>
        <w:pStyle w:val="TextoNormal"/>
      </w:pPr>
      <w:r w:rsidRPr="008B3772">
        <w:rPr>
          <w:rStyle w:val="NumeroAFNegritaCaracter"/>
        </w:rPr>
        <w:t>5</w:t>
      </w:r>
      <w:r>
        <w:t>. Por providencia de 1 de marzo de 2006 la Sección Primera acordó conceder un plazo de diez días a la parte demandante y al Ministerio Fiscal para, de conformidad con lo previsto en el art. 50.3 LOTC, presentar alegaciones en relación con la causa de inadmisión de carencia manifiesta de contenido constitucional de la demanda prevista en el art. 50.1 c) LOTC.</w:t>
      </w:r>
    </w:p>
    <w:p w:rsidR="008B3772" w:rsidRDefault="008B3772" w:rsidP="008B3772">
      <w:pPr>
        <w:pStyle w:val="TextoNormal"/>
      </w:pPr>
    </w:p>
    <w:p w:rsidR="008B3772" w:rsidRDefault="008B3772" w:rsidP="008B3772">
      <w:pPr>
        <w:pStyle w:val="TextoNormal"/>
      </w:pPr>
      <w:r w:rsidRPr="008B3772">
        <w:rPr>
          <w:rStyle w:val="NumeroAFNegritaCaracter"/>
        </w:rPr>
        <w:t>6</w:t>
      </w:r>
      <w:r>
        <w:t xml:space="preserve">. Mediante escrito registrado en este Tribunal el 16 de marzo de 2006, el Ministerio Fiscal interesó la inadmisión a trámite de la demanda por concurrencia de la indicada causa. A pesar de considerar que la literalidad del art. 23.2 RCD vincula el porcentaje de votos obtenidos a las circunscripciones en que se presentaron candidaturas y no a aquéllas en que se obtuvieron escaños, y de que las formaciones presentadas en Cataluña y en el País Valenciano no eran diferentes, se señala que la infracción del Reglamento Parlamentario es condición necesaria, pero no suficiente para considerar que la demanda no carece manifiestamente de contenido. Así, se aduce que, a diferencia de lo sucedido en la STC 64/2002, de 11 de marzo, las decisiones recurridas en el presente caso no suponen un impedimento o prohibición al Grupo Parlamentario recurrente, sino que implican el reconocimiento de otro grupo diferente. Partiendo de la base de que el deber de poner de relieve la relación entre el acto recurrido y la lesión del derecho fundamental invocado es mayor en casos como el presente, en que la decisión impugnada se ha dictado para facilitar el ejercicio del mismo derecho constitucional por parte de otros Diputados, se considera que la demanda de amparo está prácticamente ayuna de fundamentación. Así, se esgrime que los recurrentes se limitan a indicar, con carácter general, los supuestos en que el ejercicio del derecho tutelado se articula a través de los grupos y no a través de los Diputados individualmente considerados. Aunque el incumpliendo del deber de fundamentar la queja aducida ya excusaría, según el Fiscal, cualquier otra consideración, se añade que la lectura del Reglamento del Congreso permite entender que ni siquiera estas afirmaciones genéricas tienen base suficiente para comprobar la lesión constitucional denunciada. Aunque la posición de los Diputados de Esquerra Republicana resulta en algunos aspectos beneficiada por la constitución de un Grupo Parlamentario propio, de ello no se desprende necesariamente perjuicio para el demandante de amparo. A título de ejemplo se señala el régimen de la Junta de Portavoces (con el criterio del voto ponderado), de las Comisiones y de la Diputación Permanente (que se rigen por el principio proporcional), y de las Comisiones del Estatuto de los Diputados y de la de Peticiones (que no son realmente comisiones decisorias, y en las que se prevé que cada Grupo tenga un miembro, si bien su Presidencia, Vicepresidencia y la Secretaria corresponden a los grupos mayoritarios). A su vez, la regulación genérica del art. 28 RCD en relación con los medios materiales a que tiene derecho cada Grupo no permite fundamentar, según el Fiscal, que la constitución del Grupo Esquerra Republicana haya afectado negativamente al recurrente en amparo, que no ha alegado nada al respecto. </w:t>
      </w:r>
    </w:p>
    <w:p w:rsidR="008B3772" w:rsidRDefault="008B3772" w:rsidP="008B3772">
      <w:pPr>
        <w:pStyle w:val="TextoNormal"/>
      </w:pPr>
      <w:r>
        <w:lastRenderedPageBreak/>
        <w:t>Por todo ello, y en la medida en que no se observa que la existencia del Grupo controvertido haya afectado a la constitución y el funcionamiento del Grupo Parlamentario Popular en ningún aspecto constitucionalmente relevante, se considera que la demanda carece manifiestamente de contenido y debe ser inadmitida a trámite.</w:t>
      </w:r>
    </w:p>
    <w:p w:rsidR="008B3772" w:rsidRDefault="008B3772" w:rsidP="008B3772">
      <w:pPr>
        <w:pStyle w:val="TextoNormal"/>
      </w:pPr>
    </w:p>
    <w:p w:rsidR="008B3772" w:rsidRDefault="008B3772" w:rsidP="008B3772">
      <w:pPr>
        <w:pStyle w:val="TextoNormal"/>
      </w:pPr>
      <w:r w:rsidRPr="008B3772">
        <w:rPr>
          <w:rStyle w:val="NumeroAFNegritaCaracter"/>
        </w:rPr>
        <w:t>7</w:t>
      </w:r>
      <w:r>
        <w:t xml:space="preserve">. La representación del Grupo Parlamentario Popular del Congreso de los Diputados presentó sus alegaciones a través de escrito registrado en este Tribunal el 23 de marzo de 2006. Considera para ello, en primer lugar, que la cuestión suscitada en el presente recurso ni es de mera legalidad, ni se basa en argumentos inconsistentes, ni tiene escasa trascendencia, que son los criterios empleados habitualmente por el Tribunal Constitucional para apreciar la concurrencia de la causa de inadmisión prevista en el art. 50.1 c) LOTC. Después de dar por reproducido lo indicado en su demanda para fundamentar lo anterior, el escrito de alegaciones subraya aquellos elementos esenciales que ponen de relieve el contenido manifiestamente constitucional de la pretensión del recurrente. </w:t>
      </w:r>
    </w:p>
    <w:p w:rsidR="008B3772" w:rsidRDefault="008B3772" w:rsidP="008B3772">
      <w:pPr>
        <w:pStyle w:val="TextoNormal"/>
      </w:pPr>
      <w:r>
        <w:t xml:space="preserve">Así, tras recordar que el recurso cumple los requisitos procesales señalados en el art. 42 LOTC, y que la jurisprudencia constitucional ha interpretado ampliamente el art. 23.2 CE incluyendo en el mismo, de modo expreso, la constitución de los grupos parlamentarios, y limitando las facultades de la Mesa de la Cámara al control de los aspectos reglados de su régimen jurídico, se esgrime que los Acuerdos de la Mesa impugnados integran una decisión consciente y querida de forzar el Reglamento de la Cámara para favorecer a los Diputados afectados. En este sentido, se señala que carecen de justificación en Derecho, que suponen una actuación arbitraria vulneradora del art. 9.3 CE, y que los argumentos esgrimidos para justificarlos son inconsistentes y se encuentran al margen de las facultades de control de la Mesa. Después de considerar que estos Acuerdos no son gratuitos, puesto que benefician a una formación política que gobierna en Cataluña con el Partido Socialista y que ha prestado apoyo al Gobierno de la Nación y al Grupo Parlamentario de la mayoría, se atribuye a los mismos una lesión directa y efectiva en el derecho fundamental del art. 23.2 CE de los Diputados recurrentes a ejercer la función representativa parlamentaria en condiciones de igualdad y en la forma y con los requisitos que dispone el Reglamento de la Cámara. </w:t>
      </w:r>
    </w:p>
    <w:p w:rsidR="008B3772" w:rsidRDefault="008B3772" w:rsidP="008B3772">
      <w:pPr>
        <w:pStyle w:val="TextoNormal"/>
      </w:pPr>
      <w:r>
        <w:t xml:space="preserve">La representante del Grupo Popular responde al argumento que mantiene que las decisiones impugnadas en nada perjudican a los Diputados recurrentes, aduciendo que el mismo supone desconocer completamente la organización y funcionamiento de los Parlamentos contemporáneos y del Congreso de los Diputados. Así, se reitera que la existencia de un mayor o menor número de grupos parlamentarios afecta a todos los demás y, en particular, al grupo más numeroso de la oposición, teniendo en cuenta la regulación del RCD, basada en la mayoría de supuestos en la consideración paritaria de todos ellos con independencia del número de sus miembros. Aunque excepcionalmente el Reglamento de la Cámara contempla un trato desigual en función de la representatividad de los grupos, la regla general es la del status homogéneo entre los mismos. En este contexto, se esgrime que la creación de un grupo parlamentario no puede dejar de ser relevante y afectar a los demás grupos y, en concreto, al Grupo Popular. El hecho de que el Parlamento sea una institución de mayorías y minorías, y que las formaciones políticas tengan mayores o menores posibilidades de manifestar sus posiciones según su reconocimiento parlamentario implica, según los recurrentes, que los 148 Diputados del Grupo Popular tienen que compartir el mismo tiempo en los debates que otros Grupos de menos de diez Diputados. Esta disminución del protagonismo del principal grupo de la oposición debe respetarse, en su opinión, siempre que responda a las previsiones reglamentarias, pero no es aceptable cuando supone su vulneración. </w:t>
      </w:r>
    </w:p>
    <w:p w:rsidR="008B3772" w:rsidRDefault="008B3772" w:rsidP="008B3772">
      <w:pPr>
        <w:pStyle w:val="TextoNormal"/>
      </w:pPr>
      <w:r>
        <w:lastRenderedPageBreak/>
        <w:t xml:space="preserve">Finalmente, se aduce que el presente caso no concurre ninguno de los criterios acuñados por el Tribunal Constitucional sobre la causa de inadmisión a trámite prevista en el art. 50.1 c) LOTC. Así, se considera que la demanda de amparo se basa en una lesión efectiva del derecho fundamental invocado que puede ser remediada a través del recurso de amparo, que la argumentación aducida no puede considerarse inconsistente y que la relevancia constitucional del caso es indudable dada la naturaleza de los grupos parlamentarios como entes imprescindibles y principales en la organización y funcionamiento del Parlamento. También se esgrime que la demanda no se reduce a temas de mera legalidad, sino que afecta al ejercicio de un aspecto esencial de la función representativa parlamentaria. </w:t>
      </w:r>
    </w:p>
    <w:p w:rsidR="008B3772" w:rsidRDefault="008B3772" w:rsidP="008B3772">
      <w:pPr>
        <w:pStyle w:val="TextoNormal"/>
      </w:pPr>
      <w:r>
        <w:t>A modo de última consideración, se señala que el Tribunal Constitucional ha hecho hasta el momento una interpretación generosa de los márgenes de control de los actos parlamentarios mediante el recurso de amparo y que en esta línea jurisprudencial ha influido probablemente la exclusión de cualquier otro recurso jurisdiccional frente a las decisiones y actos parlamentarios sin fuerza de ley. Teniendo en cuenta que una denegación del acceso al recurso de amparo supone la absoluta imposibilidad de cualquier control jurisdiccional en la materia, se considera que una inadmisión de la presente demanda no sólo chocaría con la jurisprudencia anterior, sino que convertiría a los Acuerdos de la Mesa en inmunes jurisdiccionalmente, provocando una total indefensión en este caso y otros análogos que puedan plantearse en el futuro. Así, los actos arbitrarios de la Mesa de un Parlamento que favorezcan a los Diputados que lo solicitan no podrían ser revisables jurisdiccionalmente, de modo que los requisitos exigidos reglamentariamente se convertirían en una mera orientación exenta de cualquier posible sanción. Por todo ello, se insta la admisión a trámite de la demanda por no concurrir la causa prevista en el art. 50. 1 c) LOTC.</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Grupo Popular del Congreso de los Diputados, representado por su Portavoz, impugna a través del presente proceso los Acuerdos de la Mesa de esta Cámara de 13 y de 14 de abril de 2004, relativos a la aceptación de la constitución del Grupo Parlamentario Esquerra Republicana (ERC). Aunque en algún momento del proceso se ha aducido que la actuación de la Mesa ha sido arbitraria y, por tanto, vulneradora del art. 9.3 CE, el encabezamiento y el petitum de la demanda y, sobre todo, los derechos susceptibles de tutela a través de la vía del art. 42 LOTC obligan a limitar nuestro análisis a la posible vulneración del art. 23.2 CE. Como ha quedado reflejado en los antecendentes, en esta fase del proceso se trata de decidir, concretamente, si los Acuerdos de la Mesa impugnados han podido vulnerar el derecho del Grupo Parlamentario recurrente y de los Diputados que lo integran a ejercer sus funciones de acuerdo con la normativa parlamentaria y en condiciones de igualdad.  Este es, en efecto, el contenido normativo adicional que reiteradamente hemos considerado integrado en el derecho al acceso, en condiciones de igualdad, a los cargos públicos representativos (art. 23.2 CE) a partir de su conexión directa con el derecho de los ciudadanos (art.  23.1 CE) a participar en los asuntos públicos a través de representantes (entre otras muchas, SSTC 32/1985, de 6 de marzo, FJ 3; 161/1988, de 20 de septiembre, FJ 6; 203/2001, de 15 de octubre, FJ 2; 64/2002, de 11 de marzo, FJ 2, y 78/2006, de 13 de marzo, FJ 3 a).</w:t>
      </w:r>
    </w:p>
    <w:p w:rsidR="008B3772" w:rsidRDefault="008B3772" w:rsidP="008B3772">
      <w:pPr>
        <w:pStyle w:val="TextoNormal"/>
      </w:pPr>
      <w:r>
        <w:t xml:space="preserve">La demanda de amparo y las posteriores alegaciones del recurrente en relación con la causa de inadmisión prevista en el art. 50.1 c) LOTC fundamentan la vulneración de este derecho a partir del siguiente hilo argumental: por un lado, que los Acuerdos impugnados </w:t>
      </w:r>
      <w:r>
        <w:lastRenderedPageBreak/>
        <w:t>infringen consciente y flagrantemente lo previsto en el art. 23.1 del Reglamento del Congreso de los Diputados (en adelante, RCD) en relación con el apoyo electoral requerido para que los ocho Diputados de Esquerra Republicana que lo solicitaron puedan constituir grupo parlamentario propio; por otro lado, que, con su actuación, la Mesa del Congreso ha ido más allá del control formal reglado que, según el recurrente, le corresponde al verificar los requisitos de constitución de los grupos parlamentarios; estrechamente relacionado con lo anterior, que, con su proceder, la Mesa ha consumado una interpretación contra legem de dicho precepto, que no puede considerarse suficientemente justificada a la luz de los argumentos en que se basa; y, finalmente, que los Acuerdos impugnados tienen una incidencia directa y evidente en el derecho fundamental del Grupo Parlamentario recurrente y de los Diputados que lo integran a ejercer sus funciones parlamentarias de acuerdo con las previsiones reglamentarias y en condiciones de igualdad.</w:t>
      </w:r>
    </w:p>
    <w:p w:rsidR="008B3772" w:rsidRDefault="008B3772" w:rsidP="008B3772">
      <w:pPr>
        <w:pStyle w:val="TextoNormal"/>
      </w:pPr>
      <w:r>
        <w:t>Abierto el trámite previsto en el art. 50.3 LOTC, el Ministerio Fiscal aduce, en cambio, que la demanda carece manifiestamente de contenido que justifique una decisión de fondo por parte de este Tribunal (art. 50.1 c LOTC) por considerar, resumidamente, que los Acuerdos de la Mesa, relativos a la constitución del Grupo Parlamentario Esquerra Republicana (ERC), no han podido vulnerar el derecho fundamental del recurrente, al no afectar en ningún aspecto relevante a la constitución y funcionamiento del Grupo Parlamentario Popular.</w:t>
      </w:r>
    </w:p>
    <w:p w:rsidR="008B3772" w:rsidRDefault="008B3772" w:rsidP="008B3772">
      <w:pPr>
        <w:pStyle w:val="TextoNormal"/>
      </w:pPr>
    </w:p>
    <w:p w:rsidR="008B3772" w:rsidRDefault="008B3772" w:rsidP="008B3772">
      <w:pPr>
        <w:pStyle w:val="TextoNormal"/>
      </w:pPr>
      <w:r w:rsidRPr="008B3772">
        <w:rPr>
          <w:rStyle w:val="NumeroAFNegritaCaracter"/>
        </w:rPr>
        <w:t>2</w:t>
      </w:r>
      <w:r>
        <w:t>. La decisión sobre la concurrencia de la causa de inadmisión del art. 50.1 c) LOTC debe partir de la interpretación que hemos venido haciendo de la denominada “garantía añadida” del art. 23.2 CE [SSTC 177/2002, de 14 de octubre, FJ 3 y 40/2003, de 25 de febrero, FJ 2 a)], esto es, el derecho fundamental de los parlamentarios y de los grupos en que se integran a ejercer sus funciones en condiciones de igualdad y dentro de la legalidad parlamentaria. De esta jurisprudencia, que se remonta a las SSTC 5/1983, de 4 de febrero, FJ 3, y 32/1985, de 6 de marzo, FJ 3, y que ha ido desarrollándose sin apenas variaciones hasta la reciente STC 78/2006, de 13 de marzo, FJ 3 a), cabe destacar, a los efectos del presente proceso, los siguientes elementos.</w:t>
      </w:r>
    </w:p>
    <w:p w:rsidR="008B3772" w:rsidRDefault="008B3772" w:rsidP="008B3772">
      <w:pPr>
        <w:pStyle w:val="TextoNormal"/>
      </w:pPr>
      <w:r>
        <w:t>Por un lado, el derecho que venimos analizando protege a sus titulares, sean éstos parlamentarios individualmente considerados o grupos parlamentarios, frente a decisiones de las Cámaras que impiden, limitan o perturban sus funciones parlamentarias básicas ejercidas en el marco de la legalidad y en condiciones de igualdad. Así, a través de diversas fórmulas hemos señalado que es posible invocar el art. 23.2 CE frente a actuaciones de las Cámaras que impiden u obstaculizan artificialmente el ejercicio del núcleo de la función representativa, que contraríen la naturaleza de la representación o la igualdad entre los representantes (por todas, SSTC 32/1985, de 6 de marzo, FJ 3, y 38/1999, de 23 de marzo, FJ 2). Aunque en este último caso también se pone de relieve la íntima conexión entre los dos apartados del art. 23 CE, la igualdad en el ejercicio del cargo parlamentario tiene su ámbito natural de actuación en la normativa que lo regula, que debe ser aplicada de igual forma a todos sus destinatarios. En cualquier caso, lo que resulta constitucionalmente improcedente es que el derecho del art. 23.2 CE pretenda ser ejercido por sus titulares frente a actuaciones de las Cámaras que no inciden negativamente en el núcleo de su función representativa, ya sea obstaculizándola directa o indirectamente, ya sea discriminándoles respecto de otros supuestos.</w:t>
      </w:r>
    </w:p>
    <w:p w:rsidR="008B3772" w:rsidRDefault="008B3772" w:rsidP="008B3772">
      <w:pPr>
        <w:pStyle w:val="TextoNormal"/>
      </w:pPr>
      <w:r>
        <w:t xml:space="preserve">Por otro lado, el ius in officium tutelado por el art. 23.2 CE no implica un derecho fundamental genérico al respeto de la legalidad parlamentaria. En efecto, tal y como ha recordado el propio recurrente, son reiterados los pronunciamientos de este Tribunal considerando que el hecho de tratarse de un derecho de configuración legal no supone que cualquier </w:t>
      </w:r>
      <w:r>
        <w:lastRenderedPageBreak/>
        <w:t>infracción de los Reglamentos Parlamentarios pueda considerarse automáticamente vulneradora del derecho fundamental a ejercer las funciones parlamentarias en los términos que señalan las leyes. Como hemos señalado, entre otras, en las SSTC 38/1999, de 22 de marzo, FJ 2; 203/2001, de 15 de octubre, FJ 2, y 64/2002, de 11 de marzo, FJ 2, sólo son constitucionalmente relevantes, a estos efectos, aquellas decisiones parlamentarias que afecten al núcleo de la función representativa parlamentaria. De ahí que las infracciones del Reglamento Parlamentario sólo puedan ser denunciadas a través del recurso de amparo si las mismas suponen una vulneración de los derechos fundamentales susceptibles de amparo y, significativamente, del derecho a ejercer el núcleo de las funciones parlamentarias representativas en condiciones de igualdad.</w:t>
      </w:r>
    </w:p>
    <w:p w:rsidR="008B3772" w:rsidRDefault="008B3772" w:rsidP="008B3772">
      <w:pPr>
        <w:pStyle w:val="TextoNormal"/>
      </w:pPr>
      <w:r>
        <w:t>Finalmente, de nuestra doctrina también se deriva que los órganos parlamentarios y, sobre todo, los órganos rectores de las Cámaras disponen de un margen en la interpretación de la legalidad parlamentaria que este Tribunal no puede desconocer. La autonomía parlamentaria amparada constitucionalmente (art. 72 CE) y la propia naturaleza del art. 23.2 CE como derecho de configuración legal obligan, en efecto, a limitar nuestro control a los supuestos de actuaciones parlamentarias lesivas de derechos fundamentales susceptibles de amparo y, en particular, de los reconocidos en dicho precepto.  Así, éste fue el criterio seguido en la STC 64/2002, de 11 de marzo, relativa a la negativa de la Mesa del Congreso de los Diputados a considerar constituido el Grupo Parlamentario del Bloque Nacionalista Galego (BNG) en la Legislatura anterior. Pero también lo ha sido en la más frecuente jurisprudencia sobre la admisión a trámite de las iniciativas parlamentarias que la propia normativa parlamentaria somete a requisitos de tipo material [por todas, SSTC 40/2003, de 25 de febrero, FJ 2, y 78/2006, de 13 de marzo, FJ 3 a)]. Como en tantos otros ámbitos, el empleo de un canon de control de este tipo supone reconocer a los órganos parlamentarios un margen de interpretación de la normativa que rige su actuación que no puede ser ignorado por este Tribunal. Ello no obsta, como es lógico, a que dicha interpretación no deba ser censurada en los casos en que la misma conlleve una vulneración de los derechos fundamentales susceptibles de amparo. El que en la STC 64/2002, de 11 de marzo, hayamos reconocido que el art. 23.2 CE obliga a los órganos parlamentarios a motivar las decisiones que restringen los derechos fundamentales reconocidos en su seno (FJ 4), o a interpretar restrictivamente las normas que puedan suponer una limitación a los mismos (FJ 2) no contradice lo anterior, puesto que estos deberes tienen su base constitucional en los propios derechos fundamentales. Son las propias Cámaras, pues, las que deben interpretar la legalidad parlamentaria, sin que dicha interpretación pueda ser controlada por este Tribunal al margen de los derechos fundamentales y, significativamente, del art. 23.2 CE.</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A la luz de esta doctrina, la presente demanda de amparo debe ser inadmitida a trámite por carencia manifiesta de contenido que justifique una decisión de fondo por parte de este Tribunal [art. 50.1 c) LOTC]. Para llegar a esta conclusión resulta decisivo destacar que los Acuerdos de la Mesa del Congreso de los Diputados recurridos no son susceptibles de vulnerar el derecho fundamental invocado por Grupo Parlamentario Popular. Lo primero que hay que recordar, como se ha visto, es que el derecho que está en juego es el de este Grupo y el de los parlamentarios que lo integran a ejercer las facultades que pertenecen al núcleo de su función representativa en condiciones de igualdad y de acuerdo con la legalidad parlamentaria. Desde esta perspectiva cabe destacar que los Acuerdos impugnados se refieren exclusivamente a la constitución del Grupo Parlamentario Esquerra Republicana (ERC) y que en ningún momento se refieren al Grupo recurrente. Ambas circunstancias obligan a diferenciar nítidamente el presente supuesto del resuelto por la STC 64/2002, de 11 de </w:t>
      </w:r>
      <w:r>
        <w:lastRenderedPageBreak/>
        <w:t>marzo, invocada reiteradamente y relativa a la constitución del Grupo Parlamentario del Bloque Nacionalista Galego (BNG) en la pasada Legislatura. Si bien en esta Sentencia incluíamos la constitución de los grupos parlamentarios entre las facultades de los Diputados que pertenecen al núcleo de su función representativa parlamentaria (FJ 3), en el presente caso ya hemos señalado que no está en juego el derecho de los Diputados del Partido Popular a constituir un grupo parlamentario propio. El recurrente tampoco ha pretendido en ningún momento que se le aplique la interpretación del Reglamento del Congreso de los Diputados que ha permitido la constitución del Grupo Parlamentario Esquerra Republicana (ERC), extremo éste que sí podría afectar a dicho derecho. No estando comprometido, pues, el derecho de los recurrentes a constituir grupo parlamentario propio, no es posible, como pretenden estos últimos, trasladar mecánicamente la doctrina contenida en la STC 64/2002, de 11 de marzo, para dar respuesta a este supuesto.</w:t>
      </w:r>
    </w:p>
    <w:p w:rsidR="008B3772" w:rsidRDefault="008B3772" w:rsidP="008B3772">
      <w:pPr>
        <w:pStyle w:val="TextoNormal"/>
      </w:pPr>
    </w:p>
    <w:p w:rsidR="008B3772" w:rsidRDefault="008B3772" w:rsidP="008B3772">
      <w:pPr>
        <w:pStyle w:val="TextoNormal"/>
      </w:pPr>
      <w:r w:rsidRPr="008B3772">
        <w:rPr>
          <w:rStyle w:val="NumeroAFNegritaCaracter"/>
        </w:rPr>
        <w:t>4</w:t>
      </w:r>
      <w:r>
        <w:t>. En estas circunstancias, la única posibilidad de admitir a trámite la demanda de amparo pasa por considerar que la creación del Grupo Parlamentario Esquerra Republicana (ERC) es susceptible de vulnerar el derecho fundamental del Grupo Parlamentario Popular y de los Diputados que lo integran a ejercer otras funciones parlamentarias básicas en condiciones de igualdad y de acuerdo con la normativa que las regula. El recurrente afirma que la afectación de este derecho es evidente y directa. Pero un examen de las alegaciones formuladas para sustentarla no puede llevarnos más que a compartir el criterio contrario sostenido por el Ministerio Fiscal.</w:t>
      </w:r>
    </w:p>
    <w:p w:rsidR="008B3772" w:rsidRDefault="008B3772" w:rsidP="008B3772">
      <w:pPr>
        <w:pStyle w:val="TextoNormal"/>
      </w:pPr>
      <w:r>
        <w:t>El representante del Grupo Popular indica que en el Congreso de los Diputados y en cualquier Parlamento contemporáneo la constitución de los grupos parlamentarios no puede resultar indiferente para el resto de grupos y para sus miembros y, sobre todo, para el principal grupo de la oposición. Esta tesis se pretende demostrar a partir del régimen jurídico de determinadas instituciones parlamentarias, así como de consideraciones generales relativas al protagonismo de las diversas formaciones políticas y a las posibilidades de poner de manifiesto sus respectivas posiciones. Ninguno de estos argumentos pueden ser compartidos, sin embargo, desde un punto de vista constitucional.</w:t>
      </w:r>
    </w:p>
    <w:p w:rsidR="008B3772" w:rsidRDefault="008B3772" w:rsidP="008B3772">
      <w:pPr>
        <w:pStyle w:val="TextoNormal"/>
      </w:pPr>
      <w:r>
        <w:t>Así, el que los Diputados de Esquerra Republicana de Cataluña puedan participar en los principales debates parlamentarios (sesión de investidura, moción de censura, cuestión de confianza, comunicaciones y sesiones informativas del Gobierno) en las mismas condiciones que los parlamentarios del Grupo Popular como consecuencia de haber sido aceptada su solicitud de constituirse como Grupo Parlamentario propio no afecta al derecho de estos últimos a ejercer sus funciones parlamentarias de acuerdo con las previsiones legales. Las facultades de participación que el Reglamento del Congreso de los Diputados les otorga en dichos debates no se ven restringidas en ningún momento, al estar reconocidas a todos los grupos parlamentarios con independencia del número de miembros (arts. 171.3, 177.2, 174.3, 196.1 y 203.2 RCD, respectivamente).</w:t>
      </w:r>
    </w:p>
    <w:p w:rsidR="008B3772" w:rsidRDefault="008B3772" w:rsidP="008B3772">
      <w:pPr>
        <w:pStyle w:val="TextoNormal"/>
      </w:pPr>
      <w:r>
        <w:t>Lo mismo cabe decir de las iniciativas parlamentarias mencionadas en la demanda de amparo (enmiendas a la totalidad, mociones consecuencia de interpelaciones, proposiciones no de ley, propuestas de resolución a las comunicaciones del Gobierno y propuestas de candidatos para determinados órganos constitucionales), puesto que su régimen jurídico también responde al criterio de la paridad entre todos los grupos parlamentarios (arts. 110.3, 184.2, 193, 197.1, y 204.2 RCD, respectivamente).</w:t>
      </w:r>
    </w:p>
    <w:p w:rsidR="008B3772" w:rsidRDefault="008B3772" w:rsidP="008B3772">
      <w:pPr>
        <w:pStyle w:val="TextoNormal"/>
      </w:pPr>
      <w:r>
        <w:t xml:space="preserve">El recurrente también ha invocado, en defensa de su posición, que la constitución del Grupo Parlamentario Esquerra Republicana (ERC) repercute negativamente en el ejercicio </w:t>
      </w:r>
      <w:r>
        <w:lastRenderedPageBreak/>
        <w:t>de sus funciones parlamentarias en aquellos institutos sometidos al sistema de cupos (preguntas orales ante el Pleno e interpelaciones urgentes). Sin embargo, un análisis de la normativa que regula su régimen jurídico en el Congreso de los Diputados permite rechazar esta alegación. En el primer caso, cabe destacar que la Resolución de la Presidencia del Congreso de 18 de junio de 1996 establece, en desarrollo del art. 188 RCD, que el número de preguntas de este tipo que pueden incluirse en el orden del día de cada sesión plenaria es de veinticuatro, en principio, correspondiendo cuando menos una a los integrantes de cada Grupo Parlamentario. En el supuesto de haberse presentado un número de preguntas superior, se prevén unos criterios de prioridad que garantizan que cada Grupo pueda formular una y que en la distribución de las restantes tendrán preferencia las preguntas formuladas por Diputados pertenecientes a Grupos que no hayan consumido el cupo de preguntas otorgado en cada período se sesiones.  A los efectos del presente recurso cabe destacar, sin embargo, que la propia Resolución de la Presidencia establece que dicho cupo resulta de la asignación de una pregunta por cada diez Diputados o fracción. A partir de esta regulación, es evidente que la constitución del Grupo Parlamentario Esquerra Republicana (ERC) no incide en el número de preguntas que corresponde a los Diputados del Grupo Popular ni a los Diputados de los restantes Grupos. La única excepción, en este sentido, sería la del Grupo Mixto, que vería incrementado el número de preguntas orales como consecuencia de la integración de los Diputados de Esquerra Republicana de Cataluña en sus filas.</w:t>
      </w:r>
    </w:p>
    <w:p w:rsidR="008B3772" w:rsidRDefault="008B3772" w:rsidP="008B3772">
      <w:pPr>
        <w:pStyle w:val="TextoNormal"/>
      </w:pPr>
      <w:r>
        <w:t>La misma argumentación es trasladable a las interpelaciones urgentes que pueden presentarse ante el Pleno. En este caso es el art. 182.2 RCD el que prevé un cupo idéntico al anterior a los efectos de determinar el número de interpelaciones de este tipo que pueden presentarse en cada período de sesiones. Excepto al Grupo Mixto, la existencia de más o menos grupos no afecta, pues, a los demás grupos parlamentarios (y, significativamente, al Grupo Popular), así como tampoco a los criterios de preferencia previstos en la Resolución de la Presidencia del Congreso de los Diputados de 6 de septiembre de 1983 que desarrolla esta institución, entre los que se encuentra el uso efectivo de dicho cupo. Al igual que en los anteriores instrumentos parlamentarios, la existencia del Grupo Parlamentario objeto de discusión no afecta negativamente, pues, a las posibilidades de intervención del Grupo Parlamentario Popular y de los Diputados que lo integran.</w:t>
      </w:r>
    </w:p>
    <w:p w:rsidR="008B3772" w:rsidRDefault="008B3772" w:rsidP="008B3772">
      <w:pPr>
        <w:pStyle w:val="TextoNormal"/>
      </w:pPr>
      <w:r>
        <w:t>Finalmente, la participación del Grupo Popular en los órganos del Congreso a los que alude la demanda (Junta de Portavoces, Comisión del Estatuto del Diputado, Comisión de Peticiones y Comisiones parlamentarias) tampoco resulta alterada como consecuencia del reconocimiento de dicho Grupo. En este ámbito, en efecto, cabe destacar que el Reglamento del Congreso de los Diputados opta por criterios de paridad o proporcionalidad (arts. 39.1, 48.1, 49.1 y 40.1, respectivamente), que no resultan afectados por su existencia. Por todo lo anterior, no es posible, pues, considerar que los Acuerdos impugnados han podido vulnerar el derecho del Grupo Parlamentario Popular y de sus miembros a ejercer sus funciones parlamentarias nucleares de acuerdo con las previsiones legales.</w:t>
      </w:r>
    </w:p>
    <w:p w:rsidR="008B3772" w:rsidRDefault="008B3772" w:rsidP="008B3772">
      <w:pPr>
        <w:pStyle w:val="TextoNormal"/>
      </w:pPr>
    </w:p>
    <w:p w:rsidR="008B3772" w:rsidRDefault="008B3772" w:rsidP="008B3772">
      <w:pPr>
        <w:pStyle w:val="TextoNormal"/>
      </w:pPr>
      <w:r w:rsidRPr="008B3772">
        <w:rPr>
          <w:rStyle w:val="NumeroAFNegritaCaracter"/>
        </w:rPr>
        <w:t>5</w:t>
      </w:r>
      <w:r>
        <w:t xml:space="preserve">. Descartada esta posibilidad, una hipotética vulneración del art. 23.2 CE podría basarse en que tales Acuerdos impiden a los recurrentes ejercer el ius in officium en condiciones de igualdad. Cabe recordar, sin embargo, que los recurrentes no han reivindicado en ningún momento un trato equivalente al otorgado a los Diputados de Esquerra Republicana de Cataluña. De hecho, las únicas alusiones a la igualdad realizadas a lo largo del presente proceso son las referidas a la disminución del protagonismo del Grupo Parlamentario Popular como consecuencia del reconocimiento del Grupo Parlamentario objeto de discusión, disminución que sería especialmente gravosa teniendo en cuenta en cuenta su condición de principal </w:t>
      </w:r>
      <w:r>
        <w:lastRenderedPageBreak/>
        <w:t>grupo de la oposición.  Este argumento, que una vez más pone de manifiesto la íntima conexión entre los dos apartados del art. 23 CE, no puede conducir, sin embargo, a una posible vulneración del art. 23.2 CE.  En primer lugar, debe tenerse en cuenta, como se ha recordado en el FJ 2, que la igualdad en el ejercicio del ius in officium se refiere sobre todo a los requisitos legales que lo regulan, de modo que no es posible invocarla cuando, como en el presente caso, en ningún momento se ha esgrimido un posible trato discriminatorio.</w:t>
      </w:r>
    </w:p>
    <w:p w:rsidR="008B3772" w:rsidRDefault="008B3772" w:rsidP="008B3772">
      <w:pPr>
        <w:pStyle w:val="TextoNormal"/>
      </w:pPr>
      <w:r>
        <w:t>Por otro lado, los Acuerdos impugnados es evidente que tampoco contrarían la naturaleza de la función representativa o la igualdad entre los representantes, en la medida en que se limitan a reconocer el derecho de los Diputados de Esquerra Republicana a constituir un grupo parlamentario propio. El que este reconocimiento implique que estos representantes tengan, en general, las mismas posibilidades de participación que los del principal grupo de la oposición no supone ninguna vulneración de cualquiera de los apartados del art. 23 CE, puesto que ello es consubstancial a todo régimen parlamentario.  En efecto, cabe recordar que en relación con el mandato de proporcionalidad que afecta a los sistemas electorales (arts. 68.3 y 152.1 CE), a los senadores designados por las Comunidades Autónomas (art. 69.5 CE), o a la composición de las Comisiones parlamentarias hemos señalado que “la proporcionalidad en la representación es difícil de alcanzar totalmente o de forma ideal”, sobre todo teniendo en cuenta las distorsiones que provoca cualquier fórmula electoral, así como la legitimidad constitucional de medidas que reduzcan el riesgos de una fragmentación excesiva de la representación popular (entre otras, SSTC 40/1981, de 8 de diciembre, FJ 2; 75/1982, de 21 de junio, FJ 4, y 35/1990, de 1 de marzo, FJ 2). Este razonamiento es aplicable al caso ahora analizado, en el que tampoco es posible exigir una correspondencia absoluta entre representación y protagonismo parlamentarios, toda vez que el propio Reglamento del Congreso de los Diputados contempla la posibilidad que los grupos parlamentarios tengan un tamaño muy heterogéneo, sin que ello obste, como señala el propio recurrente, a que generalmente se opte por el criterio de la paridad entre los mismos. Así, la propia demanda de amparo reconoce que la disminución del protagonismo del principal grupo de la oposición debe respetarse siempre que responda a las previsiones reglamentarias, aunque aduce que esto último es precisamente lo que no se ha dado en el presente caso. Pero lo que debe ser destacado en este momento es la imposibilidad de atribuir a los Acuerdos impugnados una vulneración del derecho de los recurrentes a ejercer su cargo en condiciones de igualdad.</w:t>
      </w:r>
    </w:p>
    <w:p w:rsidR="008B3772" w:rsidRDefault="008B3772" w:rsidP="008B3772">
      <w:pPr>
        <w:pStyle w:val="TextoNormal"/>
      </w:pPr>
    </w:p>
    <w:p w:rsidR="008B3772" w:rsidRDefault="008B3772" w:rsidP="008B3772">
      <w:pPr>
        <w:pStyle w:val="TextoNormal"/>
      </w:pPr>
      <w:r w:rsidRPr="008B3772">
        <w:rPr>
          <w:rStyle w:val="NumeroAFNegritaCaracter"/>
        </w:rPr>
        <w:t>6</w:t>
      </w:r>
      <w:r>
        <w:t>. Como se ha señalado en el primer fundamento jurídico, la argumentación de los recurrentes parte de que los Acuerdos impugnados infringen consciente y flagrantemente lo previsto en el art. 23.1 RCD en relación con el apoyo electoral exigido para que los ocho Diputados de Esquerra Republicana puedan constituir grupo parlamentario propio. La interpretación abiertamente contra legem de este precepto reglamentario no sólo iría más allá del control formal reglado que, en su opinión, corresponde a la Mesa al verificar tales requisitos, sino que también carecería de una justificación suficiente desde un punto de vista constitucional. Este argumento, sin embargo, también debe ser rechazado por carecer manifiestamente de contenido que justifique una decisión de fondo por nuestra parte [art. 50.1  c) LOTC].</w:t>
      </w:r>
    </w:p>
    <w:p w:rsidR="008B3772" w:rsidRDefault="008B3772" w:rsidP="008B3772">
      <w:pPr>
        <w:pStyle w:val="TextoNormal"/>
      </w:pPr>
      <w:r>
        <w:t xml:space="preserve">En efecto, como hemos recordado en el FJ 2, el art. 23.2 CE no alberga en su seno un derecho fundamental al respeto de la legalidad parlamentaria desvinculado de los derechos fundamentales susceptibles de amparo y, significativamente, de los aspectos nucleares del ius in officium. No existe, en efecto, un derecho fundamental genérico a que la decisión sobre la constitución de un grupo parlamentario se produzca de acuerdo con la normativa </w:t>
      </w:r>
      <w:r>
        <w:lastRenderedPageBreak/>
        <w:t>que la regula, sino que es preciso que la infracción reglamentaria también suponga una vulneración del derecho a crear un grupo parlamentario o a ejercer las demás funciones parlamentarias nucleares en condiciones de igualdad y de acuerdo de la normativa que las regula. Descartado, como se ha visto, que esto último se haya producido en relación con el Grupo Parlamentario Popular y los Diputados que lo integran, no cabe admitir la posibilidad de una vulneración del art. 23.2 CE basada en la anterior argumentación.</w:t>
      </w:r>
    </w:p>
    <w:p w:rsidR="008B3772" w:rsidRDefault="008B3772" w:rsidP="008B3772">
      <w:pPr>
        <w:pStyle w:val="TextoNormal"/>
      </w:pPr>
      <w:r>
        <w:t>Si a ello se añade la ya mencionada necesidad de respetar las interpretaciones de los Reglamentos Parlamentarios realizadas por los órganos rectores de las Cámaras que no conlleven una vulneración de un derecho fundamental, debemos rechazar la argumentación del recurrente, sin que para ello sea necesario entrar a discutir si la Mesa se ha excedido de sus facultades de control en relación con el cumplimiento de los requisitos exigidos para constituir un grupo parlamentario, o si los argumentos utilizados para justificar los Acuerdos impugnados resultan suficientes. Una vez más, la imposibilidad de afectar a los derechos fundamentales del Grupo recurrente y de los Diputados que lo integran impide otorgar trascendencia constitucional a sus alegaciones en relación con el comportamiento de la Mesa del Congreso de los Diputados.</w:t>
      </w:r>
    </w:p>
    <w:p w:rsidR="008B3772" w:rsidRDefault="008B3772" w:rsidP="008B3772">
      <w:pPr>
        <w:pStyle w:val="TextoNormal"/>
      </w:pPr>
      <w:r>
        <w:t>Este hecho tampoco resulta contradicho por la teórica inmunidad que, según el recurrente, provocaría la imposibilidad de recurrir en amparo cualquier decisión parlamentaria arbitraria que beneficie a un grupo de parlamentarios distinto de los recurrentes.  Si bien la ausencia de una vía judicial previa disminuye las posibilidades de control jurisdiccional de las decisiones parlamentarias sin fuerza de ley, no es posible ampliar el recurso de amparo del art. 42 LOTC para dar cabida en el mismo a decisiones parlamentarias no susceptibles de vulnerar derechos fundamentales. Ello no sólo implicaría una desnaturalización de nuestra jurisdicción de amparo, sino también una inevitable intromisión en la autonomía parlamentaria constitucionalmente garantizada que este Tribunal también debe garantizar.</w:t>
      </w:r>
    </w:p>
    <w:p w:rsidR="008B3772" w:rsidRDefault="008B3772" w:rsidP="008B3772">
      <w:pPr>
        <w:pStyle w:val="TextoNormal"/>
      </w:pPr>
    </w:p>
    <w:p w:rsidR="008B3772" w:rsidRDefault="008B3772" w:rsidP="008B3772">
      <w:pPr>
        <w:pStyle w:val="TextoNormal"/>
      </w:pPr>
      <w:r>
        <w:t>Por lo expuesto, la Sección</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Inadmitir el presente recurso de amparo.</w:t>
      </w:r>
    </w:p>
    <w:p w:rsidR="008B3772" w:rsidRDefault="008B3772" w:rsidP="008B3772">
      <w:pPr>
        <w:pStyle w:val="TextoNormal"/>
      </w:pPr>
    </w:p>
    <w:p w:rsidR="008B3772" w:rsidRDefault="008B3772" w:rsidP="008B3772">
      <w:pPr>
        <w:pStyle w:val="TextoNormal"/>
      </w:pPr>
      <w:r>
        <w:t>Madrid, a veinticinco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27" w:name="AUTO_2007_263"/>
      <w:r>
        <w:lastRenderedPageBreak/>
        <w:t>AUTO 263/2007, de 25 de mayo de 2007</w:t>
      </w:r>
    </w:p>
    <w:bookmarkEnd w:id="127"/>
    <w:p w:rsidR="008B3772" w:rsidRDefault="008B3772" w:rsidP="008B3772">
      <w:pPr>
        <w:pStyle w:val="TtuloResolucin"/>
      </w:pPr>
      <w:r>
        <w:t>Sección Segunda</w:t>
      </w:r>
    </w:p>
    <w:p w:rsidR="008B3772" w:rsidRDefault="008B3772" w:rsidP="008B3772">
      <w:pPr>
        <w:pStyle w:val="TtuloResolucin"/>
      </w:pPr>
    </w:p>
    <w:p w:rsidR="008B3772" w:rsidRDefault="008B3772" w:rsidP="008B3772">
      <w:pPr>
        <w:pStyle w:val="SntesisDescriptiva"/>
      </w:pPr>
      <w:r>
        <w:t>ECLI:ES:TC:2007:263A</w:t>
      </w:r>
    </w:p>
    <w:p w:rsidR="008B3772" w:rsidRDefault="008B3772" w:rsidP="008B3772">
      <w:pPr>
        <w:pStyle w:val="SntesisDescriptiva"/>
      </w:pPr>
    </w:p>
    <w:p w:rsidR="008B3772" w:rsidRDefault="008B3772" w:rsidP="008B3772">
      <w:pPr>
        <w:pStyle w:val="SntesisDescriptiva"/>
      </w:pPr>
      <w:r>
        <w:t>Excms. Srs. don Jorge Rodríguez-Zapata Pérez, don Roberto García-Calvo y Montiel y don Pablo Pérez Tremps.</w:t>
      </w:r>
    </w:p>
    <w:p w:rsidR="008B3772" w:rsidRDefault="008B3772" w:rsidP="008B3772">
      <w:pPr>
        <w:pStyle w:val="SntesisDescriptiva"/>
      </w:pPr>
    </w:p>
    <w:p w:rsidR="008B3772" w:rsidRDefault="008B3772" w:rsidP="008B3772">
      <w:pPr>
        <w:pStyle w:val="SntesisDescriptiva"/>
      </w:pPr>
      <w:r>
        <w:t>Inadmite a trámite el recurso de amparo 1209-2005, promovido por las Juntas Generales de Álava en contencioso acerca de normas forales de 1996, reguladoras del impuesto sobre sociedades.</w:t>
      </w:r>
    </w:p>
    <w:p w:rsidR="008B3772" w:rsidRDefault="008B3772" w:rsidP="008B3772">
      <w:pPr>
        <w:pStyle w:val="SntesisDescriptiva"/>
      </w:pPr>
    </w:p>
    <w:p w:rsidR="008B3772" w:rsidRDefault="008B3772" w:rsidP="008B3772">
      <w:pPr>
        <w:pStyle w:val="SntesisAnaltica"/>
      </w:pPr>
      <w:r>
        <w:t>Agotamiento de recursos en la vía judicial: ATC 256/2007.</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día 22 de febrero de 2005 tuvo entrada en el Registro General de este Tribunal Constitucional un escrito del Procurador de los Tribunales don Jorge Deleito García, en nombre y representación de las Juntas Generales de Álava, por el que interponía un recurso de amparo contra la Sentencia de la Sección Segunda de la Sala Tercera del Tribunal Supremo, de fecha 9 de diciembre de 2004 (recurso núm. 7893-1999), en materia de Normas Forales de Guipúzcoa, Vizcaya y Álava de 1996, reguladoras del impuesto sobre sociedades de los Territorios Históricos, por supuesta vulneración de su derecho a la tutela judicial efectiva (art. 24.1 CE), al juez ordinario predeterminado por la ley (art. 24.2 CE) y a un proceso con todas las garantías (art. 24.2 CE).</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Los antecedentes de hecho del planteamiento del presente recurso de amparo son los siguientes: </w:t>
      </w:r>
    </w:p>
    <w:p w:rsidR="008B3772" w:rsidRDefault="008B3772" w:rsidP="008B3772">
      <w:pPr>
        <w:pStyle w:val="TextoNormal"/>
      </w:pPr>
      <w:r>
        <w:t xml:space="preserve">a) La Federación de Empresarios de La Rioja presentó el día 10 de septiembre de 1996 un recurso contencioso-administrativo (núm. 3753-1996) ante la Sección Primera de la Sala de lo Contencioso-Administrativo del Tribunal Superior de Justicia del País Vasco, contra las Normas Forales de las Juntas Generales de Guipúzcoa 7/1996, de 4 de julio, Vizcaya 3/1996, de 26 de junio, y Álava 24/1996, de 5 de julio, reguladoras del impuesto sobre sociedades en cada uno de los Territorios Históricos. En el recurso se solicitaba la declaración de nulidad de las citadas normas forales y, subsidiariamente, la de los arts. 5 (estimación de rentas), 11 (correcciones de valor: amortizaciones), 12 (correcciones de valor: pérdida de valor de los elementos patrimoniales), 13 (provisión para riesgos y gastos), 14 (gastos no deducibles), 15 (reglas de valoración: regla general y reglas especiales en los supuestos de transmisiones lucrativas y operaciones societarias), 19 (tratamiento de la doble imposición internacional en dividendos y participaciones en beneficios), 24 (compensación de bases imponibles negativas), 26 (reducciones en la base imponible: Empresas de nueva creación), 29 (tipo de gravamen), 34 (deducción para evitar la doble imposición internacional: impuesto soportado por el sujeto pasivo), 37 (deducción por inversiones en activos fijos </w:t>
      </w:r>
      <w:r>
        <w:lastRenderedPageBreak/>
        <w:t xml:space="preserve">materiales nuevos), 40 (adquisición de valores de renta variable), 41 (deducción por la realización de actividades de investigación y desarrollo), 42 (deducción por actividades de conservación y mejora del medio ambiente), 43 (deducción por actividades de exportación), 44 (deducción por gastos de formación profesional), 45 (deducción por creación de empleo), 49 (concepto de pequeña y mediana empresa), 50 (amortización del inmovilizado material nuevo), 52 (exención por reinversión), 53 (definición de centros de dirección, de coordinación y financieros), 54 (determinación de la imposición), 59 (sociedades y fondos de capital-riesgo), 60 (sociedades de promoción de empresas) y 117 (ámbito de aplicación del régimen de las entidades parcialmente exentas), de cada una de las normas forales. </w:t>
      </w:r>
    </w:p>
    <w:p w:rsidR="008B3772" w:rsidRDefault="008B3772" w:rsidP="008B3772">
      <w:pPr>
        <w:pStyle w:val="TextoNormal"/>
      </w:pPr>
      <w:r>
        <w:t xml:space="preserve">En este recurso actuaron como demandadas las Juntas Generales de Vizcaya, Guipúzcoa y Álava; como codemandadas las Diputaciones Forales de Vizcaya y Álava; y como coadyuvantes, el Gobierno Vasco, la Diputación Foral de Guipúzcoa, la Cámara de Comercio e Industria de Álava, la Cámara de Comercio, Industria y Navegación de Bilbao y la Confederación Empresarial Vasca (Confebask). </w:t>
      </w:r>
    </w:p>
    <w:p w:rsidR="008B3772" w:rsidRDefault="008B3772" w:rsidP="008B3772">
      <w:pPr>
        <w:pStyle w:val="TextoNormal"/>
      </w:pPr>
      <w:r>
        <w:t xml:space="preserve">b) Tramitado dicho recurso, por Sentencia núm. 718/1999, de 30 de septiembre de 1999 se estimó parcialmente, declarando contrario a Derecho y, en consecuencia, anulando, el art. 26 (reducciones en la base imponible: empresas de nueva creación) de cada una de las disposiciones normativas forales impugnadas, desestimando el recurso en todo lo demás. Aunque el órgano judicial admite, desde la perspectiva del Derecho comunitario, que le asiste tanto la posibilidad de inaplicar, en su caso, las Normas Forales, cómo de plantear una cuestión prejudicial (al no constarle que hasta la fecha hubiese sido objeto de decisión prejudicial una cuestión materialmente idéntica), sin embargo, con base en la propia jurisprudencia comunitaria —que rechaza la remisión prejudicial de cuestiones en contextos procesales ficticios—, alcanza la conclusión de que “se está en presencia de un conflicto de Derecho netamente interno y resoluble por el juego de las propias normas y principios constitucionales y de legalidad ordinaria, excediendo de los intereses legitimantes y de las facultades concretas de dicha asociación suscitar una cuestión como la de la definición de las ‘ayudas de Estado’, que lo que pone en conflicto hipotético es la normativa tributaria vasca con la igualdad de trato, la libre competencia y el derecho al libre establecimiento por parte de empresas comunitarias, y no los principios y derechos fundamentales que los ciudadanos españoles pueden oponer al contenido de tales regulaciones fiscales (aunque sean de contenido similar)” (FJ 2); conflicto que le conduce a la anulación de aquel art. 26 (que establece una reducción de hasta el 99 por 100 en la base imponible del impuesto sobre sociedades en los supuestos de inicio de actividades económicas), al entender que produce “una acusada exoneración del gravamen que afecta al deber básico de contribuir del art. 31.1 CE en conexión con el de capacidad económica, y puede predicarse de ella el carácter de medida desproporcionada e inidónea para obtener fines legítimos de promoción económica, por ser susceptible de afectar indirectamente a la libre circulación de personas y bienes y a la originación de unas condiciones de ventaja competitiva inasumibles” (FJ 7). </w:t>
      </w:r>
    </w:p>
    <w:p w:rsidR="008B3772" w:rsidRDefault="008B3772" w:rsidP="008B3772">
      <w:pPr>
        <w:pStyle w:val="TextoNormal"/>
      </w:pPr>
      <w:r>
        <w:t xml:space="preserve">c) Contra la anterior Sentencia se interpuso recurso de casación (núm. 7893-1999) ante la Sección Segunda de la Sala Tercera del Tribunal Supremo, tanto por la Federación de Empresarios de La Rioja y por las Diputaciones Forales de Vizcaya y Guipúzcoa, como por las Juntas Generales de los Territorios Históricos de Vizcaya y Guipúzcoa (la Confederación Empresarial Vasca, la Diputación Foral de Álava y las Juntas Generales de Álava desistieron de los recursos interpuestos en su momento). La Federación de Empresarios de La Rioja suplicaba nuevamente la anulación de las Normas Forales o, en su defecto, de los arts. 5, 11, 12, 13, 14, 15, 19, 24, 26, 29, 34, 37, 39, 40, 41, 42, 43, 44, 45, 49, 50, 52, 53, 54, 59, 60 y 117. Por su parte, la partes demandadas interesaban la revocación de la Sentencia del </w:t>
      </w:r>
      <w:r>
        <w:lastRenderedPageBreak/>
        <w:t xml:space="preserve">Tribunal Superior de Justicia del País Vasco, con declaración de conformidad a Derecho del art. 26 anulado de cada Norma Foral. </w:t>
      </w:r>
    </w:p>
    <w:p w:rsidR="008B3772" w:rsidRDefault="008B3772" w:rsidP="008B3772">
      <w:pPr>
        <w:pStyle w:val="TextoNormal"/>
      </w:pPr>
      <w:r>
        <w:t xml:space="preserve">d) Por Sentencia de 9 de diciembre de 2004, el Tribunal Supremo desestima los recursos de casación interpuestos tanto por las Diputaciones Forales de Vizcaya y Guipúzcoa como por las Juntas Generales de Vizcaya y Guipúzcoa, confirmando la nulidad del art. 26 (reducciones en la base imponible: empresas de nueva creación). Asimismo, estima el recurso de casación interpuesto por la Federación de Empresarios de La Rioja, revocando la Sentencia impugnada y, en su lugar, procede a anular los siguientes preceptos: art. 11 (correcciones de valor: amortizaciones); art. 14, apto 2.a) (deducción de las donaciones a las sociedades de promoción de empresas y las sociedades de desarrollo industrial regional); art. 15, apto 11 (deducción de la depreciación de bienes en el cálculo de las ganancias patrimoniales); art. 26 (reducciones en la base imponible para las empresas de nueva creación del 99, 75, 50 ó 25 por 100; art. 29, apto 1.a: Tipo general de gravamen de los sujetos pasivos por obligación personal de contribuir del 32,5 por 100); art. 37 (deducción del 10 por 100 de las inversiones en activos fijos materiales nuevos); art. 39 (deducción del 10 por 100 de las cantidades destinadas a una “reserva para inversiones productivas”); art. 40 (deducción del 5 por 100 por la adquisición de valores de renta variable); art. 45, apto 2.1 (libertad de amortización para el inmovilizado material existente y el de nueva adquisición); art. 49 (concepto de pequeña y mediana empresa); art. 53 (definición de centros de dirección, de coordinación y financieros); art. 54 (no inclusión en la base imponible de los dividendos percibidos de entidades no residentes en territorio español); y art. 60 (Sociedades de promoción de empresas). </w:t>
      </w:r>
    </w:p>
    <w:p w:rsidR="008B3772" w:rsidRDefault="008B3772" w:rsidP="008B3772">
      <w:pPr>
        <w:pStyle w:val="TextoNormal"/>
      </w:pPr>
      <w:r>
        <w:t>e) Frente a la anterior Sentencia, las Juntas Generales de Álava plantearon con fecha de 22 de febrero de 2005 el presente recurso de amparo (núm. 1209-2005), y, de otro, un incidente de nulidad de actuaciones ante el Tribunal Supremo, al amparo del art. 241 LOPJ, que fue desestimado por Auto de 4 de abril de 2005.</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su demanda de amparo la demandante imputa a la resolución judicial las lesiones de los derechos al juez predeterminado por la ley (art. 24.2 CE), a un proceso con todas las garantías (art. 24.2 CE) y a la tutela judicial efectiva sin indefensión (art. 24.1 CE), como consecuencia de que el Tribunal Supremo, antes de dictar el fallo de la Sentencia recurrida, no planteó la cuestión prejudicial prevista en el art. 234 TUE con finalidad de inaplicar las Normas Forales anuladas, lo que, a su juicio, le abre la vía del recurso de amparo conforme a la doctrina sentada en la STC 58/2004, de 19 de abril, y ello sin perjuicio de que la recurrente no hubiese solicitado la remisión prejudicial en el proceso judicial (asunto 126-1980, Salonia/Poidomani e Giglio). </w:t>
      </w:r>
    </w:p>
    <w:p w:rsidR="008B3772" w:rsidRDefault="008B3772" w:rsidP="008B3772">
      <w:pPr>
        <w:pStyle w:val="TextoNormal"/>
      </w:pPr>
      <w:r>
        <w:t xml:space="preserve">En efecto, para las Juntas Generales de Álava, el art. 234 TUE, conforme ha sido reconocido por la doctrina del Tribunal Constitucional, forma parte del sistema de fuentes del Derecho y constituye un instrumento de depuración del Ordenamiento jurídico (SSTC 28/1991, de 14 de febrero, FJ 4; 64/1991, de 22 de marzo, FJ 4; 130/1995, de 11 de septiembre, FJ 4, y 58/2004, de 19 de abril, FJ 10). Así, el incumplimiento por parte del órgano jurisdiccional interno de su obligación de remisión prejudicial en virtud del art. 234.3 TUE constituye, salvo que concurra alguno de los supuestos jurisprudenciales de dispensa, una infracción del Derecho comunitario, la cual es susceptible de reparación a través del recurso de amparo. Esos supuestos en los que la obligación de remisión prejudicial decaería son los siguientes: a) cuando la cuestión es irrelevante desde la perspectiva del Derecho comunitario; b) cuando la cuestión a resolver internamente sea una cuestión materialmente idéntica a otra que ya haya sido objeto de una decisión prejudicial del TJCE (asunto Da Costa); y c) </w:t>
      </w:r>
      <w:r>
        <w:lastRenderedPageBreak/>
        <w:t xml:space="preserve">cuando la aplicación del Derecho comunitario pueda imponerse como una evidencia tal que elimine toda duda razonable sobre la manera de resolver la cuestión planteada (asunto CILFIT). Ahora bien, para la parte demandante no concurren, sin embargo, ninguno de los supuestos jurisprudenciales de dispensa de la remisión prejudicial ni por lo que se refiere al concepto de ayuda utilizado por el Tribunal Supremo en la Sentencia impugnada, ni respecto de la aplicación realizada de forma mecánica del art. 88.3 TUE, tanto más cuando el órgano judicial interpreta y aplica de forma errónea el Derecho comunitario, lo que demuestra la arbitrariedad injusta y el exceso de jurisdicción en que incurre al no plantear la citada cuestión prejudicial. </w:t>
      </w:r>
    </w:p>
    <w:p w:rsidR="008B3772" w:rsidRDefault="008B3772" w:rsidP="008B3772">
      <w:pPr>
        <w:pStyle w:val="TextoNormal"/>
      </w:pPr>
      <w:r>
        <w:t xml:space="preserve">Para fundamentar sus quejas, parten las Juntas Generales de Álava analizando si, conforme a la jurisprudencia comunitaria, se da alguna de las excepciones que permitirían al Tribunal Supremo no plantear una cuestión relativa en orden a la inaplicación de la normativa interna (de acuerdo con la doctrina del acto aclarado o del acto claro), pues las disposiciones forales anuladas son calificadas como ayudas de Estado sobre la base de un supuesto carácter “selectivo” que “no encuentra la más mínima justificación a la luz de todos los precedentes existentes en el Derecho comunitario derivado (las decisiones de la Comisión)” (pág. 35). Además, aunque la interpretación que ha hecho la Comisión del requisito de la selectividad ha sido corroborada por el Tribunal de Primera Instancia en Sentencias de 6 de marzo de 2002 (asuntos Demesa y Ramondín), dichas Sentencias, conocidas por el Tribunal Supremo, han sido ignoradas. A su entender, el Tribunal Supremo no tenía -ni actualmente tiene- precedente de “cuestión materialmente idéntica que haya sido objeto de una cuestión prejudicial” en el que basarse para justificar una derogación de la obligación que le viene impuesta por el art. 234 TUE, párrafo 3, lo que implica que el órgano judicial debería haber tenido, al menos, una duda, provocada por la Sentencia de instancia. De esta manera, la actuación del Tribunal Supremo implica la vulneración tanto del derecho fundamental al juez ordinario predeterminado (STC 50/1994 y ATC 254/1982), como del derecho a un proceso con todas las garantías (STC 173/2002). </w:t>
      </w:r>
    </w:p>
    <w:p w:rsidR="008B3772" w:rsidRDefault="008B3772" w:rsidP="008B3772">
      <w:pPr>
        <w:pStyle w:val="TextoNormal"/>
      </w:pPr>
      <w:r>
        <w:t xml:space="preserve">Tampoco existen evidencias, a juicio de la parte demandante, que eliminen toda duda razonable sobre la manera de resolver la cuestión planteada (doctrina del acto claro), que sería la otra excepción al planteamiento obligatorio de la cuestión prejudicial. En efecto, conforme a la doctrina de la STC 58/2004 la existencia o no de una duda “no puede entenderse en términos de convicción subjetiva el juzgador sobre una determinada interpretación del Derecho comunitario (una apreciación subjetiva), sino como una inexistencia objetiva, clara y terminante, de duda alguna en su aplicación. No se trata, pues, de que no haya dudas razonables sino, simplemente de que no haya duda alguna”. Pues bien, dado que el Tribunal Supremo se separa del criterio de la selectividad utilizado por la Comisión, para la parte demandante está introduciendo cuando menos una duda en la aplicación del Derecho comunitario donde hasta ese momento antes no existía, lo que le obligaba a la remisión prejudicial conforme al art. 234 TUE. </w:t>
      </w:r>
    </w:p>
    <w:p w:rsidR="008B3772" w:rsidRDefault="008B3772" w:rsidP="008B3772">
      <w:pPr>
        <w:pStyle w:val="TextoNormal"/>
      </w:pPr>
      <w:r>
        <w:t xml:space="preserve">En consecuencia, entiende la recurrente en amparo que el Tribunal Supremo carece de apoyo alguno para justificar su particular criterio de la “selectividad, tanto más cuando ha ignorado también el contenido de la Comunicación de la Comisión 98/C 384/03 relativa a la aplicación de las normas sobre ayudas de Estado a las medidas relacionadas con la fiscalidad directa de las empresas, pues aplica el art. 88 TUE a unas medidas fiscales que no constituyen ayudas de Estado en el sentido del art. 87 TUE, mediante una interpretación del todo irrazonable que parte de la premisa arbitraria y equivocada del argumento de “selectividad”. En efecto, ni la Comunicación citada ni ninguna disposición del Tratado exigen que en cada Estado miembro exista un sólo y único sistema tributario aplicable para todo el </w:t>
      </w:r>
      <w:r>
        <w:lastRenderedPageBreak/>
        <w:t xml:space="preserve">territorio, por lo que basta con que la medida sea susceptible de ser aplicada a todos los contribuyentes del impuesto sobre sociedades —como ocurre con todas las medidas adoptadas por las Normas Forales anuladas— en cada Territorio Histórico para que no se cumpla con el requisito de la selectividad. Además, las medidas forales se justifican en la singularidad y naturaleza del sistema tributario español. </w:t>
      </w:r>
    </w:p>
    <w:p w:rsidR="008B3772" w:rsidRDefault="008B3772" w:rsidP="008B3772">
      <w:pPr>
        <w:pStyle w:val="TextoNormal"/>
      </w:pPr>
      <w:r>
        <w:t xml:space="preserve">Dicho lo que antecede, entiende la parte actora que la Sentencia impugnada ha incurrido en un error patente en la interpretación del art. 88.3 TUE, pues se aplica por el Tribunal Supremo a “medidas que indiciariamente pueden constituir ayudas de Estado” (FJ 18 de la Sentencia), mientras que el art. 87 TUE se refiere sólo a “ayudas” y no a medidas que “pueden constituir ayudas”, ni a medidas que “inicialmente constituyan ayudas”. El régimen del art. 87 y 88 TUE no contempla presuntas ayudas, tanto más cuanto la Comisión, en el pasado, con ocasión de denuncias en los años 1994-1996 contra las Normas Forales vigentes en la época, adoptó una actitud favorable no sólo respecto a esas dos disposiciones fiscales (art. 14 de las Normas Forales de 1993 y art. 26 de las Normas Forales de 1996), sino respecto a todas las disposiciones fiscales previstas en las citadas Normas Forales que, en su caso, pudieran llegar a ser calificadas de ayudas de Estado. </w:t>
      </w:r>
    </w:p>
    <w:p w:rsidR="008B3772" w:rsidRDefault="008B3772" w:rsidP="008B3772">
      <w:pPr>
        <w:pStyle w:val="TextoNormal"/>
      </w:pPr>
      <w:r>
        <w:t xml:space="preserve">En suma, concluye la parte demandante, la Sala del Tribunal Supremo hubiera debido plantear remisión prejudicial al TJCE sobre la interpretación o bien del concepto de ayuda existente a que se refieren diversos incisos de la letra b) del art. 1 del Reglamento 659/1999, o bien del art. 88 TUE, apartado 3, última frase en el sentido de, por una parte, su aplicabilidad a medidas que pueden constituir ayudas, y, por otra, su aplicabilidad al supuesto de estar en presencia de ayudas existentes en el sentido del art. 88 TUE, apartado 1 y del art. 1 del Reglamento 659/1999. La obligación de esta remisión judicial se inscribe, a su juicio, en la lógica del derecho al juez ordinario predeterminado y , como en el Derecho alemán (que considera que el TJCE es un juez legal para las partes en el sentido del art. 101 de la Constitución alemana), el caso español tras la STC 58/2004 es todo un ejemplo de protección. </w:t>
      </w:r>
    </w:p>
    <w:p w:rsidR="008B3772" w:rsidRDefault="008B3772" w:rsidP="008B3772">
      <w:pPr>
        <w:pStyle w:val="TextoNormal"/>
      </w:pPr>
      <w:r>
        <w:t>Finalmente, y mediante otrosí, la parte actora solicitaba “la suspensión de la ejecución y eficacia de la sentencia de 9 de diciembre de 2004 con el objeto de evitar que el recurso pueda perder su eficacia, tanto más cuando no se perturban, ni leve ni gravemente, intereses generales, ni derechos fundamentales o libertades públicas de terceros”. Además, se solicitaba igualmente “la paralización de la publicación del fallo en el Boletín Oficial, y para el caso de que tal publicación se hubiera efectuado, ordenando, a quien en Derecho proceda, la publicación de la suspensión de ejecución y efectividad de la sentencia acordada”.</w:t>
      </w:r>
    </w:p>
    <w:p w:rsidR="008B3772" w:rsidRDefault="008B3772" w:rsidP="008B3772">
      <w:pPr>
        <w:pStyle w:val="TextoNormal"/>
      </w:pPr>
    </w:p>
    <w:p w:rsidR="008B3772" w:rsidRDefault="008B3772" w:rsidP="008B3772">
      <w:pPr>
        <w:pStyle w:val="TextoNormal"/>
      </w:pPr>
      <w:r w:rsidRPr="008B3772">
        <w:rPr>
          <w:rStyle w:val="NumeroAFNegritaCaracter"/>
        </w:rPr>
        <w:t>4</w:t>
      </w:r>
      <w:r>
        <w:t>. Por providencia de la Sección Segunda de 26 de julio de 2005 se acordó conceder un plazo común de diez días, al Ministerio Fiscal y al solicitante del amparo, para que alegasen lo que estimasen pertinente en relación con la posible concurrencia del motivo de inadmisión consistente en carecer la demanda manifiestamente de contenido que justifique una decisión sobre el fondo de la misma por parte de este Tribunal, de conformidad con lo prevenido en el art. 50.1 c) LOTC.</w:t>
      </w:r>
    </w:p>
    <w:p w:rsidR="008B3772" w:rsidRDefault="008B3772" w:rsidP="008B3772">
      <w:pPr>
        <w:pStyle w:val="TextoNormal"/>
      </w:pPr>
    </w:p>
    <w:p w:rsidR="008B3772" w:rsidRDefault="008B3772" w:rsidP="008B3772">
      <w:pPr>
        <w:pStyle w:val="TextoNormal"/>
      </w:pPr>
      <w:r w:rsidRPr="008B3772">
        <w:rPr>
          <w:rStyle w:val="NumeroAFNegritaCaracter"/>
        </w:rPr>
        <w:t>5</w:t>
      </w:r>
      <w:r>
        <w:t xml:space="preserve">. Mediante escrito registrado en este Tribunal el día 16 de septiembre de 2005, la representación procesal de la parte demandante evacuó el trámite de alegaciones conferido, insistiendo en los mismos argumentos esgrimidos en el escrito de demanda de amparo y, en particular, en que la Sentencia impugnada al no plantear cuestión prejudicial infringe, en primer lugar, el derecho a la tutela judicial efectiva sin indefensión (art. 24.1 CE), puesto que resulta arbitraria (al aplicar de forma indebida el art. 88.3 TCE), incursa en errores </w:t>
      </w:r>
      <w:r>
        <w:lastRenderedPageBreak/>
        <w:t xml:space="preserve">patentes y en un exceso de jurisdicción. Igualmente, esa falta de remisión prejudicial infringe, en segundo lugar, el derecho a un proceso con todas las garantías (art. 24.2 CE), en su expresión del derecho al juez predeterminado (el Tribunal de Justicia de la Comunidad Europea), pues con ello se ha impedido al recurrente ser oído ante el citado Tribunal de Justicia. </w:t>
      </w:r>
    </w:p>
    <w:p w:rsidR="008B3772" w:rsidRDefault="008B3772" w:rsidP="008B3772">
      <w:pPr>
        <w:pStyle w:val="TextoNormal"/>
      </w:pPr>
      <w:r>
        <w:t>Para justificar su pretensión de amparo realiza la parte demandante un estudio comparativo entre el supuesto que desembocó con la STC 58/2004, de 19 de abril, y el que ahora se recurre en amparo, a los efectos de comprobar su identidad y, por ende, la aplicación de la doctrina allí sentada. Así, destaca en primer lugar que la Sentencia recurrida en amparo declara nulas unas disposiciones fiscales (aplicables al conjunto de los contribuyentes del impuesto sobre sociedades del Territorio Histórico de Álava) que son la expresión de la “voluntad popular”. En segundo lugar, que la declaración de nulidad de pleno derecho “ha dependido exclusivamente de la voluntad subjetiva del aplicador”, lo que necesariamente exigía el planteamiento previo de la cuestión prejudicial interpretativa, tanto más cuando la resolución judicial impugnada no tiene precedente, ni en el Derecho interno ni en la jurisprudencia comunitaria (al no existir ni una sola sentencia del Tribunal de Justicia que hubiera calificado como ayudas de Estado —en el sentido del art. 87 TCE— unas disposiciones fiscales adoptadas por entes infraestatales que son aplicables a todas las empresas sujetas al régimen tributario de ese ente). Dicho con otras palabras, a juicio de las Juntas Generales de Álava, no existe jurisprudencia del Tribunal de Justicia que considere que un sistema tributario aplicable a todas las empresas sujetas al mismo cumpla el requisito de “selectividad” del concepto de ayuda de Estado por el hecho fáctico de que la autoridad competente en exclusiva para su adopción se ubique en una parte de un Estado miembro.</w:t>
      </w:r>
    </w:p>
    <w:p w:rsidR="008B3772" w:rsidRDefault="008B3772" w:rsidP="008B3772">
      <w:pPr>
        <w:pStyle w:val="TextoNormal"/>
      </w:pPr>
    </w:p>
    <w:p w:rsidR="008B3772" w:rsidRDefault="008B3772" w:rsidP="008B3772">
      <w:pPr>
        <w:pStyle w:val="TextoNormal"/>
      </w:pPr>
      <w:r w:rsidRPr="008B3772">
        <w:rPr>
          <w:rStyle w:val="NumeroAFNegritaCaracter"/>
        </w:rPr>
        <w:t>6</w:t>
      </w:r>
      <w:r>
        <w:t xml:space="preserve">. Por escrito registrado en este Tribunal el día 23 de septiembre de 2005, el Fiscal evacuó el trámite de alegaciones conferido suplicando la inadmisión del recurso de amparo por falta de agotamiento de la vía judicial previa, al haberse simultaneado la interposición del recurso de amparo con el planteamiento de un incidente de nulidad de actuaciones ante el Tribunal Supremo. Así, tras exponer brevemente el Fiscal los antecedentes del presente recurso de amparo y concretar las pretensiones de la parte demandante, subraya que resulta patente que la vía judicial no está objetivamente agotada, ya que se ha planteado un incidente de nulidad de actuaciones que ha sido admitido a trámite y está pendiente de resolución, lo que provocaría que, de estimarse el citado incidente, el presente recurso de amparo carecería de objeto. Esta situación no respeta, a juicio del Fiscal, el carácter estrictamente subsidiario del recurso de amparo, que está previsto para cuando no quepa otro remedio procesal en vía judicial interna para intentar la reparación del derecho fundamental que se estima vulnerado, como se desprende de lo establecido en el artículo 44.1 a) LOTC. Incumplido en este caso el requisito procesal mencionado procede, pues, la inadmisión a trámite de la demanda de amparo por falta de agotamiento de la vía judicial previa. </w:t>
      </w:r>
    </w:p>
    <w:p w:rsidR="008B3772" w:rsidRDefault="008B3772" w:rsidP="008B3772">
      <w:pPr>
        <w:pStyle w:val="TextoNormal"/>
      </w:pPr>
      <w:r>
        <w:t xml:space="preserve">No obstante la anterior precisión, pasa el Fiscal a analizar el fondo destacando, antes de nada, que toda la argumentación de la demandante versa sobre la interpretación y aplicación del Derecho comunitario, cuando, conforme a la doctrina de este Tribunal Constitucional (cita la STC 203/1996, FJ 2) no le corresponde controlar la adecuación de la actividad de los poderes públicos nacionales al Derecho comunitario, pues este control compete a los órganos de la jurisdicción ordinaria en cuanto aplicadores que son del ordenamiento comunitario y, en su caso, al Tribunal de Justicia de las Comunidades Europeas. </w:t>
      </w:r>
    </w:p>
    <w:p w:rsidR="008B3772" w:rsidRDefault="008B3772" w:rsidP="008B3772">
      <w:pPr>
        <w:pStyle w:val="TextoNormal"/>
      </w:pPr>
      <w:r>
        <w:lastRenderedPageBreak/>
        <w:t xml:space="preserve">A continuación, sintetiza el Ministerio Fiscal la doctrina general sobre el alcance de la función del Tribunal Constitucional en relación con el derecho al Juez ordinario predeterminado por la ley (art. 24. 2 CE), concluyendo que este derecho configura la garantía de que el órgano judicial llamado a conocer del asunto haya sido creado previamente por la norma, esté investido de jurisdicción y competencia antes del hecho que motiva su actuación, y su régimen orgánico no le permita ser calificado de especial o excepcional (entre otras muchas, SSTC 47/1983, 148/1987, 39/1994 y 6/1997). Ahora bien, a su juicio, esta garantía no supone el derecho a un Juez determinado en concreto (STC 97/1987, FJ 4), ni excluye, en principio, la posibilidad de establecer reglas especiales de competencia en la distribución de los asuntos entre los distintos órganos judiciales, por lo que el contenido de este derecho fundamental ni ampara litigios competenciales sobre cuál sea el Juez ordinario que deba pronunciarse sobre un asunto concreto, ni comprende el derecho a que las normas sobre competencia de Tribunales se interpreten de una determinada forma o en un determinado sentido. Por esta razón, en estos supuestos, al Tribunal Constitucional únicamente le compete examinar si la aplicación e interpretación de las normas de competencia que ha llevado a cabo un órgano judicial es o no manifiestamente irrazonable y arbitraria (STC 148/1994 y ATC 262/1994). No debe confundirse, por tanto, un posible problema o cuestión de competencia entre órganos judiciales con el de la predeterminación del Juez legal que la Constitución garantiza en el artículo 24.2 CE. En suma, la decisión sobre el Juez competente en una determinada materia es una pretensión que no es susceptible de convertirse en el objeto de un recurso de amparo (ATC 1309/1988, de 12 de diciembre). </w:t>
      </w:r>
    </w:p>
    <w:p w:rsidR="008B3772" w:rsidRDefault="008B3772" w:rsidP="008B3772">
      <w:pPr>
        <w:pStyle w:val="TextoNormal"/>
      </w:pPr>
      <w:r>
        <w:t xml:space="preserve">Por otro lado, destaca el Fiscal, la demandante de amparo centra la vulneración del derecho fundamental en cuestión en la interpretación de la jurisprudencia del Tribunal de Justicia sobre los supuestos en que no es necesario plantearla, argumentando que no concurre ninguno de esos casos. Sin embargo, no puede soslayarse que las disposiciones del Tratado Constitutivo de la Comunidad Europea que establecen cuándo debe plantearse al Tribunal de Justicia la cuestión prejudicial de Derecho comunitario equivalen a las disposiciones que establecen la competencia de los órganos judiciales, por lo que su interpretación corresponde a los órganos judiciales que tienen que aplicarla, siendo la función del Tribunal Constitucional únicamente la de controlar la razonabilidad de la decisión adoptada. </w:t>
      </w:r>
    </w:p>
    <w:p w:rsidR="008B3772" w:rsidRDefault="008B3772" w:rsidP="008B3772">
      <w:pPr>
        <w:pStyle w:val="TextoNormal"/>
      </w:pPr>
      <w:r>
        <w:t xml:space="preserve">Posteriormente, pasa el Ministerio Fiscal a analizar la STC 58/2004 —citada por la demandante de amparo en apoyo de sus tesis— para llegar a la conclusión de que no es aplicable al presente asunto. En efecto, para el Fiscal en esta Sentencia se recoge la doctrina general de que el art. 234 TCE forma parte del Ordenamiento interno, configurando la cuestión prejudicial prevista en dicho precepto un instrumento más al servicio de los Jueces y Tribunales para la depuración del Ordenamiento jurídico. Destaca igualmente que la Sentencia citada (en concreto, su FJ 11) precisa que la utilización de este instrumento —por un eventual juicio de incompatibilidad de una norma legal interna con el Derecho comunitario— no depende exclusivamente de un juicio subjetivo del aplicador de Derecho y, por esta razón, concluye la citada resolución (en su FJ 13) que en aquel supuesto, al haber apreciado el juez de forma aislada y ajena al resto de la doctrina judicial recaída en la materia (que había apreciado la compatibilidad entre la tasa fiscal del juego y el art. 33 del Sexta Directiva) que la norma interna analizada contradecía el Derecho comunitario, llegando así a una conclusión contraria a la expresada por los restantes órganos judiciales, estaba introduciendo una duda en la aplicación del Derecho comunitario donde hasta ese momento no existía. </w:t>
      </w:r>
    </w:p>
    <w:p w:rsidR="008B3772" w:rsidRDefault="008B3772" w:rsidP="008B3772">
      <w:pPr>
        <w:pStyle w:val="TextoNormal"/>
      </w:pPr>
      <w:r>
        <w:t xml:space="preserve">Sin embargo, para el Ministerio Fiscal, en el caso objeto de presente recurso de amparo no se dan las circunstancias que dieron lugar a la conclusión de la STC 58/2004, en primer </w:t>
      </w:r>
      <w:r>
        <w:lastRenderedPageBreak/>
        <w:t xml:space="preserve">lugar, porque no existe aquella doctrina judicial precedente y uniforme en sentido contrario al que mantiene el Tribunal Supremo en la Sentencia aquí recurrida. Y, en segundo lugar, porque en la Sentencia recurrida se estudia la naturaleza de las Normas Forales (FD 3), se pone en relación el régimen de las ayudas de Estado con el principio de igualdad (FD 11) y con los principios de libre competencia y libertad de establecimiento en la Unión Europea (FD 12), se estudia el régimen de las ayudas de Estado (FD 14) y, en particular, la figura de las exenciones tributarias como una forma de ayuda. Desde esta primera aproximación, entonces, a juicio del Fiscal, no parece que existan las infracciones constitucionales que se denuncian en la demanda de amparo, aunque precisa que esta conclusión queda a expensas de lo que el Tribunal Supremo resuelva en el incidente de nulidad instado por la demandante y pendiente de resolución. </w:t>
      </w:r>
    </w:p>
    <w:p w:rsidR="008B3772" w:rsidRDefault="008B3772" w:rsidP="008B3772">
      <w:pPr>
        <w:pStyle w:val="TextoNormal"/>
      </w:pPr>
      <w:r>
        <w:t>En suma, el Fiscal interesa, de acuerdo con lo dispuesto en los arts. 80 y 86.1 LOTC, en relación con el art. 245 b) LOPJ, que se dicte auto de inadmisión de la demanda de amparo por falta de agotamiento de la vía judicial previa.</w:t>
      </w:r>
    </w:p>
    <w:p w:rsidR="008B3772" w:rsidRDefault="008B3772" w:rsidP="008B3772">
      <w:pPr>
        <w:pStyle w:val="TextoNormal"/>
      </w:pPr>
    </w:p>
    <w:p w:rsidR="008B3772" w:rsidRDefault="008B3772" w:rsidP="008B3772">
      <w:pPr>
        <w:pStyle w:val="TextoNormal"/>
      </w:pPr>
      <w:r w:rsidRPr="008B3772">
        <w:rPr>
          <w:rStyle w:val="NumeroAFNegritaCaracter"/>
        </w:rPr>
        <w:t>7</w:t>
      </w:r>
      <w:r>
        <w:t>. Con fecha de 25 de octubre de 2005, la parte demandante presentó un escrito en el registro de este Tribunal, por el que pone de manifiesto que con fecha de 20 de octubre de 2005 se han hecho públicas las conclusiones del Abogado General del Tribunal de Justicia de la Unión Europea (Sr. Geelhoed) en el asunto C-88/03 (República de Portugal/Comisión).</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Antes de entrar a analizar, en su caso, las vulneraciones que la parte demandante imputa a la resolución judicial impugnada, es necesario dar respuesta al óbice de procedibilidad puesto de manifiesto por el Ministerio Fiscal en su escrito de alegaciones relativo a la falta de agotamiento de la vía judicial previa mediante la interposición de todos los recursos utilizables y que, en caso de apreciarse, conduciría a la inadmisión del recurso de amparo —ex art. 50.1 a) LOTC, en relación con el art. 44.1 a) LOTC—. A este respecto, destaca el Fiscal que la parte demandante ha simultaneado el presente recurso de amparo (interpuesto con fecha de 22 de febrero de 2005) con el planteamiento de un incidente de nulidad de actuaciones al amparo del art.  241 LOPJ ante el Tribunal Supremo (presentado el mismo día 22 de febrero de 2005), por lo que, a su juicio, es patente que no se había agotado la vía judicial previa al momento de impetrar el auxilio de este Tribunal.</w:t>
      </w:r>
    </w:p>
    <w:p w:rsidR="008B3772" w:rsidRDefault="008B3772" w:rsidP="008B3772">
      <w:pPr>
        <w:pStyle w:val="TextoNormal"/>
      </w:pPr>
      <w:r>
        <w:t>Pues bien, al igual que hemos declarado recientemente en el ATC 461/2006, de 18 de diciembre (en el recurso de amparo núm. 1204-2005 interpuesto por la Diputación Foral de Vizcaya contra la misma Sentencia de la Sala Tercera del Tribunal Supremo de fecha 9 de diciembre de 2004 y sobre la base de los mismos motivos), siendo cierto que la parte demandante ha simultaneado ambos recursos, la objeción debe prosperar, por las razones que se exponen a continuación. En efecto, conforme a reiterada doctrina de este Tribunal, el art. 43.2 en relación con el art. 44.1 a), ambos LOTC, establecen, entre otras, la exigencia de agotar todos los recursos utilizables en la vía judicial ordinaria, requisito éste que, lejos de constituir una formalidad vacía, deriva de la necesidad de respetar la subsidiariedad del recurso de amparo, dado que, en virtud de lo dispuesto en el art. 53.2 CE, la tutela general de los derechos y libertades corresponde, en primer lugar, a los órganos del Poder Judicial.</w:t>
      </w:r>
    </w:p>
    <w:p w:rsidR="008B3772" w:rsidRDefault="008B3772" w:rsidP="008B3772">
      <w:pPr>
        <w:pStyle w:val="TextoNormal"/>
      </w:pPr>
      <w:r>
        <w:t xml:space="preserve">Consecuencia de lo anterior es que, en la misma línea de la doctrina expuesta, como también hemos señalado en reiteradas ocasiones para que entre en funcionamiento la justicia </w:t>
      </w:r>
      <w:r>
        <w:lastRenderedPageBreak/>
        <w:t>constitucional, es preciso que estén agotadas las vías judiciales, razón por la cual “no puede acudir ante este Tribunal por la vía del amparo quien ha considerado procedente la utilización de un recurso o remedio procesal en la vía ordinaria en tanto ésta no haya concluido, ya que, de lo contrario se estaría afectando a la naturaleza subsidiaria del recurso de amparo, resultando imposible la coexistencia temporal de un recurso de amparo con la vía judicial, dado que es necesario esperar a la conclusión de ésta para acudir ante este Tribunal” (por todas, SSTC 44/2002, y 249/2006, de 24 de julio, FJ 2).</w:t>
      </w:r>
    </w:p>
    <w:p w:rsidR="008B3772" w:rsidRDefault="008B3772" w:rsidP="008B3772">
      <w:pPr>
        <w:pStyle w:val="TextoNormal"/>
      </w:pPr>
      <w:r>
        <w:t>Entre los recursos ineludibles para cumplir el requisito del agotamiento cuando se pretende la reparación de los defectos de forma que hubieran causado indefensión o de la incongruencia del fallo, este Tribunal ha incluido, cuando proceda el incidente de nulidad de actuaciones previsto en el art. 241 LOPJ (anterior art. 240.3 LOPJ) que, como remedio último debe ser intentado antes de acudir al recurso de amparo y sin cuyo requisito la demanda de amparo deviene inadmisible [por todas, SSTC 28/2004, de 4 de marzo o 269/2006, de 11 de septiembre, FJ 2, entre otras].</w:t>
      </w:r>
    </w:p>
    <w:p w:rsidR="008B3772" w:rsidRDefault="008B3772" w:rsidP="008B3772">
      <w:pPr>
        <w:pStyle w:val="TextoNormal"/>
      </w:pPr>
      <w:r>
        <w:t>Por tanto, es contrario al carácter subsidiario de esta jurisdicción constitucional la coexistencia temporal de un recurso de amparo con otro recurso seguido en la vía judicial ordinaria, anomalía que acontece cuando se inicia el proceso de amparo antes de que se resuelvan los recursos interpuestos en la vía judicial ordinaria contra la resolución jurisdiccional recurrida (SSTC 129/2000, de 16 de mayo y 188/2006, de 19 de junio, FJ 3 por ejemplo), por lo que cualquier pronunciamiento de fondo acerca del mismo sería prematuro y supondría ignorar el carácter subsidiario que en nuestro sistema de protección de los derechos y libertades tiene el recurso de amparo constitucional (por todas, STC 249/2006, de 24 de julio, FJ 2).</w:t>
      </w:r>
    </w:p>
    <w:p w:rsidR="008B3772" w:rsidRDefault="008B3772" w:rsidP="008B3772">
      <w:pPr>
        <w:pStyle w:val="TextoNormal"/>
      </w:pPr>
    </w:p>
    <w:p w:rsidR="008B3772" w:rsidRDefault="008B3772" w:rsidP="008B3772">
      <w:pPr>
        <w:pStyle w:val="TextoNormal"/>
      </w:pPr>
      <w:r w:rsidRPr="008B3772">
        <w:rPr>
          <w:rStyle w:val="NumeroAFNegritaCaracter"/>
        </w:rPr>
        <w:t>2</w:t>
      </w:r>
      <w:r>
        <w:t>. Pues bien, habiendo interpuesto la parte demandante el presente recurso de amparo sin esperar a la resolución en la vía judicial ordinaria del incidente de nulidad de actuaciones presentado contra la resolución judicial objeto del actual proceso constitucional, y, debe sin perjuicio del eventual resultado de dicho incidente, apreciarse su carácter prematuro y, en consecuencia, declarar su inadmisión.</w:t>
      </w:r>
    </w:p>
    <w:p w:rsidR="008B3772" w:rsidRDefault="008B3772" w:rsidP="008B3772">
      <w:pPr>
        <w:pStyle w:val="TextoNormal"/>
      </w:pPr>
    </w:p>
    <w:p w:rsidR="008B3772" w:rsidRDefault="008B3772" w:rsidP="008B3772">
      <w:pPr>
        <w:pStyle w:val="TextoNormal"/>
      </w:pPr>
      <w:r>
        <w:t>Por lo expuesto, la Sección</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Inadmitir a trámite el presente recurso de amparo por concurrir la causa prevista en el art.  50.1 a), en relación con el art. 44.1 a), ambos LOTC, y el archivo de las actuaciones.</w:t>
      </w:r>
    </w:p>
    <w:p w:rsidR="008B3772" w:rsidRDefault="008B3772" w:rsidP="008B3772">
      <w:pPr>
        <w:pStyle w:val="TextoNormal"/>
      </w:pPr>
    </w:p>
    <w:p w:rsidR="008B3772" w:rsidRDefault="008B3772" w:rsidP="008B3772">
      <w:pPr>
        <w:pStyle w:val="TextoNormal"/>
      </w:pPr>
      <w:r>
        <w:t>Madrid, a veinticinco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28" w:name="AUTO_2007_264"/>
      <w:r>
        <w:lastRenderedPageBreak/>
        <w:t>AUTO 264/2007, de 25 de mayo de 2007</w:t>
      </w:r>
    </w:p>
    <w:bookmarkEnd w:id="128"/>
    <w:p w:rsidR="008B3772" w:rsidRDefault="008B3772" w:rsidP="008B3772">
      <w:pPr>
        <w:pStyle w:val="TtuloResolucin"/>
      </w:pPr>
      <w:r>
        <w:t>Sección Segunda</w:t>
      </w:r>
    </w:p>
    <w:p w:rsidR="008B3772" w:rsidRDefault="008B3772" w:rsidP="008B3772">
      <w:pPr>
        <w:pStyle w:val="TtuloResolucin"/>
      </w:pPr>
    </w:p>
    <w:p w:rsidR="008B3772" w:rsidRDefault="008B3772" w:rsidP="008B3772">
      <w:pPr>
        <w:pStyle w:val="SntesisDescriptiva"/>
      </w:pPr>
      <w:r>
        <w:t>ECLI:ES:TC:2007:264A</w:t>
      </w:r>
    </w:p>
    <w:p w:rsidR="008B3772" w:rsidRDefault="008B3772" w:rsidP="008B3772">
      <w:pPr>
        <w:pStyle w:val="SntesisDescriptiva"/>
      </w:pPr>
    </w:p>
    <w:p w:rsidR="008B3772" w:rsidRDefault="008B3772" w:rsidP="008B3772">
      <w:pPr>
        <w:pStyle w:val="SntesisDescriptiva"/>
      </w:pPr>
      <w:r>
        <w:t>Excms. Srs. don Jorge Rodríguez-Zapata Pérez, don Roberto García-Calvo y Montiel y don Pablo Pérez Tremps.</w:t>
      </w:r>
    </w:p>
    <w:p w:rsidR="008B3772" w:rsidRDefault="008B3772" w:rsidP="008B3772">
      <w:pPr>
        <w:pStyle w:val="SntesisDescriptiva"/>
      </w:pPr>
    </w:p>
    <w:p w:rsidR="008B3772" w:rsidRDefault="008B3772" w:rsidP="008B3772">
      <w:pPr>
        <w:pStyle w:val="SntesisDescriptiva"/>
      </w:pPr>
      <w:r>
        <w:t>Inadmite a trámite el recurso de amparo 1350-2005, promovido por don Stan Marian en causa por delitos de detención ilegal y prostitución.</w:t>
      </w:r>
    </w:p>
    <w:p w:rsidR="008B3772" w:rsidRDefault="008B3772" w:rsidP="008B3772">
      <w:pPr>
        <w:pStyle w:val="SntesisDescriptiva"/>
      </w:pPr>
    </w:p>
    <w:p w:rsidR="008B3772" w:rsidRDefault="008B3772" w:rsidP="008B3772">
      <w:pPr>
        <w:pStyle w:val="SntesisAnaltica"/>
      </w:pPr>
      <w:r>
        <w:t>Derecho a un proceso con todas las garantías: principio de contradicción. Juicio oral: denegación de suspensión de la vista. Motivación de las sentencias: concreción de la pena; condena penal. Proceso penal: derecho a la defensa. Prueba preconstituida: declaraciones sumariales sin contradicción. Derecho a la tutela judicial efectiva: motivación de las sentencias, respetado.</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23 de abril de 2005, la Procuradora de los Tribunales doña Lucía Vázquez-Pimentel Sánchez, en nombre y representación de don Stan Marian, presentó escrito interponiendo recurso de amparo contra la Sentencia dictada el 20 de diciembre de 2004, por la Sala de lo Penal del Tribunal Supremo, en el recurso de casación núm. 1214-2003.</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La demanda se basa, en síntesis, en los siguientes hechos: </w:t>
      </w:r>
    </w:p>
    <w:p w:rsidR="008B3772" w:rsidRDefault="008B3772" w:rsidP="008B3772">
      <w:pPr>
        <w:pStyle w:val="TextoNormal"/>
      </w:pPr>
      <w:r>
        <w:t xml:space="preserve">a) El demandante fue condenado por la Sección Primera de la Audiencia Provincial de Alicante, en Sentencia de fecha 22 de marzo de 2003, como autor de dos delitos de detención ilegal como medio para cometer dos delitos de prostitución, a la pena de siete años y tres meses de prisión por cada delito, accesorias, indemnización y costas. </w:t>
      </w:r>
    </w:p>
    <w:p w:rsidR="008B3772" w:rsidRDefault="008B3772" w:rsidP="008B3772">
      <w:pPr>
        <w:pStyle w:val="TextoNormal"/>
      </w:pPr>
      <w:r>
        <w:t>b) Contra esta Sentencia se preparó y formalizó recurso de casación, que fue resuelto por el Tribunal Supremo en Sentencia de fecha 20 de diciembre de 2004. La Sentencia declaró haber lugar al recurso, casó y anuló la Sentencia dictada, y dictó segunda Sentencia, condenando al demandante como autor de dos delitos dos delitos de detención ilegal como medio para cometer dos delitos relativos a la prostitución, a la pena de cinco años y seis meses de prisión por cada delito, accesorias y costas.</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El demandante de amparo alega en su demanda, en primer lugar, la violación del derecho a un proceso con todas las garantías (art. 24.2 CE), en su vertiente de derecho a utilizar los medios de prueba pertinentes para la defensa, al haber sido denegada por el Tribunal sentenciador la práctica de la prueba testifical propuesta por la defensa, consistente en la testifical de la testigo Violeta Matei, que fue propuesta en el escrito de conclusiones provisionales y declarada pertinente, acordándose su citación para el juicio. Llegado el plenario </w:t>
      </w:r>
      <w:r>
        <w:lastRenderedPageBreak/>
        <w:t>y no compareciendo la testigo, se solicitó la suspensión por ser imprescindible su declaración, acordando sin embargo la Sala la continuación del juicio. En segundo lugar, invoca la vulneración del derecho a la presunción de inocencia (art. 24.2 CE), en cuanto la condena se habría producido, en relación con la declaración de la testigo ausente, valorando una diligencia sumarial que fue practicada sin contradicción. Por su parte, y en relación con la declaración de otra testigo-víctima que sí compareció, se aduce la violación del derecho por su falta de credibilidad. Finalmente, sostiene la violación del derecho a tutela judicial efectiva (art. 24.1 CE) en su vertiente de derecho a una resolución judicial motivada. Alega el demandante que la Sentencia recurrida carece de motivación ya que no se expresan las razones que han llevado a la Sala a imponer una determinada pena, cuando el abanico de posibilidades era amplio, pudiendo variar la pena en un sentido u otro.</w:t>
      </w:r>
    </w:p>
    <w:p w:rsidR="008B3772" w:rsidRDefault="008B3772" w:rsidP="008B3772">
      <w:pPr>
        <w:pStyle w:val="TextoNormal"/>
      </w:pPr>
    </w:p>
    <w:p w:rsidR="008B3772" w:rsidRDefault="008B3772" w:rsidP="008B3772">
      <w:pPr>
        <w:pStyle w:val="TextoNormal"/>
      </w:pPr>
      <w:r w:rsidRPr="008B3772">
        <w:rPr>
          <w:rStyle w:val="NumeroAFNegritaCaracter"/>
        </w:rPr>
        <w:t>4</w:t>
      </w:r>
      <w:r>
        <w:t>. La Sección Primera de este Tribunal acordó por providencia de 10 de enero de 2007, a tenor de lo dispuesto en el art. 50.3 LOTC conceder un plazo común de diez días al, Ministerio Fiscal y al solicitante de amparo para que alegaran en dicho término lo que estimaran pertinente en relación con la posible concurrencia de la causa de inadmisión prevista en el art. 50.1 c. LOTC (carecer la demanda de amparo de contenido que justifique una decisión por parte del Tribunal).</w:t>
      </w:r>
    </w:p>
    <w:p w:rsidR="008B3772" w:rsidRDefault="008B3772" w:rsidP="008B3772">
      <w:pPr>
        <w:pStyle w:val="TextoNormal"/>
      </w:pPr>
    </w:p>
    <w:p w:rsidR="008B3772" w:rsidRDefault="008B3772" w:rsidP="008B3772">
      <w:pPr>
        <w:pStyle w:val="TextoNormal"/>
      </w:pPr>
      <w:r w:rsidRPr="008B3772">
        <w:rPr>
          <w:rStyle w:val="NumeroAFNegritaCaracter"/>
        </w:rPr>
        <w:t>5</w:t>
      </w:r>
      <w:r>
        <w:t>. El recurrente formuló sus alegaciones por escrito de 1 de febrero de 2007, insistiendo en que debía admitirse a trámite la demanda y reiterando las vulneraciones constitucionales alegadas en la demanda de amparo.</w:t>
      </w:r>
    </w:p>
    <w:p w:rsidR="008B3772" w:rsidRDefault="008B3772" w:rsidP="008B3772">
      <w:pPr>
        <w:pStyle w:val="TextoNormal"/>
      </w:pPr>
    </w:p>
    <w:p w:rsidR="008B3772" w:rsidRDefault="008B3772" w:rsidP="008B3772">
      <w:pPr>
        <w:pStyle w:val="TextoNormal"/>
      </w:pPr>
      <w:r w:rsidRPr="008B3772">
        <w:rPr>
          <w:rStyle w:val="NumeroAFNegritaCaracter"/>
        </w:rPr>
        <w:t>6</w:t>
      </w:r>
      <w:r>
        <w:t xml:space="preserve">. El Ministerio Fiscal formuló sus alegaciones por escrito registrado en el Tribunal el 5 de febrero de 2007. </w:t>
      </w:r>
    </w:p>
    <w:p w:rsidR="008B3772" w:rsidRDefault="008B3772" w:rsidP="008B3772">
      <w:pPr>
        <w:pStyle w:val="TextoNormal"/>
      </w:pPr>
      <w:r>
        <w:t xml:space="preserve">En relación con el primer motivo de la demanda, alega el Fiscal que, en el presente caso, la celebración de la Vista oral estuvo precedida por un anterior señalamiento que hubo de suspenderse ante la incomparecencia de las testigos y, entre ellas, de Violeta Matei. De modo que, tras las averiguaciones oportunas efectuadas por la Sala tras la inicial suspensión, se procedió a un nuevo señalamiento, al que no obstante cursarse de nuevo la citación a la testigo, ésta no compareció, presumiéndose ante ello que la misma había abandonado el territorio nacional. Esta actuación jurisdiccional, mediante la cual se pretendió agotar las posibilidades de localización de la testigo, constituye la base de la posterior decisión de no suspender nuevamente el juicio, ante la patente imposibilidad material de contar en el futuro con la presencia de la testigo; por ello, tal resolución del órgano de enjuiciamiento no puede considerarse como lesiva del derecho a la prueba, en tanto su falta de práctica se debió única y exclusivamente a la imposibilidad de la citación, hallándose en consecuencia la resolución plenamente justificada. </w:t>
      </w:r>
    </w:p>
    <w:p w:rsidR="008B3772" w:rsidRDefault="008B3772" w:rsidP="008B3772">
      <w:pPr>
        <w:pStyle w:val="TextoNormal"/>
      </w:pPr>
      <w:r>
        <w:t xml:space="preserve">Continúa indicando el Fiscal que el actor cuestiona en el mismo motivo anterior el valor de la diligencia de prueba consistente en la lectura en el juicio oral de la declaración sumarial de la testigo, aduciendo en definitiva la falta de entidad suficiente como para desvirtuar la presunción de inocencia del art. 24.2 CE. Asimismo alega la vulneración de la presunción de inocencia, discutiendo el proceso valorativo realizado por la Audiencia Provincial al analizar las pruebas practicadas en el juicio, y la adecuación de dicho proceso valorativo que sanciona el Tribunal Supremo en la Sentencia de casación. </w:t>
      </w:r>
    </w:p>
    <w:p w:rsidR="008B3772" w:rsidRDefault="008B3772" w:rsidP="008B3772">
      <w:pPr>
        <w:pStyle w:val="TextoNormal"/>
      </w:pPr>
      <w:r>
        <w:t xml:space="preserve">En relación con este motivo, alega el Fiscal que la Sentencia de la Audiencia Provincial relaciona exhaustivamente los medios de prueba tenidos en cuenta para imputar al actor el </w:t>
      </w:r>
      <w:r>
        <w:lastRenderedPageBreak/>
        <w:t xml:space="preserve">delito del que es víctima Angela Auram, apoyándose en la prueba testifical consistente en la declaración en el plenario de la propia perjudicada, así como la de su hermana, la de Angela Matei y la de los agentes de la Guardia Civil que procedieron al rescate de la primera en un club de Guadañar. El Tribunal afirma en su Sentencia su convicción acerca de la realidad de los hechos a la vista de la firmeza y contundencia de las manifestaciones incriminatorias de los testigos, realizando así la función jurisdiccional que le es propia en ejercicio del cometido previsto en el art. 117.3 LOPJ. En definitiva, podría afirmarse en principio que la Sentencia de instancia se decanta por el relato avalado por los testigos de la acusación, efectuando una serie de reflexiones, en base a las cuales concluye que el ahora demandante de amparo participó en dos delitos, desarrollando el Tribunal un razonamiento lógico que puede sostenerse en base a los términos contenidos en las citadas declaraciones testificales, explicando a su vez el juicio que le merecen los argumentos de descargo empleados por el recurrente. Con ello, se establece el nexo de unión entre los elementos fácticos y la conclusión final, que viene así apoyada en datos arrojados en el proceso probatorio. </w:t>
      </w:r>
    </w:p>
    <w:p w:rsidR="008B3772" w:rsidRDefault="008B3772" w:rsidP="008B3772">
      <w:pPr>
        <w:pStyle w:val="TextoNormal"/>
      </w:pPr>
      <w:r>
        <w:t xml:space="preserve">Sin embargo, así como con respecto al delito del que aparece como víctima Angela Auram no existe, en opinión del Fiscal, duda alguna de que las alegaciones contenidas en la demanda relativas a la presunción de inocencia carecen de base, no puede por el contrario ocultarse la realidad de que la condena por el segundo delito, esto es, aquél en que aparece como víctima Violeta Matei, ofrece un panorama diferente. Y ello porque la especial naturaleza de los tipos delictivos por los que se condena al recurrente difícilmente se aviene con el proceso de génesis de la íntima convicción judicial acerca de la realidad de los hechos; o lo que es igual, con la potencialidad de la prueba practicada para alcanzar la racional conclusión de la existencia de un delito de detención ilegal dirigido hacia la determinación de una menor de edad al ejercicio de la prostitución, cuando en ambas figuras penales resulta absolutamente relevante el conocimiento de la voluntad del sujeto pasivo del delito que, en opinión del Fiscal, no puede ser fácilmente colegido a través de la declaración de terceros y no de la declaración de la propia víctima. En definitiva, el Fiscal considera que para calificar en este caso una conducta como integradora de una detención ilegal, así como de inducción al ejercicio de la prostitución, se haría imprescindible conocer si el supuesto sujeto pasivo de tales infracciones habría prestado su consentimiento a su traslado desde Castellón a Alicante en compañía de unos individuos, y si una vez en dicha ciudad, se habría dedicado al ejercicio de la prostitución con su plena voluntad o faltando ésta. En opinión del Fiscal, difícilmente podría obtenerse racionalmente el conocimiento de la íntima voluntad de la menor de edad, en base al contenido de las declaraciones de la otra víctima, de la de sus hermanas y las de los agentes de la Guardia Civil que procedieron a rescatarlas, que es no obstante uno de los elementos en los que la Audiencia Provincial sustenta el relato fáctico. De hecho, indica el Fiscal, la Audiencia Provincial conforma el relato de los hechos probados —en lo que se refiere al segundo de ellos—, valorando fundamentalmente las declaraciones de la víctima prestadas en el Juzgado, generando una suerte de interdependencia entre la prueba preconstituida y la prueba directamente practicada en el plenario, con recíproca influencia y condicionamiento, haciendo imposible su examen separado en orden a determinar si autónomamente cada uno de tales medios habría llevado al ánimo del Tribunal sentenciador la convicción de la comisión por el demandante de los delitos finalmente sancionados. Por lo tanto, y en el caso de que la valoración de alguno de los citados medios probatorio pudiera estimarse lesiva de algún derecho fundamental, el otro habría de correr idéntica suerte, predicándose respecto de ambos su incapacidad para integrar el concepto de prueba constitucionalmente válida y con alcance suficiente para desvirtuar la presunción de inocencia. </w:t>
      </w:r>
    </w:p>
    <w:p w:rsidR="008B3772" w:rsidRDefault="008B3772" w:rsidP="008B3772">
      <w:pPr>
        <w:pStyle w:val="TextoNormal"/>
      </w:pPr>
      <w:r>
        <w:lastRenderedPageBreak/>
        <w:t>La anterior conclusión lleva al Fiscal a analizar la alegada vulneración del derecho a la defensa y la presunción de inocencia, en relación con la ausencia de declaración en la vista oral de la testigo Violeta Matei. Sobre este particular indica el Fiscal que la incorporación al proceso de declaraciones que han tenido lugar en fase de instrucción no lesiona en todo caso los derechos reconocidos en los párrafos 3 d) y 1 del art. 6 CEDH, siempre que exista una causa legítima que impida la celebración en el juicio oral, y que se hayan respetado los derechos de defensa del acusado; esto es, siempre que se dé al acusado una ocasión adecuada y suficiente de contestar los testimonios de cargo e interrogar a su autor, bien cuando se prestan, bien con posterioridad. En el presente caso, la declaración prestada ante la autoridad judicial por parte de la testigo Violeta Matei no se efectuó en presencia de letrado que representara en ese momento al ahora recurrente. Y, ciertamente, no existe imperativo legal alguno que obligue, bajo sanción de nulidad, a que el letrado del imputado haya de estar presente en las manifestaciones que hagan denunciantes y testigos, pues tal circunstancia resultará irrelevante en el caso de que el testigo comparezca en el plenario, ya que la declaración sumarial habrá cumplido así su finalidad investigadora de una presunta infracción penal y preparatoria del juicio oral correspondiente, sin que pueda, en consecuencia, cuestionarse en modo alguno su validez constitucional. Ahora bien, extremo distinto es que el testigo no llegue a comparecer al juicio oral y, ante ello, se pretenda dotar de valor probatorio a una diligencia sumarial que ha sido llevada a cabo con una finalidad que no es precisamente la de servir como medio de prueba al tribunal sentenciador para fundamentar en ella un hipotético pronunciamiento condenatorio. Es en este supuesto en el que el Tribunal Constitucional se ha mostrado contrario a dotar de validez a la introducción de dicha prueba en el juicio oral y al reconocimiento de su capacidad para enervar la presunción de inocencia; y es éste el caso que precisamente se contiene en la demanda de amparo que, por tal motivo, en opinión del Fiscal, debe ser admitida a trámite.</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Una vez examinadas las alegaciones expuestas por los demandantes y el Ministerio Fiscal, la Sección se ratifica en su inicial juicio, puesto de manifiesto en nuestra providencia de 10 de enero de 2007, de que la demanda carece de contenido constitucional que justifique una decisión sobre el fondo por parte de este Tribunal, causa de inadmisión prevista en el art. 50.1 c) LOTC.</w:t>
      </w:r>
    </w:p>
    <w:p w:rsidR="008B3772" w:rsidRDefault="008B3772" w:rsidP="008B3772">
      <w:pPr>
        <w:pStyle w:val="TextoNormal"/>
      </w:pPr>
      <w:r>
        <w:t>El demandante alega como primer motivo de su demanda la vulneración de su derecho a un proceso con todas las garantías, a la tutela judicial efectiva y a la utilización de los medios de prueba pertinentes para su defensa, todo ello porque el Tribunal Sentenciador que enjuició los hechos denegó la suspensión del juicio oral para la práctica de la prueba testifical propuesta por la defensa debidamente en tiempo y forma. Más concretamente, la alegación se refiere a una de las testigos propuestas, Violeta Matei, la cual no compareció a la vista oral, no obstante haberse suspendido ya una primera vez el juicio ante su inasistencia, habiendo acordado la Sala la continuación del juicio.</w:t>
      </w:r>
    </w:p>
    <w:p w:rsidR="008B3772" w:rsidRDefault="008B3772" w:rsidP="008B3772">
      <w:pPr>
        <w:pStyle w:val="TextoNormal"/>
      </w:pPr>
      <w:r>
        <w:t xml:space="preserve">Si bien es cierto que este Tribunal ha declarado que el art. 24.2 CE ha constitucionalizado este derecho fundamental y que el mismo es ejercitable en cualquier tipo de proceso en el que el ciudadano se vea involucrado, siendo este derecho inseparable del derecho mismo a la defensa (por todas, SSTC 116/1983, FJ 3; 147/1987, FJ 2; 205/1991, FJ 3; 357/1993, FJ 2; 187/1996, FJ 3), no lo es menos que su contenido ha sido precisado en el sentido de que, </w:t>
      </w:r>
      <w:r>
        <w:lastRenderedPageBreak/>
        <w:t>como regla general, no toda irregularidad procesal en materia de prueba (referida a su admisión, a su práctica, a su valoración ...)  genera por sí misma una indefensión material constitucionalmente relevante. De hecho, la mera ausencia de la práctica de una prueba admitida no supone en sí misma vulneración del art. 24.2 CE (SSTC 246/1994, FJ 3; 110/1995, FJ 4; 217/1998, FJ 2; 219/1998, FJ 3).  Ello precisa que la ausencia de práctica de la prueba haya supuesto para el demandante de amparo “una efectiva indefensión, toda vez que la garantía constitucional contenida en el art. 24.2 CE únicamente cubre aquellos supuestos en que la prueba es decisiva en términos de defensa” (STC 219/1998, FJ 3; ATC 168/2003, FJ 2). Por esta razón hemos dicho con reiteración que la falta de práctica de una prueba admitida sólo tendrá relevancia constitucional cuando la falta de práctica sea directamente imputable al órgano jurisdiccional y el recurrente haya justificado en su demanda la indefensión material sufrida, habida cuenta de que, como es notorio, la carga de la argumentación recae sobre los solicitantes de amparo.</w:t>
      </w:r>
    </w:p>
    <w:p w:rsidR="008B3772" w:rsidRDefault="008B3772" w:rsidP="008B3772">
      <w:pPr>
        <w:pStyle w:val="TextoNormal"/>
      </w:pPr>
      <w:r>
        <w:t>En cualquier caso, hemos reiterado que nuestro control de constitucionalidad está limitado, en estos supuestos, a aquellos en que se produce la inadmisión o falta de verificación de pruebas relevantes para la decisión final sin motivación o mediante interpretación o aplicación de la legalidad arbitraria o irrazonable o cuando la falta de práctica de la prueba sea imputable al órgano judicial (por todas, STC 147/2002, de 15 de julio, FJ 4). En ese sentido, en el caso en que la jurisdicción ordinaria se haya pronunciado motivadamente sobre la improcedencia de la suspensión de la vista oral ante la incomparecencia de determinados testigos, este Tribunal no puede pronunciarse sobre la eventual relevancia que pudiera tener la prueba inadmitida en la resolución final o sobre la pertinencia de la suspensión de la vista, ya que se trata de cuestiones de legalidad ordinaria (por todas, STC 26/2000, de 31 de enero, FJ 2), sino únicamente sobre si la motivación utilizada por los Tribunales ordinarios para fundamentar dichas decisiones ha incurrido en arbitrariedad o irrazonabilidad.</w:t>
      </w:r>
    </w:p>
    <w:p w:rsidR="008B3772" w:rsidRDefault="008B3772" w:rsidP="008B3772">
      <w:pPr>
        <w:pStyle w:val="TextoNormal"/>
      </w:pPr>
      <w:r>
        <w:t>En el presente supuesto, la Audiencia Provincial no accedió a la solicitud de suspensión del juicio oral para la práctica de la prueba testifical solicitada por la defensa del demandante, tomando en consideración que la testigo cuya presencia se interesaba no pudo ser localizada, no se encontraba en España y que ya había sido suspendido anteriormente en otra ocasión. Alegada la vulneración del derecho a la prueba en casación, la Sentencia del Tribunal Supremo, manifestó que “la Sala sentenciadora hizo las gestiones necesarias para que la testigo compareciera al acto del juicio oral, ordenando a la Guardia Civil su localización, obrando al rollo de la Sala folio 179, oficio de la Comandancia de la Guardia Civil de Castellón en el sentido de no ser posible su localización por hallarse en el extranjero. Por ello la decisión de la Sala de no suspender el juicio resultó razonable y justificada, dada esta imposibilidad de localización y evitar nuevas suspensiones de juicio, teniendo en cuenta que la Sala, ante la incomparecencia de uno de los dos acusados a la primera sesión del juicio oral, 13.03.2003, ya tuvo que acordar la suspensión del juicio”. Y a continuación precisa “En definitiva, la Audiencia adoptó su decisión de no suspender la vista oral en base a la imposibilidad de que la testigo fuese hallada en un plazo razonable al encontrarse en el extranjero y no ser factible su localización en España, es decir no estar a disposición del Tribunal, disponiendo, además de otros medios de prueba, que explicita en el Fundamento Jurídico Tercero, en relación a los hechos a los que la declaración de la testigo debía referirse”.</w:t>
      </w:r>
    </w:p>
    <w:p w:rsidR="008B3772" w:rsidRDefault="008B3772" w:rsidP="008B3772">
      <w:pPr>
        <w:pStyle w:val="TextoNormal"/>
      </w:pPr>
      <w:r>
        <w:t xml:space="preserve">Frente a los razonamientos vertidos en estas resoluciones judiciales sobre las causas determinantes para la no suspensión de la causa, el recurrente en el escrito de demanda en ningún caso ha señalado o incidido en que aspectos de esos razonamientos habrían incurrido en arbitrariedad o en irrazonabilidad, limitándose a discrepar con las valoraciones vertidas </w:t>
      </w:r>
      <w:r>
        <w:lastRenderedPageBreak/>
        <w:t>por la jurisdicción ordinaria sobre esos extremos. Con ello el recurrente está pretendiendo un pronunciamiento de este Tribunal sobre un aspecto de legalidad ordinaria que está fuera de sus funciones como garante de los derechos fundamentales.</w:t>
      </w:r>
    </w:p>
    <w:p w:rsidR="008B3772" w:rsidRDefault="008B3772" w:rsidP="008B3772">
      <w:pPr>
        <w:pStyle w:val="TextoNormal"/>
      </w:pPr>
      <w:r>
        <w:t>En cualquier caso, a la vista de las circunstancias concurrentes cabe concluir, por un lado, que la nueva citación judicial de la testigo para su comparecencia en el plenario hubiera sido una actuación superflua e inútil, en cuanto no garantizaba su presencia. Por otro, la Sala pudo valorar adecuadamente otros medios de prueba. En este sentido afirma la Audiencia Provincial que “en el presente caso se cuenta además con las declaraciones prestadas por la víctima Angela Auram y Nicoletta Auram y Angela Matei, testimonio de una de las víctimas con la corroboración de las de referencia, que se viene aceptando como válido medio de prueba”; y el Tribunal Supremo indica que el tribunal disponía “de otros medios de prueba”. Así pues, la denegación de la suspensión del plenario y la no práctica de una nueva citación para la prueba testifical estuvieron motivadas por la imposibilidad de su realización, amén de tomar en consideración que la Sala disponía del referido material probatorio. Así lo entendió también la Sala Segunda del Tribunal Supremo que desestimó el motivo casacional impugnatorio basado en tal extremo. Todo lo cual es determinante para apreciar su inadmisión por carencia manifiesta de contenido constitucional que justifique una decisión sobre el fondo [art. 50.1 c) LOTC].</w:t>
      </w:r>
    </w:p>
    <w:p w:rsidR="008B3772" w:rsidRDefault="008B3772" w:rsidP="008B3772">
      <w:pPr>
        <w:pStyle w:val="TextoNormal"/>
      </w:pPr>
    </w:p>
    <w:p w:rsidR="008B3772" w:rsidRDefault="008B3772" w:rsidP="008B3772">
      <w:pPr>
        <w:pStyle w:val="TextoNormal"/>
      </w:pPr>
      <w:r w:rsidRPr="008B3772">
        <w:rPr>
          <w:rStyle w:val="NumeroAFNegritaCaracter"/>
        </w:rPr>
        <w:t>2</w:t>
      </w:r>
      <w:r>
        <w:t>. En segundo lugar, y en este mismo motivo de la demanda, considera el recurrente que ha sido vulnerado su derecho fundamental a un proceso con todas las garantías (art. 24.2 CE), debido a la imposibilidad que tuvo de contradecir la prueba testifical no practicada en el acto del juicio. El motivo debe vincularse con el derecho a la presunción de inocencia (art. 24.2 CE), en cuanto el demandante, tanto en este mismo motivo de la demanda como en el siguiente, asocia de modo inmediato dicha vulneración a la inexistencia de otras pruebas de cargo y, por tanto, a la violación del derecho a la presunción de inocencia (art. 24.2 CE).</w:t>
      </w:r>
    </w:p>
    <w:p w:rsidR="008B3772" w:rsidRDefault="008B3772" w:rsidP="008B3772">
      <w:pPr>
        <w:pStyle w:val="TextoNormal"/>
      </w:pPr>
      <w:r>
        <w:t>En definitiva se sostiene por el demandante de amparo que ha sido vulnerado su derecho a un proceso con todas las garantías y, como consecuencia de ello, su derecho fundamental a la presunción de inocencia, porque los órganos judiciales han valorado como prueba válida la declaración de la testigo que no compareció a la Vista oral, la cual no fue sometida a la posibilidad de ser contradicha por su parte. De ahí mantiene la inexistencia de prueba de cargo válida de la que extraer la culpabilidad del acusado, alegando que la decisión de condena se habría fundamentado precisamente en esta prueba testifical que no cumplió las debidas garantías de inmediación y de posibilidad de contradicción, dado que se trataba de un testimonio vertido en fase sumarial, sin oportunidad de ser contradicho por el acusado, que accedió a la valoración probatoria a través del mecanismo excepcional del art. 730 Ley de enjuiciamiento criminal, pese a que no se daban los requisitos exigidos en nuestra doctrina para ello, y de otras pruebas (declaración de la víctima y testificales de referencia), asimismo carentes de virtualidad probatoria. .</w:t>
      </w:r>
    </w:p>
    <w:p w:rsidR="008B3772" w:rsidRDefault="008B3772" w:rsidP="008B3772">
      <w:pPr>
        <w:pStyle w:val="TextoNormal"/>
      </w:pPr>
      <w:r>
        <w:t xml:space="preserve">Hemos dicho, y procede reiterarlo aquí una vez más, que sólo pueden considerarse auténticas pruebas que vinculen a los Tribunales en el momento de dictar Sentencia las practicadas en el acto del juicio, pues el procedimiento probatorio ha de tener lugar precisamente en el debate contradictorio que se desarrolla ante el Juez o Tribunal que ha de dictar Sentencia, de modo oral e inmediato, de suerte que la convicción de éste sobre los hechos enjuiciados se alcance en contacto directo con los medios aportados por las partes (SSTC 217/1989, de 21 de diciembre, FJ 2; 161/1990, de 19 de octubre, FJ 2; 303/1993, de 25 de </w:t>
      </w:r>
      <w:r>
        <w:lastRenderedPageBreak/>
        <w:t>octubre, FJ 3; 200/1996, de 3 de diciembre, FJ 2; 40/1997, de 3 de diciembre, FJ 2, y, recientemente, 2/2002, de 14 de enero, FJ 6).</w:t>
      </w:r>
    </w:p>
    <w:p w:rsidR="008B3772" w:rsidRDefault="008B3772" w:rsidP="008B3772">
      <w:pPr>
        <w:pStyle w:val="TextoNormal"/>
      </w:pPr>
      <w:r>
        <w:t>Sin embargo, dicha regla general admite excepciones, una de las cuales es la que ahora es objeto de debate, es decir, la posibilidad de integrar en la valoración probatoria el resultado de las declaraciones sumariales de investigación (supuesto legalmente contemplado, en lo que ahora nos interesa, en el art. 730 Ley de enjuiciamiento criminal).  Pero tal excepción está condicionada al cumplimiento en su práctica y reproducción de determinados requisitos que hemos resaltado de modo continuado en el tiempo.  Estos requisitos pueden clasificarse en materiales (su imposibilidad de reproducción en el acto del juicio oral), subjetivos (la necesaria intervención del Juez de instrucción), objetivos (la posibilidad de contradicción para lo cual ha de proveerse de Abogado al imputado) y formales (la introducción del contenido de la declaración sumarial a través de la lectura del acta en que se documenta, conforme a lo ordenado por el art. 730 Ley de enjuiciamiento criminal).</w:t>
      </w:r>
    </w:p>
    <w:p w:rsidR="008B3772" w:rsidRDefault="008B3772" w:rsidP="008B3772">
      <w:pPr>
        <w:pStyle w:val="TextoNormal"/>
      </w:pPr>
      <w:r>
        <w:t>Pues bien en el supuesto enjuiciado, es obligado convenir con el demandante de amparo y con el Ministerio Fiscal que no se cumplen los requisitos precedentemente expuestos para la posible integración de una declaración prestada en el sumario dentro de la valoración probatoria realizada por el Tribunal puesto que, si bien la petición de suspensión de la vista fue razonablemente denegada, según se ha expuesto, lo cierto es que la declaración sumarial de la testigo se prestó a presencia judicial sin que conste la razón por la que se produjo en ausencia de contradicción,. El testimonio así emitido, sin estar garantizada la posibilidad de contradicción del ya imputado, no puede integrar el material probatorio a la hora de dictar Sentencia (SSTC 80/1986, de 17 de junio, FJ ; 25/1988, de 23 de febrero, FJ 2; 51/1995, de 23 de febrero, FJ 2; 200/1996, de 3 de diciembre, FJ 2; 49/1998, de 2 de marzo, FJ 2, y 2/2002, de 14 de enero, FJ 6), pues ni en el momento de prestarse, ni en otro posterior, el recurrente ha tenido la posibilidad de interrogar a la testigo de cargo. En consecuencia, es preciso coincidir con el demandante en que la mera lectura de las declaraciones en el acto del plenario, por las razones antedichas, no ofreció una ocasión adecuada y suficiente para ejercer de modo completamente satisfactorio el principio de contradicción y el derecho de defensa.</w:t>
      </w:r>
    </w:p>
    <w:p w:rsidR="008B3772" w:rsidRDefault="008B3772" w:rsidP="008B3772">
      <w:pPr>
        <w:pStyle w:val="TextoNormal"/>
      </w:pPr>
    </w:p>
    <w:p w:rsidR="008B3772" w:rsidRDefault="008B3772" w:rsidP="008B3772">
      <w:pPr>
        <w:pStyle w:val="TextoNormal"/>
      </w:pPr>
      <w:r w:rsidRPr="008B3772">
        <w:rPr>
          <w:rStyle w:val="NumeroAFNegritaCaracter"/>
        </w:rPr>
        <w:t>3</w:t>
      </w:r>
      <w:r>
        <w:t>. No obstante lo precedentemente expuesto conviene destacar que su contenido es insuficiente para fundamentar la admisión de la demanda de amparo, pues para que procediera, la condena hubiera debido producirse sustentándose exclusivamente en dicha prueba inválida. Pero en el presente supuesto se han valorado otras pruebas, por lo que la primera cuestión a abordar ha de ser si las resoluciones impugnadas han vulnerado el derecho a la presunción de inocencia, lo que obliga a examinar si prescindiendo del elemento de prueba descartado anteriormente, existen otras pruebas válidas de la participación del recurrente en los hechos por los que ha sido condenado (SSTC 86/1995, de 6 de junio, FJ 6; 126/2000, de 16 de mayo, FJ 10, y 12/2002, de 28 de enero, FJ 5).</w:t>
      </w:r>
    </w:p>
    <w:p w:rsidR="008B3772" w:rsidRDefault="008B3772" w:rsidP="008B3772">
      <w:pPr>
        <w:pStyle w:val="TextoNormal"/>
      </w:pPr>
      <w:r>
        <w:t xml:space="preserve">En segundo lugar, y aun constatada la existencia de otras pruebas de cargo válidas, corresponde al Tribunal decidir si, a la vista del contenido de la decisión judicial condenatoria, es decir, a partir del exclusivo examen de las resoluciones judiciales, es posible mantener que la condena se ha fundado en pruebas de cargo válidas y suficientes para enervar la presunción de inocencia. El resultado de este análisis determinará el contenido del fallo que se nos solicita. En efecto, venimos sosteniendo que cuando es preciso realizar una nueva valoración probatoria por parte de los Tribunales debe decidirse la retroacción al momento anterior a dictar Sentencia, a fin de que sean los órganos judiciales quienes decidan si con las pruebas que subsisten mantienen su conclusión condenatoria o, por el contrario, deciden </w:t>
      </w:r>
      <w:r>
        <w:lastRenderedPageBreak/>
        <w:t>revisarla, todo ello ante la constatación de que a este Tribunal no le compete valorar pruebas. Mas cuando de dicho estudio de la Sentencia condenatoria se deriva una detallada motivación del valor probatorio de cada uno de los medios de prueba restantes, con una expresa consideración sobre su carácter de prueba de cargo, el Tribunal puede ejercer su control constitucional sin necesidad de reenvío a los órganos judiciales para una nueva valoración de los medios de prueba restantes (SSTC 161/1999, de 27 de septiembre, FJ 4; 171/1999, de 27 de septiembre, FJ 15; 8/2000, de 17 de enero, FJ 10; 136/2000, de 29 de mayo, FJ 8; 105/2005, de 9 de mayo, FJ 1).</w:t>
      </w:r>
    </w:p>
    <w:p w:rsidR="008B3772" w:rsidRDefault="008B3772" w:rsidP="008B3772">
      <w:pPr>
        <w:pStyle w:val="TextoNormal"/>
      </w:pPr>
    </w:p>
    <w:p w:rsidR="008B3772" w:rsidRDefault="008B3772" w:rsidP="008B3772">
      <w:pPr>
        <w:pStyle w:val="TextoNormal"/>
      </w:pPr>
      <w:r w:rsidRPr="008B3772">
        <w:rPr>
          <w:rStyle w:val="NumeroAFNegritaCaracter"/>
        </w:rPr>
        <w:t>4</w:t>
      </w:r>
      <w:r>
        <w:t>. En este caso, la Sentencia de la Audiencia Provincial fundamenta expresamente la apreciación de los hechos que declara probados, no sólo en las declaraciones de esta testigo víctima que no compareció al juicio oral, sino también en otras pruebas.  Tales pruebas son, según expresamente se razona en la Sentencia, la declaración testifical de la otra víctima y la declaración de dos testigos, una de referencia en cuanto narra lo que las víctimas le contaron, y la otra, de referencia en cuanto a lo que su hermana (una de las víctimas) le contó, y directa en cuanto a hechos que pudo comprobar personalmente. Por su parte, la Sentencia de la Sala de lo Penal del Tribunal Supremo también expresa que el Tribunal sentenciador dispuso de un bagaje probatorio directo e indirecto suficiente para construir sobre el mismo su convicción de los hechos probados que se relatan en el factum, destacando y ponderando ampliamente tanto la declaración de la víctima que sí compareció al juicio como la de las dos testigos.  Ello significa que la condena se sustentó en pruebas válidas de cargo de las cuales extrae el órgano judicial la conclusión de la culpabilidad del acusado, de modo que no se ha producido una valoración conjunta de aquellas pruebas cuya invalidez hemos declarado. Por el contrario, existe en la propia Sentencia un razonamiento específico que incluye la valoración y fundamentación probatoria expresa de cada uno de los medios de prueba, motivando su contenido incriminatorio.</w:t>
      </w:r>
    </w:p>
    <w:p w:rsidR="008B3772" w:rsidRDefault="008B3772" w:rsidP="008B3772">
      <w:pPr>
        <w:pStyle w:val="TextoNormal"/>
      </w:pPr>
      <w:r>
        <w:t>En particular, en relación con el testimonio de la otra víctima de los hechos, que, como se ha indicado, fue tomado en valor por los órganos jurisdiccionales como prueba directa de cargo, alega el demandante que carecería de validez para sustentar por sí solo la culpabilidad del acusado, por ser la única prueba directa y por su manifiesta falta de credibilidad, lo que en sí mismo habría ocasionado la violación del derecho a la presunción de inocencia (art. 24.2 CE).</w:t>
      </w:r>
    </w:p>
    <w:p w:rsidR="008B3772" w:rsidRDefault="008B3772" w:rsidP="008B3772">
      <w:pPr>
        <w:pStyle w:val="TextoNormal"/>
      </w:pPr>
      <w:r>
        <w:t>Conviene recordar la doctrina elaborada sobre la posibilidad de que las declaraciones de la víctima (incluso como único testigo) puedan erigirse en prueba de cargo suficiente para desvirtuar la presunción de inocencia. El Tribunal ha mantenido reiteradamente (SSTC 62/1985, de 10 de mayo; 195/2002, de 28 de octubre, entre otras), que la declaración de la víctima, practicada normalmente en el acto del juicio oral, con las necesarias garantías procesales, puede erigirse en prueba de cargo y que, en consecuencia, la convicción judicial sobre los hechos del caso puede basarse en ella, incluso cuando se trate del acusador (SSTC 201/1989, FJ 4, y 169/1990, FJ 2).</w:t>
      </w:r>
    </w:p>
    <w:p w:rsidR="008B3772" w:rsidRDefault="008B3772" w:rsidP="008B3772">
      <w:pPr>
        <w:pStyle w:val="TextoNormal"/>
      </w:pPr>
      <w:r>
        <w:t>Pues bien, al aplicar la anterior doctrina a este caso puede comprobarse que no existe tal lesión del derecho fundamental a la presunción de inocencia. En primer lugar, la Sentencia de instancia sustentó la culpabilidad del ahora demandante en la declaración de la víctima que, como se ha indicado, puede constituir prueba de cargo suficiente. Además, como se ha indicado, junto a estas declaraciones, la Sala también valoró otras testificales, directas y de referencia, que fueron empleadas precisamente como elemento de corroboración y para res</w:t>
      </w:r>
      <w:r>
        <w:lastRenderedPageBreak/>
        <w:t>paldar la credibilidad de la declaración de la víctima. Todo ello permitió luego a la Audiencia afirmar que existía prueba incriminatoria lícita, de entidad suficiente para enervar la presunción que se invocaba.</w:t>
      </w:r>
    </w:p>
    <w:p w:rsidR="008B3772" w:rsidRDefault="008B3772" w:rsidP="008B3772">
      <w:pPr>
        <w:pStyle w:val="TextoNormal"/>
      </w:pPr>
      <w:r>
        <w:t>Por ello, aun descartada la validez de las declaraciones testificales de la víctima que no compareció, y desde el control externo que corresponde al Tribunal, que sólo le autoriza a analizar la motivación de la valoración probatoria realizada por el propio órgano judicial, es claro que el motivo alegado carece de contenido constitucional, pues la declaración de la víctima que no compareció no resultaba indispensable ni determinante para el fallo de culpabilidad que, por el contrario, sigue asentado en el resto de las pruebas practicadas válidamente en el acto del juicio oral según el propio razonamiento contenido en las resoluciones combatidas.</w:t>
      </w:r>
    </w:p>
    <w:p w:rsidR="008B3772" w:rsidRDefault="008B3772" w:rsidP="008B3772">
      <w:pPr>
        <w:pStyle w:val="TextoNormal"/>
      </w:pPr>
    </w:p>
    <w:p w:rsidR="008B3772" w:rsidRDefault="008B3772" w:rsidP="008B3772">
      <w:pPr>
        <w:pStyle w:val="TextoNormal"/>
      </w:pPr>
      <w:r w:rsidRPr="008B3772">
        <w:rPr>
          <w:rStyle w:val="NumeroAFNegritaCaracter"/>
        </w:rPr>
        <w:t>5</w:t>
      </w:r>
      <w:r>
        <w:t>. El último motivo de la demanda sugiere la violación del derecho a la tutela judicial motivada por falta de motivación de la pena impuesta.</w:t>
      </w:r>
    </w:p>
    <w:p w:rsidR="008B3772" w:rsidRDefault="008B3772" w:rsidP="008B3772">
      <w:pPr>
        <w:pStyle w:val="TextoNormal"/>
      </w:pPr>
      <w:r>
        <w:t>Hemos venido insistiendo en la necesidad de motivación de la determinación concreta de la pena (SSTC 193/1996, de 26 de noviembre, FJ 3; 43/1997, de 10 de marzo, FJ 6), aunque también se ha destacado que los datos básicos del proceso de individualización de la pena deben inferirse de los hechos probados, sin que sea constitucionalmente exigible ningún ulterior razonamiento que los traduzca en una cuantificación de pena exacta, dada la imposibilidad de sentar un criterio que mida lo que, de suyo, no es susceptible de medición (SSTC 136/2003, de 30 de junio, y 20/2003, de 10 de febrero).</w:t>
      </w:r>
    </w:p>
    <w:p w:rsidR="008B3772" w:rsidRDefault="008B3772" w:rsidP="008B3772">
      <w:pPr>
        <w:pStyle w:val="TextoNormal"/>
      </w:pPr>
      <w:r>
        <w:t>En estos casos, y dado que no existe un derecho fundamental del justiciable a una determinada extensión de la motivación, la función del Tribunal debe limitarse a comprobar si existe fundamentación jurídica y, en su caso, si el razonamiento que contiene constituye, lógica y jurídicamente, suficiente motivación de la decisión adoptada, cualquiera que sea su brevedad y concisión, incluso en supuestos de motivación por remisión (SSTC 13/1987, de 5 de febrero y 108/2001, de 23 de abril). En definitiva, a determinar si, en el caso concreto, y a la vista de los datos que los hechos probados relatan, la motivación acerca del quantum de la pena impuesta resulta o no manifiestamente irrazonable o arbitraria (STC 47/1998, de 31 de marzo).</w:t>
      </w:r>
    </w:p>
    <w:p w:rsidR="008B3772" w:rsidRDefault="008B3772" w:rsidP="008B3772">
      <w:pPr>
        <w:pStyle w:val="TextoNormal"/>
      </w:pPr>
      <w:r>
        <w:t>En este caso, el demandante de amparo se limita a indicar que la Sentencia recurrida no expresa cuales son las razones que han llevado a la Sala a imponer una determinada pena “cuando el abanico de posibilidades era amplio, pudiendo la pena variar en un sentido u otro”.</w:t>
      </w:r>
    </w:p>
    <w:p w:rsidR="008B3772" w:rsidRDefault="008B3772" w:rsidP="008B3772">
      <w:pPr>
        <w:pStyle w:val="TextoNormal"/>
      </w:pPr>
    </w:p>
    <w:p w:rsidR="008B3772" w:rsidRDefault="008B3772" w:rsidP="008B3772">
      <w:pPr>
        <w:pStyle w:val="TextoNormal"/>
      </w:pPr>
      <w:r>
        <w:t>El motivo, sin embargo, carece manifiestamente de contenido constitucional. El Tribunal Supremo se ocupa específicamente de la determinación de la pena, indicando que, “en orden a la pena a imponer al tratarse de un concurso medial del art. 77 Código</w:t>
      </w:r>
    </w:p>
    <w:p w:rsidR="008B3772" w:rsidRDefault="008B3772" w:rsidP="008B3772">
      <w:pPr>
        <w:pStyle w:val="TextoNormal"/>
      </w:pPr>
      <w:r>
        <w:t>penal, en cuanto a la comparación a que se refiere el núm. 2, esta ha de hacerse en el caso concreto y no en abstracto. Por ello los delitos de detención ilegal del art. 163.1 CE tienen una penalidad base de 4 a 6 años de prisión y a ser aplicable el</w:t>
      </w:r>
    </w:p>
    <w:p w:rsidR="008B3772" w:rsidRDefault="008B3772" w:rsidP="008B3772">
      <w:pPr>
        <w:pStyle w:val="TextoNormal"/>
      </w:pPr>
      <w:r>
        <w:t>art.  165, por ser las víctimas menores de edad, esa pena ha de imponerse en su mitad superior, esto es de 5 a 6 años, pena superior a la que correspondería a los delitos relativos a la prostitución del art. 188.1, prisión de 2 a 4 años, que al ser</w:t>
      </w:r>
    </w:p>
    <w:p w:rsidR="008B3772" w:rsidRDefault="008B3772" w:rsidP="008B3772">
      <w:pPr>
        <w:pStyle w:val="TextoNormal"/>
      </w:pPr>
      <w:r>
        <w:t>aplicable el apdo 4 de dicho artículo sería la superior en grado, 4 a 6 años, art. 70.1 Código penal. En consecuencia, y siendo más desfavorable la punición por separado, la pena a imponer, teniendo en cuenta los arts. 163.1, 165 y 77.2, delito más grave</w:t>
      </w:r>
    </w:p>
    <w:p w:rsidR="008B3772" w:rsidRDefault="008B3772" w:rsidP="008B3772">
      <w:pPr>
        <w:pStyle w:val="TextoNormal"/>
      </w:pPr>
      <w:r>
        <w:lastRenderedPageBreak/>
        <w:t>en su mitad superior, debe moverse en el marco penológico de 5 años y 6 meses a 6 años por cada uno de los delitos, estimando la Sala adecuada imponerla en el límite mínimo”. En este aspecto, y de acuerdo con los criterios que debe seguir nuestro</w:t>
      </w:r>
    </w:p>
    <w:p w:rsidR="008B3772" w:rsidRDefault="008B3772" w:rsidP="008B3772">
      <w:pPr>
        <w:pStyle w:val="TextoNormal"/>
      </w:pPr>
      <w:r>
        <w:t>control, nada puede reprocharse a la determinación de la extensión temporal de la pena por parte del órgano sentenciador, que cumple debidamente las exigencias constitucionales de motivación derivadas del derecho a la tutela judicial efectiva, de acuerdo</w:t>
      </w:r>
    </w:p>
    <w:p w:rsidR="008B3772" w:rsidRDefault="008B3772" w:rsidP="008B3772">
      <w:pPr>
        <w:pStyle w:val="TextoNormal"/>
      </w:pPr>
      <w:r>
        <w:t>con la jurisprudencia citada.  Por todo lo expuesto, la Sección</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Inadmitir el presente recurso de amparo.</w:t>
      </w:r>
    </w:p>
    <w:p w:rsidR="008B3772" w:rsidRDefault="008B3772" w:rsidP="008B3772">
      <w:pPr>
        <w:pStyle w:val="TextoNormal"/>
      </w:pPr>
    </w:p>
    <w:p w:rsidR="008B3772" w:rsidRDefault="008B3772" w:rsidP="008B3772">
      <w:pPr>
        <w:pStyle w:val="TextoNormal"/>
      </w:pPr>
      <w:r>
        <w:t>Madrid, a veinticinco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29" w:name="AUTO_2007_265"/>
      <w:r>
        <w:lastRenderedPageBreak/>
        <w:t>AUTO 265/2007, de 25 de mayo de 2007</w:t>
      </w:r>
    </w:p>
    <w:bookmarkEnd w:id="129"/>
    <w:p w:rsidR="008B3772" w:rsidRDefault="008B3772" w:rsidP="008B3772">
      <w:pPr>
        <w:pStyle w:val="TtuloResolucin"/>
      </w:pPr>
      <w:r>
        <w:t>Sección Primera</w:t>
      </w:r>
    </w:p>
    <w:p w:rsidR="008B3772" w:rsidRDefault="008B3772" w:rsidP="008B3772">
      <w:pPr>
        <w:pStyle w:val="TtuloResolucin"/>
      </w:pPr>
    </w:p>
    <w:p w:rsidR="008B3772" w:rsidRDefault="008B3772" w:rsidP="008B3772">
      <w:pPr>
        <w:pStyle w:val="SntesisDescriptiva"/>
      </w:pPr>
      <w:r>
        <w:t>ECLI:ES:TC:2007:265A</w:t>
      </w:r>
    </w:p>
    <w:p w:rsidR="008B3772" w:rsidRDefault="008B3772" w:rsidP="008B3772">
      <w:pPr>
        <w:pStyle w:val="SntesisDescriptiva"/>
      </w:pPr>
    </w:p>
    <w:p w:rsidR="008B3772" w:rsidRDefault="008B3772" w:rsidP="008B3772">
      <w:pPr>
        <w:pStyle w:val="SntesisDescriptiva"/>
      </w:pPr>
      <w:r>
        <w:t>Excms. Srs. doña María Emilia Casas Baamonde, don Javier Delgado Barrio y don Manuel Aragón Reyes.</w:t>
      </w:r>
    </w:p>
    <w:p w:rsidR="008B3772" w:rsidRDefault="008B3772" w:rsidP="008B3772">
      <w:pPr>
        <w:pStyle w:val="SntesisDescriptiva"/>
      </w:pPr>
    </w:p>
    <w:p w:rsidR="008B3772" w:rsidRDefault="008B3772" w:rsidP="008B3772">
      <w:pPr>
        <w:pStyle w:val="SntesisDescriptiva"/>
      </w:pPr>
      <w:r>
        <w:t>Desestima el recurso de súplica del recurso de amparo 3850-2005, promovido por Bodegas Méndez, S.L., en contencioso por sanción en materia agraria.</w:t>
      </w:r>
    </w:p>
    <w:p w:rsidR="008B3772" w:rsidRDefault="008B3772" w:rsidP="008B3772">
      <w:pPr>
        <w:pStyle w:val="SntesisDescriptiva"/>
      </w:pPr>
    </w:p>
    <w:p w:rsidR="008B3772" w:rsidRDefault="008B3772" w:rsidP="008B3772">
      <w:pPr>
        <w:pStyle w:val="SntesisAnaltica"/>
      </w:pPr>
      <w:r>
        <w:t>Agotamiento de recursos en la vía judicial: incidente de nulidad de actuaciones, falta. Recurso de súplica contra Autos del Tribunal Constitucional: no procede contra Auto de inadmisión.</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Por escrito presentado en el Registro de este Tribunal el 26 de mayo de 2005, don Luciano Rosch Nadal, Procurador de los Tribunales, actuando en nombre y representación de la entidad Bodegas Méndez, S.L., interpuso recurso de amparo contra la Orden de 10 de septiembre de 1999 del Consejero de Agricultura y Pesca de la Junta de Andalucía por la que se le impuso una sanción; la Orden de 28 de enero de 2000, también del Consejero de Agricultura y Pesca de la Junta de Andalucía, por la que se desestimó el recurso de reposición contra dicha resolución sancionadora; contra la Sentencia de 24 de mayo de 2001 del Juzgado de lo Contencioso-Administrativo núm. 1 de Sevilla recaída en el recurso contencioso-administrativo núm. 148-2000 interpuesto contra las referidas resoluciones y contra la Sentencia de 15 de marzo de 2005 de la Sección Primera de la Sala de lo Contencioso-Administrativo del Tribunal Superior de Justicia de Andalucía desestimatoria del recuso de apelación interpuesto contra aquélla.</w:t>
      </w:r>
    </w:p>
    <w:p w:rsidR="008B3772" w:rsidRDefault="008B3772" w:rsidP="008B3772">
      <w:pPr>
        <w:pStyle w:val="TextoNormal"/>
      </w:pPr>
    </w:p>
    <w:p w:rsidR="008B3772" w:rsidRDefault="008B3772" w:rsidP="008B3772">
      <w:pPr>
        <w:pStyle w:val="TextoNormal"/>
      </w:pPr>
      <w:r w:rsidRPr="008B3772">
        <w:rPr>
          <w:rStyle w:val="NumeroAFNegritaCaracter"/>
        </w:rPr>
        <w:t>2</w:t>
      </w:r>
      <w:r>
        <w:t>. Por providencia de 26 de abril de 2006 se inadmitió el recurso de amparo en virtud de lo dispuesto en el art. 50.1 a) LOTC en relación con el art. 44.1 a) LOTC por considerar que, al sostenerse en la demanda que la Sentencia impugnada, al no haberse a pronunciado sobre las vulneraciones que después se alegaron en el recurso de amparo, incurrió en incongruencia omisiva, para agotar la vía judicial previa debió plantearse el incidente de nulidad de actuaciones previsto en el art. 241 LOPJ, por lo que al no haberse hecho así no se cumplía el requisito procesal del art. 44.1 a) LOTC.</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Por escrito registrado en este Tribunal el 12 de mayo de 2006, el Ministerio Fiscal interpuso recurso de súplica contra la referida providencia. El Fiscal está de acuerdo con esta resolución únicamente en lo relativo a la queja por la que se aduce la vulneración del derecho a la tutela judicial efectiva por no estimar en la instancia la caducidad del expediente administrativo. Discrepa, sin embargo, respecto de las otras alegaciones efectuadas en la </w:t>
      </w:r>
      <w:r>
        <w:lastRenderedPageBreak/>
        <w:t xml:space="preserve">demanda de amparo por las que se aduce la vulneración del principio de legalidad sancionadora y la del principio de presunción de inocencia, respecto de las cuales entiende que no debe aplicarse la causa de inadmisión apreciada. Según el Ministerio Fiscal, el recurrente no alega en su demanda de amparo que no se haya dada respuesta a las quejas relativas a la vulneración del principio de legalidad sancionadora y del principio de presunción de inocencia en la vía judicial previa, añadiendo, además, el Ministerio Fiscal que la vulneración de la presunción de inocencia fue objeto de debate y resolución en ambas instancias y respecto de la pretendida lesión del principio de legalidad sancionadora, aunque la Sentencia de apelación no resolvió expresamente sobre esta pretensión formulada en la instancia (pretensión que el ahora recurrente no estaba obligado a plantear de nuevo en apelación, ya que obtuvo una Sentencia absolutoria y acudió a este recurso como recurrido), sí entró en los términos del debate que se había suscitado en aquella vía. Por último, señala que, en todo caso, cuando el silencio se produce respecto de alegaciones por las que se aduce la vulneración de derechos sustantivos, tal silencio no constituye incongruencia omisiva, sino que, en su caso, determinaría la lesión del derecho fundamental sobre el que no ha recaído pronunciamiento. </w:t>
      </w:r>
    </w:p>
    <w:p w:rsidR="008B3772" w:rsidRDefault="008B3772" w:rsidP="008B3772">
      <w:pPr>
        <w:pStyle w:val="TextoNormal"/>
      </w:pPr>
      <w:r>
        <w:t>En virtud de las consideraciones expuestas el Fiscal solicita que se tenga por interpuesto recurso de súplica contra la providencia más arriba indicada y se estime este recurso.</w:t>
      </w:r>
    </w:p>
    <w:p w:rsidR="008B3772" w:rsidRDefault="008B3772" w:rsidP="008B3772">
      <w:pPr>
        <w:pStyle w:val="TextoNormal"/>
      </w:pPr>
    </w:p>
    <w:p w:rsidR="008B3772" w:rsidRDefault="008B3772" w:rsidP="008B3772">
      <w:pPr>
        <w:pStyle w:val="TextoNormal"/>
      </w:pPr>
      <w:r w:rsidRPr="008B3772">
        <w:rPr>
          <w:rStyle w:val="NumeroAFNegritaCaracter"/>
        </w:rPr>
        <w:t>4</w:t>
      </w:r>
      <w:r>
        <w:t>. Por diligencia de ordenación de la Secretaría de Justicia de la Sala Primera de 25 de mayo de 2006 se dio traslado a la representación procesal de la entidad recurrente en amparo para que, de conformidad con lo previsto en el art. 93.2 LOTC, en el plazo de tres días formulara alegaciones en relación con el recurso de súplica interpuesto por el Ministerio Fiscal.</w:t>
      </w:r>
    </w:p>
    <w:p w:rsidR="008B3772" w:rsidRDefault="008B3772" w:rsidP="008B3772">
      <w:pPr>
        <w:pStyle w:val="TextoNormal"/>
      </w:pPr>
    </w:p>
    <w:p w:rsidR="008B3772" w:rsidRDefault="008B3772" w:rsidP="008B3772">
      <w:pPr>
        <w:pStyle w:val="TextoNormal"/>
      </w:pPr>
      <w:r w:rsidRPr="008B3772">
        <w:rPr>
          <w:rStyle w:val="NumeroAFNegritaCaracter"/>
        </w:rPr>
        <w:t>5</w:t>
      </w:r>
      <w:r>
        <w:t>. Por escrito registrado en este Tribunal el 7 de junio de 2006 la entidad demandante de amparo presentó su escrito de alegaciones, aduciendo que está de acuerdo con el recurso interpuesto por el Ministerio Fiscal al entender que respecto de las quejas por las que se alega la vulneración del principio de presunción de inocencia y la del principio de legalidad en materia sancionadora fueron debatidas en ambas instancias, por lo que en relación con estas lesiones no puede considerarse que se haya producido incongruencia omisiva.</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El recurso de súplica no puede prosperar dado que concurre la causa de inadmisión apreciada en la providencia impugnada. En contra de lo que sostienen el Ministerio Fiscal y la propia recurrente en el trámite de alegaciones concedido en este</w:t>
      </w:r>
    </w:p>
    <w:p w:rsidR="008B3772" w:rsidRDefault="008B3772" w:rsidP="008B3772">
      <w:pPr>
        <w:pStyle w:val="TextoNormal"/>
      </w:pPr>
      <w:r>
        <w:t>recurso de súplica, en la demanda de amparo se alegó que la Sentencia impugnada incurría en incongruencia omisiva al no haber dado respuesta, entre otras cosas, a las quejas relativas a la vulneración del principio de legalidad sancionadora y del de</w:t>
      </w:r>
    </w:p>
    <w:p w:rsidR="008B3772" w:rsidRDefault="008B3772" w:rsidP="008B3772">
      <w:pPr>
        <w:pStyle w:val="TextoNormal"/>
      </w:pPr>
      <w:r>
        <w:t>presunción de inocencia.</w:t>
      </w:r>
    </w:p>
    <w:p w:rsidR="008B3772" w:rsidRDefault="008B3772" w:rsidP="008B3772">
      <w:pPr>
        <w:pStyle w:val="TextoNormal"/>
      </w:pPr>
      <w:r>
        <w:t xml:space="preserve">La recurrente sostuvo, en el primero de los motivos en los que fundamenta el recurso de amparo, que la resolución judicial impugnada vulneraba su derecho a la tutela judicial efectiva por “la irrazonabilidad o error patente del criterio judicial al no estimar la caducidad del expediente administrativo sancionador además de la incongruencia omisiva por falta de pronunciamiento, lesivo del derecho reconocido en el art. 24.1 de la Constitución Española”. Y más adelante expresamente señala que resultaba “patente que la resolución [se refiere a </w:t>
      </w:r>
      <w:r>
        <w:lastRenderedPageBreak/>
        <w:t>la Sentencia impugnada] de hecho carece de toda motivación o razonamiento, no existiendo pronunciamiento alguno, incurriendo en el vicio de incongruencia omisiva, sobre la caducidad del expediente, la legalidad penal y la ausencia de prueba”. (pág. 5 de la demanda de amparo). Todo ello, sin perjuicio, de que, además de este primer motivo del recurso, adujera también la vulneración del derecho a la legalidad sancionadora —motivo segundo— y la falta de prueba de la infracción —tercer motivo—; vulneraciones constitucionales, estas últimas, que imputa directamente a la resolución administrativa e indirectamente a la Sentencia impugnada que, al confirmar la referida resolución, no reparó las lesiones que la demandante de amparo atribuye a la sanción impuesta.</w:t>
      </w:r>
    </w:p>
    <w:p w:rsidR="008B3772" w:rsidRDefault="008B3772" w:rsidP="008B3772">
      <w:pPr>
        <w:pStyle w:val="TextoNormal"/>
      </w:pPr>
      <w:r>
        <w:t>Por ello, para agotar la vía judicial previa a este proceso constitucional, como exige el art 44.1 a) LOTC, y salvaguardar la naturaleza subsidiaria del recurso de amparo, debió plantearse el incidente de nulidad de actuaciones previsto en el art. 241 Ley Orgánica del Poder Judicial, ya que con este incidente se hubiera otorgado al órgano judicial la posibilidad de reparar las infracciones constitucionales en que, según la recurrente, incurre la resolución administrativa sancionadora confirmada por la Sentencia impugnada en amparo, y que ahora, per saltum, se alegan en este recurso (en este sentido ATC 124/2004, de 19 de abril, FJ 2 ).</w:t>
      </w:r>
    </w:p>
    <w:p w:rsidR="008B3772" w:rsidRDefault="008B3772" w:rsidP="008B3772">
      <w:pPr>
        <w:pStyle w:val="TextoNormal"/>
      </w:pPr>
    </w:p>
    <w:p w:rsidR="008B3772" w:rsidRDefault="008B3772" w:rsidP="008B3772">
      <w:pPr>
        <w:pStyle w:val="TextoNormal"/>
      </w:pPr>
      <w:r>
        <w:t>Por lo expuesto, la Sección</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Desestimar el recurso de súplica.</w:t>
      </w:r>
    </w:p>
    <w:p w:rsidR="008B3772" w:rsidRDefault="008B3772" w:rsidP="008B3772">
      <w:pPr>
        <w:pStyle w:val="TextoNormal"/>
      </w:pPr>
    </w:p>
    <w:p w:rsidR="008B3772" w:rsidRDefault="008B3772" w:rsidP="008B3772">
      <w:pPr>
        <w:pStyle w:val="TextoNormal"/>
      </w:pPr>
      <w:r>
        <w:t>Madrid, a veinticinco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30" w:name="AUTO_2007_266"/>
      <w:r>
        <w:lastRenderedPageBreak/>
        <w:t>AUTO 266/2007, de 25 de mayo de 2007</w:t>
      </w:r>
    </w:p>
    <w:bookmarkEnd w:id="130"/>
    <w:p w:rsidR="008B3772" w:rsidRDefault="008B3772" w:rsidP="008B3772">
      <w:pPr>
        <w:pStyle w:val="TtuloResolucin"/>
      </w:pPr>
      <w:r>
        <w:t>Sección Primera</w:t>
      </w:r>
    </w:p>
    <w:p w:rsidR="008B3772" w:rsidRDefault="008B3772" w:rsidP="008B3772">
      <w:pPr>
        <w:pStyle w:val="TtuloResolucin"/>
      </w:pPr>
    </w:p>
    <w:p w:rsidR="008B3772" w:rsidRDefault="008B3772" w:rsidP="008B3772">
      <w:pPr>
        <w:pStyle w:val="SntesisDescriptiva"/>
      </w:pPr>
      <w:r>
        <w:t>ECLI:ES:TC:2007:266A</w:t>
      </w:r>
    </w:p>
    <w:p w:rsidR="008B3772" w:rsidRDefault="008B3772" w:rsidP="008B3772">
      <w:pPr>
        <w:pStyle w:val="SntesisDescriptiva"/>
      </w:pPr>
    </w:p>
    <w:p w:rsidR="008B3772" w:rsidRDefault="008B3772" w:rsidP="008B3772">
      <w:pPr>
        <w:pStyle w:val="SntesisDescriptiva"/>
      </w:pPr>
      <w:r>
        <w:t>Excms. Srs. doña María Emilia Casas Baamonde, don Javier Delgado Barrio y don Manuel Aragón Reyes.</w:t>
      </w:r>
    </w:p>
    <w:p w:rsidR="008B3772" w:rsidRDefault="008B3772" w:rsidP="008B3772">
      <w:pPr>
        <w:pStyle w:val="SntesisDescriptiva"/>
      </w:pPr>
    </w:p>
    <w:p w:rsidR="008B3772" w:rsidRDefault="008B3772" w:rsidP="008B3772">
      <w:pPr>
        <w:pStyle w:val="SntesisDescriptiva"/>
      </w:pPr>
      <w:r>
        <w:t>Inadmite a trámite el recurso de amparo 8799-2005, promovido por don Jesús de la Merced Santán Dumpierrez en causa por delito contra la salud pública.</w:t>
      </w:r>
    </w:p>
    <w:p w:rsidR="008B3772" w:rsidRDefault="008B3772" w:rsidP="008B3772">
      <w:pPr>
        <w:pStyle w:val="SntesisDescriptiva"/>
      </w:pPr>
    </w:p>
    <w:p w:rsidR="008B3772" w:rsidRDefault="008B3772" w:rsidP="008B3772">
      <w:pPr>
        <w:pStyle w:val="SntesisAnaltica"/>
      </w:pPr>
      <w:r>
        <w:t>Delitos contra la salud pública. Derecho a la presunción de inocencia: conexión con el derecho a la tutela judicial efectiva. Derecho a la prueba: derecho a utilizar los medios de prueba pertinentes.</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xml:space="preserve">. La Procuradora de los Tribunales doña Gabriela Demichelis Allocco, que había representado a don Jesús de la Merced Santán Dumpierrez en la vía judicial previa, expresó el deseo de éste último de impugnar en amparo el Auto de la Sala de lo Penal del Tribunal Supremo de 10 de noviembre de 2005, recaído en el recurso de casación 1252-2005 interpuesto contra la Sentencia de la Sección Primera de la Audiencia Provincial de Las Palmas de 28 de enero de 2005, recaída en el rollo de Sala 164-2004 y dimanante del procedimiento abreviado 65-2004 del Juzgado de Instrucción 3 de Puerto del Rosario, mediante escrito registrado en este Tribunal el 2 de diciembre de 2005, interesando que se le nombrara abogado de oficio. </w:t>
      </w:r>
    </w:p>
    <w:p w:rsidR="008B3772" w:rsidRDefault="008B3772" w:rsidP="008B3772">
      <w:pPr>
        <w:pStyle w:val="TextoNormal"/>
      </w:pPr>
      <w:r>
        <w:t>Tras diversas diligencias, entre las que merece la pena recordar la incorporación a estas actuaciones de los testimonios remitidos por el Tribunal Supremo y la Audiencia Provincial de Las Palmas en relación con el recurso de casación 1252-2005 y el rollo de Sala 164-2004, respectivamente, que tuvieron su entrada en este Tribunal los días 24 de febrero y 2 de marzo de 2006, fue designado Letrado de Oficio don Juan Carlos Martín Luis. Mediante nueva diligencia de ordenación de 8 de marzo de 2006 se confirió un plazo de veinte días a la Procuradora para que, bajo la dirección del Letrado designado, se formalizara la demanda de amparo, lo que tuvo lugar el posterior 5 de abril.</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Los hechos de los que trae su causa el presente recurso de amparo son, sucintamente expuestos, los que siguen: </w:t>
      </w:r>
    </w:p>
    <w:p w:rsidR="008B3772" w:rsidRDefault="008B3772" w:rsidP="008B3772">
      <w:pPr>
        <w:pStyle w:val="TextoNormal"/>
      </w:pPr>
      <w:r>
        <w:t xml:space="preserve">a) El proceso penal dimana de las diligencias previas 65-2004, incoadas en virtud del atestado de la Guardia Civil de Gran Tarajal-Las Palmas instruido por el Juzgado de Instrucción núm. 3 de Puerto del Rosario por delito contra la salud pública, resultando competente para su enjuiciamiento la Sección Primera de la Audiencia Provincial de Las Palmas (rollo 164-2004), celebrándose la vista oral el 25 de enero de 2005. En ésta, el Ministerio Fiscal renuncia a la práctica de la prueba testifical del Guardia Civil con TIP M-67823, que </w:t>
      </w:r>
      <w:r>
        <w:lastRenderedPageBreak/>
        <w:t xml:space="preserve">también había sido interesada por la defensa del acusado, renuncia que es aceptada por la Sala dado que se informa que hay imposibilidad de practicar la videoconferencia. Aunque la defensa interesa su práctica, la Sala acuerda que no ha lugar a la misma, ya que la representación procesal del recurrente no la propuso de forma nominal, sino adhiriéndose a la solicitud realizada por el Fiscal, decisión que motivó la propuesta del Letrado de la defensa. </w:t>
      </w:r>
    </w:p>
    <w:p w:rsidR="008B3772" w:rsidRDefault="008B3772" w:rsidP="008B3772">
      <w:pPr>
        <w:pStyle w:val="TextoNormal"/>
      </w:pPr>
      <w:r>
        <w:t xml:space="preserve">La Sentencia de la Sección Primera de la Audiencia Provincial de Las Palmas de 28 de enero de 2005 condena al recurrente como autor responsable de un delito contra la salud pública, relativo a sustancias que causan grave daño a la salud, sin la concurrencia de circunstancias modificativas de la responsabilidad criminal. Se considera acreditado que el 6 de marzo de 2003, hacia las cinco de la mañana, el acusado y ahora recurrente fue detenido por funcionarios de la Guardia Civil cuando, estando con otros dos personas, le vieron arrojar un pequeño bote de plástico que contenía 26 comprimidos de MDMA éxtasis, con una riqueza de 24,4% de anfetamina base, y con un peso total de 6,58 gr., sustancia estupefaciente que destinaba a la venta a terceros lucrándose con ello. </w:t>
      </w:r>
    </w:p>
    <w:p w:rsidR="008B3772" w:rsidRDefault="008B3772" w:rsidP="008B3772">
      <w:pPr>
        <w:pStyle w:val="TextoNormal"/>
      </w:pPr>
      <w:r>
        <w:t xml:space="preserve">La condena se impone contando con el contundente, coherente y ausente de motivos espurios testimonio vertido por uno de los policías intervinientes en la detención del acusado en el que relata como vio al acusado arrojar el pequeño bote de plástico debajo de una camioneta próxima y salir, rodando, cuando estaba tras un vehículo con dos jóvenes a altas horas de la madrugada, en la fiesta del carnaval. También toma en consideración el órgano judicial la propia declaración del acusado, que reconoció que vio al Agente recoger el mentado bote, aunque negara que fuera suyo, y el hecho de que fuera persona conocida por frecuentar los lugares de venta de drogas y carecer de trabajo y de ingresos, pese a reconocer ser consumidor de porros. </w:t>
      </w:r>
    </w:p>
    <w:p w:rsidR="008B3772" w:rsidRDefault="008B3772" w:rsidP="008B3772">
      <w:pPr>
        <w:pStyle w:val="TextoNormal"/>
      </w:pPr>
      <w:r>
        <w:t xml:space="preserve">b) La representación procesal del recurrente interpuso recurso de casación ante la Sala de lo Penal del Tribunal Supremo, que fue turnado bajo el núm. 1252-2005 y evacuado mediante Auto de 10 de noviembre de 2005, que lo inadmite a trámite. </w:t>
      </w:r>
    </w:p>
    <w:p w:rsidR="008B3772" w:rsidRDefault="008B3772" w:rsidP="008B3772">
      <w:pPr>
        <w:pStyle w:val="TextoNormal"/>
      </w:pPr>
      <w:r>
        <w:t>El recurso de casación invocaba la presunta vulneración del derecho a utilizar todos los medios de prueba pertinentes para la defensa, por la indebida denegación de la testifical referida al Guardia Civil, con TIP M-67823, y a la presunción de inocencia, por falta absoluta de prueba de cargo. El Tribunal Supremo inadmite la primera queja, porque (a) la representación procesal del recurrente no consignó las preguntas a formular al testigo; y porque, (b) la intervención de esa persona y la que sí declaró en los hechos acaecidos resultaba idéntica y ya había sido sometido a contradicción el testimonio vertido por este último. La Sala entiende, por otra parte, que la Audiencia Provincial de Las Palmas ha justificado la condena impuesta con base en una prueba de cargo que puede ser considerada suficiente, subrayando la razonabilidad del juicio lógico deductivo realizado por la Sala de instancia.</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la demanda de amparo se sostiene que las resoluciones judiciales impugnadas en amparo han vulnerado los derechos a la tutela judicial efectiva y a utilizar todos los medios de prueba pertinentes para la defensa, de un lado, y a la presunción de inocencia, de otro. </w:t>
      </w:r>
    </w:p>
    <w:p w:rsidR="008B3772" w:rsidRDefault="008B3772" w:rsidP="008B3772">
      <w:pPr>
        <w:pStyle w:val="TextoNormal"/>
      </w:pPr>
      <w:r>
        <w:t xml:space="preserve">a) La lesión apuntada en primer lugar trae causa de que la Audiencia Provincial de Las Palmas impidió la práctica de la prueba testifical referida al Guardia Civil, con TIP M-67823, que había sido previamente declarada pertinente, por razones solamente achacables al Tribunal (no haber sido propuesta por la defensa el testigo de forma nominal y serlo mediante la fórmula de adhesión a la testifical interesada por el Ministerio Fiscal). También incide en esta lesión el Tribunal Supremo, cuando, además de asumir la motivación judicial dada durante el plenario, reprocha a la representación procesal de la defensa que no dejara constancia de las preguntas a realizar al testigo ausente. Tales razonamientos, a juicio del </w:t>
      </w:r>
      <w:r>
        <w:lastRenderedPageBreak/>
        <w:t xml:space="preserve">recurrente en amparo, no contradicen ni desvirtúan la intención declarada de la defensa de valerse de una prueba propuesta en forma y admitida previamente para su práctica. Optando por la adhesión a la prueba propuesta por el Ministerio Fiscal, carece de toda lógica procesal, y lesiona los principios de seguridad jurídica y de sometimiento de los poderes públicos al ordenamiento jurídico, exigir la designación nominal en fase de plenario, invalidando el criterio inicialmente admitido. La imposibilidad técnica de celebrar, en aquél momento, la videoconferencia, debería haber conducido a decretar la suspensión de la vista, hasta que aquélla deficiencia fuera superada. </w:t>
      </w:r>
    </w:p>
    <w:p w:rsidR="008B3772" w:rsidRDefault="008B3772" w:rsidP="008B3772">
      <w:pPr>
        <w:pStyle w:val="TextoNormal"/>
      </w:pPr>
      <w:r>
        <w:t xml:space="preserve">Se afirma en la demanda de amparo que la prueba cuya práctica ha sido denegada por causas solamente imputables al órgano judicial era, además, decisiva en términos de defensa, ya que la misma pretendía contrastar las declaraciones vertidas por los dos testigos directos de los hechos enjuiciados, así como poner de manifiesto las eventuales discrepancias que pudieran producirse entre uno y otro, y que no pueden ser excluidas a priori. La vulneración del derecho fundamental es patente, a juicio del recurrente de amparo, a la vista de la jurisprudencia constitucional en la materia (SSTC 43/2003, de 3 de marzo, FJ 2, y 35/2001, de 12 de febrero, FJ 6). </w:t>
      </w:r>
    </w:p>
    <w:p w:rsidR="008B3772" w:rsidRDefault="008B3772" w:rsidP="008B3772">
      <w:pPr>
        <w:pStyle w:val="TextoNormal"/>
      </w:pPr>
      <w:r>
        <w:t>b) En la demanda de amparo se defiende que la condena impuesta trae causa, fundamentalmente, del testimonio vertido por un funcionario de la Guardia Civil, que no ha sido corroborado por ningún otro elemento probatorio, y de una serie de indicios referidos al acusado (carecer de trabajo conocido, frecuentar lugares de venta de drogas y ser consumidor de porros), lo que lesiona el derecho a la presunción de inocencia. La Sentencia asume algunas inferencias que, por sí solas, no permiten alcanzar tal fallo condenatorio. La primera es entender que lo que el acusado arroja (en el atestado policial se dice que es “algo”) es el bote encontrado por la Guardia Civil. La segunda inferencia es afirmar que dicho bote pertenece, precisamente, al recurrente. La tercera, acaso la más arbitraria, es afirmar que las pastillas intervenidas por la Guardia Civil estaban preordenadas al tráfico, que se anuda a una serie de datos indiciarios, y que no se ve confirmado porque se le ocupara una cantidad significativa de dinero encima. Mostradas las debilidades de dichas inferencias (cfr. STC 300/2005, de 21 de noviembre), debe concluirse en la lesión del derecho fundamental invocado (SSTC 186/2005, de 4 de julio y, sobre la prueba indiciaria, 137/2005, de 23 de mayo).</w:t>
      </w:r>
    </w:p>
    <w:p w:rsidR="008B3772" w:rsidRDefault="008B3772" w:rsidP="008B3772">
      <w:pPr>
        <w:pStyle w:val="TextoNormal"/>
      </w:pPr>
    </w:p>
    <w:p w:rsidR="008B3772" w:rsidRDefault="008B3772" w:rsidP="008B3772">
      <w:pPr>
        <w:pStyle w:val="TextoNormal"/>
      </w:pPr>
      <w:r w:rsidRPr="008B3772">
        <w:rPr>
          <w:rStyle w:val="NumeroAFNegritaCaracter"/>
        </w:rPr>
        <w:t>4</w:t>
      </w:r>
      <w:r>
        <w:t>. Por providencia de 21 de septiembre de 2006, la Sección Primera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 c) LOTC].</w:t>
      </w:r>
    </w:p>
    <w:p w:rsidR="008B3772" w:rsidRDefault="008B3772" w:rsidP="008B3772">
      <w:pPr>
        <w:pStyle w:val="TextoNormal"/>
      </w:pPr>
    </w:p>
    <w:p w:rsidR="008B3772" w:rsidRDefault="008B3772" w:rsidP="008B3772">
      <w:pPr>
        <w:pStyle w:val="TextoNormal"/>
      </w:pPr>
      <w:r w:rsidRPr="008B3772">
        <w:rPr>
          <w:rStyle w:val="NumeroAFNegritaCaracter"/>
        </w:rPr>
        <w:t>5</w:t>
      </w:r>
      <w:r>
        <w:t>. La representación procesal del recurrente evacúa el citado proveido mediante escrito ingresado en este Tribunal el 9 de octubre de 2006, en el que se indica que la demanda de amparo en su día interpuesta cumple con las exigencias previstas en los arts. 33 y 49.1 LOTC.</w:t>
      </w:r>
    </w:p>
    <w:p w:rsidR="008B3772" w:rsidRDefault="008B3772" w:rsidP="008B3772">
      <w:pPr>
        <w:pStyle w:val="TextoNormal"/>
      </w:pPr>
    </w:p>
    <w:p w:rsidR="008B3772" w:rsidRDefault="008B3772" w:rsidP="008B3772">
      <w:pPr>
        <w:pStyle w:val="TextoNormal"/>
      </w:pPr>
      <w:r w:rsidRPr="008B3772">
        <w:rPr>
          <w:rStyle w:val="NumeroAFNegritaCaracter"/>
        </w:rPr>
        <w:t>6</w:t>
      </w:r>
      <w:r>
        <w:t xml:space="preserve">. El Fiscal presenta su escrito de alegaciones dos días más tarde, interesando que se acuerde la inadmisión de la presente demanda, por entender que las quejas en ella contenidas carecen de relevancia constitucional. </w:t>
      </w:r>
    </w:p>
    <w:p w:rsidR="008B3772" w:rsidRDefault="008B3772" w:rsidP="008B3772">
      <w:pPr>
        <w:pStyle w:val="TextoNormal"/>
      </w:pPr>
      <w:r>
        <w:t xml:space="preserve">En relación con el motivo referido a los derechos a la tutela judicial efectiva y a utilizar todos los medios de prueba pertinentes para la defensa, el fiscal recuerda que solamente </w:t>
      </w:r>
      <w:r>
        <w:lastRenderedPageBreak/>
        <w:t xml:space="preserve">podrá prosperar si de la concreta negativa se ha derivado una indefensión real y efectiva para el recurrente (STC 45/2000). En el caso que nos ocupa, estima el Fiscal que la pretendida situación de indefensión sería, en su caso, achacable a la propia representación del recurrente (ATC 262/2004 y STC 190/1997, de 10 de noviembre, FJ 4), ya que, al no incorporar el listado de preguntas que habría realizado al testigo incomparecido, ha evitado que el Tribunal Supremo pudiera valorar la necesidad y la relevancia del testimonio del Guardia Civil, habiendo podido concluir que su falta podría haber originado una indefensión material al recurrente. Aunque es posible considerar que la decisión de la Sala de desestimar exclusivamente la suspensión de la vista oral por razón de que la propuesta de la prueba testifical no se hubiera efectuado de modo nominal constituye un formalismo enervante, lo cierto es que la indiligente actuación de la parte ha impedido que el Tribunal Supremo pudiera pronunciarse sobre la pertinencia de la prueba en su día propuesta. </w:t>
      </w:r>
    </w:p>
    <w:p w:rsidR="008B3772" w:rsidRDefault="008B3772" w:rsidP="008B3772">
      <w:pPr>
        <w:pStyle w:val="TextoNormal"/>
      </w:pPr>
      <w:r>
        <w:t>Por otra parte, el derecho a la presunción de inocencia no se ha visto lesionado en el presente caso, ya que existe prueba de cargo suficiente para desvirtuarla. En efecto, la Audiencia Provincial efectúa una serie de inferencias derivadas de la totalidad de las pruebas practicadas y que se concatenan en un discurso lógico, exteriorizándose los elementos de convicción que emplea el Tribunal para decidir, finalmente, la condena del recurrente.</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recurso de amparo se dirige contra el Auto de la Sala de lo Penal del Tribunal Supremo de 10 de noviembre de 2005, que inadmite el recurso de casación 1252-2005 interpuesto contra la Sentencia de la Sección Primera de la Audiencia Provincial de Las Palmas de 28 de enero de 2005, recaída en el rollo de Sala 164-2004, que condena al recurrente como autor responsable de un delito contra la salud pública, relativo a sustancias que causan grave daño a la salud, sin la concurrencia de circunstancias modificativas de la responsabilidad criminal.</w:t>
      </w:r>
    </w:p>
    <w:p w:rsidR="008B3772" w:rsidRDefault="008B3772" w:rsidP="008B3772">
      <w:pPr>
        <w:pStyle w:val="TextoNormal"/>
      </w:pPr>
      <w:r>
        <w:t>En la demanda de amparo se sostiene que las resoluciones judiciales impugnadas en amparo vulneran sus derechos a la tutela judicial efectiva y a utilizar todos los medios de prueba pertinentes para la defensa (por no haber accedido la Audiencia Provincial de Las Palmas a suspender la vista para que depusiera como testigo un determinado Guardia Civil basando su decisión en que no hubiera sido efectuada la propuesta de dicha prueba nominalmente) y a la presunción de inocencia (por no concurrir prueba suficiente de cargo que justifique el fallo condenatorio alcanzado en la instancia y confirmado en casación).</w:t>
      </w:r>
    </w:p>
    <w:p w:rsidR="008B3772" w:rsidRDefault="008B3772" w:rsidP="008B3772">
      <w:pPr>
        <w:pStyle w:val="TextoNormal"/>
      </w:pPr>
      <w:r>
        <w:t>El Ministerio Fiscal interesa la inadmisión de la presente demanda de amparo, por entender que las quejas en ella contenidas carecen de modo manifiesto de fundamento constitucional.</w:t>
      </w:r>
    </w:p>
    <w:p w:rsidR="008B3772" w:rsidRDefault="008B3772" w:rsidP="008B3772">
      <w:pPr>
        <w:pStyle w:val="TextoNormal"/>
      </w:pPr>
    </w:p>
    <w:p w:rsidR="008B3772" w:rsidRDefault="008B3772" w:rsidP="008B3772">
      <w:pPr>
        <w:pStyle w:val="TextoNormal"/>
      </w:pPr>
      <w:r w:rsidRPr="008B3772">
        <w:rPr>
          <w:rStyle w:val="NumeroAFNegritaCaracter"/>
        </w:rPr>
        <w:t>2</w:t>
      </w:r>
      <w:r>
        <w:t>. Hemos señalado en reiteradas ocasiones que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120/1999, de 28 de junio, FJ 2; 249/2000, de 30 de octubre, FJ 3; 155/2002, de 22 de julio, FJ 7; 209/2002, de 11 de noviembre, FJ 3)” (SSTC 163/2004, de 4 de octubre, FJ 9, y 115/2006, de 24 de abril, FJ 6).</w:t>
      </w:r>
    </w:p>
    <w:p w:rsidR="008B3772" w:rsidRDefault="008B3772" w:rsidP="008B3772">
      <w:pPr>
        <w:pStyle w:val="TextoNormal"/>
      </w:pPr>
      <w:r>
        <w:lastRenderedPageBreak/>
        <w:t>La aplicación de esta doctrina al caso que nos ocupa conduce a la inadmisión del motivo. El recurrente ha sido condenado como autor responsable de un delito contra la salud pública, relativo a sustancias que causan grave daño a la salud, con base al contundente testimonio vertido por el Guardia Civil que observó como el recurrente de amparo tiró algo debajo de una camioneta, que resultó ser un pequeño bote de plástico que contenía 26 comprimidos de MDMA éxtasis, con una riqueza de 24,4% de anfetamina base, con un peso total de 6,58 gr., sustancia estupefaciente que destinaba a la venta a terceros lucrándose con ello. Junto a este elemento probatorio, el órgano judicial también toma en consideración la propia declaración del recurrente, que evidencia la realidad del hallazgo policial, y otras circunstancias personales que refuerzan la hipótesis de su implicación en el delito del que venía siendo acusado (ser persona conocida por frecuentar los lugares de venta de drogas y carecer de trabajo y de ingresos, aunque reconozca ser consumidor de porros). Debemos concluir, como hace el Ministerio Fiscal, que, en el caso de autos, la Audiencia Provincial efectúa una serie de inferencias derivadas de la totalidad de las pruebas practicadas y que se concatenan en un discurso lógico, exteriorizándose los elementos de convicción que emplea el Tribunal para decidir, finalmente, la condena del actor.</w:t>
      </w:r>
    </w:p>
    <w:p w:rsidR="008B3772" w:rsidRDefault="008B3772" w:rsidP="008B3772">
      <w:pPr>
        <w:pStyle w:val="TextoNormal"/>
      </w:pPr>
      <w:r>
        <w:t>Ningún reproche constitucional merece esta argumentación. “Resulta así, a la postre, que lo que suscita la demanda de amparo es una mera discrepancia sobre la valoración de la prueba.  Y en este punto es oportuno recordar, una vez más, que no le corresponde a este Tribunal entrar a valorar las pruebas sustituyendo a los Jueces y Tribunales ordinarios en la función exclusiva que les atribuye el art. 117.1 CE (STC 300/2005, de 21 de noviembre, FJ 3.a, entre otras muchas). Nuestra limitada actuación se circunscribe, en efecto, a comprobar que, como aquí ha ocurrido, ‘haya habido una actividad probatoria de cargo válida y que la resolución judicial no haya sido arbitraria, irracional o absurda’ (STC 96/2000, de 10 de abril, FJ 9)” (STC 26/2006, de 30 de enero, FJ 12).</w:t>
      </w:r>
    </w:p>
    <w:p w:rsidR="008B3772" w:rsidRDefault="008B3772" w:rsidP="008B3772">
      <w:pPr>
        <w:pStyle w:val="TextoNormal"/>
      </w:pPr>
    </w:p>
    <w:p w:rsidR="008B3772" w:rsidRDefault="008B3772" w:rsidP="008B3772">
      <w:pPr>
        <w:pStyle w:val="TextoNormal"/>
      </w:pPr>
      <w:r w:rsidRPr="008B3772">
        <w:rPr>
          <w:rStyle w:val="NumeroAFNegritaCaracter"/>
        </w:rPr>
        <w:t>3</w:t>
      </w:r>
      <w:r>
        <w:t>. Por otra parte, de acuerdo con una consolidada doctrina constitucional, recogida de forma sistematizada, entre otras, en las SSTC 133/2003, de 30 de junio, FJ 3, y 165/2004, de 4 de octubre, FJ 3, entre los rasgos caracterizadores del derecho fundamental a utilizar todos los medios de prueba pertinentes para la defensa y de su protección constitucional son esenciales, en lo que aquí interesa, los siguientes:</w:t>
      </w:r>
    </w:p>
    <w:p w:rsidR="008B3772" w:rsidRDefault="008B3772" w:rsidP="008B3772">
      <w:pPr>
        <w:pStyle w:val="TextoNormal"/>
      </w:pPr>
      <w:r>
        <w:t>“a) Se trata de un derecho fundamental de configuración legal, en la delimitación de cuyo contenido constitucionalmente protegido coadyuva de manera activa el legislador, en particular al establecer las normas reguladoras de cada concreto orden jurisdiccional, a cuyas determinaciones habrá de acomodarse su ejercicio, de tal modo que, para entenderlo lesionado, será preciso que la prueba no admitida o no practicada se haya solicitado en la forma y momento legalmente establecidos, sin que en ningún caso pueda considerarse menoscabado este derecho cuando la inadmisión de una prueba se haya producido debidamente en aplicación de normas legales cuya legitimidad constitucional no pueda ponerse en duda.</w:t>
      </w:r>
    </w:p>
    <w:p w:rsidR="008B3772" w:rsidRDefault="008B3772" w:rsidP="008B3772">
      <w:pPr>
        <w:pStyle w:val="TextoNormal"/>
      </w:pPr>
      <w:r>
        <w:t>b) Este derecho no tiene, en todo caso, carácter absoluto o, expresado en otros términos, no faculta para exigir la admisión de todas las pruebas que puedan proponer las partes en el proceso, sino que atribuye únicamente el derecho a la recepción y práctica de aquellas que sean pertinentes, correspondiendo a los órganos judiciales el examen sobre la legalidad y pertinencia de las pruebas solicitadas, debiendo motivarse razonablemente la denegación de las pruebas propuestas, de modo que puede resultar vulnerado este derecho en caso de denegación o inejecución imputables al órgano judicial, cuando se inadmiten o inejecutan pruebas relevantes para la resolución final del asunto litigioso sin motivación alguna o me</w:t>
      </w:r>
      <w:r>
        <w:lastRenderedPageBreak/>
        <w:t>diante una interpretación de la legalidad manifiestamente arbitraria o irrazonable. Por supuesto, una vez admitidas y practicadas las pruebas declaradas pertinentes, a los órganos judiciales les compete también su valoración conforme a las reglas de la lógica y de la sana crítica, según lo alegado y probado, fallando en consecuencia, sin que este Tribunal pueda entrar a valorar las pruebas, sustituyendo a los Jueces y Tribunales en la función exclusiva que les atribuye el art. 117.1 CE.</w:t>
      </w:r>
    </w:p>
    <w:p w:rsidR="008B3772" w:rsidRDefault="008B3772" w:rsidP="008B3772">
      <w:pPr>
        <w:pStyle w:val="TextoNormal"/>
      </w:pPr>
      <w:r>
        <w:t>c) Es también doctrina reiterada de este Tribunal la de que no toda irregularidad u omisión procesal en materia de prueba (referida a su admisión, a su práctica, a su valoración, etc.)  causa por sí misma indefensión material constitucionalmente relevante. Y es que, en efecto, el dato esencial para que pueda considerarse vulnerado el derecho fundamental analizado consiste en que las irregularidades u omisiones procesales efectivamente verificadas hayan supuesto para el demandante de amparo una efectiva indefensión, toda vez que la garantía constitucional contenida en el art. 24.2 CE únicamente cubre aquellos supuestos en los que la prueba es decisiva en términos de defensa, de tal modo que, de haberse practicado la prueba omitida, o si se hubiese practicado correctamente la admitida, la resolución final del proceso hubiera podido ser distinta y eventualmente favorable a quien denuncia la infracción del derecho fundamental.</w:t>
      </w:r>
    </w:p>
    <w:p w:rsidR="008B3772" w:rsidRDefault="008B3772" w:rsidP="008B3772">
      <w:pPr>
        <w:pStyle w:val="TextoNormal"/>
      </w:pPr>
      <w:r>
        <w:t>En concreto, para que se produzca violación del indicado derecho fundamental, este Tribunal ha exigido reiteradamente que concurran dos circunstancias: por una parte, la denegación o inejecución han de ser imputables al órgano judicial; y, por otra, la prueba denegada o impracticada ha de ser decisiva en términos de defensa, debiendo justificar el recurrente en su demanda la indefensión sufrida.</w:t>
      </w:r>
    </w:p>
    <w:p w:rsidR="008B3772" w:rsidRDefault="008B3772" w:rsidP="008B3772">
      <w:pPr>
        <w:pStyle w:val="TextoNormal"/>
      </w:pPr>
      <w:r>
        <w:t>Esta última exigencia de acreditación de la relevancia de la prueba denegada se proyecta, según nuestra jurisprudencia, también en un doble plano: por un lado, el recurrente ha de demostrar la relación entre los hechos que se quisieron y no se pudieron probar y las pruebas inadmitidas o no practicadas; y, por otro lado, ha de argumentar el modo en que la admisión y la práctica de la prueba objeto de la controversia habrían podido tener una incidencia favorable a la estimación de sus pretensiones; sólo en tal caso -comprobado que el fallo del proceso a quo pudo, tal vez, haber sido otro si la prueba se hubiera practicado-, podrá apreciarse también el menoscabo efectivo del derecho de quien por este motivo solicita el amparo constitucional” (STC 4/2005, de 17 de enero, FJ 3).</w:t>
      </w:r>
    </w:p>
    <w:p w:rsidR="008B3772" w:rsidRDefault="008B3772" w:rsidP="008B3772">
      <w:pPr>
        <w:pStyle w:val="TextoNormal"/>
      </w:pPr>
      <w:r>
        <w:t>En el caso que nos ocupa, había sido considerada pertinente la testifical del Guardia Civil con TIP M-67823, que se intentó realizar a través de una videoconferencia en el plenario. Sin embargo, problemas técnicos impidieron su práctica, por lo que el Ministerio Fiscal renunció a la misma. La representación procesal de la defensa interesó, sin embargo, la suspensión del juicio oral, que fue denegada por la Sala porque la propuesta de prueba en su día realizada por la defensa no fue nominal, sino por adhesión respecto de la realizada por el Fiscal. El Letrado de la defensa optó, en aquél momento, por dejar constancia expresa por la negativa, pero no tuvo la precaución de consignar las preguntas que pensaba formular al testigo incomparecido.  Precisamente por esta razón, el Tribunal Supremo desestima el motivo de casación en el que el recurrente alega la eventual lesión de su derecho a utilizar todos los medios de prueba pertinentes para la defensa, añadiendo que, además, el testimonio que no tuvo lugar tenía, prima facie, contenido incriminatorio sobre una cuestión que ya había accedido al plenario por medio del testimonio de otro Guardia Civil (Auto de 10 de noviembre de 2005).</w:t>
      </w:r>
    </w:p>
    <w:p w:rsidR="008B3772" w:rsidRDefault="008B3772" w:rsidP="008B3772">
      <w:pPr>
        <w:pStyle w:val="TextoNormal"/>
      </w:pPr>
      <w:r>
        <w:t xml:space="preserve">Partiendo de este dato es evidente que el hecho de que la prueba no fuera practicada no se ha debido, exclusivamente, al comportamiento del órgano judicial, exigencia inexcusable para que la queja pudiera prosperar en amparo, sino también a la falta de diligencia mostrada </w:t>
      </w:r>
      <w:r>
        <w:lastRenderedPageBreak/>
        <w:t>por la representación procesal del recurrente. Hemos señalado en muchas ocasiones que “corresponde a las partes intervinientes en el proceso actuar con la debida diligencia, sin que pueda alegar indefensión quien se coloca a sí mismo en tal situación o quien no hubiera quedado indefenso de haber actuado con la diligencia razonablemente exigible (STC 235/1993, de 12 de julio, FJ 2, por todas)” (STC 33/2004, de 8 de marzo, FJ 2 y 79/2006, de 13 de marzo, FJ 2), y esto es precisamente lo que ha ocurrido en el caso que nos ocupa.</w:t>
      </w:r>
    </w:p>
    <w:p w:rsidR="008B3772" w:rsidRDefault="008B3772" w:rsidP="008B3772">
      <w:pPr>
        <w:pStyle w:val="TextoNormal"/>
      </w:pPr>
      <w:r>
        <w:t>A la vista de la argumentación reseñada hasta el momento, debe decretarse la inadmisión de la presente demanda de amparo y el consiguiente archivo de las actuaciones.</w:t>
      </w:r>
    </w:p>
    <w:p w:rsidR="008B3772" w:rsidRDefault="008B3772" w:rsidP="008B3772">
      <w:pPr>
        <w:pStyle w:val="TextoNormal"/>
      </w:pPr>
    </w:p>
    <w:p w:rsidR="008B3772" w:rsidRDefault="008B3772" w:rsidP="008B3772">
      <w:pPr>
        <w:pStyle w:val="TextoNormal"/>
      </w:pPr>
      <w:r>
        <w:t>Por todo lo cual, la Sección</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Inadmitir el presente recurso de amparo.</w:t>
      </w:r>
    </w:p>
    <w:p w:rsidR="008B3772" w:rsidRDefault="008B3772" w:rsidP="008B3772">
      <w:pPr>
        <w:pStyle w:val="TextoNormal"/>
      </w:pPr>
    </w:p>
    <w:p w:rsidR="008B3772" w:rsidRDefault="008B3772" w:rsidP="008B3772">
      <w:pPr>
        <w:pStyle w:val="TextoNormal"/>
      </w:pPr>
      <w:r>
        <w:t>Madrid, a veinticinco de mayo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31" w:name="AUTO_2007_267"/>
      <w:r>
        <w:lastRenderedPageBreak/>
        <w:t>AUTO 267/2007, de 25 de mayo de 2007</w:t>
      </w:r>
    </w:p>
    <w:bookmarkEnd w:id="131"/>
    <w:p w:rsidR="008B3772" w:rsidRDefault="008B3772" w:rsidP="008B3772">
      <w:pPr>
        <w:pStyle w:val="TtuloResolucin"/>
      </w:pPr>
      <w:r>
        <w:t>Sección Segunda</w:t>
      </w:r>
    </w:p>
    <w:p w:rsidR="008B3772" w:rsidRDefault="008B3772" w:rsidP="008B3772">
      <w:pPr>
        <w:pStyle w:val="TtuloResolucin"/>
      </w:pPr>
    </w:p>
    <w:p w:rsidR="008B3772" w:rsidRDefault="008B3772" w:rsidP="008B3772">
      <w:pPr>
        <w:pStyle w:val="SntesisDescriptiva"/>
      </w:pPr>
      <w:r>
        <w:t>ECLI:ES:TC:2007:267A</w:t>
      </w:r>
    </w:p>
    <w:p w:rsidR="008B3772" w:rsidRDefault="008B3772" w:rsidP="008B3772">
      <w:pPr>
        <w:pStyle w:val="SntesisDescriptiva"/>
      </w:pPr>
    </w:p>
    <w:p w:rsidR="008B3772" w:rsidRDefault="008B3772" w:rsidP="008B3772">
      <w:pPr>
        <w:pStyle w:val="SntesisDescriptiva"/>
      </w:pPr>
      <w:r>
        <w:t>Excms. Srs. don Jorge Rodríguez-Zapata Pérez, don Roberto García-Calvo y Montiel y don Pablo Pérez Tremps.</w:t>
      </w:r>
    </w:p>
    <w:p w:rsidR="008B3772" w:rsidRDefault="008B3772" w:rsidP="008B3772">
      <w:pPr>
        <w:pStyle w:val="SntesisDescriptiva"/>
      </w:pPr>
    </w:p>
    <w:p w:rsidR="008B3772" w:rsidRDefault="008B3772" w:rsidP="008B3772">
      <w:pPr>
        <w:pStyle w:val="SntesisDescriptiva"/>
      </w:pPr>
      <w:r>
        <w:t>Acuerda el desistimiento en el recurso de amparo 10322-2006, promovido en causa penal.</w:t>
      </w:r>
    </w:p>
    <w:p w:rsidR="008B3772" w:rsidRDefault="008B3772" w:rsidP="008B3772">
      <w:pPr>
        <w:pStyle w:val="SntesisDescriptiva"/>
      </w:pPr>
    </w:p>
    <w:p w:rsidR="008B3772" w:rsidRDefault="008B3772" w:rsidP="008B3772">
      <w:pPr>
        <w:pStyle w:val="TtuloResolucin"/>
      </w:pPr>
      <w:r>
        <w:t>*Este auto no incorpora doctrina constitucional.</w:t>
      </w:r>
    </w:p>
    <w:p w:rsidR="008B3772" w:rsidRDefault="008B3772">
      <w:pPr>
        <w:spacing w:after="160" w:line="259" w:lineRule="auto"/>
        <w:rPr>
          <w:rFonts w:ascii="Times New Roman" w:eastAsia="Times New Roman" w:hAnsi="Times New Roman" w:cs="Times New Roman"/>
          <w:b/>
          <w:sz w:val="24"/>
          <w:szCs w:val="24"/>
          <w:lang w:eastAsia="es-ES"/>
        </w:rPr>
      </w:pPr>
      <w:r>
        <w:br w:type="page"/>
      </w:r>
    </w:p>
    <w:p w:rsidR="008B3772" w:rsidRDefault="008B3772" w:rsidP="008B3772">
      <w:pPr>
        <w:pStyle w:val="TtuloResolucin"/>
      </w:pPr>
      <w:bookmarkStart w:id="132" w:name="AUTO_2007_268"/>
      <w:r>
        <w:lastRenderedPageBreak/>
        <w:t>AUTO 268/2007, de 4 de junio de 2007</w:t>
      </w:r>
    </w:p>
    <w:bookmarkEnd w:id="132"/>
    <w:p w:rsidR="008B3772" w:rsidRDefault="008B3772" w:rsidP="008B3772">
      <w:pPr>
        <w:pStyle w:val="TtuloResolucin"/>
      </w:pPr>
      <w:r>
        <w:t>Sala Segunda</w:t>
      </w:r>
    </w:p>
    <w:p w:rsidR="008B3772" w:rsidRDefault="008B3772" w:rsidP="008B3772">
      <w:pPr>
        <w:pStyle w:val="TtuloResolucin"/>
      </w:pPr>
    </w:p>
    <w:p w:rsidR="008B3772" w:rsidRDefault="008B3772" w:rsidP="008B3772">
      <w:pPr>
        <w:pStyle w:val="SntesisDescriptiva"/>
      </w:pPr>
      <w:r>
        <w:t>ECLI:ES:TC:2007:268A</w:t>
      </w:r>
    </w:p>
    <w:p w:rsidR="008B3772" w:rsidRDefault="008B3772" w:rsidP="008B3772">
      <w:pPr>
        <w:pStyle w:val="SntesisDescriptiva"/>
      </w:pPr>
    </w:p>
    <w:p w:rsidR="008B3772" w:rsidRDefault="008B3772" w:rsidP="008B3772">
      <w:pPr>
        <w:pStyle w:val="SntesisDescriptiva"/>
      </w:pPr>
      <w:r>
        <w:t>Excms. Srs. don Guillermo Jiménez Sánchez, don Vicente Conde Martín de Hijas, doña Elisa Pérez Vera, don Eugeni Gay Montalvo, don Ramón Rodríguez Arribas y don Pascual Sala Sánchez.</w:t>
      </w:r>
    </w:p>
    <w:p w:rsidR="008B3772" w:rsidRDefault="008B3772" w:rsidP="008B3772">
      <w:pPr>
        <w:pStyle w:val="SntesisDescriptiva"/>
      </w:pPr>
    </w:p>
    <w:p w:rsidR="008B3772" w:rsidRDefault="008B3772" w:rsidP="008B3772">
      <w:pPr>
        <w:pStyle w:val="SntesisDescriptiva"/>
      </w:pPr>
      <w:r>
        <w:t>Deniega la acumulación de tres recursos de amparo al 22-2005, promovidos por don Waheed Koshagi Kelani.</w:t>
      </w:r>
    </w:p>
    <w:p w:rsidR="008B3772" w:rsidRDefault="008B3772" w:rsidP="008B3772">
      <w:pPr>
        <w:pStyle w:val="SntesisDescriptiva"/>
      </w:pPr>
    </w:p>
    <w:p w:rsidR="008B3772" w:rsidRDefault="008B3772" w:rsidP="008B3772">
      <w:pPr>
        <w:pStyle w:val="SntesisAnaltica"/>
      </w:pPr>
      <w:r>
        <w:t>Acumulación de procesos constitucionales: acumulación de recursos de amparo, improcedencia.</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xml:space="preserve">. Mediante escrito registrado en este Tribunal el 3 de enero 2005 don Adolfo Morales Hernández-Sanjuán, Procurador de los Tribunales, interpone recurso de amparo en nombre de don Waheed Koshagi Kelani contra el Auto de 9 de diciembre de 2004, que confirma en súplica el dictado el por la Sección Tercera de la Sala de lo Penal de la Audiencia Nacional el 19 de noviembre de 2004, que decretó la prisión provisional comunicada y sin fianza del recurrente. </w:t>
      </w:r>
    </w:p>
    <w:p w:rsidR="008B3772" w:rsidRDefault="008B3772" w:rsidP="008B3772">
      <w:pPr>
        <w:pStyle w:val="TextoNormal"/>
      </w:pPr>
      <w:r>
        <w:t xml:space="preserve">En la demanda de amparo se denuncia la vulneración del derecho a la libertad (art. 17.1 CE). 2. Mediante escrito registrado en este Tribunal el 3 de enero de 2005 don Adolfo Morales Hernández-Sanjuán, Procurador de los Tribunales, interpone recurso de amparo en nombre de don Ahmad Koshagi Kelani contra el Auto de 9 de diciembre de 2004, que confirma en súplica el dictado el por la Sección Tercera de la Sala de lo Penal de la Audiencia Nacional el 19 de noviembre de 2004, que decretó la prisión provisional comunicada y sin fianza del recurrente. </w:t>
      </w:r>
    </w:p>
    <w:p w:rsidR="008B3772" w:rsidRDefault="008B3772" w:rsidP="008B3772">
      <w:pPr>
        <w:pStyle w:val="TextoNormal"/>
      </w:pPr>
      <w:r>
        <w:t>En la demanda de amparo se invoca como vulnerado el derechos a la libertad (art. 17.1 CE).</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Mediante escrito registrado en este Tribunal el 14 de enero de 2005 don Jaime Pérez de Sevilla y Guitard, Procurador de los Tribunales, interpone recurso de amparo en nombre de don Ghasoub Al-Abrash Ghalyoun, contra el Auto de 9 de diciembre de 2004, que confirma en súplica el dictado por la Sección Tercera de la Sala de lo Penal de la Audiencia Nacional el 19 de noviembre de 2004, que decretó la prisión provisional comunicada y sin fianza del recurrente. </w:t>
      </w:r>
    </w:p>
    <w:p w:rsidR="008B3772" w:rsidRDefault="008B3772" w:rsidP="008B3772">
      <w:pPr>
        <w:pStyle w:val="TextoNormal"/>
      </w:pPr>
      <w:r>
        <w:t>En la demanda de amparo se invocan como vulnerados los derechos a la libertad (art. 17.1 CE) y a la tutela judicial efectiva (art. 24.1 CE).</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3</w:t>
      </w:r>
      <w:r>
        <w:t xml:space="preserve">. Mediante escrito registrado en este Tribunal el 18 de enero de 2005 doña Esther Rodríguez Pérez, Procuradora de los Tribunales, interpone recurso de amparo en nombre de don Taysir Alony Kate, contra el Auto de 9 de diciembre de 2004, que confirma en súplica el dictado el por la Sección Tercera de la Sala de lo Penal de la Audiencia Nacional el 19 de noviembre de 2004, que decretó la prisión provisional comunicada y sin fianza del recurrente. </w:t>
      </w:r>
    </w:p>
    <w:p w:rsidR="008B3772" w:rsidRDefault="008B3772" w:rsidP="008B3772">
      <w:pPr>
        <w:pStyle w:val="TextoNormal"/>
      </w:pPr>
      <w:r>
        <w:t>En la demanda de amparo se invocan como vulnerados los derechos a la libertad (art. 17.1 CE), a la tutela judicial efectiva (art. 24.1 CE) y a la prueba (art. 24.2 CE).</w:t>
      </w:r>
    </w:p>
    <w:p w:rsidR="008B3772" w:rsidRDefault="008B3772" w:rsidP="008B3772">
      <w:pPr>
        <w:pStyle w:val="TextoNormal"/>
      </w:pPr>
    </w:p>
    <w:p w:rsidR="008B3772" w:rsidRDefault="008B3772" w:rsidP="008B3772">
      <w:pPr>
        <w:pStyle w:val="TextoNormal"/>
      </w:pPr>
      <w:r w:rsidRPr="008B3772">
        <w:rPr>
          <w:rStyle w:val="NumeroAFNegritaCaracter"/>
        </w:rPr>
        <w:t>4</w:t>
      </w:r>
      <w:r>
        <w:t>. El día 20 de diciembre de 2005 la Sala Segunda dictó cuatro providencias en las que acuerda admitir a trámite las demandas y conocer de los recursos de amparo núm. 22-2005, 23-2005, 281-2005 y 343-2005.</w:t>
      </w:r>
    </w:p>
    <w:p w:rsidR="008B3772" w:rsidRDefault="008B3772" w:rsidP="008B3772">
      <w:pPr>
        <w:pStyle w:val="TextoNormal"/>
      </w:pPr>
    </w:p>
    <w:p w:rsidR="008B3772" w:rsidRDefault="008B3772" w:rsidP="008B3772">
      <w:pPr>
        <w:pStyle w:val="TextoNormal"/>
      </w:pPr>
      <w:r w:rsidRPr="008B3772">
        <w:rPr>
          <w:rStyle w:val="NumeroAFNegritaCaracter"/>
        </w:rPr>
        <w:t>5</w:t>
      </w:r>
      <w:r>
        <w:t>. Mediante otras cuatro providencias, de fecha 27 de junio de 2006, la Sala Segunda acordó, en cada uno de los procedimientos, conceder a la parte recurrente, al Ministerio Fiscal y a las partes personadas un plazo de diez días, a fin de que, conforme a lo establecido en el art. 83 LOTC, efectuaran alegaciones sobre la acumulación de los recursos de amparo.</w:t>
      </w:r>
    </w:p>
    <w:p w:rsidR="008B3772" w:rsidRDefault="008B3772" w:rsidP="008B3772">
      <w:pPr>
        <w:pStyle w:val="TextoNormal"/>
      </w:pPr>
    </w:p>
    <w:p w:rsidR="008B3772" w:rsidRDefault="008B3772" w:rsidP="008B3772">
      <w:pPr>
        <w:pStyle w:val="TextoNormal"/>
      </w:pPr>
      <w:r w:rsidRPr="008B3772">
        <w:rPr>
          <w:rStyle w:val="NumeroAFNegritaCaracter"/>
        </w:rPr>
        <w:t>6</w:t>
      </w:r>
      <w:r>
        <w:t>. El Procurador de los Tribunales don Manuel García Ortiz de Urbina, en nombre y representación de don Luis José Galán González, evacuó dicho trámite el día 7 de julio de 2006, manifestando que no tenía inconveniente en la tramitación conjunta de todos los recursos.</w:t>
      </w:r>
    </w:p>
    <w:p w:rsidR="008B3772" w:rsidRDefault="008B3772" w:rsidP="008B3772">
      <w:pPr>
        <w:pStyle w:val="TextoNormal"/>
      </w:pPr>
    </w:p>
    <w:p w:rsidR="008B3772" w:rsidRDefault="008B3772" w:rsidP="008B3772">
      <w:pPr>
        <w:pStyle w:val="TextoNormal"/>
      </w:pPr>
      <w:r w:rsidRPr="008B3772">
        <w:rPr>
          <w:rStyle w:val="NumeroAFNegritaCaracter"/>
        </w:rPr>
        <w:t>7</w:t>
      </w:r>
      <w:r>
        <w:t>. Igualmente, doña Almudena Delgado Gordo, en nombre y representación de don Kamal Hadid Chaar, manifestó el día 10 de julio de 2006, en el recurso de amparo 22-2005, que se debía proceder a la tramitación conjunta de todos los recursos, siempre y cuando los interesados no se opusieran. Posteriormente, el 13 de julio de 2006, la representación procesal de don Kamal Hadid Chaar, interesa la acumulación del recurso 281-2005 con el 22-2005, al existir conexidad objetiva entre los mismos y no apreciarse intereses contrapuestos entre los recurrentes, que entienden vulnerados los mismos derechos fundamentales. Y mediante escrito registrado en este Tribunal el día 31 de julio de 2006, manifestó también su conformidad con la acumulación del recurso 343-2005 con el 22-2005.</w:t>
      </w:r>
    </w:p>
    <w:p w:rsidR="008B3772" w:rsidRDefault="008B3772" w:rsidP="008B3772">
      <w:pPr>
        <w:pStyle w:val="TextoNormal"/>
      </w:pPr>
    </w:p>
    <w:p w:rsidR="008B3772" w:rsidRDefault="008B3772" w:rsidP="008B3772">
      <w:pPr>
        <w:pStyle w:val="TextoNormal"/>
      </w:pPr>
      <w:r w:rsidRPr="008B3772">
        <w:rPr>
          <w:rStyle w:val="NumeroAFNegritaCaracter"/>
        </w:rPr>
        <w:t>8</w:t>
      </w:r>
      <w:r>
        <w:t>. El día 13 de julio de 2006 el Ministerio Fiscal interesa en todos los procedimientos la no acumulación de los recursos, por entender que, si bien el primero de los Autos recurridos, al acordar la prisión, contiene una fundamentación idéntica para cada uno de los recurrentes, en los Autos que desestiman el recurso de súplica, de igual fecha en todos los recursos, la motivación es distinta en cada uno de ellos, lo que hace desaconsejable la tramitación conjunta de todos los recursos y necesaria una evaluación individualizada de cada uno de ellos. A lo cual se añade el dato de que, si bien todas las demandas de amparo denuncian la lesión del derecho fundamental a la libertad, no todas han sido redactadas por el mismo Letrado, ni ofrecen la misma argumentación.</w:t>
      </w:r>
    </w:p>
    <w:p w:rsidR="008B3772" w:rsidRDefault="008B3772" w:rsidP="008B3772">
      <w:pPr>
        <w:pStyle w:val="TextoNormal"/>
      </w:pPr>
    </w:p>
    <w:p w:rsidR="008B3772" w:rsidRDefault="008B3772" w:rsidP="008B3772">
      <w:pPr>
        <w:pStyle w:val="TextoNormal"/>
      </w:pPr>
      <w:r w:rsidRPr="008B3772">
        <w:rPr>
          <w:rStyle w:val="NumeroAFNegritaCaracter"/>
        </w:rPr>
        <w:t>9</w:t>
      </w:r>
      <w:r>
        <w:t xml:space="preserve">. Ese mismo día 13 de julio de 2006 la representación procesal de don Taysir Alony Kate, demandante en el recurso 343-2005, evacua el trámite de alegaciones en relación con la acumulación, manifestando —tanto en su propio recurso como en los restantes en que se </w:t>
      </w:r>
      <w:r>
        <w:lastRenderedPageBreak/>
        <w:t>halla personado— que no ve inconveniente en la misma, siempre que ello no produzca dilaciones en la tramitación del recurso.</w:t>
      </w:r>
    </w:p>
    <w:p w:rsidR="008B3772" w:rsidRDefault="008B3772" w:rsidP="008B3772">
      <w:pPr>
        <w:pStyle w:val="TextoNormal"/>
      </w:pPr>
    </w:p>
    <w:p w:rsidR="008B3772" w:rsidRDefault="008B3772" w:rsidP="008B3772">
      <w:pPr>
        <w:pStyle w:val="TextoNormal"/>
      </w:pPr>
      <w:r w:rsidRPr="008B3772">
        <w:rPr>
          <w:rStyle w:val="NumeroAFNegritaCaracter"/>
        </w:rPr>
        <w:t>10</w:t>
      </w:r>
      <w:r>
        <w:t>. El día 14 de julio de 2006 la representación procesal de don Waheed Koshagi Kelani, demandante en el recurso 22-2005, interesa la acumulación de su recurso con todos los otros, por entender que tienen objetos conexos y está justificada la unidad de tramitación y decisión.</w:t>
      </w:r>
    </w:p>
    <w:p w:rsidR="008B3772" w:rsidRDefault="008B3772" w:rsidP="008B3772">
      <w:pPr>
        <w:pStyle w:val="TextoNormal"/>
      </w:pPr>
    </w:p>
    <w:p w:rsidR="008B3772" w:rsidRDefault="008B3772" w:rsidP="008B3772">
      <w:pPr>
        <w:pStyle w:val="TextoNormal"/>
      </w:pPr>
      <w:r w:rsidRPr="008B3772">
        <w:rPr>
          <w:rStyle w:val="NumeroAFNegritaCaracter"/>
        </w:rPr>
        <w:t>11</w:t>
      </w:r>
      <w:r>
        <w:t>. Ese mismo día tanto la representación procesal de don Ahmad Koshagi Kelani, recurrente en el asunto 23-2005 y como la de don Ghasoub Al Abrash Ghalyoun, demandante en el recurso 281-2005, interesan la acumulación de sus respectivos recursos con el 22-2005, por tratarse de procedimientos conexos y considerar procedente la unidad de tramitación y decisión de los mismos. Igualmente, mediante otro escrito de esa misma fecha, don Ghasoub Al Abrash Ghalyoun interesa la acumulación del recurso 343-2005 con el 22-2005.</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El art. 83 LOTC faculta a este Tribunal, en cualquier momento de la tramitación procesal, a instancia de parte o de oficio, y previa audiencia de los comparecidos en el proceso constitucional, a disponer la acumulación de aquellos procesos con</w:t>
      </w:r>
    </w:p>
    <w:p w:rsidR="008B3772" w:rsidRDefault="008B3772" w:rsidP="008B3772">
      <w:pPr>
        <w:pStyle w:val="TextoNormal"/>
      </w:pPr>
      <w:r>
        <w:t>objetos conexos que justifiquen la unidad de tramitación y decisión.</w:t>
      </w:r>
    </w:p>
    <w:p w:rsidR="008B3772" w:rsidRDefault="008B3772" w:rsidP="008B3772">
      <w:pPr>
        <w:pStyle w:val="TextoNormal"/>
      </w:pPr>
      <w:r>
        <w:t>En el presente incidente, aunque los objetos de los cuatro procesos que lo integran son parcialmente coincidentes, puesto que la primera de las resoluciones impugnadas en todos ellos es la misma y contiene una fundamentación idéntica de la decisión de decretar la prisión provisional comunicada y sin fianza para todos los recurrentes, y en todas las demandas se denuncia la vulneración del derecho a la libertad (art. 17.1 CE), la acumulación no se estima pertinente, por varias razones.</w:t>
      </w:r>
    </w:p>
    <w:p w:rsidR="008B3772" w:rsidRDefault="008B3772" w:rsidP="008B3772">
      <w:pPr>
        <w:pStyle w:val="TextoNormal"/>
      </w:pPr>
      <w:r>
        <w:t>En primer lugar, como pone de relieve el Ministerio Fiscal, porque las resoluciones que ponen fin al proceso y contra las que se impetra directamente el amparo son cuatro Autos diferentes, aunque de la misma fecha, y cuya motivación no es idéntica, lo que impone el análisis individualizado de cada una de esas resoluciones. Especialmente si se tiene en cuenta que una medida cautelar como la prisión provisional requiere para su adopción la consideración por los órganos judiciales de circunstancias personales, elementos subjetivos y circunstancias del caso concreto (por todas, SSTC 128/1995, de 26 de julio, FJ 4; 47/2000, de 17 de febrero, FJ 3; 35/2007, de 12 de febrero, FJ 2), por lo que nuestro control de las decisiones judiciales en esta materia ha de atender a la consideración o no de tales circunstancias en cada caso concreto.</w:t>
      </w:r>
    </w:p>
    <w:p w:rsidR="008B3772" w:rsidRDefault="008B3772" w:rsidP="008B3772">
      <w:pPr>
        <w:pStyle w:val="TextoNormal"/>
      </w:pPr>
      <w:r>
        <w:t>Por otra parte, como también pone de relieve el Ministerio Fiscal, aunque todas las demandas contienen como queja fundamental, la vulneración del derecho a la libertad (art. 17.1 CE), al no haber sido redactadas todas por el mismo Letrado su argumentación no es idéntica, denunciándose además en algunas de ellas otras vulneraciones de derechos fundamentales.</w:t>
      </w:r>
    </w:p>
    <w:p w:rsidR="008B3772" w:rsidRDefault="008B3772" w:rsidP="008B3772">
      <w:pPr>
        <w:pStyle w:val="TextoNormal"/>
      </w:pPr>
      <w:r>
        <w:t>Procede, pues, atender la indicación del Ministerio Fiscal y denegar la acumulación planteada.</w:t>
      </w:r>
    </w:p>
    <w:p w:rsidR="008B3772" w:rsidRDefault="008B3772" w:rsidP="008B3772">
      <w:pPr>
        <w:pStyle w:val="TextoNormal"/>
      </w:pPr>
    </w:p>
    <w:p w:rsidR="008B3772" w:rsidRDefault="008B3772" w:rsidP="008B3772">
      <w:pPr>
        <w:pStyle w:val="TextoNormal"/>
      </w:pPr>
      <w:r>
        <w:t>Por lo expuesto, la Sala</w:t>
      </w:r>
    </w:p>
    <w:p w:rsidR="008B3772" w:rsidRDefault="008B3772" w:rsidP="008B3772">
      <w:pPr>
        <w:pStyle w:val="TextoNormal"/>
      </w:pPr>
    </w:p>
    <w:p w:rsidR="008B3772" w:rsidRDefault="008B3772" w:rsidP="008B3772">
      <w:pPr>
        <w:pStyle w:val="TextoNormalCentrado"/>
      </w:pPr>
      <w:r>
        <w:lastRenderedPageBreak/>
        <w:t>ACUERDA</w:t>
      </w:r>
    </w:p>
    <w:p w:rsidR="008B3772" w:rsidRDefault="008B3772" w:rsidP="008B3772">
      <w:pPr>
        <w:pStyle w:val="TextoNormalCentrado"/>
      </w:pPr>
    </w:p>
    <w:p w:rsidR="008B3772" w:rsidRDefault="008B3772" w:rsidP="008B3772">
      <w:pPr>
        <w:pStyle w:val="TextoNormal"/>
      </w:pPr>
      <w:r>
        <w:t>Denegar la acumulación de los recursos de amparo núms. 22-2005, 23-2005, 281-2005 y 343-2005.</w:t>
      </w:r>
    </w:p>
    <w:p w:rsidR="008B3772" w:rsidRDefault="008B3772" w:rsidP="008B3772">
      <w:pPr>
        <w:pStyle w:val="TextoNormal"/>
      </w:pPr>
    </w:p>
    <w:p w:rsidR="008B3772" w:rsidRDefault="008B3772" w:rsidP="008B3772">
      <w:pPr>
        <w:pStyle w:val="TextoNormal"/>
      </w:pPr>
      <w:r>
        <w:t>Madrid, a cuatro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33" w:name="AUTO_2007_269"/>
      <w:r>
        <w:lastRenderedPageBreak/>
        <w:t>AUTO 269/2007, de 4 de junio de 2007</w:t>
      </w:r>
    </w:p>
    <w:bookmarkEnd w:id="133"/>
    <w:p w:rsidR="008B3772" w:rsidRDefault="008B3772" w:rsidP="008B3772">
      <w:pPr>
        <w:pStyle w:val="TtuloResolucin"/>
      </w:pPr>
      <w:r>
        <w:t>Sección Tercera</w:t>
      </w:r>
    </w:p>
    <w:p w:rsidR="008B3772" w:rsidRDefault="008B3772" w:rsidP="008B3772">
      <w:pPr>
        <w:pStyle w:val="TtuloResolucin"/>
      </w:pPr>
    </w:p>
    <w:p w:rsidR="008B3772" w:rsidRDefault="008B3772" w:rsidP="008B3772">
      <w:pPr>
        <w:pStyle w:val="SntesisDescriptiva"/>
      </w:pPr>
      <w:r>
        <w:t>ECLI:ES:TC:2007:269A</w:t>
      </w:r>
    </w:p>
    <w:p w:rsidR="008B3772" w:rsidRDefault="008B3772" w:rsidP="008B3772">
      <w:pPr>
        <w:pStyle w:val="SntesisDescriptiva"/>
      </w:pPr>
    </w:p>
    <w:p w:rsidR="008B3772" w:rsidRDefault="008B3772" w:rsidP="008B3772">
      <w:pPr>
        <w:pStyle w:val="SntesisDescriptiva"/>
      </w:pPr>
      <w:r>
        <w:t>Excms. Srs. don Guillermo Jiménez Sánchez, don Eugeni Gay Montalvo y don Pascual Sala Sánchez.</w:t>
      </w:r>
    </w:p>
    <w:p w:rsidR="008B3772" w:rsidRDefault="008B3772" w:rsidP="008B3772">
      <w:pPr>
        <w:pStyle w:val="SntesisDescriptiva"/>
      </w:pPr>
    </w:p>
    <w:p w:rsidR="008B3772" w:rsidRDefault="008B3772" w:rsidP="008B3772">
      <w:pPr>
        <w:pStyle w:val="SntesisDescriptiva"/>
      </w:pPr>
      <w:r>
        <w:t>Inadmite a trámite el recurso de amparo 665-2005, promovido por J.C. Decaux España, S.A., en contencioso sobre concesión administrativa para explotación publicitaria.</w:t>
      </w:r>
    </w:p>
    <w:p w:rsidR="008B3772" w:rsidRDefault="008B3772" w:rsidP="008B3772">
      <w:pPr>
        <w:pStyle w:val="SntesisDescriptiva"/>
      </w:pPr>
    </w:p>
    <w:p w:rsidR="008B3772" w:rsidRDefault="008B3772" w:rsidP="008B3772">
      <w:pPr>
        <w:pStyle w:val="SntesisAnaltica"/>
      </w:pPr>
      <w:r>
        <w:t>Derecho a la prueba: exigencia de solicitud explícita; valoración de la prueba. Derecho a la tutela judicial sin indefensión: derecho a utilizar los medios de prueba pertinentes.</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este Tribunal el 1 de febrero de 2005 la Procuradora de los Tribunales doña Itziar de la Peña Argacha, en nombre y representación de la mercantil J. C. Decaux España, S.L., interpuso recurso de amparo contra las resoluciones judiciales citadas en el encabezamiento.</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Los hechos de los que trae causa la demanda de amparo son, resumidamente, los siguientes: </w:t>
      </w:r>
    </w:p>
    <w:p w:rsidR="008B3772" w:rsidRDefault="008B3772" w:rsidP="008B3772">
      <w:pPr>
        <w:pStyle w:val="TextoNormal"/>
      </w:pPr>
      <w:r>
        <w:t xml:space="preserve">a) Dauphin Publicidad Exterior, S.A., impugnó ante la Sala de lo Contencioso-Administrativo del Tribunal Superior de Justicia de Cantabria el acuerdo del Ayuntamiento-Pleno de Santander, de 29 de noviembre de 1999, por el que se adjudicó a Avenir España, S.A., (hoy, J. C. Decaux, S.L.) el contrato de concesión administrativa para la explotación publicitaria mediante carteles de gran formato instalados en suelo de titularidad municipal. </w:t>
      </w:r>
    </w:p>
    <w:p w:rsidR="008B3772" w:rsidRDefault="008B3772" w:rsidP="008B3772">
      <w:pPr>
        <w:pStyle w:val="TextoNormal"/>
      </w:pPr>
      <w:r>
        <w:t xml:space="preserve">b) Con fecha 21 de junio de 2001 la Sala de lo de lo Contencioso-Administrativo del Tribunal Superior de Justicia de Cantabria dictó Sentencia por la que, luego de corregir la puntuación otorgada por el Servicio Municipal de Vialidad a las empresas concursantes en función del criterio de adjudicación relativo a la experiencia en contratos similares que contemplaba el pliego de cláusulas administrativas, y que fue luego asumido íntegramente por la resolución recurrida, acuerda estimar parcialmente el recurso interpuesto y, en consecuencia, dejar sin efecto el acto de adjudicación, ordenando que el contrato sea adjudicado a la empresa entonces recurrente, por haber acreditado una oferta más beneficiosa para el interés publico municipal. </w:t>
      </w:r>
    </w:p>
    <w:p w:rsidR="008B3772" w:rsidRDefault="008B3772" w:rsidP="008B3772">
      <w:pPr>
        <w:pStyle w:val="TextoNormal"/>
      </w:pPr>
      <w:r>
        <w:t xml:space="preserve">c) Contra esta Sentencia la mercantil hoy demandante de amparo interpuso recurso de casación ante el Tribunal Supremo, denunciando, entre otros motivos de oposición, que la corrección por la Sala de la valoración que figuraba en el informe del Servicio de Vialidad unido al expediente sólo podía ser combatida con otro dictamen técnico, por lo que, a falta de éste, la Sala no podía, como sin embargo hizo, corregir aquella valoración so pena de vulnerar el derecho de defensa garantizado constitucionalmente. </w:t>
      </w:r>
    </w:p>
    <w:p w:rsidR="008B3772" w:rsidRDefault="008B3772" w:rsidP="008B3772">
      <w:pPr>
        <w:pStyle w:val="TextoNormal"/>
      </w:pPr>
      <w:r>
        <w:lastRenderedPageBreak/>
        <w:t>d) Por Sentencia de 9 de diciembre de 2004 la Sala de lo Contencioso-Administrativo del Tribunal Supremo acordó desestimar el citado recurso de casación, confirmando la resolución judicial recurrida por considerar, en síntesis, que la nueva y divergente puntuación que otorgó la Sala del Tribunal Superior de Justicia de Cantabria a cada una de las empresas concursantes en función de los antecedentes respectivamente demostrados en la prestación de servicios similares a otros Municipios es “una cuestión absolutamente objetiva”, que no exige “la intervención de un dictamen técnico-científico” y que, en suma, ha sido correctamente resuelta por el Tribunal de instancia.</w:t>
      </w:r>
    </w:p>
    <w:p w:rsidR="008B3772" w:rsidRDefault="008B3772" w:rsidP="008B3772">
      <w:pPr>
        <w:pStyle w:val="TextoNormal"/>
      </w:pPr>
    </w:p>
    <w:p w:rsidR="008B3772" w:rsidRDefault="008B3772" w:rsidP="008B3772">
      <w:pPr>
        <w:pStyle w:val="TextoNormal"/>
      </w:pPr>
      <w:r w:rsidRPr="008B3772">
        <w:rPr>
          <w:rStyle w:val="NumeroAFNegritaCaracter"/>
        </w:rPr>
        <w:t>3</w:t>
      </w:r>
      <w:r>
        <w:t>. En la demanda de amparo, la entidad mercantil recurrente denuncia, al igual que ya hiciera antes en la vía jurisdiccional ordinaria, que en el proceso judicial no se practicó ninguna prueba pericial capaz de desvirtuar la puntuación expresada por el Servicio de Vialidad en relación con el criterio de valoración relativo a la “experiencia” de las empresas licitadoras, por lo que considera que la rectificación por el órgano judicial de aquella puntuación sin contar con el imprescindible informe técnico que la avale ha lesionado su derecho fundamental a la tutela judicial efectiva (art. 24.1 CE). En particular argumenta que, para que dicha corrección fuera técnicamente posible, el órgano judicial de instancia debió acordar de oficio la práctica de la oportuna prueba pericial, como diligencia para mejor proveer. Al no hacerlo así, y sustituir el órgano judicial la valoración administrativa expresada en el citado informe técnico municipal por su propio y particular criterio, la entidad recurrente considera que se ha vulnerado su derecho a utilizar los medios de prueba pertinentes para la defensa del art. 24.2 CE, toda vez que la práctica de esa prueba pericial era decisiva en términos de defensa y su falta es imputable única y exclusivamente al propio órgano judicial, que nada acordó al respecto. Añade, además, que la valoración con arreglo al criterio de adjudicación considerado no es, frente a lo que se señala en las Sentencias recurridas, una simple cuestión objetiva y, por tanto, directamente accesible al criterio judicial, sino una cuestión eminentemente técnica y, por lo mismo, sólo discernible a la vista del correspondiente dictamen técnico-científico, que no consta sin embargo. Mediante otrosí la recurrente solicitó, al amparo de lo dispuesto en el art. 56.1 LOTC, la suspensión de las Sentencias recurridas.</w:t>
      </w:r>
    </w:p>
    <w:p w:rsidR="008B3772" w:rsidRDefault="008B3772" w:rsidP="008B3772">
      <w:pPr>
        <w:pStyle w:val="TextoNormal"/>
      </w:pPr>
    </w:p>
    <w:p w:rsidR="008B3772" w:rsidRDefault="008B3772" w:rsidP="008B3772">
      <w:pPr>
        <w:pStyle w:val="TextoNormal"/>
      </w:pPr>
      <w:r w:rsidRPr="008B3772">
        <w:rPr>
          <w:rStyle w:val="NumeroAFNegritaCaracter"/>
        </w:rPr>
        <w:t>4</w:t>
      </w:r>
      <w:r>
        <w:t>. En escrito de fecha 10 de enero de 2006, registrado en este Tribunal el siguiente día 11, la entidad recurrente insistió en su petición de suspensión, subrayando el hecho de que el Ayuntamiento de Santander, con fecha 5 de diciembre de 2005, hubiera adoptado ya los acuerdos necesarios a fin de dar completo cumplimiento a la Sentencia dictada por la Sala de lo Contencioso-Administrativo del Tribunal Superior de Justicia de Cantabria.</w:t>
      </w:r>
    </w:p>
    <w:p w:rsidR="008B3772" w:rsidRDefault="008B3772" w:rsidP="008B3772">
      <w:pPr>
        <w:pStyle w:val="TextoNormal"/>
      </w:pPr>
    </w:p>
    <w:p w:rsidR="008B3772" w:rsidRDefault="008B3772" w:rsidP="008B3772">
      <w:pPr>
        <w:pStyle w:val="TextoNormal"/>
      </w:pPr>
      <w:r w:rsidRPr="008B3772">
        <w:rPr>
          <w:rStyle w:val="NumeroAFNegritaCaracter"/>
        </w:rPr>
        <w:t>5</w:t>
      </w:r>
      <w:r>
        <w:t>. Por providencia de 22 de febrero de 2007 la Sección Tercera de este Tribunal, de conformidad con el art. 50.3 LOTC, acordó conceder a la demandante de amparo y al Ministerio Fiscal plazo común de diez días para formular las alegaciones que estimasen pertinentes en relación con lo dispuesto en el art. 50.1 LOTC.</w:t>
      </w:r>
    </w:p>
    <w:p w:rsidR="008B3772" w:rsidRDefault="008B3772" w:rsidP="008B3772">
      <w:pPr>
        <w:pStyle w:val="TextoNormal"/>
      </w:pPr>
    </w:p>
    <w:p w:rsidR="008B3772" w:rsidRDefault="008B3772" w:rsidP="008B3772">
      <w:pPr>
        <w:pStyle w:val="TextoNormal"/>
      </w:pPr>
      <w:r w:rsidRPr="008B3772">
        <w:rPr>
          <w:rStyle w:val="NumeroAFNegritaCaracter"/>
        </w:rPr>
        <w:t>6</w:t>
      </w:r>
      <w:r>
        <w:t xml:space="preserve">. La entidad mercantil recurrente, mediante escrito registrado en este Tribunal el 13 de marzo de 2007, presentó sus alegaciones, reiterando en esencia las ya argumentadas en su recurso de amparo, que solicita sea admitido a trámite. Asimismo, por las razones también entonces argumentadas y ampliadas luego en su posterior escrito de 10 de enero de 2006, al </w:t>
      </w:r>
      <w:r>
        <w:lastRenderedPageBreak/>
        <w:t>que ahora de modo principal se remite, la demandante de amparo solicita la suspensión cautelar de las Sentencias recurridas.</w:t>
      </w:r>
    </w:p>
    <w:p w:rsidR="008B3772" w:rsidRDefault="008B3772" w:rsidP="008B3772">
      <w:pPr>
        <w:pStyle w:val="TextoNormal"/>
      </w:pPr>
    </w:p>
    <w:p w:rsidR="008B3772" w:rsidRDefault="008B3772" w:rsidP="008B3772">
      <w:pPr>
        <w:pStyle w:val="TextoNormal"/>
      </w:pPr>
      <w:r w:rsidRPr="008B3772">
        <w:rPr>
          <w:rStyle w:val="NumeroAFNegritaCaracter"/>
        </w:rPr>
        <w:t>7</w:t>
      </w:r>
      <w:r>
        <w:t>. El 15 de marzo de 2007 el Ministerio Fiscal presentó sus alegaciones, interesando la inadmisión del recurso. En su escrito, el Fiscal, que comienza por notar la confusa redacción de la demanda, niega que las Sentencias recurridas hayan lesionado el derecho a utilizar los medios pertinentes para la defensa (art. 24.2 CE) y el derecho a la tutela judicial efectiva sin indefensión (art. 24.1 CE). En el primer caso porque, además, de que la recurrente no solicitó oportunamente la prueba pericial cuya omisión ahora denuncia (lo que, añade el Fiscal, es ya, conforme a la doctrina constitucional que cita, motivo suficiente para declarar la inexistencia de la pretendida vulneración del derecho a la prueba), la decisión judicial de considerar que la solución a la cuestión controvertida en el pleito no precisaba de ningún dictamen técnico-científico es también una decisión plenamente justificada. Y en el caso de la pretendida vulneración del art. 24.1 CE porque, frente a lo argumentado por la recurrente, la nueva valoración otorgada por la Sala de instancia, y luego confirmada por el Tribunal Supremo, está debidamente motivada, sin que quepa apreciar ninguna irracionalidad, arbitrariedad o error patente en el razonamiento judicial, y sí solo, en cambio, una legítima discrepancia.</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Conforme acabamos de recordar en los antecedentes de esta resolución, la entidad mercantil recurrente en amparo denuncia la lesión del derecho a la tutela judicial efectiva sin indefensión (art. 24.1 CE) y del derecho a utilizar los medios pertinentes para la defensa (art. 24.2 CE), fundada en el hecho, no subsanado por el Tribunal Supremo, de que la Sala de lo Contencioso-Administrativo del Tribunal Superior de Justicia de Cantabria decidiera corregir, sin recurrir al auxilio pericial, la puntuación que figuraba en el correspondiente informe técnico unido al expediente de contratación controvertido en el proceso judicial.</w:t>
      </w:r>
    </w:p>
    <w:p w:rsidR="008B3772" w:rsidRDefault="008B3772" w:rsidP="008B3772">
      <w:pPr>
        <w:pStyle w:val="TextoNormal"/>
      </w:pPr>
      <w:r>
        <w:t>El Ministerio Fiscal, por su parte, interesa la inamdisión a trámite de la demanda de amparo por considerar manifiestamente infundadas las lesiones constitucionales que se denuncian. En particular, rechaza que las Sentencias recurridas vulneren el derecho a la prueba (art. 24.2), [toda vez que la recurrente nunca solicitó la prueba pericial que ahora echa en falta], y, (desde la perspectiva del art. 24.1 CE), que la decisión de los órganos judiciales descanse en una motivación arbitraria, irrazonable o incursa en error patente.</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La supuesta lesión constitucional del derecho a utilizar los medios pertinentes para la defensa que la entidad recurrente denuncia de modo principal carece manifiestamente del imprescindible contenido constitucional que justifique una decisión de fondo [50.1 c) LOTC]. Pues, en el presente asunto, no es realmente que el órgano judicial denegara la práctica de una prueba decisiva en términos de defensa que la demandante de amparo hubiera solicitado en tiempo y forma, sino simplemente, en su lugar, que no se ha ordenado, como diligencia para mejor proveer, la práctica de la prueba pericial que la recurrente afirma, según su particular criterio, era imprescindible para poder corregir, como así hizo el Tribunal Superior de Justicia, primero, y confirmó luego el Tribunal Supremo, la valoración del informe emitido por el Servicio de Vialidad en el expediente de contratación. De modo que la tacha que se denuncia por este motivo no cumple con el requisito, muchas veces subrayado por este Tribunal, que exige que “la prueba se haya solicitado en el tiempo y la </w:t>
      </w:r>
      <w:r>
        <w:lastRenderedPageBreak/>
        <w:t>forma legalmente establecidos” (por todas, STC 359/2006, de 28 de diciembre, FJ 2). En consecuencia, como señala el Ministerio Fiscal, al no haber solicitado la mercantil recurrente la práctica de la oportuna prueba pericial, no se advierte tampoco en qué forma la ausencia de esa actividad probatoria ha podido vulnerar su derecho fundamental a utilizar los medios pertinentes para la defensa (art. 24.2 CE).</w:t>
      </w:r>
    </w:p>
    <w:p w:rsidR="008B3772" w:rsidRDefault="008B3772" w:rsidP="008B3772">
      <w:pPr>
        <w:pStyle w:val="TextoNormal"/>
      </w:pPr>
      <w:r>
        <w:t>Cuestión distinta, también significada, aunque más tibiamente, en la demanda de amparo, es si el órgano judicial, al corregir la valoración expresada en el citado informe técnico, vulneró o no el derecho de la mercantil recurrente a la tutela judicial efectiva del art. 24.1 CE. Este reproche carece, sin embargo, como el anterior, del imprescindible contenido constitucional [art. 50.1 c) LOTC]. En forma manifiesta también ahora, porque el hecho de que la Sala de lo Contencioso-Administrativo del Tribunal Superior de Justicia de Cantabria decidiera corregir, a la vista de los datos del expediente administrativo, la indicada valoración municipal no es prueba de la arbitrariedad o manifiesta irrazonabilidad que la mercantil recurrente le reprocha, y si sólo, en cambio, testimonio de su discrepancia con lo decidido en la vía judicial ordinaria y, de modo particular, con la declaración de los órganos judiciales que afirma el carácter objetivo y, por tanto, fácilmente fiscalizable en sede judicial, sin necesidad de recurrir al auxilio pericial, de la valoración del criterio de adjudicación relativo a los “antecedentes de la empresa en la adjudicación de contratos similares…” que contemplaba el Pliego de condiciones del contrato. Una discrepancia, como también señala el Ministerio Fiscal, sin duda legítima, pero incapaz por sí sola de forzar ahora un nuevo enjuiciamiento de lo resuelto definitivamente entonces. Pues, como siempre se ha cuidado de advertir este Tribunal, el recurso de amparo no es cauce idóneo para dirimir cuestiones acerca de la valoración de la prueba o sobre la interpretación y aplicación de la legalidad ordinaria, que es competencia exclusiva de los órganos judiciales conforme al art. 117.3 de la CE, salvo que resultara acreditado, lo que como antes se ha advertido no es el caso, que la misma fuera manifiestamente irrazonable, errónea o arbitraria.</w:t>
      </w:r>
    </w:p>
    <w:p w:rsidR="008B3772" w:rsidRDefault="008B3772" w:rsidP="008B3772">
      <w:pPr>
        <w:pStyle w:val="TextoNormal"/>
      </w:pPr>
    </w:p>
    <w:p w:rsidR="008B3772" w:rsidRDefault="008B3772" w:rsidP="008B3772">
      <w:pPr>
        <w:pStyle w:val="TextoNormal"/>
      </w:pPr>
      <w:r>
        <w:t>Por lo expuesto, la Sección</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Inadmitir el presente recurso de amparo núm. 655-2005.</w:t>
      </w:r>
    </w:p>
    <w:p w:rsidR="008B3772" w:rsidRDefault="008B3772" w:rsidP="008B3772">
      <w:pPr>
        <w:pStyle w:val="TextoNormal"/>
      </w:pPr>
    </w:p>
    <w:p w:rsidR="008B3772" w:rsidRDefault="008B3772" w:rsidP="008B3772">
      <w:pPr>
        <w:pStyle w:val="TextoNormal"/>
      </w:pPr>
      <w:r>
        <w:t>Madrid, a cuatro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34" w:name="AUTO_2007_270"/>
      <w:r>
        <w:lastRenderedPageBreak/>
        <w:t>AUTO 270/2007, de 4 de junio de 2007</w:t>
      </w:r>
    </w:p>
    <w:bookmarkEnd w:id="134"/>
    <w:p w:rsidR="008B3772" w:rsidRDefault="008B3772" w:rsidP="008B3772">
      <w:pPr>
        <w:pStyle w:val="TtuloResolucin"/>
      </w:pPr>
      <w:r>
        <w:t>Sala Primera</w:t>
      </w:r>
    </w:p>
    <w:p w:rsidR="008B3772" w:rsidRDefault="008B3772" w:rsidP="008B3772">
      <w:pPr>
        <w:pStyle w:val="TtuloResolucin"/>
      </w:pPr>
    </w:p>
    <w:p w:rsidR="008B3772" w:rsidRDefault="008B3772" w:rsidP="008B3772">
      <w:pPr>
        <w:pStyle w:val="SntesisDescriptiva"/>
      </w:pPr>
      <w:r>
        <w:t>ECLI:ES:TC:2007:270A</w:t>
      </w:r>
    </w:p>
    <w:p w:rsidR="008B3772" w:rsidRDefault="008B3772" w:rsidP="008B3772">
      <w:pPr>
        <w:pStyle w:val="SntesisDescriptiva"/>
      </w:pPr>
    </w:p>
    <w:p w:rsidR="008B3772" w:rsidRDefault="008B3772" w:rsidP="008B3772">
      <w:pPr>
        <w:pStyle w:val="SntesisDescriptiva"/>
      </w:pPr>
      <w:r>
        <w:t>Excms. Srs. doña María Emilia Casas Baamonde, don Javier Delgado Barrio, don Roberto García-Calvo y Montiel, don Jorge Rodríguez-Zapata Pérez, don Manuel Aragón Reyes y don Pablo Pérez Tremps.</w:t>
      </w:r>
    </w:p>
    <w:p w:rsidR="008B3772" w:rsidRDefault="008B3772" w:rsidP="008B3772">
      <w:pPr>
        <w:pStyle w:val="SntesisDescriptiva"/>
      </w:pPr>
    </w:p>
    <w:p w:rsidR="008B3772" w:rsidRDefault="008B3772" w:rsidP="008B3772">
      <w:pPr>
        <w:pStyle w:val="SntesisDescriptiva"/>
      </w:pPr>
      <w:r>
        <w:t>Deniega la suspensión en el recurso de amparo 752-2005, promovido por don Juan Manuel Martín Espinosa en litigio por despido.</w:t>
      </w:r>
    </w:p>
    <w:p w:rsidR="008B3772" w:rsidRDefault="008B3772" w:rsidP="008B3772">
      <w:pPr>
        <w:pStyle w:val="SntesisDescriptiva"/>
      </w:pPr>
    </w:p>
    <w:p w:rsidR="008B3772" w:rsidRDefault="008B3772" w:rsidP="008B3772">
      <w:pPr>
        <w:pStyle w:val="SntesisAnaltica"/>
      </w:pPr>
      <w:r>
        <w:t>Suspensión cautelar de sentencias sociales: indemnización por despido, no suspende.</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Por escrito presentado en el Registro General de este Tribunal el 3 de febrero de 2005, doña María del Ángel Sanz Amaro, Procuradora de los Tribunales, en nombre de don Juan Manuel Martín Espinosa, interpuso recurso de amparo contra el Auto del Juzgado de lo Social núm. 3 de Murcia, recaído el 2 de diciembre de 2004, dictado en autos de despido núm. 177-2004, ejecución núm. 164-2004.</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Los fundamentos de hecho de la pretensión del demandante son los siguientes: </w:t>
      </w:r>
    </w:p>
    <w:p w:rsidR="008B3772" w:rsidRDefault="008B3772" w:rsidP="008B3772">
      <w:pPr>
        <w:pStyle w:val="TextoNormal"/>
      </w:pPr>
      <w:r>
        <w:t xml:space="preserve">a) En el Juzgado de lo Social núm. 3 de Murcia se sigue ejecución núm. 164-2004 dimanante del proceso de despido seguido a instancia de un trabajador contra Ferrallas Carthago, S.L., y don Juan Manuel Martín Espinosa, que terminó con Sentencia estimatoria de fecha 24 de mayo de 2004. </w:t>
      </w:r>
    </w:p>
    <w:p w:rsidR="008B3772" w:rsidRDefault="008B3772" w:rsidP="008B3772">
      <w:pPr>
        <w:pStyle w:val="TextoNormal"/>
      </w:pPr>
      <w:r>
        <w:t>b) En fase de ejecución de Sentencia el recurrente en amparo formuló incidente de nulidad de actuaciones, solicitando se acordase la nulidad de todo lo actuado en el proceso hasta la citación por edictos, alegando su derecho a la tutela judicial efectiva sin indefensión (art. 24.1 CE). El Auto de 2 de diciembre de 2004 desestimó la pretensión anulatoria.</w:t>
      </w:r>
    </w:p>
    <w:p w:rsidR="008B3772" w:rsidRDefault="008B3772" w:rsidP="008B3772">
      <w:pPr>
        <w:pStyle w:val="TextoNormal"/>
      </w:pPr>
    </w:p>
    <w:p w:rsidR="008B3772" w:rsidRDefault="008B3772" w:rsidP="008B3772">
      <w:pPr>
        <w:pStyle w:val="TextoNormal"/>
      </w:pPr>
      <w:r w:rsidRPr="008B3772">
        <w:rPr>
          <w:rStyle w:val="NumeroAFNegritaCaracter"/>
        </w:rPr>
        <w:t>3</w:t>
      </w:r>
      <w:r>
        <w:t>. En la demanda de amparo se alega la vulneración del art. 24.1 CE, que el demandante de amparo considera lesionado al no haber sido emplazado personalmente, sino mediante edictos, a pesar de que su domicilio era conocido por el actor en el proceso. Aduce, asimismo, que el órgano judicial incurrió en falta de imparcialidad, al no dar respuesta a las alegaciones formuladas y producirle indefensión, infringiendo igualmente el art. 6.1 del Convenio europeo de derechos humanos.</w:t>
      </w:r>
    </w:p>
    <w:p w:rsidR="008B3772" w:rsidRDefault="008B3772" w:rsidP="008B3772">
      <w:pPr>
        <w:pStyle w:val="TextoNormal"/>
      </w:pPr>
    </w:p>
    <w:p w:rsidR="008B3772" w:rsidRDefault="008B3772" w:rsidP="008B3772">
      <w:pPr>
        <w:pStyle w:val="TextoNormal"/>
      </w:pPr>
      <w:r w:rsidRPr="008B3772">
        <w:rPr>
          <w:rStyle w:val="NumeroAFNegritaCaracter"/>
        </w:rPr>
        <w:t>4</w:t>
      </w:r>
      <w:r>
        <w:t xml:space="preserve">. Por providencia de 15 de noviembre de 2006 la Sección Segunda de este Tribunal acordó la admisión a trámite de la demanda de amparo así como, a tenor de lo establecido en el art. 51 LOTC, requerir al Juzgado de lo Social núm. 3 de Murcia para que emplazara a quienes fueron parte en el procedimiento, con excepción del recurrente en amparo, para </w:t>
      </w:r>
      <w:r>
        <w:lastRenderedPageBreak/>
        <w:t>que en el plazo de diez días pudieran comparecer en el recurso de amparo, con traslado a dichos efectos de copia de la demanda presentada.</w:t>
      </w:r>
    </w:p>
    <w:p w:rsidR="008B3772" w:rsidRDefault="008B3772" w:rsidP="008B3772">
      <w:pPr>
        <w:pStyle w:val="TextoNormal"/>
      </w:pPr>
    </w:p>
    <w:p w:rsidR="008B3772" w:rsidRDefault="008B3772" w:rsidP="008B3772">
      <w:pPr>
        <w:pStyle w:val="TextoNormal"/>
      </w:pPr>
      <w:r w:rsidRPr="008B3772">
        <w:rPr>
          <w:rStyle w:val="NumeroAFNegritaCaracter"/>
        </w:rPr>
        <w:t>5</w:t>
      </w:r>
      <w:r>
        <w:t>. Con fecha de 20 de diciembre de 2006, el recurrente solicitó que se dejara en suspenso la ejecución de la resolución impugnada, de acuerdo con lo previsto en el art. 56.1 LOTC.</w:t>
      </w:r>
    </w:p>
    <w:p w:rsidR="008B3772" w:rsidRDefault="008B3772" w:rsidP="008B3772">
      <w:pPr>
        <w:pStyle w:val="TextoNormal"/>
      </w:pPr>
    </w:p>
    <w:p w:rsidR="008B3772" w:rsidRDefault="008B3772" w:rsidP="008B3772">
      <w:pPr>
        <w:pStyle w:val="TextoNormal"/>
      </w:pPr>
      <w:r w:rsidRPr="008B3772">
        <w:rPr>
          <w:rStyle w:val="NumeroAFNegritaCaracter"/>
        </w:rPr>
        <w:t>6</w:t>
      </w:r>
      <w:r>
        <w:t>. Mediante providencia de 8 de enero de 2007 se acordó formar la correspondiente pieza separada de suspensión y, de conformidad con lo previsto en el art. 56 LOTC, conceder un plazo común de tres días al núm. de Fiscal y al recurrente en amparo para que alegaran lo que estimaran pertinente en relación con la petición de suspensión interesada.</w:t>
      </w:r>
    </w:p>
    <w:p w:rsidR="008B3772" w:rsidRDefault="008B3772" w:rsidP="008B3772">
      <w:pPr>
        <w:pStyle w:val="TextoNormal"/>
      </w:pPr>
    </w:p>
    <w:p w:rsidR="008B3772" w:rsidRDefault="008B3772" w:rsidP="008B3772">
      <w:pPr>
        <w:pStyle w:val="TextoNormal"/>
      </w:pPr>
      <w:r w:rsidRPr="008B3772">
        <w:rPr>
          <w:rStyle w:val="NumeroAFNegritaCaracter"/>
        </w:rPr>
        <w:t>7</w:t>
      </w:r>
      <w:r>
        <w:t>. En su escrito de alegaciones, presentado el 25 de enero de 2007, el núm. de Fiscal se opone a la suspensión solicitada por entender que el demandante no acredita qué perjuicios irreparables causaría la no suspensión de la resolución impugnada, y afirmando que, en cualquier caso, el pronunciamiento judicial tiene un contenido exclusivamente pecuniario y, por tanto, susceptible de restitución integra.</w:t>
      </w:r>
    </w:p>
    <w:p w:rsidR="008B3772" w:rsidRDefault="008B3772" w:rsidP="008B3772">
      <w:pPr>
        <w:pStyle w:val="TextoNormal"/>
      </w:pPr>
    </w:p>
    <w:p w:rsidR="008B3772" w:rsidRDefault="008B3772" w:rsidP="008B3772">
      <w:pPr>
        <w:pStyle w:val="TextoNormal"/>
      </w:pPr>
      <w:r w:rsidRPr="008B3772">
        <w:rPr>
          <w:rStyle w:val="NumeroAFNegritaCaracter"/>
        </w:rPr>
        <w:t>8</w:t>
      </w:r>
      <w:r>
        <w:t>. La representación procesal del recurrente formuló alegaciones el día 19 de enero de 2007, reiterando los contenidos de su escrito de solicitud de suspensión. Argumenta la situación de agobio económico y perjuicio moral, para él y su familia, que ha causado la resolución judicial que acuerda el embargo de su salario, adoptada en ejecución de Sentencia, así como que la suspensión de esa decisión de embargo no causaría perjuicio a terceros al ser el ejecutante el Fondo de garantía salarial, de suerte que la suspensión temporal del ingreso de módicas cantidades no supondría ningún perjuicio, al tratarse de la Administración, al contrario de lo que implica para una pequeña economía familiar como la suya, siendo como es el caso un obrero de la construcción.</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xml:space="preserve">. De acuerdo con lo dispuesto en el art. 56.1 LOTC, la Sala que conozca de un recurso de amparo acordará la suspensión de la ejecución del acto de los poderes públicos por razón del cual se reclame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  En la interpretación de dicho precepto hemos venido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(AATC 185/1998, de 14 de septiembre, FJ 1; 99/1999, de 26 de abril, FJ 2; 230/2001, de 24 de julio, FJ 1; 171/2002, de 30 de septiembre, FJ 1; 413/2003, de 15 de diciembre, FJ 1; 530/2004, de 20 de diciembre, </w:t>
      </w:r>
      <w:r>
        <w:lastRenderedPageBreak/>
        <w:t>FJ 1, y 170/2006, de 24 de mayo, FJ 1, entre otros muchos).  A ello se añade que la acreditación del perjuicio es carga del recurrente, quien, además de alegar, debe probar o, por lo menos, justificar, ofreciendo un principio razonable de prueba, la irreparabilidad o dificultad de la reparación de los perjuicios de seguirse la ejecución del acto impugnado (AATC 72/1997, de 10 de marzo, FJ 1; 145/2006, de 24 de abril, FJ 2, y 63/2007, de 26 de febrero, FJ 1, por todos).</w:t>
      </w:r>
    </w:p>
    <w:p w:rsidR="008B3772" w:rsidRDefault="008B3772" w:rsidP="008B3772">
      <w:pPr>
        <w:pStyle w:val="TextoNormal"/>
      </w:pPr>
    </w:p>
    <w:p w:rsidR="008B3772" w:rsidRDefault="008B3772" w:rsidP="008B3772">
      <w:pPr>
        <w:pStyle w:val="TextoNormal"/>
      </w:pPr>
      <w:r w:rsidRPr="008B3772">
        <w:rPr>
          <w:rStyle w:val="NumeroAFNegritaCaracter"/>
        </w:rPr>
        <w:t>2</w:t>
      </w:r>
      <w:r>
        <w:t>. Conforme al citado criterio interpretativo, hemos dicho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(entre otros muchos, AATC 243/2000, de 16 de octubre, FJ 1; 251/2000, de 30 de octubre, FJ 2; 63/2001, de 26 de marzo, FJ1, y 170/2001, de 22 de junio, FJ 1).  A tal fin, hemos venido distinguiendo entre aquellas decisiones judiciales cuya efectividad no impide devolver las cosas al ser y estado en que se hallaban antes de la ejecución y que admiten, por tanto, una posterior restitutio in integrum; y aquellas otras decisiones judiciales en las que la suspensión está justificada por afectar a bienes o derechos de imposible restitución a su estado anterior. Tenemos dicho en ese sentido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(por todos, ATC 63/2007, de 26 de febrero, FJ 2). Sólo en aquellos supuestos en que con un principio de prueba la ejecución de lo acordado acarree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hemos accedido a la suspensión (por ejemplo, ATC 335/2005, de 15 de septiembre, FJ 2).  La aplicación de la doctrina general reseñada al presente caso conduce a denegar la medida cautelar solicitada, habida cuenta que el demandante no prueba los perjuicios que dice le causaría la no suspensión de la resolución impugnada, y que, además, de la providencia de 3 de octubre de 2006 que aporta se desprende que la cantidad embargada no se entrega exclusivamente al FOGASA, sino también al actor en el proceso de despido, quedando referida la queja, por lo demás, a decisiones de contenido exclusivamente pecuniario y, por tanto, susceptibles de restitución.</w:t>
      </w:r>
    </w:p>
    <w:p w:rsidR="008B3772" w:rsidRDefault="008B3772" w:rsidP="008B3772">
      <w:pPr>
        <w:pStyle w:val="TextoNormal"/>
      </w:pPr>
    </w:p>
    <w:p w:rsidR="008B3772" w:rsidRDefault="008B3772" w:rsidP="008B3772">
      <w:pPr>
        <w:pStyle w:val="TextoNormal"/>
      </w:pPr>
      <w:r>
        <w:t>En virtud de todo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Denegar la suspensión solicitada.</w:t>
      </w:r>
    </w:p>
    <w:p w:rsidR="008B3772" w:rsidRDefault="008B3772" w:rsidP="008B3772">
      <w:pPr>
        <w:pStyle w:val="TextoNormal"/>
      </w:pPr>
    </w:p>
    <w:p w:rsidR="008B3772" w:rsidRDefault="008B3772" w:rsidP="008B3772">
      <w:pPr>
        <w:pStyle w:val="TextoNormal"/>
      </w:pPr>
      <w:r>
        <w:t>Madrid, a cuatro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35" w:name="AUTO_2007_271"/>
      <w:r>
        <w:lastRenderedPageBreak/>
        <w:t>AUTO 271/2007, de 4 de junio de 2007</w:t>
      </w:r>
    </w:p>
    <w:bookmarkEnd w:id="135"/>
    <w:p w:rsidR="008B3772" w:rsidRDefault="008B3772" w:rsidP="008B3772">
      <w:pPr>
        <w:pStyle w:val="TtuloResolucin"/>
      </w:pPr>
      <w:r>
        <w:t>Sala Segunda</w:t>
      </w:r>
    </w:p>
    <w:p w:rsidR="008B3772" w:rsidRDefault="008B3772" w:rsidP="008B3772">
      <w:pPr>
        <w:pStyle w:val="TtuloResolucin"/>
      </w:pPr>
    </w:p>
    <w:p w:rsidR="008B3772" w:rsidRDefault="008B3772" w:rsidP="008B3772">
      <w:pPr>
        <w:pStyle w:val="SntesisDescriptiva"/>
      </w:pPr>
      <w:r>
        <w:t>ECLI:ES:TC:2007:271A</w:t>
      </w:r>
    </w:p>
    <w:p w:rsidR="008B3772" w:rsidRDefault="008B3772" w:rsidP="008B3772">
      <w:pPr>
        <w:pStyle w:val="SntesisDescriptiva"/>
      </w:pPr>
    </w:p>
    <w:p w:rsidR="008B3772" w:rsidRDefault="008B3772" w:rsidP="008B3772">
      <w:pPr>
        <w:pStyle w:val="SntesisDescriptiva"/>
      </w:pPr>
      <w:r>
        <w:t>Excms. Srs. don Guillermo Jiménez Sánchez, don Vicente Conde Martín de Hijas, doña Elisa Pérez Vera, don Eugeni Gay Montalvo, don Ramón Rodríguez Arribas y don Pascual Sala Sánchez.</w:t>
      </w:r>
    </w:p>
    <w:p w:rsidR="008B3772" w:rsidRDefault="008B3772" w:rsidP="008B3772">
      <w:pPr>
        <w:pStyle w:val="SntesisDescriptiva"/>
      </w:pPr>
    </w:p>
    <w:p w:rsidR="008B3772" w:rsidRDefault="008B3772" w:rsidP="008B3772">
      <w:pPr>
        <w:pStyle w:val="SntesisDescriptiva"/>
      </w:pPr>
      <w:r>
        <w:t>Inadmite a trámite el recurso de amparo 811-2005, promovido por doña Catalina Barbosa Rodríguez y otros en pleito por resolución de contratos de reserva de viviendas.</w:t>
      </w:r>
    </w:p>
    <w:p w:rsidR="008B3772" w:rsidRDefault="008B3772" w:rsidP="008B3772">
      <w:pPr>
        <w:pStyle w:val="SntesisDescriptiva"/>
      </w:pPr>
    </w:p>
    <w:p w:rsidR="008B3772" w:rsidRDefault="008B3772" w:rsidP="008B3772">
      <w:pPr>
        <w:pStyle w:val="SntesisAnaltica"/>
      </w:pPr>
      <w:r>
        <w:t>Derecho a la tutela judicial efectiva: motivación de las resoluciones judiciales. Inadmisión de recurso de amparo: carencia de contenido que justifique una decisión sobre el fondo del asunto.</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xml:space="preserve">. En escrito, de registro en el Tribunal en fecha 7 de febrero de 2005, la Procuradora de los Tribunales doña María Rodríguez Pujol, en representación de doña Catalina Barbosa Rodríguez, don Fernando Infante Moriña, doña Carmen Pérez Vázquez, don Diego Quintero Martín, doña Manuela Pavón Ruiz, don Ángel Romero Camacho, doña Amalia Pavón Ruiz y don Antonio Pelagajar Conde interpuso recurso de amparo por vulneración del derecho a la tutela judicial efectiva (art.24.1 CE), en la forma de motivación arbitraria de la Resolución, contra la Sentencia de 2 de diciembre de 2004, de la Sección Tercera (civil) Audiencia Provincial de Huelva (y posterior Auto de Aclaración de 30 de diciembre de 2004) , estimatoria de la apelación y revocatoria de la dictada en instancia el Juicio ordinario núm.657-2003 de resolución de contratos. </w:t>
      </w:r>
    </w:p>
    <w:p w:rsidR="008B3772" w:rsidRDefault="008B3772" w:rsidP="008B3772">
      <w:pPr>
        <w:pStyle w:val="TextoNormal"/>
      </w:pPr>
      <w:r>
        <w:t>Sucintamente, entienden los recurrentes que la resolución impugnada incurrió en una argumentación arbitraria al inventarse una nueva categoría de contrato (el de reserva) empleando argumentaciones ilógicas; por lo que solicitan el otorgamiento del amparo, la revocación del fallo y la retroacción de las actuaciones al momento de dictado de la Sentencia en la Audiencia Provincial, y, por otrosí, la medida cautelar de anotación preventiva de la demanda, ofreciendo 33.656,64 euros de caución.</w:t>
      </w:r>
    </w:p>
    <w:p w:rsidR="008B3772" w:rsidRDefault="008B3772" w:rsidP="008B3772">
      <w:pPr>
        <w:pStyle w:val="TextoNormal"/>
      </w:pPr>
    </w:p>
    <w:p w:rsidR="008B3772" w:rsidRDefault="008B3772" w:rsidP="008B3772">
      <w:pPr>
        <w:pStyle w:val="TextoNormal"/>
      </w:pPr>
      <w:r w:rsidRPr="008B3772">
        <w:rPr>
          <w:rStyle w:val="NumeroAFNegritaCaracter"/>
        </w:rPr>
        <w:t>2</w:t>
      </w:r>
      <w:r>
        <w:t>. En diligencia de ordenación de 24 de febrero de 2005 la Secretaría de la Sala Segunda del Tribunal Constitucional requirió a la Procuradora doña María Rodríguez Puyol, aportase la escritura de poder del Sr. Quintero Marín y de la Sra. Pérez Vázquez, efectuándose así el 11 de marzo de 2005.</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providencia de 6 de febrero de 2007 la Sección Cuarta de la Sala Segunda del Tribunal Constitucional acordó , conforme al art. 50.3 LOTC., dar traslado a las partes y al </w:t>
      </w:r>
      <w:r>
        <w:lastRenderedPageBreak/>
        <w:t xml:space="preserve">Ministerio Fiscal por término de 10 días, para que manifestasen lo que tuvieren por conveniente sobre la posible falta de contenido constitucional de la demanda [ex.art.50.1 c) LOTC]. </w:t>
      </w:r>
    </w:p>
    <w:p w:rsidR="008B3772" w:rsidRDefault="008B3772" w:rsidP="008B3772">
      <w:pPr>
        <w:pStyle w:val="TextoNormal"/>
      </w:pPr>
      <w:r>
        <w:t xml:space="preserve">En escrito presentado el 27 de febrero de 2007 los recurrentes insisten en la procedencia del amparo, por entender que la Sentencia de la Audiencia Provincial de Huelva impugnada carece de motivación, al contener argumentaciones ilógicas e irrazonables. </w:t>
      </w:r>
    </w:p>
    <w:p w:rsidR="008B3772" w:rsidRDefault="008B3772" w:rsidP="008B3772">
      <w:pPr>
        <w:pStyle w:val="TextoNormal"/>
      </w:pPr>
      <w:r>
        <w:t>En escrito de registro de entrada de 28 de febrero de 2007 el Ministerio público evacuaba el traslado, interesando la inadmisión del recurso de amparo por falta de contenido constitucional, al considerar, tras la exposición de la doctrina del Tribunal sobre la motivación e irrazonabilidad (SSTC 314/2005 de 12 de diciembre FJ 4, y 139/2000 de 29 de mayo, FJ 4), que la Sentencia impugnada explica clara y comprensiblemente las razones de la revocación de la Sentencia de instancia (incongruencia por no haberse solicitado por ninguna parte la indemnización, carácter de “reserva” del contrato estipulado, falta de correspondencia de la obra final con lo pactado y aplicación de la resolución, no imputable a la actora), sin que los argumentos empleados puedan tacharse de ilógicos, y sin que pueda hablarse de ausencia de motivación.</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presente recurso versa sobre la ausencia de motivación, por emplear argumentaciones “ilógicas y arbitrarias” respecto de la Sentencia de 2 de diciembre de 2004, de la Sección Tercera (civil) de la Audiencia Provincial de Huelva, que estimó el recurso de apelación y revocó la dictada el 1 de marzo de 2004 por el Juzgado de Primera Instancia núm. 4 de Huelva en el Juicio ordinario num.657-2003 de resolución de contratos.</w:t>
      </w:r>
    </w:p>
    <w:p w:rsidR="008B3772" w:rsidRDefault="008B3772" w:rsidP="008B3772">
      <w:pPr>
        <w:pStyle w:val="TextoNormal"/>
      </w:pPr>
      <w:r>
        <w:t>Sustancialmente los antecedentes del pleito consisten en una demanda del Grupo Alca, S.A., contra los hoy recurrentes para la resolución de los contratos de reserva de viviendas, fundándose la demanda en la virtualidad de las arras penitenciales o subsidiariamente en la resolución por mor de la cláusula rebus sic stantibus, y la contestación en la inaplicabilidad de ninguna de dichas obligaciones, al tratarse de una interpretación contractual de un contrato de adhesión, en el que debían tenerse presentes las reglas de la Ley de condiciones generales de contratación y la Ley general para la defensa de los consumidores y usuarios (inversión de la carga de la prueba, etc). En primera instancia se absuelve a los demandados, pero, recurrida la Sentencia en apelación por el actor, la Sección Tercera (de lo Civil) de la Audiencia Provincial de Huelva, al entender que se había llevado a cabo una errónea interpretación contractual sobre las arras y la facultad resolutoria, dicta Sentencia revocando la de instancia y condenando a los recurrentes a pasar por la efectividad de las arras o, subsidiariamente, a la resolución con indemnización.</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El derecho a la tutela judicial efectiva, proclamado en el art. 24.1 CE, “no garantiza la corrección jurídica de la actuación o interpretación llevada a cabo por los órganos judiciales comunes, pues no existe un derecho al acierto” (entre otras muchas, SSTC 151/2001, de 2 de julio, FJ 5, y 162/2001, de 5 de julio, FJ 4), y “tampoco asegura[n] la satisfacción de la pretensión de ninguna de las partes del proceso” (por todas, SSTC 107/1994, de 11 de abril , FJ 2, y 139/2000, de 29 de mayo, FJ 4), pues “una cosa es la garantía de los derechos fundamentales, tal como le está encomendada, y otra, necesariamente muy distinta, la de la máxima irradiación de los contenidos constitucionales en todos y cada uno de los supuestos </w:t>
      </w:r>
      <w:r>
        <w:lastRenderedPageBreak/>
        <w:t>de interpretación de la legalidad; esto último, puede no ocurrir, sin que ello implique siempre la vulneración de un derecho fundamental” (STC 160/1997, de 2 octubre. FJ 4). Ahora bien, lo que, en todo caso, sí garantiza el expresado precepto es “el derecho a que el procedimiento finalice con una resolución fundada en Derecho, la cual podrá ser favorable o adversa a las pretensiones ejercitadas” (STC 50/1982, de 15 de julio, FJ 3).</w:t>
      </w:r>
    </w:p>
    <w:p w:rsidR="008B3772" w:rsidRDefault="008B3772" w:rsidP="008B3772">
      <w:pPr>
        <w:pStyle w:val="TextoNormal"/>
      </w:pPr>
      <w:r>
        <w:t>Ello implica, que “la resolución ha de estar motivada, es decir, contener los elementos y razones de juicio que permitan conocer cuáles han sido los criterios jurídicos que fundamentan la decisión” (SSTC 58/1997, de 18 de marzo, FJ 2; 25/2000, de 31 de enero, F. 2); y que la motivación “ha de estar fundada en Derecho” (STC 147/1999, de 4 de agosto, FJ 3), “carga que no queda cumplida con la mera emisión de una declaración de voluntad en un sentido u otro, sino que debe ser consecuencia de una exégesis racional del Ordenamiento y no fruto de la arbitrariedad” (por todas, STC 146/2005, de 6 de junio, FJ 7). Todo ello constituye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(por todas, SSTC 25/2000, de 31 de enero, FJ 2, y 221/2001, de 31 de octubre, FJ 6).</w:t>
      </w:r>
    </w:p>
    <w:p w:rsidR="008B3772" w:rsidRDefault="008B3772" w:rsidP="008B3772">
      <w:pPr>
        <w:pStyle w:val="TextoNormal"/>
      </w:pPr>
      <w:r>
        <w:t>Además podemos añadir que una resolución judicial puede tacharse de arbitraria cuando, aun constatada la existencia formal de una argumentación, la misma no es expresión de la administración de justicia sino simple apariencia de la misma por ser fruto de un mero voluntarismo judicial o expresar un proceso deductivo irracional o absurdo (SSTC 148/1994, de 12 de mayo, FJ 4; 244/1994, de 15 de septiembre, FJ 2; 54/1997, de 17 de marzo, FJ 3, y 160/1997, de 2 de octubre, FJ 7). Siendo preciso señalar, como ha hecho este Tribunal,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 STC 164/2002, de 17 de septiembre, F. 4).</w:t>
      </w:r>
    </w:p>
    <w:p w:rsidR="008B3772" w:rsidRDefault="008B3772" w:rsidP="008B3772">
      <w:pPr>
        <w:pStyle w:val="TextoNormal"/>
      </w:pPr>
    </w:p>
    <w:p w:rsidR="008B3772" w:rsidRDefault="008B3772" w:rsidP="008B3772">
      <w:pPr>
        <w:pStyle w:val="TextoNormal"/>
      </w:pPr>
      <w:r w:rsidRPr="008B3772">
        <w:rPr>
          <w:rStyle w:val="NumeroAFNegritaCaracter"/>
        </w:rPr>
        <w:t>3</w:t>
      </w:r>
      <w:r>
        <w:t>. El presente supuesto, como acertadamente apunta el Ministerio Fiscal, la cuestión versa sobre interpretación de los contratos, sin que del examen de los fundamentos jurídicos de la Sentencia, que permiten conocer la voluntad del tribunal, pueda extraerse que la calificación del contrato como de “reserva” (y no de “promesa de venta”) constituya un error patente, ni que las consecuencias jurídicas extraídas en los fundamentos jurídicos de la resolución incurran en quiebras o saltos lógicos de magnitud que impidan conocer la argumentación jurídica del órgano jurisdiccional. De todo ello se extrae la patente falta de contenido constitucional de la demanda, lo que debe conducir a su inadmisión, conforme al art.50.1 c) LOTC.</w:t>
      </w:r>
    </w:p>
    <w:p w:rsidR="008B3772" w:rsidRDefault="008B3772" w:rsidP="008B3772">
      <w:pPr>
        <w:pStyle w:val="TextoNormal"/>
      </w:pPr>
    </w:p>
    <w:p w:rsidR="008B3772" w:rsidRDefault="008B3772" w:rsidP="008B3772">
      <w:pPr>
        <w:pStyle w:val="TextoNormal"/>
      </w:pPr>
      <w:r w:rsidRPr="008B3772">
        <w:rPr>
          <w:rStyle w:val="NumeroAFNegritaCaracter"/>
        </w:rPr>
        <w:t>4</w:t>
      </w:r>
      <w:r>
        <w:t>. Respecto de la solicitud de adopción de medida cautelar de anotación preventiva de demanda, a tenor de la inadmisión, no procede acordar sobre la misma.</w:t>
      </w:r>
    </w:p>
    <w:p w:rsidR="008B3772" w:rsidRDefault="008B3772" w:rsidP="008B3772">
      <w:pPr>
        <w:pStyle w:val="TextoNormal"/>
      </w:pPr>
    </w:p>
    <w:p w:rsidR="008B3772" w:rsidRDefault="008B3772" w:rsidP="008B3772">
      <w:pPr>
        <w:pStyle w:val="TextoNormal"/>
      </w:pPr>
      <w:r>
        <w:t>Por todo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Inadmitir a trámite la demanda formulada por doña María Rodríguez Pujol, en representación de doña Catalina Barbosa Rodríguez, don Fernando Infante Moriña, doña Carmen Pérez Vázquez, don Diego Quintero Martín, doña Manuela Pavón Ruiz, don Ángel Romero</w:t>
      </w:r>
    </w:p>
    <w:p w:rsidR="008B3772" w:rsidRDefault="008B3772" w:rsidP="008B3772">
      <w:pPr>
        <w:pStyle w:val="TextoNormal"/>
      </w:pPr>
      <w:r>
        <w:t>Camacho, doña Amalia Pavón Ruiz, don Antonio Pelagajar Conde, al carecer manifiestamente de contenido que justifique una decisión sobre el fondo por parte del Tribunal.</w:t>
      </w:r>
    </w:p>
    <w:p w:rsidR="008B3772" w:rsidRDefault="008B3772" w:rsidP="008B3772">
      <w:pPr>
        <w:pStyle w:val="TextoNormal"/>
      </w:pPr>
    </w:p>
    <w:p w:rsidR="008B3772" w:rsidRDefault="008B3772" w:rsidP="008B3772">
      <w:pPr>
        <w:pStyle w:val="TextoNormal"/>
      </w:pPr>
      <w:r>
        <w:t>Notifíquese la presente resolución a las partes y al Ministerio Fiscal, haciéndoseles saber que contra la misma no cabe recurso alguno (ex.art.50.4 LOTC).</w:t>
      </w:r>
    </w:p>
    <w:p w:rsidR="008B3772" w:rsidRDefault="008B3772" w:rsidP="008B3772">
      <w:pPr>
        <w:pStyle w:val="TextoNormal"/>
      </w:pPr>
      <w:r>
        <w:t>Madrid, a cuatro de junio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36" w:name="AUTO_2007_272"/>
      <w:r>
        <w:lastRenderedPageBreak/>
        <w:t>AUTO 272/2007, de 4 de junio de 2007</w:t>
      </w:r>
    </w:p>
    <w:bookmarkEnd w:id="136"/>
    <w:p w:rsidR="008B3772" w:rsidRDefault="008B3772" w:rsidP="008B3772">
      <w:pPr>
        <w:pStyle w:val="TtuloResolucin"/>
      </w:pPr>
      <w:r>
        <w:t>Sección Cuarta</w:t>
      </w:r>
    </w:p>
    <w:p w:rsidR="008B3772" w:rsidRDefault="008B3772" w:rsidP="008B3772">
      <w:pPr>
        <w:pStyle w:val="TtuloResolucin"/>
      </w:pPr>
    </w:p>
    <w:p w:rsidR="008B3772" w:rsidRDefault="008B3772" w:rsidP="008B3772">
      <w:pPr>
        <w:pStyle w:val="SntesisDescriptiva"/>
      </w:pPr>
      <w:r>
        <w:t>ECLI:ES:TC:2007:272A</w:t>
      </w:r>
    </w:p>
    <w:p w:rsidR="008B3772" w:rsidRDefault="008B3772" w:rsidP="008B3772">
      <w:pPr>
        <w:pStyle w:val="SntesisDescriptiva"/>
      </w:pPr>
    </w:p>
    <w:p w:rsidR="008B3772" w:rsidRDefault="008B3772" w:rsidP="008B3772">
      <w:pPr>
        <w:pStyle w:val="SntesisDescriptiva"/>
      </w:pPr>
      <w:r>
        <w:t>Excms. Srs. don Vicente Conde Martín de Hijas, doña Elisa Pérez Vera y don Ramón Rodríguez Arribas.</w:t>
      </w:r>
    </w:p>
    <w:p w:rsidR="008B3772" w:rsidRDefault="008B3772" w:rsidP="008B3772">
      <w:pPr>
        <w:pStyle w:val="SntesisDescriptiva"/>
      </w:pPr>
    </w:p>
    <w:p w:rsidR="008B3772" w:rsidRDefault="008B3772" w:rsidP="008B3772">
      <w:pPr>
        <w:pStyle w:val="SntesisDescriptiva"/>
      </w:pPr>
      <w:r>
        <w:t>Acuerda el desistimiento en el recurso de amparo 8714-2005, promovido en causa penal.</w:t>
      </w:r>
    </w:p>
    <w:p w:rsidR="008B3772" w:rsidRDefault="008B3772" w:rsidP="008B3772">
      <w:pPr>
        <w:pStyle w:val="SntesisDescriptiva"/>
      </w:pPr>
    </w:p>
    <w:p w:rsidR="008B3772" w:rsidRDefault="008B3772" w:rsidP="008B3772">
      <w:pPr>
        <w:pStyle w:val="TtuloResolucin"/>
      </w:pPr>
      <w:r>
        <w:t>*Este auto no incorpora doctrina constitucional.</w:t>
      </w:r>
    </w:p>
    <w:p w:rsidR="008B3772" w:rsidRDefault="008B3772">
      <w:pPr>
        <w:spacing w:after="160" w:line="259" w:lineRule="auto"/>
        <w:rPr>
          <w:rFonts w:ascii="Times New Roman" w:eastAsia="Times New Roman" w:hAnsi="Times New Roman" w:cs="Times New Roman"/>
          <w:b/>
          <w:sz w:val="24"/>
          <w:szCs w:val="24"/>
          <w:lang w:eastAsia="es-ES"/>
        </w:rPr>
      </w:pPr>
      <w:r>
        <w:br w:type="page"/>
      </w:r>
    </w:p>
    <w:p w:rsidR="008B3772" w:rsidRDefault="008B3772" w:rsidP="008B3772">
      <w:pPr>
        <w:pStyle w:val="TtuloResolucin"/>
      </w:pPr>
      <w:bookmarkStart w:id="137" w:name="AUTO_2007_273"/>
      <w:r>
        <w:lastRenderedPageBreak/>
        <w:t>AUTO 273/2007, de 4 de junio de 2007</w:t>
      </w:r>
    </w:p>
    <w:bookmarkEnd w:id="137"/>
    <w:p w:rsidR="008B3772" w:rsidRDefault="008B3772" w:rsidP="008B3772">
      <w:pPr>
        <w:pStyle w:val="TtuloResolucin"/>
      </w:pPr>
      <w:r>
        <w:t>Sala Segunda</w:t>
      </w:r>
    </w:p>
    <w:p w:rsidR="008B3772" w:rsidRDefault="008B3772" w:rsidP="008B3772">
      <w:pPr>
        <w:pStyle w:val="TtuloResolucin"/>
      </w:pPr>
    </w:p>
    <w:p w:rsidR="008B3772" w:rsidRDefault="008B3772" w:rsidP="008B3772">
      <w:pPr>
        <w:pStyle w:val="SntesisDescriptiva"/>
      </w:pPr>
      <w:r>
        <w:t>ECLI:ES:TC:2007:273A</w:t>
      </w:r>
    </w:p>
    <w:p w:rsidR="008B3772" w:rsidRDefault="008B3772" w:rsidP="008B3772">
      <w:pPr>
        <w:pStyle w:val="SntesisDescriptiva"/>
      </w:pPr>
    </w:p>
    <w:p w:rsidR="008B3772" w:rsidRDefault="008B3772" w:rsidP="008B3772">
      <w:pPr>
        <w:pStyle w:val="SntesisDescriptiva"/>
      </w:pPr>
      <w:r>
        <w:t>Excms. Srs. don Guillermo Jiménez Sánchez, don Eugeni Gay Montalvo, don Pascual Sala Sánchez, don Vicente Conde Martín de Hijas, doña Elisa Pérez Vera y don Ramón Rodríguez Arribas.</w:t>
      </w:r>
    </w:p>
    <w:p w:rsidR="008B3772" w:rsidRDefault="008B3772" w:rsidP="008B3772">
      <w:pPr>
        <w:pStyle w:val="SntesisDescriptiva"/>
      </w:pPr>
    </w:p>
    <w:p w:rsidR="008B3772" w:rsidRDefault="008B3772" w:rsidP="008B3772">
      <w:pPr>
        <w:pStyle w:val="SntesisDescriptiva"/>
      </w:pPr>
      <w:r>
        <w:t>Acuerda la suspensión en el recurso de amparo 8079-2006, promovido por don Miguel A. Dalmau Lloret en causa por delito contra la salud pública.</w:t>
      </w:r>
    </w:p>
    <w:p w:rsidR="008B3772" w:rsidRDefault="008B3772" w:rsidP="008B3772">
      <w:pPr>
        <w:pStyle w:val="SntesisDescriptiva"/>
      </w:pPr>
    </w:p>
    <w:p w:rsidR="008B3772" w:rsidRDefault="008B3772" w:rsidP="008B3772">
      <w:pPr>
        <w:pStyle w:val="SntesisAnaltica"/>
      </w:pPr>
      <w:r>
        <w:t>Suspensión cautelar de sentencias penales: prisión de tres años, suspende.</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este Tribunal el día 31 de julio de 2006 la Procuradora de los Tribunales doña Victoria Pérez-Mulet y Díez-Picazo, en nombre y representación de don Miguel A. Dalmau Lloret, interpuso recurso de amparo contra los Autos de 15 de mayo y 3 de julio de 2006, desestimatorio este último del recurso de súplica formulado contra el anterior, dictados por la Sección Segunda de la Audiencia Provincial de Alicante en el marco de la Ejecutoria 44/2002, proveniente del procedimiento abreviado núm. 46-2000 del Juzgado de Instrucción núm. 4 de Denia.</w:t>
      </w:r>
    </w:p>
    <w:p w:rsidR="008B3772" w:rsidRDefault="008B3772" w:rsidP="008B3772">
      <w:pPr>
        <w:pStyle w:val="TextoNormal"/>
      </w:pPr>
    </w:p>
    <w:p w:rsidR="008B3772" w:rsidRDefault="008B3772" w:rsidP="008B3772">
      <w:pPr>
        <w:pStyle w:val="TextoNormal"/>
      </w:pPr>
      <w:r w:rsidRPr="008B3772">
        <w:rPr>
          <w:rStyle w:val="NumeroAFNegritaCaracter"/>
        </w:rPr>
        <w:t>2</w:t>
      </w:r>
      <w:r>
        <w:t>. Por Sentencia de conformidad de 25 de enero de 2002 la Audiencia condenó al recurrente, como autor de un delito contra la salud pública, a la pena de tres años de prisión y multa de 243.423 ptas, accesorias y costas procesales. Notificada la Sentencia el ahora recurrente en amparo solicitó, mediante escrito de 11 de febrero de 2002, la suspensión de la pena privativa de libertad al amparo de lo dispuesto en el art. 87.1 CP, argumentando que el delito lo había cometido a causa de dependencia de las drogas. Tras diversas vicisitudes, por providencia de 10 de marzo de 2006 se ordenó la busca y captura del recurrente y su ingreso en prisión para el cumplimiento de la pena impuesta, ingreso que se produjo el 10 de mayo del mismo año. Por Auto de 15 de mayo de 2006 la Audiencia acordó denegar la suspensión solicitada, razonando que “con anterioridad ya disfrutó del beneficio de la suspensión de la ejecución de una pena privativa de libertad impuesta anteriormente y, lejos de aprovechar dicha oportunidad para rehabilitarse y alejarse del delito, volvió a delinquir en pleno periodo de suspensión”. Contra esta resolución interpuso recurso de súplica, aduciendo, entre otros extremos, que había seguido un tratamiento de desintoxicación con resultado satisfactorio, disfrutando en el momento de una actividad familiar, laboral y social estable. La Audiencia dictó el 3 de julio de 2006 Auto por el que confirmó la decisión desestimatoria del beneficio solicitado, reproduciendo en esencia los argumentos de su anterior resolución.</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3</w:t>
      </w:r>
      <w:r>
        <w:t>. Mediante otrosí, y de conformidad con lo establecido en el art. 56.1 LOTC, en la demanda de amparo se solicita que se acuerde la suspensión de la ejecución de las resoluciones impugnadas, en particular por lo que respecta al ingreso en prisión ya acordado, en la medida en que, de no accederse a esta petición, se ocasionaría al recurrente un perjuicio que haría perder al amparo su finalidad. Invocando la doctrina del Tribunal en esta materia se manifiesta que, si se compara la duración de la pena impuesta (tres años) y el tiempo que lleva ingresado el recurrente con el tiempo que requiere la tramitación de un proceso como el presente, ha de concluirse que de no suspenderse su ejecución se ocasionaría un perjuicio irreparable al señor Dalmau Lloret, no suponiendo la suspensión perjuicio de los intereses generales o públicos ni lesión a los derechos de terceros.</w:t>
      </w:r>
    </w:p>
    <w:p w:rsidR="008B3772" w:rsidRDefault="008B3772" w:rsidP="008B3772">
      <w:pPr>
        <w:pStyle w:val="TextoNormal"/>
      </w:pPr>
    </w:p>
    <w:p w:rsidR="008B3772" w:rsidRDefault="008B3772" w:rsidP="008B3772">
      <w:pPr>
        <w:pStyle w:val="TextoNormal"/>
      </w:pPr>
      <w:r w:rsidRPr="008B3772">
        <w:rPr>
          <w:rStyle w:val="NumeroAFNegritaCaracter"/>
        </w:rPr>
        <w:t>4</w:t>
      </w:r>
      <w:r>
        <w:t>. Por providencia de 24 de abril de 2007 la Sala Segunda de este Tribunal acordó la admisión a trámite del recurso de amparo y ordenó que se formara la oportuna pieza separada para la tramitación del incidente de suspensión, concediendo por providencia de igual fecha, de conformidad con lo dispuesto en el art. 56 LOTC, un plazo común de tres días a la parte recurrente y al Ministerio Público para que aleguen lo que estimen pertinente sobre la petición de suspensión interesada.</w:t>
      </w:r>
    </w:p>
    <w:p w:rsidR="008B3772" w:rsidRDefault="008B3772" w:rsidP="008B3772">
      <w:pPr>
        <w:pStyle w:val="TextoNormal"/>
      </w:pPr>
    </w:p>
    <w:p w:rsidR="008B3772" w:rsidRDefault="008B3772" w:rsidP="008B3772">
      <w:pPr>
        <w:pStyle w:val="TextoNormal"/>
      </w:pPr>
      <w:r w:rsidRPr="008B3772">
        <w:rPr>
          <w:rStyle w:val="NumeroAFNegritaCaracter"/>
        </w:rPr>
        <w:t>5</w:t>
      </w:r>
      <w:r>
        <w:t>. El Fiscal evacuó el trámite de alegaciones conferido mediante escrito registrado el 7 de mayo de 2007. En dicho escrito pone de relieve que resulta procedente acceder a la suspensión de las resoluciones judiciales recurridas en amparo. A tal fin razona que la doctrina de este Tribunal (así, ATC 227/1999) entiende que ha de acordarse la medida interesada cuando en otro caso pudiera producirse “un perjuicio que haría perder al amparo su finalidad”, no ocasionándose en el presente caso una perturbación grave a los intereses generales ni afectándose a los derechos de un tercero. Para llegar a tal conclusión tiene en cuenta el Ministerio Público que la pena impuesta en este caso es una pena privativa de libertad, por lo que, de no acordarse dicha suspensión, sería ineficaz un eventual fallo estimatorio en el proceso constitucional, quedando éste “sin sustantividad propia”.</w:t>
      </w:r>
    </w:p>
    <w:p w:rsidR="008B3772" w:rsidRDefault="008B3772" w:rsidP="008B3772">
      <w:pPr>
        <w:pStyle w:val="TextoNormal"/>
      </w:pPr>
    </w:p>
    <w:p w:rsidR="008B3772" w:rsidRDefault="008B3772" w:rsidP="008B3772">
      <w:pPr>
        <w:pStyle w:val="TextoNormal"/>
      </w:pPr>
      <w:r w:rsidRPr="008B3772">
        <w:rPr>
          <w:rStyle w:val="NumeroAFNegritaCaracter"/>
        </w:rPr>
        <w:t>6</w:t>
      </w:r>
      <w:r>
        <w:t>. El 7 de mayo de 2007 se registró también en este Tribunal el escrito de alegaciones del solicitante de amparo. En dicho escrito se reitera la petición de suspensión reflejada en el escrito de demanda, dando por reproducidas las alegaciones contenidas en su otrosí sobre la necesidad de acordar dicha medida respecto al ingreso en prisión del recurrente con el fin de evitar que el amparo pueda perder su finalidad. Por otra parte se recuerda que los hechos enjuiciados en su día ocurrieron en el año 1999, cuando el recurrente tenía 20 años, que la condena fue de conformidad, por la tenencia de una ínfima cantidad de cocaína, que el demandante de amparo ha seguido tratamiento de deshabituación, que no existe responsabilidad civil y que se haya satisfecho la multa impuesta.</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xml:space="preserve">. Según establece el art. 56.1 LOTC la Sala que conozca de un recurso de amparo suspenderá, de oficio o a instancia del recurrente, la ejecución del acto de los poderes públicos por razón del cual se reclame el amparo constitucional siempre que la ejecución ocasionare un perjuicio que haría perder al amparo su finalidad, previéndose también la posibilidad de </w:t>
      </w:r>
      <w:r>
        <w:lastRenderedPageBreak/>
        <w:t>denegar la suspensión cuando de ésta pueda seguirse perturbación grave de los intereses generales o de los derechos fundamentales o libertades públicas de un tercero.</w:t>
      </w:r>
    </w:p>
    <w:p w:rsidR="008B3772" w:rsidRDefault="008B3772" w:rsidP="008B3772">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(entre otros, AATC 64/2001, de 26 de marzo, y 4/2006, de 16 de enero).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 LOTC. En este sentido por perjuicio irreparable se ha de entender aquel que provoque que el restablecimiento del recurrente en el derecho constitucional vulnerado resulte tardío y convierta el amparo en meramente ilusorio y nominal (por todos, AATC 170/2001, de 22de junio; 9/2003, de 20 de enero, y 338/2005, de 26 de septiembre).</w:t>
      </w:r>
    </w:p>
    <w:p w:rsidR="008B3772" w:rsidRDefault="008B3772" w:rsidP="008B3772">
      <w:pPr>
        <w:pStyle w:val="TextoNormal"/>
      </w:pPr>
    </w:p>
    <w:p w:rsidR="008B3772" w:rsidRDefault="008B3772" w:rsidP="008B3772">
      <w:pPr>
        <w:pStyle w:val="TextoNormal"/>
      </w:pPr>
      <w:r w:rsidRPr="008B3772">
        <w:rPr>
          <w:rStyle w:val="NumeroAFNegritaCaracter"/>
        </w:rPr>
        <w:t>2</w:t>
      </w:r>
      <w:r>
        <w:t>. Descendiendo en el análisis del caso al que se refiere la presente petición de suspensión, vista la naturaleza de la pena que se ha impuesto al recurrente (tres años de prisión), conviene recordar que este Tribunal ha declarado que procederá en principio acordar la suspensión si las resoluciones judiciales afectan a bienes o derechos del recurrente en amparo de imposible y muy difícil sustitución a su estado anterior, como ocurre en el supuesto de las condenas a penas de privación de libertad, si bien este criterio general tampoco es absoluto, pues nuestro enjuiciamiento también debe ponderar en dichos supuestos otras circunstancias relevantes, tales como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todas ellas cobra especial relevancia la referida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140/2004, de 26 de abril; 334/2004, de 13 de septiembre, y 349/2004, de 20 de septiembre). La atención al criterio de la eficacia reparadora —al menos parcial— del recurso de amparo con respecto a las condenas de este carácter también ha llevado a este Tribunal a valorar el tiempo que resta de cumplimiento de la pena privativa de libertad en relación con la previsible duración del proceso de amparo (Así, ATC 529/2004, de 20 de diciembre).</w:t>
      </w:r>
    </w:p>
    <w:p w:rsidR="008B3772" w:rsidRDefault="008B3772" w:rsidP="008B3772">
      <w:pPr>
        <w:pStyle w:val="TextoNormal"/>
      </w:pPr>
      <w:r>
        <w:t>En relación al asunto sometido a nuestra consideración, en el cual la demanda se dirige frente a lo que se considera una denegación arbitraria del beneficio de la suspensión de la condena, también hemos afirmado que “es evidente que la duración de la pena es una circunstancia que adquiere especial significación, pues, cuando se trate de penas privativas de libertad de corta duración es posible que, para el caso de no suspenderse la ejecución de la resolución recurrida, el amparo pueda perder su finalidad y el daño para el derecho fundamental invocado sea ya irreparable” (ATC 283/2000, de 11 de diciembre).</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3</w:t>
      </w:r>
      <w:r>
        <w:t>. Conjugados todos estos criterios procede, en el presente caso, conceder la suspensión solicitada. En efecto, no obstante la naturaleza de los hechos por los que se ha condenado al recurrente y su trascendencia social (delito contra la salud pública), la pena impuesta por la Sección Segunda de la Audiencia Provincial de Alicante (tres años de prisión) en Sentencia de conformidad de 25 de enero de 2002 era la mínima legalmente prevista en la redacción vigente del art. 368 CP (de tres a nueve años) para la ejecución de los actos en él contemplados en relación con “sustancias o productos que causen grave daño a la salud”. Y, fundamentalmente, si se compara la duración de la pena privativa de libertad que resta por cumplir al demandante (ingresó en el Centro penitenciario de Alicante tras su detención el día 10 de mayo de 2006) con el tiempo que requiere normalmente la tramitación de un proceso de amparo como el presente, resultaría que, de no acordarse la suspensión, podía llegar a ocasionársele un perjuicio irreparable que dejara en entredicho la eficacia de un eventual fallo estimatorio de la demanda, por cuanto la pena privativa de libertad podría estar a punto de cumplirse o haberse ya cumplido en su totalidad.</w:t>
      </w:r>
    </w:p>
    <w:p w:rsidR="008B3772" w:rsidRDefault="008B3772" w:rsidP="008B3772">
      <w:pPr>
        <w:pStyle w:val="TextoNormal"/>
      </w:pPr>
      <w:r>
        <w:t>Por otra parte, atendidas todas las circunstancias concurrentes en el caso, no se aprecia que acceder a la suspensión solicitada ocasione una lesión específica y grave de intereses generales (más allá de aquella que de por sí produce la no ejecución de un fallo judicial), o de derechos fundamentales o libertades públicas de terceros, no teniendo que hacer frente el recurrente a responsabilidad civil alguna en virtud de la Sentencia dictada y habiendo hecho efectivo el abono de la pena de multa también impuesta. Respecto del riesgo de eludir la acción de la Justicia, criterio relevante a la hora de hacer esta ponderación conforme hemos visto, no se hace referencia a él ni se infiere su existencia de las resoluciones judiciales adoptadas en el curso de la presente ejecutoria, habiendo permanecido además el recurrente en libertad desde la firmeza de la Sentencia condenatoria (Auto de 6 de mayo de 2002) hasta su ingreso en prisión el día 10 de mayo de 2006.</w:t>
      </w:r>
    </w:p>
    <w:p w:rsidR="008B3772" w:rsidRDefault="008B3772" w:rsidP="008B3772">
      <w:pPr>
        <w:pStyle w:val="TextoNormal"/>
      </w:pPr>
    </w:p>
    <w:p w:rsidR="008B3772" w:rsidRDefault="008B3772" w:rsidP="008B3772">
      <w:pPr>
        <w:pStyle w:val="TextoNormal"/>
      </w:pPr>
      <w:r w:rsidRPr="008B3772">
        <w:rPr>
          <w:rStyle w:val="NumeroAFNegritaCaracter"/>
        </w:rPr>
        <w:t>4</w:t>
      </w:r>
      <w:r>
        <w:t>. Por lo demás resulta evidente que, aun cuando el objeto del presente recurso de amparo se circunscribe a la impugnación de los Autos denegatorios de la suspensión solicitada, de 15 de mayo y 3 de julio de 2006, es lo cierto que la eficacia de esta medida en relación con la salvaguarda del derecho fundamental a la libertad personal requiere, no sólo la suspensión de la eficacia de lo dispuesto en dichas resoluciones judiciales, sino también la de la ejecución de la Sentencia condenatoria en lo concerniente al cumplimiento de la pena privativa de libertad (adoptando este mismo criterio, AATC 283/2000, de 11 de diciembre, y 146/2006, de 24 de abril, FJ 2 y 3, respectivamente).</w:t>
      </w:r>
    </w:p>
    <w:p w:rsidR="008B3772" w:rsidRDefault="008B3772" w:rsidP="008B3772">
      <w:pPr>
        <w:pStyle w:val="TextoNormal"/>
      </w:pPr>
    </w:p>
    <w:p w:rsidR="008B3772" w:rsidRDefault="008B3772" w:rsidP="008B3772">
      <w:pPr>
        <w:pStyle w:val="TextoNormal"/>
      </w:pPr>
      <w:r>
        <w:t>Por todo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Suspender la ejecución de la pena privativa de libertad impuesta por la Sentencia de la Sección Segunda de la Audiencia Provincial de Alicante de 25 de enero de 2002, así como la de los acuerdos adoptados en los Autos de 15 de mayo y 3 de julio de 2006,</w:t>
      </w:r>
    </w:p>
    <w:p w:rsidR="008B3772" w:rsidRDefault="008B3772" w:rsidP="008B3772">
      <w:pPr>
        <w:pStyle w:val="TextoNormal"/>
      </w:pPr>
      <w:r>
        <w:t>dictados en la ejecutoria 44/2002, procedente del procedimiento abreviado núm. 46-2000 del Juzgado de Instrucción núm. 4 de Denia.</w:t>
      </w:r>
    </w:p>
    <w:p w:rsidR="008B3772" w:rsidRDefault="008B3772" w:rsidP="008B3772">
      <w:pPr>
        <w:pStyle w:val="TextoNormal"/>
      </w:pPr>
    </w:p>
    <w:p w:rsidR="008B3772" w:rsidRDefault="008B3772" w:rsidP="008B3772">
      <w:pPr>
        <w:pStyle w:val="TextoNormal"/>
      </w:pPr>
      <w:r>
        <w:t>Madrid, a cuatro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38" w:name="AUTO_2007_274"/>
      <w:r>
        <w:lastRenderedPageBreak/>
        <w:t>AUTO 274/2007, de 4 de junio de 2007</w:t>
      </w:r>
    </w:p>
    <w:bookmarkEnd w:id="138"/>
    <w:p w:rsidR="008B3772" w:rsidRDefault="008B3772" w:rsidP="008B3772">
      <w:pPr>
        <w:pStyle w:val="TtuloResolucin"/>
      </w:pPr>
      <w:r>
        <w:t>Sección Cuarta</w:t>
      </w:r>
    </w:p>
    <w:p w:rsidR="008B3772" w:rsidRDefault="008B3772" w:rsidP="008B3772">
      <w:pPr>
        <w:pStyle w:val="TtuloResolucin"/>
      </w:pPr>
    </w:p>
    <w:p w:rsidR="008B3772" w:rsidRDefault="008B3772" w:rsidP="008B3772">
      <w:pPr>
        <w:pStyle w:val="SntesisDescriptiva"/>
      </w:pPr>
      <w:r>
        <w:t>ECLI:ES:TC:2007:274A</w:t>
      </w:r>
    </w:p>
    <w:p w:rsidR="008B3772" w:rsidRDefault="008B3772" w:rsidP="008B3772">
      <w:pPr>
        <w:pStyle w:val="SntesisDescriptiva"/>
      </w:pPr>
    </w:p>
    <w:p w:rsidR="008B3772" w:rsidRDefault="008B3772" w:rsidP="008B3772">
      <w:pPr>
        <w:pStyle w:val="SntesisDescriptiva"/>
      </w:pPr>
      <w:r>
        <w:t>Excms. Srs. don Vicente Conde Martín de Hijas, doña Elisa Pérez Vera y don Ramón Rodríguez Arribas.</w:t>
      </w:r>
    </w:p>
    <w:p w:rsidR="008B3772" w:rsidRDefault="008B3772" w:rsidP="008B3772">
      <w:pPr>
        <w:pStyle w:val="SntesisDescriptiva"/>
      </w:pPr>
    </w:p>
    <w:p w:rsidR="008B3772" w:rsidRDefault="008B3772" w:rsidP="008B3772">
      <w:pPr>
        <w:pStyle w:val="SntesisDescriptiva"/>
      </w:pPr>
      <w:r>
        <w:t>Acuerda el desistimiento en el recurso de amparo 772-2007, promovido en litigio social.</w:t>
      </w:r>
    </w:p>
    <w:p w:rsidR="008B3772" w:rsidRDefault="008B3772" w:rsidP="008B3772">
      <w:pPr>
        <w:pStyle w:val="SntesisDescriptiva"/>
      </w:pPr>
    </w:p>
    <w:p w:rsidR="008B3772" w:rsidRDefault="008B3772" w:rsidP="008B3772">
      <w:pPr>
        <w:pStyle w:val="TtuloResolucin"/>
      </w:pPr>
      <w:r>
        <w:t>*Este auto no incorpora doctrina constitucional.</w:t>
      </w:r>
    </w:p>
    <w:p w:rsidR="008B3772" w:rsidRDefault="008B3772">
      <w:pPr>
        <w:spacing w:after="160" w:line="259" w:lineRule="auto"/>
        <w:rPr>
          <w:rFonts w:ascii="Times New Roman" w:eastAsia="Times New Roman" w:hAnsi="Times New Roman" w:cs="Times New Roman"/>
          <w:b/>
          <w:sz w:val="24"/>
          <w:szCs w:val="24"/>
          <w:lang w:eastAsia="es-ES"/>
        </w:rPr>
      </w:pPr>
      <w:r>
        <w:br w:type="page"/>
      </w:r>
    </w:p>
    <w:p w:rsidR="008B3772" w:rsidRDefault="008B3772" w:rsidP="008B3772">
      <w:pPr>
        <w:pStyle w:val="TtuloResolucin"/>
      </w:pPr>
      <w:bookmarkStart w:id="139" w:name="AUTO_2007_275"/>
      <w:r>
        <w:lastRenderedPageBreak/>
        <w:t>AUTO 275/2007, de 7 de junio de 2007</w:t>
      </w:r>
    </w:p>
    <w:bookmarkEnd w:id="139"/>
    <w:p w:rsidR="008B3772" w:rsidRDefault="008B3772" w:rsidP="008B3772">
      <w:pPr>
        <w:pStyle w:val="TtuloResolucin"/>
      </w:pPr>
      <w:r>
        <w:t>Sección Segunda</w:t>
      </w:r>
    </w:p>
    <w:p w:rsidR="008B3772" w:rsidRDefault="008B3772" w:rsidP="008B3772">
      <w:pPr>
        <w:pStyle w:val="TtuloResolucin"/>
      </w:pPr>
    </w:p>
    <w:p w:rsidR="008B3772" w:rsidRDefault="008B3772" w:rsidP="008B3772">
      <w:pPr>
        <w:pStyle w:val="SntesisDescriptiva"/>
      </w:pPr>
      <w:r>
        <w:t>ECLI:ES:TC:2007:275A</w:t>
      </w:r>
    </w:p>
    <w:p w:rsidR="008B3772" w:rsidRDefault="008B3772" w:rsidP="008B3772">
      <w:pPr>
        <w:pStyle w:val="SntesisDescriptiva"/>
      </w:pPr>
    </w:p>
    <w:p w:rsidR="008B3772" w:rsidRDefault="008B3772" w:rsidP="008B3772">
      <w:pPr>
        <w:pStyle w:val="SntesisDescriptiva"/>
      </w:pPr>
      <w:r>
        <w:t>Excms. Srs. don Jorge Rodríguez-Zapata Pérez, don Roberto García-Calvo y Montiel y don Pablo Pérez Tremps.</w:t>
      </w:r>
    </w:p>
    <w:p w:rsidR="008B3772" w:rsidRDefault="008B3772" w:rsidP="008B3772">
      <w:pPr>
        <w:pStyle w:val="SntesisDescriptiva"/>
      </w:pPr>
    </w:p>
    <w:p w:rsidR="008B3772" w:rsidRDefault="008B3772" w:rsidP="008B3772">
      <w:pPr>
        <w:pStyle w:val="SntesisDescriptiva"/>
      </w:pPr>
      <w:r>
        <w:t>Inadmite la solicitud de nulidad y desestima el recurso de súplica sobre inadmisión del recurso de amparo 1830-2004, promovido por don Deogracias Talaverano Rico en pleito sobre responsabilidad civil.</w:t>
      </w:r>
    </w:p>
    <w:p w:rsidR="008B3772" w:rsidRDefault="008B3772" w:rsidP="008B3772">
      <w:pPr>
        <w:pStyle w:val="SntesisDescriptiva"/>
      </w:pPr>
    </w:p>
    <w:p w:rsidR="008B3772" w:rsidRDefault="008B3772" w:rsidP="008B3772">
      <w:pPr>
        <w:pStyle w:val="SntesisAnaltica"/>
      </w:pPr>
      <w:r>
        <w:t>Recurso de súplica contra providencias de inadmisión del Tribunal Constitucional: desestimación.</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este Tribunal el 22 de marzo de 2004, don Deogracias Talaverano Rico, actuando en su propio nombre y representación, interpuso recurso de amparo contra el Auto de la Sala de lo Civil y lo Penal del Tribunal Superior de Justicia de Cataluña de 2 de marzo de 2004, que desestima el incidente de nulidad de actuaciones promovido contra la Sentencia de 2 de febrero de 2004, que desestima demanda de responsabilidad civil núm. 79-2003, aduciendo la vulneración del art. 24.1 CE, en relación con la interpretación y aplicación del art. 1902 CC.</w:t>
      </w:r>
    </w:p>
    <w:p w:rsidR="008B3772" w:rsidRDefault="008B3772" w:rsidP="008B3772">
      <w:pPr>
        <w:pStyle w:val="TextoNormal"/>
      </w:pPr>
    </w:p>
    <w:p w:rsidR="008B3772" w:rsidRDefault="008B3772" w:rsidP="008B3772">
      <w:pPr>
        <w:pStyle w:val="TextoNormal"/>
      </w:pPr>
      <w:r w:rsidRPr="008B3772">
        <w:rPr>
          <w:rStyle w:val="NumeroAFNegritaCaracter"/>
        </w:rPr>
        <w:t>2</w:t>
      </w:r>
      <w:r>
        <w:t>. La Sección Segunda de este Tribunal, por providencia de 8 de octubre de 2004, inadmitió el recurso de amparo al apreciar que concurría la causa prevista en el art. 50.1 a), en relación con el art. 44.1 a) LOTC, de falta de agotamiento de todos los recursos utilizables dentro de la vía judicial, toda vez que al tiempo que el recurrente interpuso el presente recurso de amparo, mantenía abierta la vía judicial a través de la interposición de un incidente de nulidad de actuaciones que no fue resuelto hasta el 29 de marzo de 2004 y, por tanto, con posterioridad a la presentación de este amparo. A esos efectos, en la providencia se hacía constar que el recurrente solicitó tener por preparado recurso de casación contra la Sentencia de 2 de marzo de 2004, lo que había sido denegado por Auto de 2 de marzo de 2004, contra el que el recurrente interpuso un incidente de nulidad de actuaciones que fue inadmitido por providencia de 29 de marzo de 2004, lo que había dado lugar a la interposición de un nuevo recurso de amparo el 6 de abril de 2004, que había sido turnado con el núm. 2270-2004.</w:t>
      </w:r>
    </w:p>
    <w:p w:rsidR="008B3772" w:rsidRDefault="008B3772" w:rsidP="008B3772">
      <w:pPr>
        <w:pStyle w:val="TextoNormal"/>
      </w:pPr>
    </w:p>
    <w:p w:rsidR="008B3772" w:rsidRDefault="008B3772" w:rsidP="008B3772">
      <w:pPr>
        <w:pStyle w:val="TextoNormal"/>
      </w:pPr>
      <w:r w:rsidRPr="008B3772">
        <w:rPr>
          <w:rStyle w:val="NumeroAFNegritaCaracter"/>
        </w:rPr>
        <w:t>3</w:t>
      </w:r>
      <w:r>
        <w:t>. El recurrente, por escrito registrado el 3 de noviembre de 2004, interpuso incidente de nulidad de actuaciones contra la providencia de inadmisión de 8 de octubre de 2004, solicitando su revocación.</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4</w:t>
      </w:r>
      <w:r>
        <w:t>. El Ministerio Fiscal, por escrito registrado el 4 de noviembre de 2004, interpuso recurso de súplica contra la providencia de inadmisión de 8 de octubre de 2004, por entender que, a pesar de aparecer citado expresamente el recurso de amparo núm. 2270-2004 como fuente de la descripción de todo el iter procesal que daba lugar a considera acreditada la falta de agotamiento de la vía judicial previa, sin embargo, “… no aparece constatado en el presente recurso más allá de lo que se expresa en la misma decisión que lo inadmite, por lo que … debe dejarse la misma sin efecto y, una vez que se aporten los referidos soportes probatorios, adoptar la que sea procedente”.</w:t>
      </w:r>
    </w:p>
    <w:p w:rsidR="008B3772" w:rsidRDefault="008B3772" w:rsidP="008B3772">
      <w:pPr>
        <w:pStyle w:val="TextoNormal"/>
      </w:pPr>
    </w:p>
    <w:p w:rsidR="008B3772" w:rsidRDefault="008B3772" w:rsidP="008B3772">
      <w:pPr>
        <w:pStyle w:val="TextoNormal"/>
      </w:pPr>
      <w:r w:rsidRPr="008B3772">
        <w:rPr>
          <w:rStyle w:val="NumeroAFNegritaCaracter"/>
        </w:rPr>
        <w:t>5</w:t>
      </w:r>
      <w:r>
        <w:t>. La Secretaría de Justicia de la Sección Segunda de este Tribunal, por diligencia de ordenación de 26 de abril de 2007, acordó dar traslado al recurrente del recurso de súplica para que alegara lo que estimara pertinente.</w:t>
      </w:r>
    </w:p>
    <w:p w:rsidR="008B3772" w:rsidRDefault="008B3772" w:rsidP="008B3772">
      <w:pPr>
        <w:pStyle w:val="TextoNormal"/>
      </w:pPr>
    </w:p>
    <w:p w:rsidR="008B3772" w:rsidRDefault="008B3772" w:rsidP="008B3772">
      <w:pPr>
        <w:pStyle w:val="TextoNormal"/>
      </w:pPr>
      <w:r w:rsidRPr="008B3772">
        <w:rPr>
          <w:rStyle w:val="NumeroAFNegritaCaracter"/>
        </w:rPr>
        <w:t>6</w:t>
      </w:r>
      <w:r>
        <w:t>. El recurrente, por escrito registrado el 18 de mayo de 2007, se adhirió íntegramente al recurso de súplica.</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La solicitud instada por el recurrente de nulidad de la providencia de inadmisión dictada en el presente recurso de amparo debe ser inadmitida a trámite, toda vez que, conforme a lo dispuesto en el art. 50.2 LOTC, contra dicha resolución solamente podrá recurrir el Ministerio Fiscal, en súplica, en el plazo de tres días; no siendo de aplicación supletoria ni por vía de analogía al procedimiento de amparo, como ya ha reiterado este Tribunal, las previsiones de la Ley Orgánica del Poder Judicial (LOPJ) sobre nulidad de actuaciones (ATC 46/1998, de 24 de febrero, FJ 1).</w:t>
      </w:r>
    </w:p>
    <w:p w:rsidR="008B3772" w:rsidRDefault="008B3772" w:rsidP="008B3772">
      <w:pPr>
        <w:pStyle w:val="TextoNormal"/>
      </w:pPr>
    </w:p>
    <w:p w:rsidR="008B3772" w:rsidRDefault="008B3772" w:rsidP="008B3772">
      <w:pPr>
        <w:pStyle w:val="TextoNormal"/>
      </w:pPr>
      <w:r w:rsidRPr="008B3772">
        <w:rPr>
          <w:rStyle w:val="NumeroAFNegritaCaracter"/>
        </w:rPr>
        <w:t>2</w:t>
      </w:r>
      <w:r>
        <w:t>. El recurso de suplica interpuesto por el Ministerio Fiscal contra la providencia de inadmisión dictada en el presente recurso de amparo debe ser desestimado. En efecto, aunque en las actuaciones del presente recurso de amparo no quedara documentado el iter procesal relatado en la providencia de inadmisión, con la incorporación del testimonio íntegro de las actuaciones reseñadas en el recurso de amparo núm. 2270-2004, sin embargo, en la providencia recurrida en súplica se hace mención expresa a que dicha información tiene su origen en lo documentado en el citado recurso de amparo núm. 2270-2004. Esta circunstancia impide afirmar que la decisión de inadmisión adoptada por esta Sección no contaba con el soporte probatorio adecuado, toda vez que su propio contenido pone de manifiesto que se valoraron actuaciones que figuran en los archivos de este Tribunal, aportadas por el propio recurrente y de las que también tomó conocimiento directo el Ministerio Fiscal, a quien fue notificado el 13 de octubre de 2004 la providencia de inadmisión dictada en el recurso de amparo núm. 2270-2004 y, por tanto, con anterioridad a que le fuera notificada el 29 de octubre de 2004 la providencia ahora recurrida en súplica.</w:t>
      </w:r>
    </w:p>
    <w:p w:rsidR="008B3772" w:rsidRDefault="008B3772" w:rsidP="008B3772">
      <w:pPr>
        <w:pStyle w:val="TextoNormal"/>
      </w:pPr>
    </w:p>
    <w:p w:rsidR="008B3772" w:rsidRDefault="008B3772" w:rsidP="008B3772">
      <w:pPr>
        <w:pStyle w:val="TextoNormal"/>
      </w:pPr>
      <w:r>
        <w:t>Por todo ello, la Sección</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lastRenderedPageBreak/>
        <w:t>1. Inadmitir la solicitud de nulidad instada por don Deogracias Talaverano Rico contra la providencia de esta Sección de 8 de julio de 2004.</w:t>
      </w:r>
    </w:p>
    <w:p w:rsidR="008B3772" w:rsidRDefault="008B3772" w:rsidP="008B3772">
      <w:pPr>
        <w:pStyle w:val="TextoNormal"/>
      </w:pPr>
      <w:r>
        <w:t>2. Desestimar el recurso de súplica interpuesto por el Ministerio Fiscal contra la providencia de esta Sección de 8 de julio de 2004.</w:t>
      </w:r>
    </w:p>
    <w:p w:rsidR="008B3772" w:rsidRDefault="008B3772" w:rsidP="008B3772">
      <w:pPr>
        <w:pStyle w:val="TextoNormal"/>
      </w:pPr>
    </w:p>
    <w:p w:rsidR="008B3772" w:rsidRDefault="008B3772" w:rsidP="008B3772">
      <w:pPr>
        <w:pStyle w:val="TextoNormal"/>
      </w:pPr>
      <w:r>
        <w:t>Madrid, a siete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40" w:name="AUTO_2007_276"/>
      <w:r>
        <w:lastRenderedPageBreak/>
        <w:t>AUTO 276/2007, de 7 de junio de 2007</w:t>
      </w:r>
    </w:p>
    <w:bookmarkEnd w:id="140"/>
    <w:p w:rsidR="008B3772" w:rsidRDefault="008B3772" w:rsidP="008B3772">
      <w:pPr>
        <w:pStyle w:val="TtuloResolucin"/>
      </w:pPr>
      <w:r>
        <w:t>Sección Segunda</w:t>
      </w:r>
    </w:p>
    <w:p w:rsidR="008B3772" w:rsidRDefault="008B3772" w:rsidP="008B3772">
      <w:pPr>
        <w:pStyle w:val="TtuloResolucin"/>
      </w:pPr>
    </w:p>
    <w:p w:rsidR="008B3772" w:rsidRDefault="008B3772" w:rsidP="008B3772">
      <w:pPr>
        <w:pStyle w:val="SntesisDescriptiva"/>
      </w:pPr>
      <w:r>
        <w:t>ECLI:ES:TC:2007:276A</w:t>
      </w:r>
    </w:p>
    <w:p w:rsidR="008B3772" w:rsidRDefault="008B3772" w:rsidP="008B3772">
      <w:pPr>
        <w:pStyle w:val="SntesisDescriptiva"/>
      </w:pPr>
    </w:p>
    <w:p w:rsidR="008B3772" w:rsidRDefault="008B3772" w:rsidP="008B3772">
      <w:pPr>
        <w:pStyle w:val="SntesisDescriptiva"/>
      </w:pPr>
      <w:r>
        <w:t>Excms. Srs. don Jorge Rodríguez-Zapata Pérez, don Roberto García-Calvo y Montiel y don Pablo Pérez Tremps.</w:t>
      </w:r>
    </w:p>
    <w:p w:rsidR="008B3772" w:rsidRDefault="008B3772" w:rsidP="008B3772">
      <w:pPr>
        <w:pStyle w:val="SntesisDescriptiva"/>
      </w:pPr>
    </w:p>
    <w:p w:rsidR="008B3772" w:rsidRDefault="008B3772" w:rsidP="008B3772">
      <w:pPr>
        <w:pStyle w:val="SntesisDescriptiva"/>
      </w:pPr>
      <w:r>
        <w:t>Inadmite la solicitud de nulidad y desestima el recurso de súplica sobre inadmisión del recurso de amparo 1834-2004, promovido por don Deogracias Talaverano Rico en pleito sobre responsabilidad civil.</w:t>
      </w:r>
    </w:p>
    <w:p w:rsidR="008B3772" w:rsidRDefault="008B3772" w:rsidP="008B3772">
      <w:pPr>
        <w:pStyle w:val="SntesisDescriptiva"/>
      </w:pPr>
    </w:p>
    <w:p w:rsidR="008B3772" w:rsidRDefault="008B3772" w:rsidP="008B3772">
      <w:pPr>
        <w:pStyle w:val="SntesisAnaltica"/>
      </w:pPr>
      <w:r>
        <w:t>Recurso de súplica contra providencias de inadmisión del Tribunal Constitucional: ATC 275/2007.</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este Tribunal el 22 de marzo de 2004, don Deogracias Talaverano Rico, actuando en su propio nombre y representación, interpuso recurso de amparo contra el Auto de la Sala de lo Civil y lo Penal del Tribunal Superior de Justicia de Cataluña de 2 de marzo de 2004, que desestima el incidente de nulidad de actuaciones promovido contra la Sentencia de 2 de febrero de 2004, que desestima demanda de responsabilidad civil núm. 79-2003, aduciendo la vulneración del art. 24.1 CE, en relación con la interpretación y aplicación de los arts. 416, 417 y 425 LEC.</w:t>
      </w:r>
    </w:p>
    <w:p w:rsidR="008B3772" w:rsidRDefault="008B3772" w:rsidP="008B3772">
      <w:pPr>
        <w:pStyle w:val="TextoNormal"/>
      </w:pPr>
    </w:p>
    <w:p w:rsidR="008B3772" w:rsidRDefault="008B3772" w:rsidP="008B3772">
      <w:pPr>
        <w:pStyle w:val="TextoNormal"/>
      </w:pPr>
      <w:r w:rsidRPr="008B3772">
        <w:rPr>
          <w:rStyle w:val="NumeroAFNegritaCaracter"/>
        </w:rPr>
        <w:t>2</w:t>
      </w:r>
      <w:r>
        <w:t>. La Sección Segunda de este Tribunal, por providencia de 8 de octubre de 2004, inadmitió el recurso de amparo al apreciar que concurría la causa prevista en el art. 50.1 a), en relación con el art. 44.1 a) LOTC, de falta de agotamiento de todos los recursos utilizables dentro de la vía judicial, toda vez que al tiempo que el recurrente interpuso el presente recurso de amparo, mantenía abierta la vía judicial a través de la interposición de un incidente de nulidad de actuaciones que no fue resuelto hasta el 29 de marzo de 2004 y, por tanto, con posterioridad a la presentación de este amparo. A esos efectos, en la providencia se hacía constar que el recurrente solicitó tener por preparado recurso de casación contra la Sentencia de 2 de marzo de 2004, lo que había sido denegado por Auto de 2 de marzo de 2004, contra el que el recurrente interpuso un incidente de nulidad de actuaciones que fue inadmitido por providencia de 29 de marzo de 2004, lo que había dado lugar a la interposición de un nuevo recurso de amparo el 6 de abril de 2004, que había sido turnado con el núm. 2270-2004.</w:t>
      </w:r>
    </w:p>
    <w:p w:rsidR="008B3772" w:rsidRDefault="008B3772" w:rsidP="008B3772">
      <w:pPr>
        <w:pStyle w:val="TextoNormal"/>
      </w:pPr>
    </w:p>
    <w:p w:rsidR="008B3772" w:rsidRDefault="008B3772" w:rsidP="008B3772">
      <w:pPr>
        <w:pStyle w:val="TextoNormal"/>
      </w:pPr>
      <w:r w:rsidRPr="008B3772">
        <w:rPr>
          <w:rStyle w:val="NumeroAFNegritaCaracter"/>
        </w:rPr>
        <w:t>3</w:t>
      </w:r>
      <w:r>
        <w:t>. El recurrente, por escrito registrado el 3 de noviembre de 2004, interpuso incidente de nulidad de actuaciones contra la providencia de inadmisión de 8 de octubre de 2004, solicitando su revocación.</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4</w:t>
      </w:r>
      <w:r>
        <w:t>. El Ministerio Fiscal, por escrito registrado el 4 de noviembre de 2004, interpuso recurso de súplica contra la providencia de inadmisión de 8 de octubre de 2004, por entender que, a pesar de aparecer citado expresamente el recurso de amparo núm. 2270-2004 como fuente de la descripción de todo el iter procesal que daba lugar a considera acreditada la falta de agotamiento de la vía judicial previa, sin embargo, “… no aparece constatado en el presente recurso más allá de lo que se expresa en la misma decisión que lo inadmite, por lo que … debe dejarse la misma sin efecto y, una vez que se aporten los referidos soportes probatorios, adoptar la que sea procedente”.</w:t>
      </w:r>
    </w:p>
    <w:p w:rsidR="008B3772" w:rsidRDefault="008B3772" w:rsidP="008B3772">
      <w:pPr>
        <w:pStyle w:val="TextoNormal"/>
      </w:pPr>
    </w:p>
    <w:p w:rsidR="008B3772" w:rsidRDefault="008B3772" w:rsidP="008B3772">
      <w:pPr>
        <w:pStyle w:val="TextoNormal"/>
      </w:pPr>
      <w:r w:rsidRPr="008B3772">
        <w:rPr>
          <w:rStyle w:val="NumeroAFNegritaCaracter"/>
        </w:rPr>
        <w:t>5</w:t>
      </w:r>
      <w:r>
        <w:t>. La Secretaría de Justicia de la Sección Segunda de este Tribunal, por diligencia de ordenación de 26 de abril de 2007, acordó dar traslado al recurrente del recurso de súplica para que alegara lo que estimara pertinente.</w:t>
      </w:r>
    </w:p>
    <w:p w:rsidR="008B3772" w:rsidRDefault="008B3772" w:rsidP="008B3772">
      <w:pPr>
        <w:pStyle w:val="TextoNormal"/>
      </w:pPr>
    </w:p>
    <w:p w:rsidR="008B3772" w:rsidRDefault="008B3772" w:rsidP="008B3772">
      <w:pPr>
        <w:pStyle w:val="TextoNormal"/>
      </w:pPr>
      <w:r w:rsidRPr="008B3772">
        <w:rPr>
          <w:rStyle w:val="NumeroAFNegritaCaracter"/>
        </w:rPr>
        <w:t>6</w:t>
      </w:r>
      <w:r>
        <w:t>. El recurrente, por escrito registrado el 14 de mayo de 2007, se adhirió íntegramente al recurso de súplica.</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La solicitud instada por el recurrente de nulidad de la providencia de inadmisión dictada en el presente recurso de amparo debe ser inadmitida a trámite, toda vez que, conforme a lo dispuesto en el art. 50.2 LOTC, contra dicha resolución solamente podrá recurrir el Ministerio Fiscal, en súplica, en el plazo de tres días; no siendo de aplicación supletoria ni por vía de analogía al procedimiento de amparo, como ya ha reiterado este Tribunal, las previsiones de la Ley Orgánica del Poder Judicial (LOPJ) sobre nulidad de actuaciones (ATC 46/1998, de 24 de febrero, FJ 1).</w:t>
      </w:r>
    </w:p>
    <w:p w:rsidR="008B3772" w:rsidRDefault="008B3772" w:rsidP="008B3772">
      <w:pPr>
        <w:pStyle w:val="TextoNormal"/>
      </w:pPr>
    </w:p>
    <w:p w:rsidR="008B3772" w:rsidRDefault="008B3772" w:rsidP="008B3772">
      <w:pPr>
        <w:pStyle w:val="TextoNormal"/>
      </w:pPr>
      <w:r w:rsidRPr="008B3772">
        <w:rPr>
          <w:rStyle w:val="NumeroAFNegritaCaracter"/>
        </w:rPr>
        <w:t>2</w:t>
      </w:r>
      <w:r>
        <w:t>. El recurso de suplica interpuesto por el Ministerio Fiscal contra la providencia de inadmisión dictada en el presente recurso de amparo debe ser desestimado. En efecto, aunque en las actuaciones del presente recurso de amparo no quedara documentado el iter procesal relatado en la providencia de inadmisión, con la incorporación del testimonio íntegro de las actuaciones reseñadas en el recurso de amparo núm. 2270-2004, sin embargo, en la providencia recurrida en súplica se hace mención expresa a que dicha información tiene su origen en lo documentado en el citado recurso de amparo núm. 2270-2004. Esta circunstancia impide afirmar que la decisión de inadmisión adoptada por esta Sección no contaba con el soporte probatorio adecuado, toda vez que su propio contenido pone de manifiesto que se valoraron actuaciones que figuran en los archivos de este Tribunal, aportadas por el propio recurrente y de las que también tomó conocimiento directo el Ministerio Fiscal, a quien fue notificado el 13 de octubre de 2004 la providencia de inadmisión dictada en el recurso de amparo núm. 2270-2004 y, por tanto, con anterioridad a que le fuera notificada el 29 de octubre de 2004 la providencia ahora recurrida en súplica.</w:t>
      </w:r>
    </w:p>
    <w:p w:rsidR="008B3772" w:rsidRDefault="008B3772" w:rsidP="008B3772">
      <w:pPr>
        <w:pStyle w:val="TextoNormal"/>
      </w:pPr>
    </w:p>
    <w:p w:rsidR="008B3772" w:rsidRDefault="008B3772" w:rsidP="008B3772">
      <w:pPr>
        <w:pStyle w:val="TextoNormal"/>
      </w:pPr>
      <w:r>
        <w:t>Por todo ello, la Sección</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lastRenderedPageBreak/>
        <w:t>1. Inadmitir la solicitud de nulidad instada por don Deogracias Talaverano Rico contra la providencia de esta Sección de 8 de julio de 2004.</w:t>
      </w:r>
    </w:p>
    <w:p w:rsidR="008B3772" w:rsidRDefault="008B3772" w:rsidP="008B3772">
      <w:pPr>
        <w:pStyle w:val="TextoNormal"/>
      </w:pPr>
      <w:r>
        <w:t>2. Desestimar el recurso de súplica interpuesto por el Ministerio Fiscal contra la providencia de esta Sección de 8 de julio de 2004.</w:t>
      </w:r>
    </w:p>
    <w:p w:rsidR="008B3772" w:rsidRDefault="008B3772" w:rsidP="008B3772">
      <w:pPr>
        <w:pStyle w:val="TextoNormal"/>
      </w:pPr>
    </w:p>
    <w:p w:rsidR="008B3772" w:rsidRDefault="008B3772" w:rsidP="008B3772">
      <w:pPr>
        <w:pStyle w:val="TextoNormal"/>
      </w:pPr>
      <w:r>
        <w:t>Madrid, a siete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41" w:name="AUTO_2007_277"/>
      <w:r>
        <w:lastRenderedPageBreak/>
        <w:t>AUTO 277/2007, de 7 de junio de 2007</w:t>
      </w:r>
    </w:p>
    <w:bookmarkEnd w:id="141"/>
    <w:p w:rsidR="008B3772" w:rsidRDefault="008B3772" w:rsidP="008B3772">
      <w:pPr>
        <w:pStyle w:val="TtuloResolucin"/>
      </w:pPr>
      <w:r>
        <w:t>Sección Segunda</w:t>
      </w:r>
    </w:p>
    <w:p w:rsidR="008B3772" w:rsidRDefault="008B3772" w:rsidP="008B3772">
      <w:pPr>
        <w:pStyle w:val="TtuloResolucin"/>
      </w:pPr>
    </w:p>
    <w:p w:rsidR="008B3772" w:rsidRDefault="008B3772" w:rsidP="008B3772">
      <w:pPr>
        <w:pStyle w:val="SntesisDescriptiva"/>
      </w:pPr>
      <w:r>
        <w:t>ECLI:ES:TC:2007:277A</w:t>
      </w:r>
    </w:p>
    <w:p w:rsidR="008B3772" w:rsidRDefault="008B3772" w:rsidP="008B3772">
      <w:pPr>
        <w:pStyle w:val="SntesisDescriptiva"/>
      </w:pPr>
    </w:p>
    <w:p w:rsidR="008B3772" w:rsidRDefault="008B3772" w:rsidP="008B3772">
      <w:pPr>
        <w:pStyle w:val="SntesisDescriptiva"/>
      </w:pPr>
      <w:r>
        <w:t>Excms. Srs. don Jorge Rodríguez-Zapata Pérez, don Roberto García-Calvo y Montiel y don Pablo Pérez Tremps.</w:t>
      </w:r>
    </w:p>
    <w:p w:rsidR="008B3772" w:rsidRDefault="008B3772" w:rsidP="008B3772">
      <w:pPr>
        <w:pStyle w:val="SntesisDescriptiva"/>
      </w:pPr>
    </w:p>
    <w:p w:rsidR="008B3772" w:rsidRDefault="008B3772" w:rsidP="008B3772">
      <w:pPr>
        <w:pStyle w:val="SntesisDescriptiva"/>
      </w:pPr>
      <w:r>
        <w:t>Inadmite la solicitud de nulidad y desestima el recurso de súplica sobre inadmisión del recurso de amparo 1836-2004, promovido por don Deogracias Talaverano Rico en pleito sobre responsabilidad civil.</w:t>
      </w:r>
    </w:p>
    <w:p w:rsidR="008B3772" w:rsidRDefault="008B3772" w:rsidP="008B3772">
      <w:pPr>
        <w:pStyle w:val="SntesisDescriptiva"/>
      </w:pPr>
    </w:p>
    <w:p w:rsidR="008B3772" w:rsidRDefault="008B3772" w:rsidP="008B3772">
      <w:pPr>
        <w:pStyle w:val="SntesisAnaltica"/>
      </w:pPr>
      <w:r>
        <w:t>Recurso de súplica contra providencias de inadmisión del Tribunal Constitucional: ATC 275/2007.</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este Tribunal el 22 de marzo de 2004, don Deogracias Talaverano Rico, actuando en su propio nombre y representación, interpuso recurso de amparo contra el Auto de la Sala de lo Civil y lo Penal del Tribunal Superior de Justicia de Cataluña de 2 de marzo de 2004, que desestima el incidente de nulidad de actuaciones promovido contra la Sentencia de 2 de febrero de 2004, que desestima demanda de responsabilidad civil núm. 79-2003, aduciendo la vulneración del art. 24.1 CE, en relación con la interpretación y aplicación de los arts. 428.3 y 429 LEC.</w:t>
      </w:r>
    </w:p>
    <w:p w:rsidR="008B3772" w:rsidRDefault="008B3772" w:rsidP="008B3772">
      <w:pPr>
        <w:pStyle w:val="TextoNormal"/>
      </w:pPr>
    </w:p>
    <w:p w:rsidR="008B3772" w:rsidRDefault="008B3772" w:rsidP="008B3772">
      <w:pPr>
        <w:pStyle w:val="TextoNormal"/>
      </w:pPr>
      <w:r w:rsidRPr="008B3772">
        <w:rPr>
          <w:rStyle w:val="NumeroAFNegritaCaracter"/>
        </w:rPr>
        <w:t>2</w:t>
      </w:r>
      <w:r>
        <w:t>. La Sección Segunda de este Tribunal, por providencia de 4 de octubre de 2004, inadmitió el recurso de amparo al apreciar que concurría la causa prevista en el art. 50.1 a), en relación con el art. 44.1 a) LOTC, de falta de agotamiento de todos los recursos utilizables dentro de la vía judicial, toda vez que al tiempo que el recurrente interpuso el presente recurso de amparo, mantenía abierta la vía judicial a través de la interposición de un incidente de nulidad de actuaciones que no fue resuelto hasta el 29 de marzo de 2004 y, por tanto, con posterioridad a la presentación de este amparo. A esos efectos, en la providencia se hacía constar que el recurrente solicitó tener por preparado recurso de casación contra la Sentencia de 2 de marzo de 2004, lo que había sido denegado por Auto de 2 de marzo de 2004, contra el que el recurrente interpuso un incidente de nulidad de actuaciones que fue inadmitido por providencia de 29 de marzo de 2004, lo que había dado lugar a la interposición de un nuevo recurso de amparo el 6 de abril de 2004, que había sido turnado con el núm. 2270-2004.</w:t>
      </w:r>
    </w:p>
    <w:p w:rsidR="008B3772" w:rsidRDefault="008B3772" w:rsidP="008B3772">
      <w:pPr>
        <w:pStyle w:val="TextoNormal"/>
      </w:pPr>
    </w:p>
    <w:p w:rsidR="008B3772" w:rsidRDefault="008B3772" w:rsidP="008B3772">
      <w:pPr>
        <w:pStyle w:val="TextoNormal"/>
      </w:pPr>
      <w:r w:rsidRPr="008B3772">
        <w:rPr>
          <w:rStyle w:val="NumeroAFNegritaCaracter"/>
        </w:rPr>
        <w:t>3</w:t>
      </w:r>
      <w:r>
        <w:t>. El recurrente, por escrito registrado el 3 de noviembre de 2004, interpuso incidente de nulidad de actuaciones contra la providencia de inadmisión de 8 de octubre de 2004, solicitando su revocación.</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4</w:t>
      </w:r>
      <w:r>
        <w:t>. El Ministerio Fiscal, por escrito registrado el 4 de noviembre de 2004, interpuso recurso de súplica contra la providencia de inadmisión de 8 de octubre de 2004, por entender que, a pesar de aparecer citado expresamente el recurso de amparo núm. 2270-2004 como fuente de la descripción de todo el iter procesal que daba lugar a considera acreditada la falta de agotamiento de la vía judicial previa, sin embargo, “… no aparece constatado en el presente recurso más allá de lo que se expresa en la misma decisión que lo inadmite, por lo que … debe dejarse la misma sin efecto y, una vez que se aporten los referidos soportes probatorios, adoptar la que sea procedente”.</w:t>
      </w:r>
    </w:p>
    <w:p w:rsidR="008B3772" w:rsidRDefault="008B3772" w:rsidP="008B3772">
      <w:pPr>
        <w:pStyle w:val="TextoNormal"/>
      </w:pPr>
    </w:p>
    <w:p w:rsidR="008B3772" w:rsidRDefault="008B3772" w:rsidP="008B3772">
      <w:pPr>
        <w:pStyle w:val="TextoNormal"/>
      </w:pPr>
      <w:r w:rsidRPr="008B3772">
        <w:rPr>
          <w:rStyle w:val="NumeroAFNegritaCaracter"/>
        </w:rPr>
        <w:t>5</w:t>
      </w:r>
      <w:r>
        <w:t>. La Secretaría de Justicia de la Sección Segunda de este Tribunal, por diligencia de ordenación de 26 de abril de 2007, acordó dar traslado al recurrente del recurso de súplica para que alegara lo que estimara pertinente.</w:t>
      </w:r>
    </w:p>
    <w:p w:rsidR="008B3772" w:rsidRDefault="008B3772" w:rsidP="008B3772">
      <w:pPr>
        <w:pStyle w:val="TextoNormal"/>
      </w:pPr>
    </w:p>
    <w:p w:rsidR="008B3772" w:rsidRDefault="008B3772" w:rsidP="008B3772">
      <w:pPr>
        <w:pStyle w:val="TextoNormal"/>
      </w:pPr>
      <w:r w:rsidRPr="008B3772">
        <w:rPr>
          <w:rStyle w:val="NumeroAFNegritaCaracter"/>
        </w:rPr>
        <w:t>6</w:t>
      </w:r>
      <w:r>
        <w:t>. El recurrente, por escrito registrado el 14 de mayo de 2007, se adhirió íntegramente al recurso de súplica.</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La solicitud instada por el recurrente de nulidad de la providencia de inadmisión dictada en el presente recurso de amparo debe ser inadmitida a trámite, toda vez que, conforme a lo dispuesto en el art. 50.2 LOTC, contra dicha resolución solamente podrá recurrir el Ministerio Fiscal, en súplica, en el plazo de tres días; no siendo de aplicación supletoria ni por vía de analogía al procedimiento de amparo, como ya ha reiterado este Tribunal, las previsiones de la Ley Orgánica del Poder Judicial (LOPJ) sobre nulidad de actuaciones (ATC 46/1998, de 24 de febrero, FJ 1).</w:t>
      </w:r>
    </w:p>
    <w:p w:rsidR="008B3772" w:rsidRDefault="008B3772" w:rsidP="008B3772">
      <w:pPr>
        <w:pStyle w:val="TextoNormal"/>
      </w:pPr>
    </w:p>
    <w:p w:rsidR="008B3772" w:rsidRDefault="008B3772" w:rsidP="008B3772">
      <w:pPr>
        <w:pStyle w:val="TextoNormal"/>
      </w:pPr>
      <w:r w:rsidRPr="008B3772">
        <w:rPr>
          <w:rStyle w:val="NumeroAFNegritaCaracter"/>
        </w:rPr>
        <w:t>2</w:t>
      </w:r>
      <w:r>
        <w:t>. El recurso de suplica interpuesto por el Ministerio Fiscal contra la providencia de inadmisión dictada en el presente recurso de amparo debe ser desestimado. En efecto, aunque en las actuaciones del presente recurso de amparo no quedara documentado el iter procesal relatado en la providencia de inadmisión, con la incorporación del testimonio íntegro de las actuaciones reseñadas en el recurso de amparo núm. 2270-2004, sin embargo, en la providencia recurrida en súplica se hace mención expresa a que dicha información tiene su origen en lo documentado en el citado recurso de amparo núm. 2270-2004. Esta circunstancia impide afirmar que la decisión de inadmisión adoptada por esta Sección no contaba con el soporte probatorio adecuado, toda vez que su propio contenido pone de manifiesto que se valoraron actuaciones que figuran en los archivos de este Tribunal, aportadas por el propio recurrente y de las que también tomó conocimiento directo el Ministerio Fiscal, a quien fue notificado el 13 de octubre de 2004 la providencia de inadmisión dictada en el recurso de amparo núm. 2270-2004 y, por tanto, con anterioridad a que le fuera notificada el 29 de octubre de 2004 la providencia ahora recurrida en súplica.</w:t>
      </w:r>
    </w:p>
    <w:p w:rsidR="008B3772" w:rsidRDefault="008B3772" w:rsidP="008B3772">
      <w:pPr>
        <w:pStyle w:val="TextoNormal"/>
      </w:pPr>
    </w:p>
    <w:p w:rsidR="008B3772" w:rsidRDefault="008B3772" w:rsidP="008B3772">
      <w:pPr>
        <w:pStyle w:val="TextoNormal"/>
      </w:pPr>
      <w:r>
        <w:t>Por todo ello, la Sección</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lastRenderedPageBreak/>
        <w:t>1. Inadmitir la solicitud de nulidad instada por don Deogracias Talaverano Rico contra la providencia de esta Sección de 8 de julio de 2004.</w:t>
      </w:r>
    </w:p>
    <w:p w:rsidR="008B3772" w:rsidRDefault="008B3772" w:rsidP="008B3772">
      <w:pPr>
        <w:pStyle w:val="TextoNormal"/>
      </w:pPr>
      <w:r>
        <w:t>2. Desestimar el recurso de súplica interpuesto por el Ministerio Fiscal contra la providencia de esta Sección de 8 de julio de 2004.</w:t>
      </w:r>
    </w:p>
    <w:p w:rsidR="008B3772" w:rsidRDefault="008B3772" w:rsidP="008B3772">
      <w:pPr>
        <w:pStyle w:val="TextoNormal"/>
      </w:pPr>
    </w:p>
    <w:p w:rsidR="008B3772" w:rsidRDefault="008B3772" w:rsidP="008B3772">
      <w:pPr>
        <w:pStyle w:val="TextoNormal"/>
      </w:pPr>
      <w:r>
        <w:t>Madrid, a siete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42" w:name="AUTO_2007_278"/>
      <w:r>
        <w:lastRenderedPageBreak/>
        <w:t>AUTO 278/2007, de 7 de junio de 2007</w:t>
      </w:r>
    </w:p>
    <w:bookmarkEnd w:id="142"/>
    <w:p w:rsidR="008B3772" w:rsidRDefault="008B3772" w:rsidP="008B3772">
      <w:pPr>
        <w:pStyle w:val="TtuloResolucin"/>
      </w:pPr>
      <w:r>
        <w:t>Sección Segunda</w:t>
      </w:r>
    </w:p>
    <w:p w:rsidR="008B3772" w:rsidRDefault="008B3772" w:rsidP="008B3772">
      <w:pPr>
        <w:pStyle w:val="TtuloResolucin"/>
      </w:pPr>
    </w:p>
    <w:p w:rsidR="008B3772" w:rsidRDefault="008B3772" w:rsidP="008B3772">
      <w:pPr>
        <w:pStyle w:val="SntesisDescriptiva"/>
      </w:pPr>
      <w:r>
        <w:t>ECLI:ES:TC:2007:278A</w:t>
      </w:r>
    </w:p>
    <w:p w:rsidR="008B3772" w:rsidRDefault="008B3772" w:rsidP="008B3772">
      <w:pPr>
        <w:pStyle w:val="SntesisDescriptiva"/>
      </w:pPr>
    </w:p>
    <w:p w:rsidR="008B3772" w:rsidRDefault="008B3772" w:rsidP="008B3772">
      <w:pPr>
        <w:pStyle w:val="SntesisDescriptiva"/>
      </w:pPr>
      <w:r>
        <w:t>Excms. Srs. don Jorge Rodríguez-Zapata Pérez, don Roberto García-Calvo y Montiel y don Pablo Pérez Tremps.</w:t>
      </w:r>
    </w:p>
    <w:p w:rsidR="008B3772" w:rsidRDefault="008B3772" w:rsidP="008B3772">
      <w:pPr>
        <w:pStyle w:val="SntesisDescriptiva"/>
      </w:pPr>
    </w:p>
    <w:p w:rsidR="008B3772" w:rsidRDefault="008B3772" w:rsidP="008B3772">
      <w:pPr>
        <w:pStyle w:val="SntesisDescriptiva"/>
      </w:pPr>
      <w:r>
        <w:t>Desestima el recurso de súplica sobre inadmisión del recurso de amparo 9424-2006, promovido por Abysal Systems, S.A., en litigio por despido.</w:t>
      </w:r>
    </w:p>
    <w:p w:rsidR="008B3772" w:rsidRDefault="008B3772" w:rsidP="008B3772">
      <w:pPr>
        <w:pStyle w:val="SntesisDescriptiva"/>
      </w:pPr>
    </w:p>
    <w:p w:rsidR="008B3772" w:rsidRDefault="008B3772" w:rsidP="008B3772">
      <w:pPr>
        <w:pStyle w:val="SntesisAnaltica"/>
      </w:pPr>
      <w:r>
        <w:t>Intangibilidad de las resoluciones judiciales: incidente de nulidad de actuaciones. Recurso de súplica contra providencias del Tribunal Constitucional: formulado por el Fiscal contra providencia de inadmisión.</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este Tribunal el 17 de octubre de 2006, el Procurador de los Tribunales don Federico José Olivares Santiago, en nombre y representación de Abysal Systems, S.A. y bajo la dirección del Letrado don Fernando Veiga Conde, interpuso recurso de amparo contra el Auto de la Sala de lo Social del Tribunal Supremo de 7 de junio de 2006, que inadmite el recurso de casación para la unificación de doctrina núm.3305-2005, promovido contra la Sentencia de la Sala de lo Social del Tribunal Superior de Justicia de Madrid de 31 de mayo de 2005, dictada en el recurso de suplicación núm. 913-2005, por la que se revoca el Auto del Juzgado de lo Social núm. 34 de Madrid de 19 de noviembre de 2004, sobre incidente de ejecución de Sentencia.</w:t>
      </w:r>
    </w:p>
    <w:p w:rsidR="008B3772" w:rsidRDefault="008B3772" w:rsidP="008B3772">
      <w:pPr>
        <w:pStyle w:val="TextoNormal"/>
      </w:pPr>
    </w:p>
    <w:p w:rsidR="008B3772" w:rsidRDefault="008B3772" w:rsidP="008B3772">
      <w:pPr>
        <w:pStyle w:val="TextoNormal"/>
      </w:pPr>
      <w:r w:rsidRPr="008B3772">
        <w:rPr>
          <w:rStyle w:val="NumeroAFNegritaCaracter"/>
        </w:rPr>
        <w:t>2</w:t>
      </w:r>
      <w:r>
        <w:t>. La entidad recurrente aduce en su demanda de amparo que la Sentencia de suplicación ha vulnerado su derecho a la tutela judicial efectiva (art. 24.1 CE) por un doble motivo. El primero, por haber incurrido en incongruencia extra petita, ya que se apartó del debate judicial suscitado en suplicación sobre la regularidad de la readmisión tras haber sido declarada la improcedencia del despido, al haber concedido más de lo solicitado por la trabajadora en relación con la determinación del salario regulador y la cuantificación de la indemnización y los salarios de tramitación. El segundo, porque dicha alteración supone infringir el derecho a la inmodificabilidad de una resolución judicial firme, toda vez que la determinación del salario regulador ya había sido fijada por la Sentencia cuya ejecución se estaba debatiendo.</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La Sección Segunda de este Tribunal, por providencia de 1 de marzo de 2007, inadmitió el recurso de amparo al apreciar que concurría la causa prevista en el art. 50.1 a), en relación con el art. 44.1 a) LOTC, de falta de agotamiento de todos los recursos utilizables dentro de la vía judicial. A esos efectos, en la providencia se hacía constar que la entidad recurrente, habiendo imputado a la resolución impugnada un vicio de incongruencia extra </w:t>
      </w:r>
      <w:r>
        <w:lastRenderedPageBreak/>
        <w:t>petita, sin embargo no había interpuesto el procedente incidente de nulidad de actuaciones, lo que era determinante para apreciar respecto de este motivo de amparo la falta de agotamiento, así como la de la invocación del derecho a la intangibilidad de las resoluciones firmes, al estar ambas quejas íntimamente conectadas.</w:t>
      </w:r>
    </w:p>
    <w:p w:rsidR="008B3772" w:rsidRDefault="008B3772" w:rsidP="008B3772">
      <w:pPr>
        <w:pStyle w:val="TextoNormal"/>
      </w:pPr>
    </w:p>
    <w:p w:rsidR="008B3772" w:rsidRDefault="008B3772" w:rsidP="008B3772">
      <w:pPr>
        <w:pStyle w:val="TextoNormal"/>
      </w:pPr>
      <w:r w:rsidRPr="008B3772">
        <w:rPr>
          <w:rStyle w:val="NumeroAFNegritaCaracter"/>
        </w:rPr>
        <w:t>4</w:t>
      </w:r>
      <w:r>
        <w:t>. El Ministerio Fiscal, por escrito registrado el 9 de marzo de 2007, interpuso recurso de súplica contra la providencia de inadmisión de 1 de marzo de 2007, por entender que, si bien era plenamente ajustada a derecho la inadmisión por falta de agotamiento de la queja referida a la incongruencia omisiva, sin embargo, a la queja sobre inmodificabilidad de las resoluciones judiciales firmes no le podía ser aplicada esa causa de inadmisión, toda vez que es una vulneración cuya reparación no requiere el previo planteamiento de un incidente de nulidad, siendo autónoma del alegato de incongruencia.</w:t>
      </w:r>
    </w:p>
    <w:p w:rsidR="008B3772" w:rsidRDefault="008B3772" w:rsidP="008B3772">
      <w:pPr>
        <w:pStyle w:val="TextoNormal"/>
      </w:pPr>
    </w:p>
    <w:p w:rsidR="008B3772" w:rsidRDefault="008B3772" w:rsidP="008B3772">
      <w:pPr>
        <w:pStyle w:val="TextoNormal"/>
      </w:pPr>
      <w:r w:rsidRPr="008B3772">
        <w:rPr>
          <w:rStyle w:val="NumeroAFNegritaCaracter"/>
        </w:rPr>
        <w:t>5</w:t>
      </w:r>
      <w:r>
        <w:t>. La Secretaría de Justicia de la Sección Segunda de este Tribunal, por diligencia de ordenación de 15 de marzo de 2007, acordó dar traslado a la entidad recurrente del recurso de súplica para que alegara lo que estimara pertinente.</w:t>
      </w:r>
    </w:p>
    <w:p w:rsidR="008B3772" w:rsidRDefault="008B3772" w:rsidP="008B3772">
      <w:pPr>
        <w:pStyle w:val="TextoNormal"/>
      </w:pPr>
    </w:p>
    <w:p w:rsidR="008B3772" w:rsidRDefault="008B3772" w:rsidP="008B3772">
      <w:pPr>
        <w:pStyle w:val="TextoNormal"/>
      </w:pPr>
      <w:r w:rsidRPr="008B3772">
        <w:rPr>
          <w:rStyle w:val="NumeroAFNegritaCaracter"/>
        </w:rPr>
        <w:t>6</w:t>
      </w:r>
      <w:r>
        <w:t>. La entidad recurrente, por escrito registrado el 23 de marzo de 2007, se adhirió íntegramente al recurso de súplica.</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El recurso de suplica interpuesto por el Ministerio Fiscal contra la providencia de inadmisión dictada en el presente recurso de amparo debe ser desestimado. La invocación del derecho a la tutela judicial efectiva (art. 24.1 CE), fundamentada en</w:t>
      </w:r>
    </w:p>
    <w:p w:rsidR="008B3772" w:rsidRDefault="008B3772" w:rsidP="008B3772">
      <w:pPr>
        <w:pStyle w:val="TextoNormal"/>
      </w:pPr>
      <w:r>
        <w:t>la intangibilidad de las resoluciones judiciales firmes, no exige, como acertadamente apunta el Ministerio Fiscal, la previa interposición de un incidente de nulidad de actuaciones, al no constituir ni una incongruencia del fallo ni un defecto de forma</w:t>
      </w:r>
    </w:p>
    <w:p w:rsidR="008B3772" w:rsidRDefault="008B3772" w:rsidP="008B3772">
      <w:pPr>
        <w:pStyle w:val="TextoNormal"/>
      </w:pPr>
      <w:r>
        <w:t>causante de indefensión. Sin embargo, en el presente caso, ha sido la propia entidad recurrente la que, al establecer una íntima conexión entre esta queja y la de incongruencia extra petita, ha provocado que la falta de agotamiento de la segunda deba</w:t>
      </w:r>
    </w:p>
    <w:p w:rsidR="008B3772" w:rsidRDefault="008B3772" w:rsidP="008B3772">
      <w:pPr>
        <w:pStyle w:val="TextoNormal"/>
      </w:pPr>
      <w:r>
        <w:t>extenderse inexorablemente a la primera. En efecto, si la entidad recurrente sustenta la denuncia sobre intangibilidad en la modificación del salario regulador y las consecuencias que de ello se deriva a los efectos de cuantificación de la indemnización</w:t>
      </w:r>
    </w:p>
    <w:p w:rsidR="008B3772" w:rsidRDefault="008B3772" w:rsidP="008B3772">
      <w:pPr>
        <w:pStyle w:val="TextoNormal"/>
      </w:pPr>
      <w:r>
        <w:t>y de los salarios de tramitación y, previamente, denuncia la concurrencia de una eventual incongruencia extra petita en la determinación de dicho salario regulador, sólo cabe concluir que la promoción del incidente de nulidad de actuaciones omitido</w:t>
      </w:r>
    </w:p>
    <w:p w:rsidR="008B3772" w:rsidRDefault="008B3772" w:rsidP="008B3772">
      <w:pPr>
        <w:pStyle w:val="TextoNormal"/>
      </w:pPr>
      <w:r>
        <w:t>hubiera sido un remedio procesal apto no sólo para obtener un pronunciamiento y, en su caso, reparación de la incongruencia aducida, sino también, simultáneamente, de la referida a la intangibilidad. Ello es determinante de que, en este caso, como ya se</w:t>
      </w:r>
    </w:p>
    <w:p w:rsidR="008B3772" w:rsidRDefault="008B3772" w:rsidP="008B3772">
      <w:pPr>
        <w:pStyle w:val="TextoNormal"/>
      </w:pPr>
      <w:r>
        <w:t>pusiera de manifiesto en la providencia impugnada y ahora se confirma, el óbice procesal apreciado respecto de la queja de incongruencia sea directamente aplicable a la queja sobre intangibilidad.</w:t>
      </w:r>
    </w:p>
    <w:p w:rsidR="008B3772" w:rsidRDefault="008B3772" w:rsidP="008B3772">
      <w:pPr>
        <w:pStyle w:val="TextoNormal"/>
      </w:pPr>
    </w:p>
    <w:p w:rsidR="008B3772" w:rsidRDefault="008B3772" w:rsidP="008B3772">
      <w:pPr>
        <w:pStyle w:val="TextoNormal"/>
      </w:pPr>
      <w:r>
        <w:t>Por todo ello, la Sección</w:t>
      </w:r>
    </w:p>
    <w:p w:rsidR="008B3772" w:rsidRDefault="008B3772" w:rsidP="008B3772">
      <w:pPr>
        <w:pStyle w:val="TextoNormal"/>
      </w:pPr>
    </w:p>
    <w:p w:rsidR="008B3772" w:rsidRDefault="008B3772" w:rsidP="008B3772">
      <w:pPr>
        <w:pStyle w:val="TextoNormalCentrado"/>
      </w:pPr>
      <w:r>
        <w:lastRenderedPageBreak/>
        <w:t>ACUERDA</w:t>
      </w:r>
    </w:p>
    <w:p w:rsidR="008B3772" w:rsidRDefault="008B3772" w:rsidP="008B3772">
      <w:pPr>
        <w:pStyle w:val="TextoNormalCentrado"/>
      </w:pPr>
    </w:p>
    <w:p w:rsidR="008B3772" w:rsidRDefault="008B3772" w:rsidP="008B3772">
      <w:pPr>
        <w:pStyle w:val="TextoNormal"/>
      </w:pPr>
      <w:r>
        <w:t>Desestimar el recurso de súplica interpuesto por el Ministerio Fiscal contra la providencia de esta Sección de 1 de marzo de 2007.</w:t>
      </w:r>
    </w:p>
    <w:p w:rsidR="008B3772" w:rsidRDefault="008B3772" w:rsidP="008B3772">
      <w:pPr>
        <w:pStyle w:val="TextoNormal"/>
      </w:pPr>
    </w:p>
    <w:p w:rsidR="008B3772" w:rsidRDefault="008B3772" w:rsidP="008B3772">
      <w:pPr>
        <w:pStyle w:val="TextoNormal"/>
      </w:pPr>
      <w:r>
        <w:t>Madrid, a siete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43" w:name="AUTO_2007_279"/>
      <w:r>
        <w:lastRenderedPageBreak/>
        <w:t>AUTO 279/2007, de 12 de junio de 2007</w:t>
      </w:r>
    </w:p>
    <w:bookmarkEnd w:id="143"/>
    <w:p w:rsidR="008B3772" w:rsidRDefault="008B3772" w:rsidP="008B3772">
      <w:pPr>
        <w:pStyle w:val="TtuloResolucin"/>
      </w:pPr>
      <w:r>
        <w:t>Sala Primera</w:t>
      </w:r>
    </w:p>
    <w:p w:rsidR="008B3772" w:rsidRDefault="008B3772" w:rsidP="008B3772">
      <w:pPr>
        <w:pStyle w:val="TtuloResolucin"/>
      </w:pPr>
    </w:p>
    <w:p w:rsidR="008B3772" w:rsidRDefault="008B3772" w:rsidP="008B3772">
      <w:pPr>
        <w:pStyle w:val="SntesisDescriptiva"/>
      </w:pPr>
      <w:r>
        <w:t>ECLI:ES:TC:2007:279A</w:t>
      </w:r>
    </w:p>
    <w:p w:rsidR="008B3772" w:rsidRDefault="008B3772" w:rsidP="008B3772">
      <w:pPr>
        <w:pStyle w:val="SntesisDescriptiva"/>
      </w:pPr>
    </w:p>
    <w:p w:rsidR="008B3772" w:rsidRDefault="008B3772" w:rsidP="008B3772">
      <w:pPr>
        <w:pStyle w:val="SntesisDescriptiva"/>
      </w:pPr>
      <w:r>
        <w:t>Excms. Srs. doña María Emilia Casas Baamonde, don Javier Delgado Barrio, don Roberto García-Calvo y Montiel, don Jorge Rodríguez-Zapata Pérez, don Manuel Aragón Reyes y don Pablo Pérez Tremps.</w:t>
      </w:r>
    </w:p>
    <w:p w:rsidR="008B3772" w:rsidRDefault="008B3772" w:rsidP="008B3772">
      <w:pPr>
        <w:pStyle w:val="SntesisDescriptiva"/>
      </w:pPr>
    </w:p>
    <w:p w:rsidR="008B3772" w:rsidRDefault="008B3772" w:rsidP="008B3772">
      <w:pPr>
        <w:pStyle w:val="SntesisDescriptiva"/>
      </w:pPr>
      <w:r>
        <w:t>Acuerda la rectificación de un error material de la Sentencia 139/2007, de 4 de junio, en el recurso de amparo 7172-2004, promovido por don Joaquín Prieto Pérez y otras.</w:t>
      </w:r>
    </w:p>
    <w:p w:rsidR="008B3772" w:rsidRDefault="008B3772" w:rsidP="008B3772">
      <w:pPr>
        <w:pStyle w:val="SntesisDescriptiva"/>
      </w:pPr>
    </w:p>
    <w:p w:rsidR="008B3772" w:rsidRDefault="008B3772" w:rsidP="008B3772">
      <w:pPr>
        <w:pStyle w:val="SntesisAnaltica"/>
      </w:pPr>
      <w:r>
        <w:t>Rectificación de resoluciones del TC: procede.</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Con fecha 4 de junio de 2007 la Sala Primera del Tribunal Constitucional dictó sentencia estimatoria del recurso de amparo núm. 7172-2004.</w:t>
      </w:r>
    </w:p>
    <w:p w:rsidR="008B3772" w:rsidRDefault="008B3772" w:rsidP="008B3772">
      <w:pPr>
        <w:pStyle w:val="TextoNormal"/>
      </w:pPr>
    </w:p>
    <w:p w:rsidR="008B3772" w:rsidRDefault="008B3772" w:rsidP="008B3772">
      <w:pPr>
        <w:pStyle w:val="TextoNormal"/>
      </w:pPr>
      <w:r w:rsidRPr="008B3772">
        <w:rPr>
          <w:rStyle w:val="NumeroAFNegritaCaracter"/>
        </w:rPr>
        <w:t>2</w:t>
      </w:r>
      <w:r>
        <w:t>. En la referida resolución se aprecia un error material en su fundamento jurídico decimosegundo, primer párrafo, línea tercera: “hermanas de la fallecida” (sic).</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El art. 267.3 de la Ley Orgánica del Poder Judicial (LOPJ), aplicable supletoriamente a esta Jurisdicción constitucional (ex art. 80 LOTC), determina que los errores materiales manifiestos y los aritméticos en que incurran las resoluciones</w:t>
      </w:r>
    </w:p>
    <w:p w:rsidR="008B3772" w:rsidRDefault="008B3772" w:rsidP="008B3772">
      <w:pPr>
        <w:pStyle w:val="TextoNormal"/>
      </w:pPr>
      <w:r>
        <w:t>judiciales podrán ser rectificados en cualquier momento.</w:t>
      </w:r>
    </w:p>
    <w:p w:rsidR="008B3772" w:rsidRDefault="008B3772" w:rsidP="008B3772">
      <w:pPr>
        <w:pStyle w:val="TextoNormal"/>
      </w:pPr>
      <w:r>
        <w:t>En el presente caso, debía decir “hermanas de la desaparecida” en el precitado párrafo de la fundamentación jurídica de nuestra resolución de fecha 4 de junio de 2007, por lo que procede rectificarlo en dicho sentido.</w:t>
      </w:r>
    </w:p>
    <w:p w:rsidR="008B3772" w:rsidRDefault="008B3772" w:rsidP="008B3772">
      <w:pPr>
        <w:pStyle w:val="TextoNormal"/>
      </w:pPr>
    </w:p>
    <w:p w:rsidR="008B3772" w:rsidRDefault="008B3772" w:rsidP="008B3772">
      <w:pPr>
        <w:pStyle w:val="TextoNormal"/>
      </w:pPr>
      <w:r>
        <w:t>En atención a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Rectificar el error material sustituyendo “hermanas de la fallecida” por “hermanas de la desaparecida” en el párrafo primero del fundamento jurídico decimosegundo de la Sentencia dictada por esta Sala con fecha 4 de junio de 2007 en el recurso de amparo</w:t>
      </w:r>
    </w:p>
    <w:p w:rsidR="008B3772" w:rsidRDefault="008B3772" w:rsidP="008B3772">
      <w:pPr>
        <w:pStyle w:val="TextoNormal"/>
      </w:pPr>
      <w:r>
        <w:t>núm. 7172-2004.</w:t>
      </w:r>
    </w:p>
    <w:p w:rsidR="008B3772" w:rsidRDefault="008B3772" w:rsidP="008B3772">
      <w:pPr>
        <w:pStyle w:val="TextoNormal"/>
      </w:pPr>
    </w:p>
    <w:p w:rsidR="008B3772" w:rsidRDefault="008B3772" w:rsidP="008B3772">
      <w:pPr>
        <w:pStyle w:val="TextoNormal"/>
      </w:pPr>
      <w:r>
        <w:t>Madrid, a doce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lastRenderedPageBreak/>
        <w:br w:type="page"/>
      </w:r>
    </w:p>
    <w:p w:rsidR="008B3772" w:rsidRDefault="008B3772" w:rsidP="008B3772">
      <w:pPr>
        <w:pStyle w:val="TtuloResolucin"/>
      </w:pPr>
      <w:bookmarkStart w:id="144" w:name="AUTO_2007_280"/>
      <w:r>
        <w:lastRenderedPageBreak/>
        <w:t>AUTO 280/2007, de 18 de junio de 2007</w:t>
      </w:r>
    </w:p>
    <w:bookmarkEnd w:id="144"/>
    <w:p w:rsidR="008B3772" w:rsidRDefault="008B3772" w:rsidP="008B3772">
      <w:pPr>
        <w:pStyle w:val="TtuloResolucin"/>
      </w:pPr>
      <w:r>
        <w:t>Sala Primera</w:t>
      </w:r>
    </w:p>
    <w:p w:rsidR="008B3772" w:rsidRDefault="008B3772" w:rsidP="008B3772">
      <w:pPr>
        <w:pStyle w:val="TtuloResolucin"/>
      </w:pPr>
    </w:p>
    <w:p w:rsidR="008B3772" w:rsidRDefault="008B3772" w:rsidP="008B3772">
      <w:pPr>
        <w:pStyle w:val="SntesisDescriptiva"/>
      </w:pPr>
      <w:r>
        <w:t>ECLI:ES:TC:2007:280A</w:t>
      </w:r>
    </w:p>
    <w:p w:rsidR="008B3772" w:rsidRDefault="008B3772" w:rsidP="008B3772">
      <w:pPr>
        <w:pStyle w:val="SntesisDescriptiva"/>
      </w:pPr>
    </w:p>
    <w:p w:rsidR="008B3772" w:rsidRDefault="008B3772" w:rsidP="008B3772">
      <w:pPr>
        <w:pStyle w:val="SntesisDescriptiva"/>
      </w:pPr>
      <w:r>
        <w:t>Excms. Srs. doña María Emilia Casas Baamonde, don Javier Delgado Barrio, don Roberto García-Calvo y Montiel, don Jorge Rodríguez-Zapata Pérez, don Manuel Aragón Reyes y don Pablo Pérez Tremps.</w:t>
      </w:r>
    </w:p>
    <w:p w:rsidR="008B3772" w:rsidRDefault="008B3772" w:rsidP="008B3772">
      <w:pPr>
        <w:pStyle w:val="SntesisDescriptiva"/>
      </w:pPr>
    </w:p>
    <w:p w:rsidR="008B3772" w:rsidRDefault="008B3772" w:rsidP="008B3772">
      <w:pPr>
        <w:pStyle w:val="SntesisDescriptiva"/>
      </w:pPr>
      <w:r>
        <w:t>Deniega la suspensión en el recurso de amparo 6902-2004, promovido por don Mariano Aguirán Esqués en pleito sobre rendición de cuentas de una herencia.</w:t>
      </w:r>
    </w:p>
    <w:p w:rsidR="008B3772" w:rsidRDefault="008B3772" w:rsidP="008B3772">
      <w:pPr>
        <w:pStyle w:val="SntesisDescriptiva"/>
      </w:pPr>
    </w:p>
    <w:p w:rsidR="008B3772" w:rsidRDefault="008B3772" w:rsidP="008B3772">
      <w:pPr>
        <w:pStyle w:val="SntesisAnaltica"/>
      </w:pPr>
      <w:r>
        <w:t>Suspensión cautelar de sentencias civiles: pago de una cantidad, no suspende.</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presentado en el Registro General de este Tribunal el día 18 de noviembre de 2004 el Procurador de los Tribunales don Federico José Olivares de Santiago, en nombre de don Mariano Aguirán Esqués, formuló demanda de amparo constitucional contra el Auto de fecha 18 de octubre de 2004 dictado por la Sección Segunda de la Audiencia Provincial de Zaragoza en recurso de apelación num. 716-2001.</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Los hechos de los que trae causa la presente demanda de amparo son, sucintamente expuestos, los siguientes: </w:t>
      </w:r>
    </w:p>
    <w:p w:rsidR="008B3772" w:rsidRDefault="008B3772" w:rsidP="008B3772">
      <w:pPr>
        <w:pStyle w:val="TextoNormal"/>
      </w:pPr>
      <w:r>
        <w:t xml:space="preserve">a) En los Autos de juicio de menor cuantía núm. 547-2004, seguidos contra el demandante de amparo para la rendición de cuentas por parte de éste de los frutos y rentas obtenidos del patrimonio común heredado de sus padres, que era administrado por el demandante de amparo en vida de aquellos, recayó Sentencia en que se le condenaba a rendir cuenta detallada y justificada de su gestión de determinados bienes desde 1994, practicándose las oportunas liquidaciones correspondientes a los frutos y rentas obtenidos del patrimonio común. Esta resolución fue confirmada por la Audiencia Provincial. Al objeto de proceder a la ejecución de la misma, por el demandante se presentó escrito de dación de cuentas, del que se confirió traslado a la otra parte, que la impugnó, por lo que se abrió a prueba el incidente. </w:t>
      </w:r>
    </w:p>
    <w:p w:rsidR="008B3772" w:rsidRDefault="008B3772" w:rsidP="008B3772">
      <w:pPr>
        <w:pStyle w:val="TextoNormal"/>
      </w:pPr>
      <w:r>
        <w:t xml:space="preserve">b) El Juzgado dictó Auto, de fecha 7 de diciembre de 2000, en cuya parte dispositiva dispuso que debía fijar en dos millones doscientas cincuenta y dos mil setecientas cincuenta y cuatro ptas. la cantidad que el demandante de amparo debía abonar a doña María del Pilar Aguirán Esqués. </w:t>
      </w:r>
    </w:p>
    <w:p w:rsidR="008B3772" w:rsidRDefault="008B3772" w:rsidP="008B3772">
      <w:pPr>
        <w:pStyle w:val="TextoNormal"/>
      </w:pPr>
      <w:r>
        <w:t xml:space="preserve">c) Contra esta resolución interpusieron recurso de apelación ambas partes, que resolvió la Audiencia por medio de Auto de fecha 18 de octubre de 2004, que estimó parcialmente el de doña María del Pilar y desestimó el del demandante de amparo. En consecuencia, revocó el Auto anterior, en el sentido de fijar la liquidación pendiente en la cantidad de siete millones ciento nueve mil quinientas setenta y cuatro pesetas. La Audiencia afirma que el </w:t>
      </w:r>
      <w:r>
        <w:lastRenderedPageBreak/>
        <w:t>debate se centra sobre los ingresos y gastos generados por los contratos de arrendamiento de tres locales comerciales cuya administración ostentío el demandante de amparo, y respecto de los que ha sido condenado a la oportuna rendición de cuentas y liquidación. En función de este criterio, no deduce de la liquidación determinados gastos que están relacionados con otros inmuebles heredados por los hermanos distintos de los locales, “lo que obliga a su exclusión”.</w:t>
      </w:r>
    </w:p>
    <w:p w:rsidR="008B3772" w:rsidRDefault="008B3772" w:rsidP="008B3772">
      <w:pPr>
        <w:pStyle w:val="TextoNormal"/>
      </w:pPr>
    </w:p>
    <w:p w:rsidR="008B3772" w:rsidRDefault="008B3772" w:rsidP="008B3772">
      <w:pPr>
        <w:pStyle w:val="TextoNormal"/>
      </w:pPr>
      <w:r w:rsidRPr="008B3772">
        <w:rPr>
          <w:rStyle w:val="NumeroAFNegritaCaracter"/>
        </w:rPr>
        <w:t>3</w:t>
      </w:r>
      <w:r>
        <w:t>. La queja sustancial que fundamenta la demanda de amparo es la vulneración del derecho fundamental a la tutela judicial efectiva (art. 24.1 CE). Alega el demandante que la rendición de cuentas objeto del proceso se refería a todos los frutos y rentas (y, por supuesto, gastos), derivados del patrimonio común heredado, y no sólo a los tres locales comerciales integrados en la herencia y a los que se refiere la Audiencia Provincial en la resolución impugnada. Por otrosí se solicita la suspensión de la ejecución de la condena impuesta.</w:t>
      </w:r>
    </w:p>
    <w:p w:rsidR="008B3772" w:rsidRDefault="008B3772" w:rsidP="008B3772">
      <w:pPr>
        <w:pStyle w:val="TextoNormal"/>
      </w:pPr>
    </w:p>
    <w:p w:rsidR="008B3772" w:rsidRDefault="008B3772" w:rsidP="008B3772">
      <w:pPr>
        <w:pStyle w:val="TextoNormal"/>
      </w:pPr>
      <w:r w:rsidRPr="008B3772">
        <w:rPr>
          <w:rStyle w:val="NumeroAFNegritaCaracter"/>
        </w:rPr>
        <w:t>4</w:t>
      </w:r>
      <w:r>
        <w:t>. Mediante providencia de 26 de abril de 2007, la Sección, tras admitir a trámite el presente recurso de amparo, acordó formar la oportuna pieza para la tramitación del incidente sobre suspensión y, conforme determina el art. 56 de la Ley Orgánica de este Tribunal, conceder un plazo de tres días a la parte recurrente y al Fiscal para que alegasen lo que estimaran pertinente sobre dicha suspensión.</w:t>
      </w:r>
    </w:p>
    <w:p w:rsidR="008B3772" w:rsidRDefault="008B3772" w:rsidP="008B3772">
      <w:pPr>
        <w:pStyle w:val="TextoNormal"/>
      </w:pPr>
    </w:p>
    <w:p w:rsidR="008B3772" w:rsidRDefault="008B3772" w:rsidP="008B3772">
      <w:pPr>
        <w:pStyle w:val="TextoNormal"/>
      </w:pPr>
      <w:r w:rsidRPr="008B3772">
        <w:rPr>
          <w:rStyle w:val="NumeroAFNegritaCaracter"/>
        </w:rPr>
        <w:t>5</w:t>
      </w:r>
      <w:r>
        <w:t>. El Ministerio público, mediante escrito registrado el 29 de mayo de 2004, razona que, en relación con las condenas al pago de sumas económicas, el Tribunal en su interpretación del artículo 56 LOTC, entiende que no deben ser suspendidas con carácter general ya que ni perjudica la finalidad del amparo su no suspensión ni crean un perjuicio, ya que el dinero es siempre retornable si el amparo llegara a otorgarse y tuviera esa consecuencia. En función de ello alega el Fiscal que la anterior doctrina es aplicable al presente caso en el que, por otra parte, ni se concreta en la demanda el perjuicio irreparable ni el perjuicio del amparo derivado de la no suspensión, justificación exigible al demandante de amparo. De otro lado existe un interés público en el cumplimiento de las resoluciones judiciales que reclama su ejecución, resultando también que la suspensión puede asimismo perjudica los intereses de la otra parte del proceso, que ve dilatada la satisfacción de su crédito. Por todo ello, el Fiscal interesa que se dicte auto denegando la suspensión.</w:t>
      </w:r>
    </w:p>
    <w:p w:rsidR="008B3772" w:rsidRDefault="008B3772" w:rsidP="008B3772">
      <w:pPr>
        <w:pStyle w:val="TextoNormal"/>
      </w:pPr>
    </w:p>
    <w:p w:rsidR="008B3772" w:rsidRDefault="008B3772" w:rsidP="008B3772">
      <w:pPr>
        <w:pStyle w:val="TextoNormal"/>
      </w:pPr>
      <w:r w:rsidRPr="008B3772">
        <w:rPr>
          <w:rStyle w:val="NumeroAFNegritaCaracter"/>
        </w:rPr>
        <w:t>6</w:t>
      </w:r>
      <w:r>
        <w:t>. La representación procesal del demandante de amparo formuló alegaciones mediante escrito de 23 de mayo de 2007 en el que se ratifica en la petición contenida en su escrito de demanda.</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008B3772" w:rsidRDefault="008B3772" w:rsidP="008B3772">
      <w:pPr>
        <w:pStyle w:val="TextoNormal"/>
      </w:pPr>
      <w:r>
        <w:lastRenderedPageBreak/>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8B3772" w:rsidRDefault="008B3772" w:rsidP="008B3772">
      <w:pPr>
        <w:pStyle w:val="TextoNormal"/>
      </w:pPr>
    </w:p>
    <w:p w:rsidR="008B3772" w:rsidRDefault="008B3772" w:rsidP="008B3772">
      <w:pPr>
        <w:pStyle w:val="TextoNormal"/>
      </w:pPr>
      <w:r w:rsidRPr="008B3772">
        <w:rPr>
          <w:rStyle w:val="NumeroAFNegritaCaracter"/>
        </w:rPr>
        <w:t>2</w:t>
      </w:r>
      <w:r>
        <w:t>. Por otra parte, este Tribunal ha establecido el criterio de que la ejecución de las resoluciones judiciales cuyos efectos son fundamentalmente patrimoniales o de contenido económico, como ocurre en este caso,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8B3772" w:rsidRDefault="008B3772" w:rsidP="008B3772">
      <w:pPr>
        <w:pStyle w:val="TextoNormal"/>
      </w:pPr>
    </w:p>
    <w:p w:rsidR="008B3772" w:rsidRDefault="008B3772" w:rsidP="008B3772">
      <w:pPr>
        <w:pStyle w:val="TextoNormal"/>
      </w:pPr>
      <w:r>
        <w:t>En virtud de todo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No ha lugar a la suspensión solicitada respecto de la ejecución del Auto de 18 de octubre de 2004 de la Sección Segunda de la Audiencia Provincial de Zaragoza.</w:t>
      </w:r>
    </w:p>
    <w:p w:rsidR="008B3772" w:rsidRDefault="008B3772" w:rsidP="008B3772">
      <w:pPr>
        <w:pStyle w:val="TextoNormal"/>
      </w:pPr>
    </w:p>
    <w:p w:rsidR="008B3772" w:rsidRDefault="008B3772" w:rsidP="008B3772">
      <w:pPr>
        <w:pStyle w:val="TextoNormal"/>
      </w:pPr>
      <w:r>
        <w:t>Madrid, a dieciocho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45" w:name="AUTO_2007_281"/>
      <w:r>
        <w:lastRenderedPageBreak/>
        <w:t>AUTO 281/2007, de 18 de junio de 2007</w:t>
      </w:r>
    </w:p>
    <w:bookmarkEnd w:id="145"/>
    <w:p w:rsidR="008B3772" w:rsidRDefault="008B3772" w:rsidP="008B3772">
      <w:pPr>
        <w:pStyle w:val="TtuloResolucin"/>
      </w:pPr>
      <w:r>
        <w:t>Sección Cuarta</w:t>
      </w:r>
    </w:p>
    <w:p w:rsidR="008B3772" w:rsidRDefault="008B3772" w:rsidP="008B3772">
      <w:pPr>
        <w:pStyle w:val="TtuloResolucin"/>
      </w:pPr>
    </w:p>
    <w:p w:rsidR="008B3772" w:rsidRDefault="008B3772" w:rsidP="008B3772">
      <w:pPr>
        <w:pStyle w:val="SntesisDescriptiva"/>
      </w:pPr>
      <w:r>
        <w:t>ECLI:ES:TC:2007:281A</w:t>
      </w:r>
    </w:p>
    <w:p w:rsidR="008B3772" w:rsidRDefault="008B3772" w:rsidP="008B3772">
      <w:pPr>
        <w:pStyle w:val="SntesisDescriptiva"/>
      </w:pPr>
    </w:p>
    <w:p w:rsidR="008B3772" w:rsidRDefault="008B3772" w:rsidP="008B3772">
      <w:pPr>
        <w:pStyle w:val="SntesisDescriptiva"/>
      </w:pPr>
      <w:r>
        <w:t>Excms. Srs. don Vicente Conde Martín de Hijas, doña Elisa Pérez Vera y don Ramón Rodríguez Arribas.</w:t>
      </w:r>
    </w:p>
    <w:p w:rsidR="008B3772" w:rsidRDefault="008B3772" w:rsidP="008B3772">
      <w:pPr>
        <w:pStyle w:val="SntesisDescriptiva"/>
      </w:pPr>
    </w:p>
    <w:p w:rsidR="008B3772" w:rsidRDefault="008B3772" w:rsidP="008B3772">
      <w:pPr>
        <w:pStyle w:val="SntesisDescriptiva"/>
      </w:pPr>
      <w:r>
        <w:t>Inadmite a trámite el recurso de amparo 1885-2005, promovido por don Manuel-Pedro Junín Devesa y otros en contencioso por responsabilidad patrimonial de las Administraciones públicas por señalización defectuosa.</w:t>
      </w:r>
    </w:p>
    <w:p w:rsidR="008B3772" w:rsidRDefault="008B3772" w:rsidP="008B3772">
      <w:pPr>
        <w:pStyle w:val="SntesisDescriptiva"/>
      </w:pPr>
    </w:p>
    <w:p w:rsidR="008B3772" w:rsidRDefault="008B3772" w:rsidP="008B3772">
      <w:pPr>
        <w:pStyle w:val="SntesisAnaltica"/>
      </w:pPr>
      <w:r>
        <w:t>Inadmisión de recurso de amparo: trámite de alegaciones de admisión. Indefensión: indefensión imputable al recurrente. Trámite de alegaciones: motivos de inadmisibilidad. Derecho a la tutela judicial sin indefensión: derecho a utilizar los medios de prueba pertinentes.</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este Tribunal en fecha 16 de marzo de 2005, tras presentación en el Juzgado de Instrucción en funciones de Guardia el 11 de marzo, el Abogado don Manuel Martín Gómez, en nombre de don Manuel-Pedro Junín Devesa y otros, interpuso recurso de amparo contra la Sentencia de la Sección Octava de la Sala de lo Contencioso-Administrativo de la Audiencia Nacional de 20 de febrero de 2002, desestimatoria de recurso contencioso-administrativo contra denegación por silencio de solicitud de responsabilidad patrimonial por funcionamiento anormal de las Administraciones públicas. La reclamación en vía administrativa y ulterior demanda contenciosa se fundaban en que el fallecimiento, en accidente de circulación, de don Juan Luis Junín Mareque, habría venido causado por una señalización defectuosa del desvío por causa de obras donde se dio el vuelco del camión conducido por el precitado y que provocó el fatal desenlace,</w:t>
      </w:r>
    </w:p>
    <w:p w:rsidR="008B3772" w:rsidRDefault="008B3772" w:rsidP="008B3772">
      <w:pPr>
        <w:pStyle w:val="TextoNormal"/>
      </w:pPr>
    </w:p>
    <w:p w:rsidR="008B3772" w:rsidRDefault="008B3772" w:rsidP="008B3772">
      <w:pPr>
        <w:pStyle w:val="TextoNormal"/>
      </w:pPr>
      <w:r w:rsidRPr="008B3772">
        <w:rPr>
          <w:rStyle w:val="NumeroAFNegritaCaracter"/>
        </w:rPr>
        <w:t>2</w:t>
      </w:r>
      <w:r>
        <w:t>. En la demanda de amparo se denuncia vulneración del derecho fundamental a la tutela judicial efectiva por indefensión derivada de la falta de práctica de prueba en procedimiento contencioso-administrativo y por razones no imputables a los demandantes; falta de práctica de prueba propuesta en tiempo y forma en el procedimiento contencioso-administrativo en el que se dictó la Sentencia desestimatoria recurrida. La Sentencia recurrida asume las conclusiones del atestado policial sobre cuyos extremos, y para desvirtuarlos, se propuso precisamente la prueba no practicada.</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Por providencia de fecha 23 de enero de 2007, la Sección Cuarta de este Tribunal acordó, de conformidad con lo dispuesto en el art. 50.3 LOTC, conceder al demandante y al Ministerio Fiscal plazo común de diez días para la formulación de alegaciones pertinentes </w:t>
      </w:r>
      <w:r>
        <w:lastRenderedPageBreak/>
        <w:t>en relación con la posible causa de inadmisión por carencia manifiesta de contenido constitucional del art. 50.1 c) LOTC.</w:t>
      </w:r>
    </w:p>
    <w:p w:rsidR="008B3772" w:rsidRDefault="008B3772" w:rsidP="008B3772">
      <w:pPr>
        <w:pStyle w:val="TextoNormal"/>
      </w:pPr>
    </w:p>
    <w:p w:rsidR="008B3772" w:rsidRDefault="008B3772" w:rsidP="008B3772">
      <w:pPr>
        <w:pStyle w:val="TextoNormal"/>
      </w:pPr>
      <w:r w:rsidRPr="008B3772">
        <w:rPr>
          <w:rStyle w:val="NumeroAFNegritaCaracter"/>
        </w:rPr>
        <w:t>4</w:t>
      </w:r>
      <w:r>
        <w:t xml:space="preserve">. El Ministerio Fiscal, en escrito registrado en este Tribunal el 21 de febrero de 2007, interesó la inadmisión de la demanda de amparo, tanto por prolongación artificial de la vía judicial como por carecer manifiestamente la demanda de contenido constitucional, habida cuenta de la falta de acreditación por el recurrente en su demanda de amparo del carácter decisivo de la prueba omitida, de la falta de diligencia de la demandante en la utilización, en sede del propio procedimiento contencioso-administrativo, de todos los medios de impugnación legalmente a su disposición, y de la falta de carácter decisivo en la decisión judicial de los medios de prueba no practicados </w:t>
      </w:r>
    </w:p>
    <w:p w:rsidR="008B3772" w:rsidRDefault="008B3772" w:rsidP="008B3772">
      <w:pPr>
        <w:pStyle w:val="TextoNormal"/>
      </w:pPr>
      <w:r>
        <w:t>Evacuando idéntico trámite, el recurrente, en escrito registrado en este Tribunal en fecha 16 de febrero de 2007, interesó nuevo traslado con expresión de los concretos motivos de posible inadmisión, por entender que dicha omisión hacía imposibles las alegaciones previstas en el art. 50.3 LOTC.</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Fundamentan los actores su demanda en la vulneración del derecho de tutela judicial efectiva por falta de práctica de una prueba propuesta en tiempo y forma, y no practicada por razones no imputables a los demandantes, falta de práctica que no fue óbice para que se dictase la Sentencia desestimatoria hoy recurrida, en la que se asumen las conclusiones del atestado policial sobre la señalización y estado de la carretera, respecto de cuyos extremos precisamente, y para desvirtuarlos se había propuesto la prueba admitida y no practicada.</w:t>
      </w:r>
    </w:p>
    <w:p w:rsidR="008B3772" w:rsidRDefault="008B3772" w:rsidP="008B3772">
      <w:pPr>
        <w:pStyle w:val="TextoNormal"/>
      </w:pPr>
    </w:p>
    <w:p w:rsidR="008B3772" w:rsidRDefault="008B3772" w:rsidP="008B3772">
      <w:pPr>
        <w:pStyle w:val="TextoNormal"/>
      </w:pPr>
      <w:r w:rsidRPr="008B3772">
        <w:rPr>
          <w:rStyle w:val="NumeroAFNegritaCaracter"/>
        </w:rPr>
        <w:t>2</w:t>
      </w:r>
      <w:r>
        <w:t>. Antes de proceder a la fundamentación de fondo de la presente resolución es conveniente dar respuesta a la alegación del recurrente formulada en el trámite de audiencia, en al que cuestionaba la falta de indicación del posible motivo de inadmisión en la providencia en la que se abrió dicho trámite, arguyendo sobre esa base su imposibilidad de alegar al respecto.</w:t>
      </w:r>
    </w:p>
    <w:p w:rsidR="008B3772" w:rsidRDefault="008B3772" w:rsidP="008B3772">
      <w:pPr>
        <w:pStyle w:val="TextoNormal"/>
      </w:pPr>
      <w:r>
        <w:t>Tal excusa no es aceptable. No existe en la LOTC una exigencia taxativa de la indicación que la parte echa en falta, ni su ausencia impide formular las alegaciones que tenga por conveniente.</w:t>
      </w:r>
    </w:p>
    <w:p w:rsidR="008B3772" w:rsidRDefault="008B3772" w:rsidP="008B3772">
      <w:pPr>
        <w:pStyle w:val="TextoNormal"/>
      </w:pPr>
      <w:r>
        <w:t>Como tenemos dicho en el ATC 222/2000, de 2 de octubre, FJ 1, “dicha providencia, como toda resolución de esa naturaleza, no está motivada, sino que tiene por finalidad permitir a la parte recurrente aportar argumentos adicionales que puedan llevar a este Tribunal a la convicción de la relevancia constitucional del tema debatido (AATC 337/1986, de 16 de abril, FJ 1; 1239/1987, de 10 de noviembre, FJ 1). Y por otro lado, tal resolución no tiene efecto preclusivo en lo que se refiere a la eventual indicación del eventual supuesto de inadmisión del recurso, de modo que este Tribunal puede examinar otras causas de inadmisión, bien señaladas por alguna de las partes que formulan alegaciones, bien advertidas de oficio, pues en definitiva, y como indica expresamente el art. 50.3 LOTC, el Auto que decide la inadmisión a trámite de un recurso de amparo puede estar fundado en cualquiera de los supuestos a que alude el apartado 1 del mismo art. 50 LOTC”.</w:t>
      </w:r>
    </w:p>
    <w:p w:rsidR="008B3772" w:rsidRDefault="008B3772" w:rsidP="008B3772">
      <w:pPr>
        <w:pStyle w:val="TextoNormal"/>
      </w:pPr>
      <w:r>
        <w:t xml:space="preserve">Ha de concluirse así que los recurrentes no tenían ninguna dificultad para formular las alegaciones que tuviesen por conveniente en defensa de la admisión de sus recursos, ni </w:t>
      </w:r>
      <w:r>
        <w:lastRenderedPageBreak/>
        <w:t>existe óbice procesal alguno para que en este momento el Tribunal pueda apreciar el motivo de inadmisión que entienda aplicable al caso.</w:t>
      </w:r>
    </w:p>
    <w:p w:rsidR="008B3772" w:rsidRDefault="008B3772" w:rsidP="008B3772">
      <w:pPr>
        <w:pStyle w:val="TextoNormal"/>
      </w:pPr>
    </w:p>
    <w:p w:rsidR="008B3772" w:rsidRDefault="008B3772" w:rsidP="008B3772">
      <w:pPr>
        <w:pStyle w:val="TextoNormal"/>
      </w:pPr>
      <w:r w:rsidRPr="008B3772">
        <w:rPr>
          <w:rStyle w:val="NumeroAFNegritaCaracter"/>
        </w:rPr>
        <w:t>3</w:t>
      </w:r>
      <w:r>
        <w:t>. Siguiendo el orden que imponen las distintas cuestiones planteadas, antes de pronunciarnos sobre las pruebas no practicadas, es necesario resolver sobre la relevancia de la posible consideración como manifiestamente improcedente del recurso de casación interpuesto e inadmitido por Auto de fecha 24 de junio de 2004, del Tribunal Supremo, así como sobre el ulterior uso de la nulidad de actuaciones, que dio, a su vez, lugar a recurso de súplica contra la resolución de la misma. A este respecto el Ministerio público considera que dicha interposición pudiera constituir una prolongación artificial de la vía judicial, debida a la supuesta improcedencia de la casación interpuesta, así como a la inexistencia de recurso contra las resoluciones de nulidad de actuaciones, según lo dispuesto en el art. 241 LOPJ. En cuanto al recurso de casación, tenido por preparado por el órgano a quo, se ha de advertir que fue indicado como posible al notificar la Sentencia de éste, y aunque es motivadamente inadmitido por el Tribunal Supremo, el hecho de habérsele indicado como posible a la parte, aunque tal indicación no fuese correcta, impide repercutir sobre ella los efectos del error del órgano judicial a quo para que desde nuestra actual perspectiva podamos calificar el intentado recurso, en cuando conclusivo de la vía judicial previa, como manifiestamente improcedente.</w:t>
      </w:r>
    </w:p>
    <w:p w:rsidR="008B3772" w:rsidRDefault="008B3772" w:rsidP="008B3772">
      <w:pPr>
        <w:pStyle w:val="TextoNormal"/>
      </w:pPr>
      <w:r>
        <w:t>En lo que respecta al recurso de súplica contra la providencia resolviendo la nulidad, solicitada por hallarnos ante un defecto de forma, también se debe observar que, si bien el 241 LOPJ veda efectivamente toda posibilidad de recurso contra estas resoluciones, cierto es que expresamente se otorga pie de recurso de súplica en la providencia resolviendo sobre el fondo de la nulidad, reconociendo su error la propia Audiencia Nacional al FJ 2 del auto desestimatorio de la súplica, por lo que la interposición de dicho medio de impugnación se hizo siguiendo la noticia de recursos, en este caso errónea, pero obrante en la resolución impugnada.</w:t>
      </w:r>
    </w:p>
    <w:p w:rsidR="008B3772" w:rsidRDefault="008B3772" w:rsidP="008B3772">
      <w:pPr>
        <w:pStyle w:val="TextoNormal"/>
      </w:pPr>
      <w:r>
        <w:t>A estos efectos, es reciente doctrina de este Tribunal, establecida, por todas, en la relevante Sentencia del Pleno de este Tribunal 241/2006, de 20 de julio, FJ 3, que “no puede considerarse como manifiestamente improcedente a los efectos de determinar la extemporaneidad del recurso de amparo la interposición por el demandante de amparo, cuente o no con asistencia letrada, de recursos o remedios procesales objetiva y manifiestamente improcedentes cuando la misma sea consecuencia de una errónea indicación consignada en la instrucción de recursos a que se refiere el art. 248.4 de la Ley Orgánica del Poder Judicial (LOPJ). No puede dejar de insistirse al respecto, como ya en resoluciones anteriores hemos tenido ocasión de poner de manifiesto, que la instrucción o información errónea acerca de los recursos facilitada por los órganos judiciales, dada la auctoritas que corresponde a quien la hizo constar (STC 26/1991, de 11 de febrero, FJ 1), es susceptible de inducir a un error a la parte litigante, que hay que considerar en todo caso excusable ‘dada la autoridad que necesariamente ha de merecer la decisión judicial’ (SSTC 79/2004, de 5 de mayo, FJ 2; 244/2005, de 10 de octubre, FJ 3), pues ‘si la oficina judicial [ha] ofrecido indicaciones equivocadas sobre los recursos utilizables ... el interesado, aun estando asistido por expertos en la materia, podría entender por la autoridad inherente a la decisión judicial, que tales indicaciones fueran ciertas y obrar en consecuencia’ (ibidem)”.</w:t>
      </w:r>
    </w:p>
    <w:p w:rsidR="008B3772" w:rsidRDefault="008B3772" w:rsidP="008B3772">
      <w:pPr>
        <w:pStyle w:val="TextoNormal"/>
      </w:pPr>
      <w:r>
        <w:t xml:space="preserve">Siendo así irrelevante a los efectos que nos ocupan la concurrencia o no de efectiva asistencia letrada, la interposición de remedios procesales en atención a la noticia errónea de </w:t>
      </w:r>
      <w:r>
        <w:lastRenderedPageBreak/>
        <w:t>los mismos obrante en las resoluciones interlocutorias impide la estimación de la extemporaneidad, consecuencia de la interposición de recursos improcedentes, como motivo de inadmisibilidad.</w:t>
      </w:r>
    </w:p>
    <w:p w:rsidR="008B3772" w:rsidRDefault="008B3772" w:rsidP="008B3772">
      <w:pPr>
        <w:pStyle w:val="TextoNormal"/>
      </w:pPr>
    </w:p>
    <w:p w:rsidR="008B3772" w:rsidRDefault="008B3772" w:rsidP="008B3772">
      <w:pPr>
        <w:pStyle w:val="TextoNormal"/>
      </w:pPr>
      <w:r w:rsidRPr="008B3772">
        <w:rPr>
          <w:rStyle w:val="NumeroAFNegritaCaracter"/>
        </w:rPr>
        <w:t>4</w:t>
      </w:r>
      <w:r>
        <w:t>. En lo que respecta al íter procedimental que con respecto a la prueba admitida pero no practicada se denuncia es necesario poner de manifiesto que, si bien los demandantes en la conclusión tercera de su escrito de 12 de diciembre de 2001 manifestaron que ante la prueba no practicada “se solicitará su práctica para mejor proveer”, hemos de poner de manifiesto, en primer lugar, la ausencia por su parte de protesta al respecto en el momento procedimental oportuno, id est, mediante los pertinentes recursos contra las respectivas declaraciones de conclusión del periodo probatorio y ulterior apertura del trámite de conclusiones, estando concebida esta posibilidad, inter alia, precisamente para permitir una nueva consideración y subsanación judicial del defecto producido en la prueba, con anterioridad a la propia celebración de la fase de conclusiones en cuyo seno se vierte la queja constitucional.</w:t>
      </w:r>
    </w:p>
    <w:p w:rsidR="008B3772" w:rsidRDefault="008B3772" w:rsidP="008B3772">
      <w:pPr>
        <w:pStyle w:val="TextoNormal"/>
      </w:pPr>
      <w:r>
        <w:t>Al respecto tenemos reiterado que no son atendibles las quejas atinentes a la lesión de un derecho fundamental formuladas por quienes han contribuido con su pasividad o desacertada actuación procesal a impedir su reparación en la vía judicial previa (STC 243/2000, de 16 de octubre, FJ 4, y 104/2001, de 23 de abril, FJ 4). La no utilización de dichos remedios procesales permitieron, como razona el Ministerio público, la conclusión, incontrovertida, de la fase de prueba, así como la efectiva apertura y celebración del trámite de conclusiones, en cuyo seno, y no antes, se manifiesta la intención de solicitar la práctica de la prueba omitida, pero como diligencias para mejor proveer, id est, sujetas a la ponderación jurisdiccional sobre su necesidad pues, como tenemos reiterado, por todas, en la STC 140/1996, de 16 de septiembre, FJ 2, dichas diligencias “ni otorgan derecho subjetivo alguno a las partes pues se configuran como una potestad de los órganos judiciales ‘podrán acordar’ dice literalmente el precepto, ni ‘puede estimarse como consecuencia necesaria del art. 24 CE que la práctica de tales diligencias haya de realizarse, en los procesos gobernados por el principio dispositivo, pues ello los convertiría en un nuevo y extemporáneo plazo de prueba’ (STC 98/87)”.</w:t>
      </w:r>
    </w:p>
    <w:p w:rsidR="008B3772" w:rsidRDefault="008B3772" w:rsidP="008B3772">
      <w:pPr>
        <w:pStyle w:val="TextoNormal"/>
      </w:pPr>
      <w:r>
        <w:t>Consentidos por la demandante tanto la conclusión del periodo probatorio como la ulterior apertura de la fase de conclusiones, se produce una mutación en la propia naturaleza de las diligencias omitidas, tornándose, de diligencias de prueba, en diligencias para mejor proveer, que, a su vez, transforman la intervención judicial al respecto, tornándola de necesaria, en virtud de su previa admisión, a facultativa, como se deduce de la jurisprudencia expuesta ut supra.</w:t>
      </w:r>
    </w:p>
    <w:p w:rsidR="008B3772" w:rsidRDefault="008B3772" w:rsidP="008B3772">
      <w:pPr>
        <w:pStyle w:val="TextoNormal"/>
      </w:pPr>
      <w:r>
        <w:t xml:space="preserve">Ante estos razonamientos podemos concluir que, aun partiendo a efectos argumentales de una infracción por el órgano jurisdiccional de las normas de procedimiento, por la demandante no se insta temporáneamente su subsanación, concurriendo, así, su actuación negligente en la imposibilidad de subsanación temporánea del defecto mencionado, por lo que es de aplicación nuestra reiterada doctrina que establece que para que la indefensión alcance dimensión constitucional, es necesario que sea imputable y que tenga su origen inmediato y directo en actos u omisiones de los órganos judiciales; esto es, que sea causada por la incorrecta actuación del órgano jurisdiccional, estando excluida del ámbito protector del art. 24 CE la indefensión debida a la pasividad, desinterés, negligencia , error técnico o impericia de la parte o de los profesionales que la representen o defiendan (SSTC 101/1989, de 5 de junio, FJ 5; 237/2001, de 18 de diciembre, FJ 5; 109/2002, de 6 de mayo, FJ 2; 87/2003, </w:t>
      </w:r>
      <w:r>
        <w:lastRenderedPageBreak/>
        <w:t>de 19 de mayo, FJ 5; 5/2004, de 16 de enero, FJ 6; 109/2006, de 3 de abril, FJ 3, o ATC 518/2005, de 19 de diciembre, FJ 3</w:t>
      </w:r>
    </w:p>
    <w:p w:rsidR="008B3772" w:rsidRDefault="008B3772" w:rsidP="008B3772">
      <w:pPr>
        <w:pStyle w:val="TextoNormal"/>
      </w:pPr>
    </w:p>
    <w:p w:rsidR="008B3772" w:rsidRDefault="008B3772" w:rsidP="008B3772">
      <w:pPr>
        <w:pStyle w:val="TextoNormal"/>
      </w:pPr>
      <w:r w:rsidRPr="008B3772">
        <w:rPr>
          <w:rStyle w:val="NumeroAFNegritaCaracter"/>
        </w:rPr>
        <w:t>5</w:t>
      </w:r>
      <w:r>
        <w:t>. Examinados los precitados motivos procede, en este momento de la resolución, el examen de la prueba omitida, deviniendo esencial resolver sobre el carácter decisivo de las misma, en relación con las alegaciones y actividad procesal de las partes en la demanda de amparo, las concretas circunstancias del supuesto de hecho y las peculiaridades de los medios de prueba omitidos, a efectos de fundar una decisión, no de cualquier sentido, sino estimatoria de las pretensiones de los demandantes. A estos efectos hay que recordar nuestra reiterada doctrina que desarrolla la carga de alegación y de argumentación que pesa sobre los demandantes de amparo (por todas, STC 226/2002, de 9 de diciembre, FJ 2), cargas que no sólo implican la necesidad de abrir la vía para que este Tribunal pueda pronunciarse, sino también la de proporcionar la fundamentación fáctica y jurídica que razonablemente es de esperar de acuerdo con el deber de colaborar con la justicia del Tribunal Constitucional (SSTC 32/1999, de 8 de marzo, FJ 5, y 21/2001, de 29 de enero, FJ 3, por todas), razonabilidad que, a su vez, depende de los concretos motivos y vulneraciones invocados en relación con la naturaleza de la resolución recurrida y el supuesto de hecho.</w:t>
      </w:r>
    </w:p>
    <w:p w:rsidR="008B3772" w:rsidRDefault="008B3772" w:rsidP="008B3772">
      <w:pPr>
        <w:pStyle w:val="TextoNormal"/>
      </w:pPr>
      <w:r>
        <w:t>Así, denunciada lesión del derecho a la tutela judicial efectiva en su vertiente de derecho a utilizar los medios de prueba pertinentes para la defensa, es doctrina reiterada de este Tribunal, por todas en las SSTC 165/2004, de 4 de octubre, FJ 3; 3/2005, de 17 de enero, FJ 5, o 244/2005, de 10 de octubre, FJ 5, que no toda irregularidad u omisión procesal en materia de prueba (referida a su admisión, a su práctica, a su valoración, …) causa por sí misma indefensión material constitucionalmente relevante.  Y es que, en efecto, el dato esencial para que pueda considerarse vulnerado el derecho fundamental analizado consiste en que las irregularidades u omisiones procesales efectivamente verificadas hayan supuesto para el demandante de amparo una efectiva indefensión, toda vez que la garantía constitucional contenida en el art. 24.2 CE únicamente cubre aquellos supuestos en los que la prueba es decisiva en términos de defensa, puesto que, de haberse practicado la prueba omitida, o si se hubiese practicado correctamente la admitida, la resolución final del proceso hubiera podido ser distinta en el sentido de ser favorable a quien denuncia la infracción del derecho fundamental. En concreto, para que se produzca violación del indicado derecho fundamental, este Tribunal ha exigido reiteradamente que la denegación o inejecución sean imputables al órgano judicial, y que la prueba denegada o impracticada sea decisiva en términos de defensa, debiendo justificar el recurrente en su demanda la indefensión sufrida.</w:t>
      </w:r>
    </w:p>
    <w:p w:rsidR="008B3772" w:rsidRDefault="008B3772" w:rsidP="008B3772">
      <w:pPr>
        <w:pStyle w:val="TextoNormal"/>
      </w:pPr>
      <w:r>
        <w:t>En el presente caso de responsabilidad patrimonial de las Administraciones Públicas, obran efectivamente a las actuaciones tanto atestado policial como informe pericial sobre el accidente, aportado éste en el momento procesal oportuno por la recurrente, y constando igualmente que los agentes que confeccionaron el atestado se personaron en el lugar del accidente 45 minutos después de los hechos, la parte recurrente no acredita en qué medida, -habiendo sido apreciadas por la Audiencia Nacional el atestado y el completo informe pericial aportado por la parte hoy recurrente- las documentales y testificales no practicadas introducirían elementos distintos o de mayor valor de convicción que los ya obrantes y en su día valorados por la Sala sentenciadora, hasta el punto de motivar un fallo de sentido distinto. No satisfaciéndose, en consecuencia, dicha carga procesal, procede la inadmisión de la presente demanda, al carecer manifiestamente de contenido constitucional que justifique un pronunciamiento de fondo por este Tribunal, ex art. 50.1 c) LOTC.</w:t>
      </w:r>
    </w:p>
    <w:p w:rsidR="008B3772" w:rsidRDefault="008B3772" w:rsidP="008B3772">
      <w:pPr>
        <w:pStyle w:val="TextoNormal"/>
      </w:pPr>
    </w:p>
    <w:p w:rsidR="008B3772" w:rsidRDefault="008B3772" w:rsidP="008B3772">
      <w:pPr>
        <w:pStyle w:val="TextoNormal"/>
      </w:pPr>
      <w:r>
        <w:t>Por lo expuesto, la Sección</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Inadmitir el presente recurso de amparo.</w:t>
      </w:r>
    </w:p>
    <w:p w:rsidR="008B3772" w:rsidRDefault="008B3772" w:rsidP="008B3772">
      <w:pPr>
        <w:pStyle w:val="TextoNormal"/>
      </w:pPr>
    </w:p>
    <w:p w:rsidR="008B3772" w:rsidRDefault="008B3772" w:rsidP="008B3772">
      <w:pPr>
        <w:pStyle w:val="TextoNormal"/>
      </w:pPr>
      <w:r>
        <w:t>Madrid, a dieciocho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46" w:name="AUTO_2007_282"/>
      <w:r>
        <w:lastRenderedPageBreak/>
        <w:t>AUTO 282/2007, de 18 de junio de 2007</w:t>
      </w:r>
    </w:p>
    <w:bookmarkEnd w:id="146"/>
    <w:p w:rsidR="008B3772" w:rsidRDefault="008B3772" w:rsidP="008B3772">
      <w:pPr>
        <w:pStyle w:val="TtuloResolucin"/>
      </w:pPr>
      <w:r>
        <w:t>Sala Segunda</w:t>
      </w:r>
    </w:p>
    <w:p w:rsidR="008B3772" w:rsidRDefault="008B3772" w:rsidP="008B3772">
      <w:pPr>
        <w:pStyle w:val="TtuloResolucin"/>
      </w:pPr>
    </w:p>
    <w:p w:rsidR="008B3772" w:rsidRDefault="008B3772" w:rsidP="008B3772">
      <w:pPr>
        <w:pStyle w:val="SntesisDescriptiva"/>
      </w:pPr>
      <w:r>
        <w:t>ECLI:ES:TC:2007:282A</w:t>
      </w:r>
    </w:p>
    <w:p w:rsidR="008B3772" w:rsidRDefault="008B3772" w:rsidP="008B3772">
      <w:pPr>
        <w:pStyle w:val="SntesisDescriptiva"/>
      </w:pPr>
    </w:p>
    <w:p w:rsidR="008B3772" w:rsidRDefault="008B3772" w:rsidP="008B3772">
      <w:pPr>
        <w:pStyle w:val="SntesisDescriptiva"/>
      </w:pPr>
      <w:r>
        <w:t>Excms. Srs. don Guillermo Jiménez Sánchez, don Vicente Conde Martín de Hijas, don Eugeni Gay Montalvo, doña Elisa Pérez Vera, don Ramón Rodríguez Arribas y don Pascual Sala Sánchez.</w:t>
      </w:r>
    </w:p>
    <w:p w:rsidR="008B3772" w:rsidRDefault="008B3772" w:rsidP="008B3772">
      <w:pPr>
        <w:pStyle w:val="SntesisDescriptiva"/>
      </w:pPr>
    </w:p>
    <w:p w:rsidR="008B3772" w:rsidRDefault="008B3772" w:rsidP="008B3772">
      <w:pPr>
        <w:pStyle w:val="SntesisDescriptiva"/>
      </w:pPr>
      <w:r>
        <w:t>Inadmite a trámite el recurso de amparo 2536-2005, promovido por doña María Luisa Picazo Alba en pleito por liquidación de la sociedad de gananciales.</w:t>
      </w:r>
    </w:p>
    <w:p w:rsidR="008B3772" w:rsidRDefault="008B3772" w:rsidP="008B3772">
      <w:pPr>
        <w:pStyle w:val="SntesisDescriptiva"/>
      </w:pPr>
    </w:p>
    <w:p w:rsidR="008B3772" w:rsidRDefault="008B3772" w:rsidP="008B3772">
      <w:pPr>
        <w:pStyle w:val="SntesisAnaltica"/>
      </w:pPr>
      <w:r>
        <w:t>Acceso al recurso legal: recurso de casación. Recurso de casación: configuración legal. Recurso de casación civil: cuantía. Recurso de casación civil: inadmisión no lesiva de la tutela. Recurso de casación civil: requisitos de admisión.</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xml:space="preserve">. En escrito, de registro en el Tribunal de fecha 11-4-05, el Procurador de los Tribunales don Roberto Sastre Moyano, en representación de doña María Luisa Picazo Alba interpuso recurso de amparo por vulneración del derecho a la tutela judicial efectiva (art.24.1 CE), en la forma de acceso al recurso, respecto del Auto de 28 de septiembre de 2004 de la Sala Primera del Tribunal Supremo inadmitiendo recurso por infracción procesal y de casación contra la Sentencia de 20 de marzo de 2001 de la Sección Vigésimo Segunda de la Audiencia Provincial de Madrid, confirmando en su integridad la Sentencia dictada por el Juzgado de Primera Instancia num.24 de Madrid en el procedimiento de liquidación de la sociedad de gananciales num. 307-1999, tramitado como juicio de menor cuantía. </w:t>
      </w:r>
    </w:p>
    <w:p w:rsidR="008B3772" w:rsidRDefault="008B3772" w:rsidP="008B3772">
      <w:pPr>
        <w:pStyle w:val="TextoNormal"/>
      </w:pPr>
      <w:r>
        <w:t xml:space="preserve">En extracto, la Sra. Picazo Alba exponía en su escrito cómo fue demandada por su excónyuge don Jose Luis Bardasano Rubio, formulando contestación (con reconvención) en el juicio de menor cuantía para la liquidación de la sociedad de gananciales, tramitándose como juicio independiente del procedimiento de separación, recayendo Sentencia núm. 991/1999 de 14 de diciembre, parcialmente estimatoria, en la que se decretaba el carácter privativo para su excónyuge de un piso, cuatro plazas de garaje, un chalet y un fondo de inversión, al haber acreditado su adquisición con dinero proveniente de la venta de un inmueble privativo, declarando la Sentencia el activo de la sociedad de gananciales y la titularidad de los bienes. La Sra. Picazo Alba interpuso, en tiempo y forma, recurso de apelación, que fue desestimado, confirmando íntegramente la resolución de instancia, en Sentencia de 20 de marzo de 2001, de la Sección Vigésimo Segunda de la Audiencia Provincial de Madrid; procediendo entonces a preparar e interponer recurso de casación y extraordinario por infracción procesal ante la Sala Primera del Tribunal Supremo, que, en Auto de 28 de septiembre de 2004, desestimó el recurso y declaró la firmeza de la Sentencia, argumentando no ser susceptible de recurso de casación, ni, por ende, por infracción procesal, al considerar que la Sentencia de la Audiencia Provincial era de apelación pero no de segunda </w:t>
      </w:r>
      <w:r>
        <w:lastRenderedPageBreak/>
        <w:t>instancia, y que el juicio de menor cuantía inicial, era un incidente del pleito principal de separación y liquidación de la sociedad conyugal.</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En diligencia de ordenación de 25 de abril de 2005 la Secretaría de la Sala Segunda del Tribunal Constitucional requirió a la recurrente que acreditara la fecha de notificación de la resolución que recurre y la invocación previa del derecho fundamental alegado, aportándose al efecto el 13 de mayo de 2005 la documentación requerida. </w:t>
      </w:r>
    </w:p>
    <w:p w:rsidR="008B3772" w:rsidRDefault="008B3772" w:rsidP="008B3772">
      <w:pPr>
        <w:pStyle w:val="TextoNormal"/>
      </w:pPr>
      <w:r>
        <w:t xml:space="preserve">En providencia de 11 de julio de 2006 la Sección Cuarta de la Sala Segunda del Tribunal Constitucional acordó , conforme al art.50.3 LOTC, dar traslado al Ministerio público y a las partes para que en plazo de diez días manifestasen lo que estimaren pertinente acerca de la posible carencia de contenido constitucional de la demanda [ex.art.50.1 c) LOTC]. </w:t>
      </w:r>
    </w:p>
    <w:p w:rsidR="008B3772" w:rsidRDefault="008B3772" w:rsidP="008B3772">
      <w:pPr>
        <w:pStyle w:val="TextoNormal"/>
      </w:pPr>
      <w:r>
        <w:t>En escrito con registro de entrada de 13 de septiembre de 2006 el Ministerio público evacuaba el traslado, interesando la inadmisión del recurso de amparo por falta de contenido constitucional al considerar que la doctrina de acceso al recurso como parte de la tutela judicial efectiva es de carácter legal (STC 119/1998, FJ 1), y que, siendo el canon de inconstitucionalidad el error patente, la arbitrariedad y la manifiesta irrazonabilidad, la distinción efectuada en el fundamento jurídico segundo del Auto del Tribunal Supremo entre Sentencias de apelación y de segunda instancia (siendo éstas las susceptibles de casación), y, a tenor del evidente carácter incidental de la adjudicación de bienes, cara a la división del patrimonio ganancial, no se incurre, en modo alguno, en tacha ninguna de irrazonabilidad, arbitrariedad o error, por lo que, dados los numerosos precedentes idénticos en los que el Tribunal ha decretado la inadmisión, debe declararse la falta de contenido constitucional de la demanda.</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presente recurso versa sobre el acceso al recurso de casación (y, concomitante, por infracción procesal) frente a la Sentencia de apelación, confirmatoria de la dictada en instancia, en procedimiento de liquidación de sociedad de gananciales, consecuencia de la separación de la Sra. Picazo Alba y el Sr. Bardasano Rubio.</w:t>
      </w:r>
    </w:p>
    <w:p w:rsidR="008B3772" w:rsidRDefault="008B3772" w:rsidP="008B3772">
      <w:pPr>
        <w:pStyle w:val="TextoNormal"/>
      </w:pPr>
      <w:r>
        <w:t>La recurrente entiende que la declaración por el Tribunal Supremo de que la Sentencia de la Audiencia Provincial no es Sentencia de segunda instancia, sino de apelación, denegando el acceso al recurso, constituye una interpretación errónea y arbitraria de los arts. 477.2 y 483.2.1º) de la Ley de enjuiciamiento civil (LEC) que le priva del acceso a la revisión de las infracciones procesales y al recurso de casación, al que habría tenido paso, conforme al criterio de la cuantía, afectando, en definitiva, a la tutela judicial efectiva e interdicción de la indefensión.</w:t>
      </w:r>
    </w:p>
    <w:p w:rsidR="008B3772" w:rsidRDefault="008B3772" w:rsidP="008B3772">
      <w:pPr>
        <w:pStyle w:val="TextoNormal"/>
      </w:pPr>
      <w:r>
        <w:t>El Ministerio Fiscal entiende que el acceso a los recursos, y, en concreto, a la casación, es de configuración legal, y que la denegación efectuada mediante la interpretación de que “la segunda instancia no es equivalente a apelación”, máxime cuando el pleito se presenta como un incidente del de disolución del régimen económico matrimonial, no es errónea ni arbitraria, por lo que interesa la inadmisión, por falta de contenido constitucional, de la demanda.</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Constituye doctrina reiterada del Tribunal que el derecho a la tutela judicial efectiva, como derecho prestacional de configuración legal, comprende el acceso a la jurisdicción, a la tramitación del procedimiento por los cauces legales y a la obtención de una resolución </w:t>
      </w:r>
      <w:r>
        <w:lastRenderedPageBreak/>
        <w:t>fundada en Derecho, sea o no favorable al peticionario, así como a su ejecución (por todas STC 143/2002, de 17 de junio, F 2), “pero sin garantizar el acierto de la resolución adoptada en cada caso o eliminar la comisión de eventuales errores en el razonamiento jurídico” (STC 13/1995, de 24 enero, FJ 2). Igualmente forma parte de dicho derecho el acceso a los recursos ordinarios y extraordinarios legalmente establecidos, en los términos fijados en la Ley, sin que la inadmisión del recurso implique necesariamente vulneración de dicho derecho, siempre que se base en causa legal y haya sido motivada sin incurrir en irrazonabilidad, error o arbitrariedad (por todas, STC 181/2001 de 17 de septiembre). Asimismo hemos proclamado que el respeto a las decisiones de admisión e inadmisión en interpretación de la legalidad ordinaria debe ser más riguroso tratándose del Tribunal Supremo en recursos de casación, en cuyo caso, el derecho a la revisión del pronunciamiento tiene carácter legal y no constitucional, revistiendo el principio pro actione menor intensidad, y sin que se pueda imponer una determinada interpretación de la norma procesal a favor del acceso al recurso (por todas STC 119/1998 de 4 de junio, FFJJ 1 y 2).</w:t>
      </w:r>
    </w:p>
    <w:p w:rsidR="008B3772" w:rsidRDefault="008B3772" w:rsidP="008B3772">
      <w:pPr>
        <w:pStyle w:val="TextoNormal"/>
      </w:pPr>
    </w:p>
    <w:p w:rsidR="008B3772" w:rsidRDefault="008B3772" w:rsidP="008B3772">
      <w:pPr>
        <w:pStyle w:val="TextoNormal"/>
      </w:pPr>
      <w:r w:rsidRPr="008B3772">
        <w:rPr>
          <w:rStyle w:val="NumeroAFNegritaCaracter"/>
        </w:rPr>
        <w:t>3</w:t>
      </w:r>
      <w:r>
        <w:t>. En el presente caso la Sala Primera del Tribunal Supremo expone en el fundamento jurídico segundo de la resolución impugnada:</w:t>
      </w:r>
    </w:p>
    <w:p w:rsidR="008B3772" w:rsidRDefault="008B3772" w:rsidP="008B3772">
      <w:pPr>
        <w:pStyle w:val="TextoNormal"/>
      </w:pPr>
      <w:r>
        <w:t>“2. El recurso de casación incurre en la causa de inadmisión prevista en el art.483.2.1º, inciso primero, de la LEC 2000, en relación con el art.477.2 de la misma Ley, por irrecurribilidad de la Sentencia habida cuenta que dicha resolución carece de la condición de “Sentencia dictada en segunda instancia”, y ello porque la propia LEC 2000 distingue entre “apelación” y “segunda instancia”, configurando ésta ultima como aquella en la que se conoce de los procedimientos que han puesto fin a la primera instancia, lo que no ocurre en el presente caso, en el que nos hallamos ante un incidente de índole declarativa dentro de un procedimiento de liquidación de la sociedad de gananciales en ejecución de sentencia de separación matrimonial, sin que afecte a esta naturaleza la circunstancia de que el legislador decidiera, por considerarlo adecuado para la sustanciación de las controversias que podían suscitarse en esta clase de procedimientos, que debían seguirse los trámites del juicio correspondiente según la cuantía, y, desde luego, resultando igualmente irrelevante, a los efectos que se examinan, la circunstancia de que, en el procedimiento que nos ocupa, a la demanda de menor cuantía se le haya dado una entidad independiente en orden a su registro; carácter incidental que se pone de manifiesto por la propia competencia para el conocimiento de la demanda. Pero es que además, debe hacerse otra puntualización, ya que, sin perjuicio de la forma en que se hayan producido los diversos trámites procesales en el caso que nos ocupa, lo cierto es que la demanda de menor cuantía, en definitiva, no plantea más que una cuestión previa de las operaciones divisorias, como es el carácter ganancial o privativo de unos bienes, claramente equiparable a los incidentes de exclusión o inclusión de bienes en la masa hereditaria en las testamentarías. Así pues, no teniendo la resolución impugnada el carácter de Sentencia dictada en segunda instancia, tiene cerrado el acceso al recurso de casación, doctrina que ha sido aplicada por ésta Sala para la resolución de numerosos recursos de queja…”.</w:t>
      </w:r>
    </w:p>
    <w:p w:rsidR="008B3772" w:rsidRDefault="008B3772" w:rsidP="008B3772">
      <w:pPr>
        <w:pStyle w:val="TextoNormal"/>
      </w:pPr>
      <w:r>
        <w:t>El recurso de amparo versa, por lo tanto, sobre el acceso al recurso de casación (y por infracción procesal, en atención a su análoga tramitación), en el que la recurrente entiende que la cuantía del pleito es casacional, mientras que el Tribunal Supremo —conforme al texto arriba expuesto— entiende que la sentencia no sería recurrible en casación, al no haber sido la sentencia del juicio “en segunda instancia”, sino “dictada en apelación”, en un pleito que es parte de un procedimiento principal de disolución del régimen económico matrimo</w:t>
      </w:r>
      <w:r>
        <w:lastRenderedPageBreak/>
        <w:t>nial; concluyendo que no cabe casación contra la sentencia dictada en liquidación de la sociedad de gananciales, a pesar de ser dictada en apelación, al no tratarse de una sentencia “de segunda instancia”. Como argumento adicional, agrega la Sala Primera que, precisamente, el juez competente para el pleito principal, es el competente para el procedimiento de inventario y liquidación, y que, dichas operaciones, aparecen como la consumación de la disolución del régimen económico matrimonial.</w:t>
      </w:r>
    </w:p>
    <w:p w:rsidR="008B3772" w:rsidRDefault="008B3772" w:rsidP="008B3772">
      <w:pPr>
        <w:pStyle w:val="TextoNormal"/>
      </w:pPr>
      <w:r>
        <w:t>Al margen de que la doctrina expuesta por el Tribunal Supremo pueda resultar , o no, compartida por el recurrente, lo cierto es que la misma tiene apoyo legal en los preceptos de la Ley de enjuiciamiento civil (art.483.2.1º), y, conforme a nuestra doctrina (anteriormente mencionada), no resulta errónea ni arbitraria, máxime existiendo precedentes semejantes de inadmisión de amparo (como acertadamente apunta el Ministerio Fiscal), por lo que podemos concluir que la demanda carece de contenido constitucional que justifique un pronunciamiento y debe inadmitirse conforme al art.50.1 c) LOTC.</w:t>
      </w:r>
    </w:p>
    <w:p w:rsidR="008B3772" w:rsidRDefault="008B3772" w:rsidP="008B3772">
      <w:pPr>
        <w:pStyle w:val="TextoNormal"/>
      </w:pPr>
    </w:p>
    <w:p w:rsidR="008B3772" w:rsidRDefault="008B3772" w:rsidP="008B3772">
      <w:pPr>
        <w:pStyle w:val="TextoNormal"/>
      </w:pPr>
      <w:r>
        <w:t>Por todo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Inadmitir a trámite la demanda formulada por don Roberto Sastre Moyano en representación de doña María Luisa Picazo Alba al carecer manifiestamente de contenido que justifique una decisión sobre el fondo por parte del Tribunal.</w:t>
      </w:r>
    </w:p>
    <w:p w:rsidR="008B3772" w:rsidRDefault="008B3772" w:rsidP="008B3772">
      <w:pPr>
        <w:pStyle w:val="TextoNormal"/>
      </w:pPr>
    </w:p>
    <w:p w:rsidR="008B3772" w:rsidRDefault="008B3772" w:rsidP="008B3772">
      <w:pPr>
        <w:pStyle w:val="TextoNormal"/>
      </w:pPr>
      <w:r>
        <w:t>Notifíquese la presente resolución a las partes y al Ministerio Fiscal, haciéndoles saber que contra la misma no cabe recurso alguno (ex.art.50.4 LOTC).</w:t>
      </w:r>
    </w:p>
    <w:p w:rsidR="008B3772" w:rsidRDefault="008B3772" w:rsidP="008B3772">
      <w:pPr>
        <w:pStyle w:val="TextoNormal"/>
      </w:pPr>
      <w:r>
        <w:t>Madrid, a dieciocho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47" w:name="AUTO_2007_283"/>
      <w:r>
        <w:lastRenderedPageBreak/>
        <w:t>AUTO 283/2007, de 18 de junio de 2007</w:t>
      </w:r>
    </w:p>
    <w:bookmarkEnd w:id="147"/>
    <w:p w:rsidR="008B3772" w:rsidRDefault="008B3772" w:rsidP="008B3772">
      <w:pPr>
        <w:pStyle w:val="TtuloResolucin"/>
      </w:pPr>
      <w:r>
        <w:t>Sala Segunda</w:t>
      </w:r>
    </w:p>
    <w:p w:rsidR="008B3772" w:rsidRDefault="008B3772" w:rsidP="008B3772">
      <w:pPr>
        <w:pStyle w:val="TtuloResolucin"/>
      </w:pPr>
    </w:p>
    <w:p w:rsidR="008B3772" w:rsidRDefault="008B3772" w:rsidP="008B3772">
      <w:pPr>
        <w:pStyle w:val="SntesisDescriptiva"/>
      </w:pPr>
      <w:r>
        <w:t>ECLI:ES:TC:2007:283A</w:t>
      </w:r>
    </w:p>
    <w:p w:rsidR="008B3772" w:rsidRDefault="008B3772" w:rsidP="008B3772">
      <w:pPr>
        <w:pStyle w:val="SntesisDescriptiva"/>
      </w:pPr>
    </w:p>
    <w:p w:rsidR="008B3772" w:rsidRDefault="008B3772" w:rsidP="008B3772">
      <w:pPr>
        <w:pStyle w:val="SntesisDescriptiva"/>
      </w:pPr>
      <w:r>
        <w:t>Excms. Srs. don Guillermo Jiménez Sánchez, don Vicente Conde Martín de Hijas, doña Elisa Pérez Vera, don Eugeni Gay Montalvo, don Ramón Rodríguez Arribas y don Pascual Sala Sánchez.</w:t>
      </w:r>
    </w:p>
    <w:p w:rsidR="008B3772" w:rsidRDefault="008B3772" w:rsidP="008B3772">
      <w:pPr>
        <w:pStyle w:val="SntesisDescriptiva"/>
      </w:pPr>
    </w:p>
    <w:p w:rsidR="008B3772" w:rsidRDefault="008B3772" w:rsidP="008B3772">
      <w:pPr>
        <w:pStyle w:val="SntesisDescriptiva"/>
      </w:pPr>
      <w:r>
        <w:t>Acuerda la suspensión parcial en el recurso de amparo 3674-2005, promovido por don José María Ferrández Ezquerra en causa por delitos contra la hacienda pública.</w:t>
      </w:r>
    </w:p>
    <w:p w:rsidR="008B3772" w:rsidRDefault="008B3772" w:rsidP="008B3772">
      <w:pPr>
        <w:pStyle w:val="SntesisDescriptiva"/>
      </w:pPr>
    </w:p>
    <w:p w:rsidR="008B3772" w:rsidRDefault="008B3772" w:rsidP="008B3772">
      <w:pPr>
        <w:pStyle w:val="SntesisAnaltica"/>
      </w:pPr>
      <w:r>
        <w:t>Suspensión cautelar de sentencias penales: inhabilitación especial del derecho de sufragio y prisión de cuatro años, suspende.</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este Tribunal con fecha 20 de mayo de 2005 la Procuradora de los Tribunales doña Lourdes Amasio Díaz, en nombre y representación de don José María Ferrández Ezquerra, interpuso recurso de amparo contra la Sentencia dictada por la Sección Tercera de la Audiencia Provincial de Zaragoza, de fecha 28 de marzo de 2005, estimatoria del recurso de apelación núm. 108-2004 (proceso abreviado núm. 212-2003) y que lo condenaba como autor de dos delitos contra la Hacienda Pública, “imponiéndole la pena por cada uno de los dos delitos cometidos de dos años de prisión con la pena accesoria de inhabilitación especial para el derecho de sufragio pasivo durante el tiempo de la condena y multa de 2.000.000 €, con la responsabilidad personal y subsidiaria, para el caso de impago, de seis meses de prisión”, así como, en concepto de responsabilidad civil, a indemnizar “a la Hacienda pública en la suma de 719.161 y 678.827€”, por considerar que la misma ha lesionado sus derechos fundamentales a un proceso con todas las garantías y a la presunción de inocencia (art. 24.2 CE). En otrosí digo de la demanda el recurrente solicitó la suspensión de la ejecución de la Sentencia acabada de mencionar.</w:t>
      </w:r>
    </w:p>
    <w:p w:rsidR="008B3772" w:rsidRDefault="008B3772" w:rsidP="008B3772">
      <w:pPr>
        <w:pStyle w:val="TextoNormal"/>
      </w:pPr>
    </w:p>
    <w:p w:rsidR="008B3772" w:rsidRDefault="008B3772" w:rsidP="008B3772">
      <w:pPr>
        <w:pStyle w:val="TextoNormal"/>
      </w:pPr>
      <w:r w:rsidRPr="008B3772">
        <w:rPr>
          <w:rStyle w:val="NumeroAFNegritaCaracter"/>
        </w:rPr>
        <w:t>2</w:t>
      </w:r>
      <w:r>
        <w:t>. Por providencias de 16 de mayo de 2007, la Sala Segunda de este Tribunal acordó, respectivamente, admitir a trámite el presente recurso de amparo y formar la correspondiente pieza para la tramitación del incidente de suspensión de conformidad con lo solicitado por la parte actora, concediendo un plazo común de tres días a la parte recurrente y al Ministerio Fiscal para que alegaran cuanto estimasen procedente en relación con la petición de suspensión interesada.</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El Abogado del Estado, mediante escrito registrado en este Tribunal con fecha de 23 de mayo de 2007, presentó alegaciones oponiéndose a la suspensión solicitada en lo relativo a los pronunciamientos de naturaleza pecuniaria, esto es, a la pena de multa y su responsabilidad sustitutoria, así como respecto de la responsabilidad civil. Y respecto a la suspensión </w:t>
      </w:r>
      <w:r>
        <w:lastRenderedPageBreak/>
        <w:t>de las dos penas privativas de libertad, interesó que se requiriese al recurrente que manifiera si ha cumplido ya alguna y cuál es su actual situación penitenciaria, “resolviendo luego en consecuencia”.</w:t>
      </w:r>
    </w:p>
    <w:p w:rsidR="008B3772" w:rsidRDefault="008B3772" w:rsidP="008B3772">
      <w:pPr>
        <w:pStyle w:val="TextoNormal"/>
      </w:pPr>
    </w:p>
    <w:p w:rsidR="008B3772" w:rsidRDefault="008B3772" w:rsidP="008B3772">
      <w:pPr>
        <w:pStyle w:val="TextoNormal"/>
      </w:pPr>
      <w:r w:rsidRPr="008B3772">
        <w:rPr>
          <w:rStyle w:val="NumeroAFNegritaCaracter"/>
        </w:rPr>
        <w:t>4</w:t>
      </w:r>
      <w:r>
        <w:t>. Mediante escrito fechado en el Registro de este Tribunal el día 30 de mayo de 2007, el recurrente, luego de poner de manifiesto que carece de antecedentes penales, su edad (70 años) y su situación familiar (padre de familia numerosa, jubilado, respetado en la comunidad), solicita “la suspensión sólo en lo atinente a la pena privativa de libertad y la responsabilidad personal subsidiaria en caso de impago de multa”, pues ya “está haciendo efectiva la responsabilidad civil declarada en sentencia, previa a la exacción de costas.”</w:t>
      </w:r>
    </w:p>
    <w:p w:rsidR="008B3772" w:rsidRDefault="008B3772" w:rsidP="008B3772">
      <w:pPr>
        <w:pStyle w:val="TextoNormal"/>
      </w:pPr>
    </w:p>
    <w:p w:rsidR="008B3772" w:rsidRDefault="008B3772" w:rsidP="008B3772">
      <w:pPr>
        <w:pStyle w:val="TextoNormal"/>
      </w:pPr>
      <w:r w:rsidRPr="008B3772">
        <w:rPr>
          <w:rStyle w:val="NumeroAFNegritaCaracter"/>
        </w:rPr>
        <w:t>5</w:t>
      </w:r>
      <w:r>
        <w:t>. El Ministerio Fiscal, mediante escrito registrado el 31 de mayo de 2007, interesó “la suspensión de la resolución judicial recurrida en la integridad del fallo”. En lo concerniente a la pena privativa de libertad, considera que la suspensión es procedente, pues si el amparo prosperase y el fallo no fuera suspendido la ejecución de la condena por dos penas de dos años de prisión haría perder al amparo su decisión. Otro tanto cabe decir de la multa impuesta, de muy elevada cuantía y de su subsiguiente y posible ejecución por impago.</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Conforme a lo dispuesto en el art. 56.1 LOTC la Sala que conozca de un recurso de amparo suspenderá la ejecución del acto de los poderes públicos por razón del cual aquél se solicita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dado que la suspensión se condiciona a la no producción de perturbación grave de los intereses generales o de los derechos fundamentales o de las libertades públicas de un tercero.</w:t>
      </w:r>
    </w:p>
    <w:p w:rsidR="008B3772" w:rsidRDefault="008B3772" w:rsidP="008B3772">
      <w:pPr>
        <w:pStyle w:val="TextoNormal"/>
      </w:pPr>
      <w:r>
        <w:t>En consecuencia la regla general ha de ser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ya que es efecto inherente a toda suspensión de la ejecución de una Sentencia firme producir una cierta perturbación del interés general, cifrado en mantener su propia eficacia (AATC 81/1981, 36/1983, 182/1998, 186/1998, 228/2001, entre otros muchos). Acorde, pues, con la naturaleza especial de la jurisdicción de amparo y con los imperativos que derivan de la efectividad de la tutela judicial, la suspensión prevista en la LOTC se configura como una medida provisional de carácter excepcional y de aplicación restrictiva (AATC 143/1992, 284/1995, 50/1996, 219/1996, 419/1997, 267/1998, 274/1998, 117/1999, 227/1999,41/2001 y 127/2001).</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En aplicación concreta de dicha doctrina general este Tribunal tiene declarado que la ejecución de las Sentencias cuyos efectos son fundamentalmente patrimoniales o de contenido económico, ni causan un perjuicio irreparable al obligado al pago por la Sentencia condenatoria, ni el amparo puede perder su finalidad, ya que admiten la restitución íntegra </w:t>
      </w:r>
      <w:r>
        <w:lastRenderedPageBreak/>
        <w:t>de lo ejecutado (AATC 573/1985, 574/1985 y 275/1990 por todos). Esta doctrina es igualmente aplicable a la condena en costas procesales, pues al entrañar un pago en dinero su ejecución no provoca ningún perjuicio que pueda hacer inútil el recurso de amparo (AATC 244/1991, 267/1995 y 44/2001, entre otros muchos).</w:t>
      </w:r>
    </w:p>
    <w:p w:rsidR="008B3772" w:rsidRDefault="008B3772" w:rsidP="008B3772">
      <w:pPr>
        <w:pStyle w:val="TextoNormal"/>
      </w:pPr>
      <w:r>
        <w:t>Del mismo modo la suspensión de resoluciones judiciales en cuyo fallo se declare la condena a penas de privación de libertad no es aplicable con carácter absoluto y sin restricciones, dado que el art. 56 LOTC responde a la necesidad de mantener un equilibrio entre los intereses del recurrente, los generales de la sociedad y los derechos de terceros. En consecuencia es necesario conciliar ambos valores -ejecución de las resoluciones judiciales y derecho a la libertad personal-, y, por ello, deben examinarse las circunstancias específicas que concurren en cada supuesto, pues las mismas pueden incrementar o disminuir el peso de los citados valores inclinando la resolución a favor del interés general o del interés particular que siempre concurren en el supuesto de hecho. Resulta pertinente ponderar, en consecuencia, la gravedad y naturaleza de los hechos enjuiciados y el bien jurídico protegido, su trascendencia social, la duración de la pena impuesta, el tiempo que reste de cumplimiento de la misma y la posible desprotección de las víctimas (AATC 88/1981, 201/1983,476/1984, 418/1985, 186/1998, 220/1999 y 114/2000).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273/1998 y 62/2001).</w:t>
      </w:r>
    </w:p>
    <w:p w:rsidR="008B3772" w:rsidRDefault="008B3772" w:rsidP="008B3772">
      <w:pPr>
        <w:pStyle w:val="TextoNormal"/>
      </w:pPr>
    </w:p>
    <w:p w:rsidR="008B3772" w:rsidRDefault="008B3772" w:rsidP="008B3772">
      <w:pPr>
        <w:pStyle w:val="TextoNormal"/>
      </w:pPr>
      <w:r w:rsidRPr="008B3772">
        <w:rPr>
          <w:rStyle w:val="NumeroAFNegritaCaracter"/>
        </w:rPr>
        <w:t>3</w:t>
      </w:r>
      <w:r>
        <w:t>. En el presente supuesto nuestro pronunciamiento ha de limitarse a lo concretamente solicitado por el recurrente en amparo en su escrito de 30 de marzo de 2007, esto es, a la suspensión de la ejecución de la pena privativa de libertad y la responsabilidad personal subsidiaria en el caso de impago de la multa.</w:t>
      </w:r>
    </w:p>
    <w:p w:rsidR="008B3772" w:rsidRDefault="008B3772" w:rsidP="008B3772">
      <w:pPr>
        <w:pStyle w:val="TextoNormal"/>
      </w:pPr>
      <w:r>
        <w:t>La aplicación al caso de la doctrina reseñada obliga a considerar, si se compara la duración de la pena privativa de libertad impuesta al demandante (cuatro años) con el tiempo que requiere normalmente la tramitación de un proceso de amparo como el presente, que no suspender su ejecución le ocasionaría un perjuicio irreparable que dejaría totalmente en entredicho la eficacia de un eventual fallo estimatorio de la demanda, por cuanto la pena de prisión estaría ya próxima a su terminación si no ya cumplida. Por otro lado, atendidas todas las circunstancias concurrentes en este supuesto, no se aprecia que acceder a la suspensión solicitada ocasione una lesión específica y grave de los intereses generales –más allá de aquélla que de por sí produce la no ejecución de un fallo judicial–, ni de derechos fundamentales o libertades públicas de terceros, mientras que el supuesto contrario sí irrogaría al demandante perjuicios de muy difícil o imposible reparación. Del mismo modo, y conforme lo apuntado por el Ministerio Fiscal, también procede la suspensión de la ejecución de la pena accesoria impuesta, al deber seguir ésta la misma suerte que la principal.</w:t>
      </w:r>
    </w:p>
    <w:p w:rsidR="008B3772" w:rsidRDefault="008B3772" w:rsidP="008B3772">
      <w:pPr>
        <w:pStyle w:val="TextoNormal"/>
      </w:pPr>
      <w:r>
        <w:t>No procede, sin embargo, en el momento actual, la suspensión de la responsabilidad personal subsidiaria para el caso de impago de la pena de multa, pues se trata de una eventualidad futura, que de sobrevenir (por falta de abono voluntario o en vía de apremio), podría dar lugar a la modificación de la medida cautelar que ahora se adopta en virtud de lo establecido en el art. 57 LOTC (AATC 107/1998, 136/1999, 227/1999, 245/1999, 61/2000, 41/2002, 362/2003, 409/2003, 369/2004 y 315/2004).</w:t>
      </w:r>
    </w:p>
    <w:p w:rsidR="008B3772" w:rsidRDefault="008B3772" w:rsidP="008B3772">
      <w:pPr>
        <w:pStyle w:val="TextoNormal"/>
      </w:pPr>
    </w:p>
    <w:p w:rsidR="008B3772" w:rsidRDefault="008B3772" w:rsidP="008B3772">
      <w:pPr>
        <w:pStyle w:val="TextoNormal"/>
      </w:pPr>
      <w:r>
        <w:t>En virtud de todo lo expuesto, la Sala</w:t>
      </w:r>
    </w:p>
    <w:p w:rsidR="008B3772" w:rsidRDefault="008B3772" w:rsidP="008B3772">
      <w:pPr>
        <w:pStyle w:val="TextoNormal"/>
      </w:pPr>
    </w:p>
    <w:p w:rsidR="008B3772" w:rsidRDefault="008B3772" w:rsidP="008B3772">
      <w:pPr>
        <w:pStyle w:val="TextoNormalCentrado"/>
      </w:pPr>
      <w:r>
        <w:lastRenderedPageBreak/>
        <w:t>ACUERDA</w:t>
      </w:r>
    </w:p>
    <w:p w:rsidR="008B3772" w:rsidRDefault="008B3772" w:rsidP="008B3772">
      <w:pPr>
        <w:pStyle w:val="TextoNormalCentrado"/>
      </w:pPr>
    </w:p>
    <w:p w:rsidR="008B3772" w:rsidRDefault="008B3772" w:rsidP="008B3772">
      <w:pPr>
        <w:pStyle w:val="TextoNormal"/>
      </w:pPr>
      <w:r>
        <w:t>Suspender la ejecución de la Sentencia dictada por la Sección Tercera de la Audiencia Provincial de Zaragoza, de fecha 28 de marzo de 2005 (rollo de apelación núm. 108-2004), exclusivamente en lo relativo a la pena privativa de libertad y accesoria de</w:t>
      </w:r>
    </w:p>
    <w:p w:rsidR="008B3772" w:rsidRDefault="008B3772" w:rsidP="008B3772">
      <w:pPr>
        <w:pStyle w:val="TextoNormal"/>
      </w:pPr>
      <w:r>
        <w:t>suspensión del derecho al sufragio pasivo durante el tiempo de la condena del recurrente.</w:t>
      </w:r>
    </w:p>
    <w:p w:rsidR="008B3772" w:rsidRDefault="008B3772" w:rsidP="008B3772">
      <w:pPr>
        <w:pStyle w:val="TextoNormal"/>
      </w:pPr>
    </w:p>
    <w:p w:rsidR="008B3772" w:rsidRDefault="008B3772" w:rsidP="008B3772">
      <w:pPr>
        <w:pStyle w:val="TextoNormal"/>
      </w:pPr>
      <w:r>
        <w:t>Madrid, a dieciocho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48" w:name="AUTO_2007_284"/>
      <w:r>
        <w:lastRenderedPageBreak/>
        <w:t>AUTO 284/2007, de 18 de junio de 2007</w:t>
      </w:r>
    </w:p>
    <w:bookmarkEnd w:id="148"/>
    <w:p w:rsidR="008B3772" w:rsidRDefault="008B3772" w:rsidP="008B3772">
      <w:pPr>
        <w:pStyle w:val="TtuloResolucin"/>
      </w:pPr>
      <w:r>
        <w:t>Sala Primera</w:t>
      </w:r>
    </w:p>
    <w:p w:rsidR="008B3772" w:rsidRDefault="008B3772" w:rsidP="008B3772">
      <w:pPr>
        <w:pStyle w:val="TtuloResolucin"/>
      </w:pPr>
    </w:p>
    <w:p w:rsidR="008B3772" w:rsidRDefault="008B3772" w:rsidP="008B3772">
      <w:pPr>
        <w:pStyle w:val="SntesisDescriptiva"/>
      </w:pPr>
      <w:r>
        <w:t>ECLI:ES:TC:2007:284A</w:t>
      </w:r>
    </w:p>
    <w:p w:rsidR="008B3772" w:rsidRDefault="008B3772" w:rsidP="008B3772">
      <w:pPr>
        <w:pStyle w:val="SntesisDescriptiva"/>
      </w:pPr>
    </w:p>
    <w:p w:rsidR="008B3772" w:rsidRDefault="008B3772" w:rsidP="008B3772">
      <w:pPr>
        <w:pStyle w:val="SntesisDescriptiva"/>
      </w:pPr>
      <w:r>
        <w:t>Excms. Srs. doña María Emilia Casas Baamonde, don Javier Delgado Barrio, don Roberto García-Calvo y Montiel, don Jorge Rodríguez-Zapata Pérez, don Manuel Aragón Reyes y don Pablo Pérez Tremps.</w:t>
      </w:r>
    </w:p>
    <w:p w:rsidR="008B3772" w:rsidRDefault="008B3772" w:rsidP="008B3772">
      <w:pPr>
        <w:pStyle w:val="SntesisDescriptiva"/>
      </w:pPr>
    </w:p>
    <w:p w:rsidR="008B3772" w:rsidRDefault="008B3772" w:rsidP="008B3772">
      <w:pPr>
        <w:pStyle w:val="SntesisDescriptiva"/>
      </w:pPr>
      <w:r>
        <w:t>Extinción del incidente de suspensión en el recurso de amparo 4028-2005, promovido por el Gobierno de Cantabria en causa penal.</w:t>
      </w:r>
    </w:p>
    <w:p w:rsidR="008B3772" w:rsidRDefault="008B3772" w:rsidP="008B3772">
      <w:pPr>
        <w:pStyle w:val="SntesisDescriptiva"/>
      </w:pPr>
    </w:p>
    <w:p w:rsidR="008B3772" w:rsidRDefault="008B3772" w:rsidP="008B3772">
      <w:pPr>
        <w:pStyle w:val="SntesisAnaltica"/>
      </w:pPr>
      <w:r>
        <w:t>Suspensión cautelar de resoluciones penales: pérdida sobrevenida de objeto.</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este Tribunal el 1 de junio de 2005, la Letrada de los Servicios Jurídicos del Gobierno de Cantabria, en la representación que legalmente ostenta, interpuso demanda de amparo contra el Auto de la Sección Tercera de la Audiencia Provincial de Cantabria de 12 de abril de 2005, dictado en el recurso de apelación núm. 65-2005, por el que se acuerda no tener por personado al Gobierno de Cantabria en el procedimiento del Tribunal del Jurado núm. 1-2004 tramitado en el Juzgado de Instrucción núm. 4 de Torrelavega.</w:t>
      </w:r>
    </w:p>
    <w:p w:rsidR="008B3772" w:rsidRDefault="008B3772" w:rsidP="008B3772">
      <w:pPr>
        <w:pStyle w:val="TextoNormal"/>
      </w:pPr>
    </w:p>
    <w:p w:rsidR="008B3772" w:rsidRDefault="008B3772" w:rsidP="008B3772">
      <w:pPr>
        <w:pStyle w:val="TextoNormal"/>
      </w:pPr>
      <w:r w:rsidRPr="008B3772">
        <w:rPr>
          <w:rStyle w:val="NumeroAFNegritaCaracter"/>
        </w:rPr>
        <w:t>2</w:t>
      </w:r>
      <w:r>
        <w:t>. La Sección Segunda de este Tribunal, por sendas providencias de 12 de abril de 2007, acordó, respectivamente, la admisión a trámite de la demanda de amparo y la formación de pieza separada para la tramitación del incidente sobre la suspensión solicitada, y conceder a la recurrente y al Ministerio Fiscal el plazo común de tres días para que alegasen lo que estimasen pertinente sobre dicha suspensión.</w:t>
      </w:r>
    </w:p>
    <w:p w:rsidR="008B3772" w:rsidRDefault="008B3772" w:rsidP="008B3772">
      <w:pPr>
        <w:pStyle w:val="TextoNormal"/>
      </w:pPr>
    </w:p>
    <w:p w:rsidR="008B3772" w:rsidRDefault="008B3772" w:rsidP="008B3772">
      <w:pPr>
        <w:pStyle w:val="TextoNormal"/>
      </w:pPr>
      <w:r w:rsidRPr="008B3772">
        <w:rPr>
          <w:rStyle w:val="NumeroAFNegritaCaracter"/>
        </w:rPr>
        <w:t>3</w:t>
      </w:r>
      <w:r>
        <w:t>. El Ministerio Fiscal, por escrito registrado el 27 de abril de 2007, presentó alegaciones afirmando que no procede acceder a la suspensión interesada, toda vez que, como ya se reiteró en el ATC 102/2006, de 27 de marzo, en un asunto similar en que también se había denegado la personación como acusación particular del Gobierno de una Comunidad Autónoma, la suspensión de efectos de la resolución impugnada y, por tanto, la posibilidad de actuar como parte acusadora en el proceso penal, implicaría la concesión anticipada del amparo.</w:t>
      </w:r>
    </w:p>
    <w:p w:rsidR="008B3772" w:rsidRDefault="008B3772" w:rsidP="008B3772">
      <w:pPr>
        <w:pStyle w:val="TextoNormal"/>
      </w:pPr>
    </w:p>
    <w:p w:rsidR="008B3772" w:rsidRDefault="008B3772" w:rsidP="008B3772">
      <w:pPr>
        <w:pStyle w:val="TextoNormal"/>
      </w:pPr>
      <w:r w:rsidRPr="008B3772">
        <w:rPr>
          <w:rStyle w:val="NumeroAFNegritaCaracter"/>
        </w:rPr>
        <w:t>4</w:t>
      </w:r>
      <w:r>
        <w:t>. El Gobierno de Cantabria, por escrito registrado el 3 de mayo de 2007, presentó alegaciones poniendo de manifiesto que la suspensión instada tenía por objeto posibilitar su personación en la causa ejerciendo la acusación popular, careciendo ya de sentido un pronunciamiento de estas características al haber recaído Sentencia de la Audiencia Provincial de Cantabria de fecha 1 de diciembre de 2005.</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Este Tribunal ha reiterado que el ejercicio de la facultad de suspensión prevista en el art. 56 LOTC carece de objeto cuando el acto objeto del proceso constitucional ya ha sido ejecutado, habida cuenta de que ésta sólo despliega sus efectos ex</w:t>
      </w:r>
    </w:p>
    <w:p w:rsidR="008B3772" w:rsidRDefault="008B3772" w:rsidP="008B3772">
      <w:pPr>
        <w:pStyle w:val="TextoNormal"/>
      </w:pPr>
      <w:r>
        <w:t>nunc (por todos, ATC 299/2006, de 11 de septiembre). En el presente caso, toda vez que es la propia entidad recurrente la que afirma que la suspensión solicitada carece de sentido por haber recaído Sentencia de la Audiencia Provincial de Cantabria en el</w:t>
      </w:r>
    </w:p>
    <w:p w:rsidR="008B3772" w:rsidRDefault="008B3772" w:rsidP="008B3772">
      <w:pPr>
        <w:pStyle w:val="TextoNormal"/>
      </w:pPr>
      <w:r>
        <w:t>procedimiento del Tribunal del Jurado en el que pretendía personarse en el ejercicio de la acción popular, la solicitud de suspensión cautelar ha quedado privada de objeto, por lo que sin necesidad de ningún otro pronunciamiento debe procederse al</w:t>
      </w:r>
    </w:p>
    <w:p w:rsidR="008B3772" w:rsidRDefault="008B3772" w:rsidP="008B3772">
      <w:pPr>
        <w:pStyle w:val="TextoNormal"/>
      </w:pPr>
      <w:r>
        <w:t>archivo del presente incidente de suspensión.</w:t>
      </w:r>
    </w:p>
    <w:p w:rsidR="008B3772" w:rsidRDefault="008B3772" w:rsidP="008B3772">
      <w:pPr>
        <w:pStyle w:val="TextoNormal"/>
      </w:pPr>
    </w:p>
    <w:p w:rsidR="008B3772" w:rsidRDefault="008B3772" w:rsidP="008B3772">
      <w:pPr>
        <w:pStyle w:val="TextoNormal"/>
      </w:pPr>
      <w:r>
        <w:t>Por todo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Archivar la pieza separada de suspensión del recurso de amparo núm. 4028-2005 por pérdida de objeto.</w:t>
      </w:r>
    </w:p>
    <w:p w:rsidR="008B3772" w:rsidRDefault="008B3772" w:rsidP="008B3772">
      <w:pPr>
        <w:pStyle w:val="TextoNormal"/>
      </w:pPr>
    </w:p>
    <w:p w:rsidR="008B3772" w:rsidRDefault="008B3772" w:rsidP="008B3772">
      <w:pPr>
        <w:pStyle w:val="TextoNormal"/>
      </w:pPr>
      <w:r>
        <w:t>Madrid, a dieciocho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49" w:name="AUTO_2007_285"/>
      <w:r>
        <w:lastRenderedPageBreak/>
        <w:t>AUTO 285/2007, de 18 de junio de 2007</w:t>
      </w:r>
    </w:p>
    <w:bookmarkEnd w:id="149"/>
    <w:p w:rsidR="008B3772" w:rsidRDefault="008B3772" w:rsidP="008B3772">
      <w:pPr>
        <w:pStyle w:val="TtuloResolucin"/>
      </w:pPr>
      <w:r>
        <w:t>Sala Primera</w:t>
      </w:r>
    </w:p>
    <w:p w:rsidR="008B3772" w:rsidRDefault="008B3772" w:rsidP="008B3772">
      <w:pPr>
        <w:pStyle w:val="TtuloResolucin"/>
      </w:pPr>
    </w:p>
    <w:p w:rsidR="008B3772" w:rsidRDefault="008B3772" w:rsidP="008B3772">
      <w:pPr>
        <w:pStyle w:val="SntesisDescriptiva"/>
      </w:pPr>
      <w:r>
        <w:t>ECLI:ES:TC:2007:285A</w:t>
      </w:r>
    </w:p>
    <w:p w:rsidR="008B3772" w:rsidRDefault="008B3772" w:rsidP="008B3772">
      <w:pPr>
        <w:pStyle w:val="SntesisDescriptiva"/>
      </w:pPr>
    </w:p>
    <w:p w:rsidR="008B3772" w:rsidRDefault="008B3772" w:rsidP="008B3772">
      <w:pPr>
        <w:pStyle w:val="SntesisDescriptiva"/>
      </w:pPr>
      <w:r>
        <w:t>Excms. Srs. doña María Emilia Casas Baamonde, don Javier Delgado Barrio, don Roberto García-Calvo y Montiel, don Jorge Rodríguez-Zapata Pérez, don Manuel Aragón Reyes y don Pablo Pérez Tremps.</w:t>
      </w:r>
    </w:p>
    <w:p w:rsidR="008B3772" w:rsidRDefault="008B3772" w:rsidP="008B3772">
      <w:pPr>
        <w:pStyle w:val="SntesisDescriptiva"/>
      </w:pPr>
    </w:p>
    <w:p w:rsidR="008B3772" w:rsidRDefault="008B3772" w:rsidP="008B3772">
      <w:pPr>
        <w:pStyle w:val="SntesisDescriptiva"/>
      </w:pPr>
      <w:r>
        <w:t>Deniega la solicitud de completar o aclarar la Sentencia 67/2007, de 27 de marzo, en el recurso de amparo 6280-2005, promovido por don Henrik Stamm Kristensen.</w:t>
      </w:r>
    </w:p>
    <w:p w:rsidR="008B3772" w:rsidRDefault="008B3772" w:rsidP="008B3772">
      <w:pPr>
        <w:pStyle w:val="SntesisDescriptiva"/>
      </w:pPr>
    </w:p>
    <w:p w:rsidR="008B3772" w:rsidRDefault="008B3772" w:rsidP="008B3772">
      <w:pPr>
        <w:pStyle w:val="SntesisAnaltica"/>
      </w:pPr>
      <w:r>
        <w:t>Aclaración de resoluciones del Tribunal Constitucional: improcedente. Sentencia de amparo: no imposición de costas procesales.</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En el presente recurso de amparo ha sido dictada Sentencia, de fecha 30 de marzo de 2007, en cuya parte dispositiva la Sala acordó denegar el amparo solicitado por don Henrik Stamm Kristensen.</w:t>
      </w:r>
    </w:p>
    <w:p w:rsidR="008B3772" w:rsidRDefault="008B3772" w:rsidP="008B3772">
      <w:pPr>
        <w:pStyle w:val="TextoNormal"/>
      </w:pPr>
    </w:p>
    <w:p w:rsidR="008B3772" w:rsidRDefault="008B3772" w:rsidP="008B3772">
      <w:pPr>
        <w:pStyle w:val="TextoNormal"/>
      </w:pPr>
      <w:r w:rsidRPr="008B3772">
        <w:rPr>
          <w:rStyle w:val="NumeroAFNegritaCaracter"/>
        </w:rPr>
        <w:t>2</w:t>
      </w:r>
      <w:r>
        <w:t>. Mediante escrito presentado en el registro general de este Tribunal el día 17 de abril de 2007 el Procurador de los Tribunales don Ignacio Argos Linares, actuando en nombre y representación de don Mariano López Martínez, parte comparecida en el proceso de amparo, solicita que la Sala Primera de este Tribunal se pronuncie sobre la imposición de costas, de acuerdo con lo solicitado en su escrito de contestación a la demanda y a lo previsto en el art. 95.2 LOTC.</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De acuerdo con el art. 95.2 de la Ley Orgánica del Tribunal Constitucional, el Tribunal podrá imponer las costas que se derivaren de la tramitación del proceso a la parte o partes que hayan mantenido posiciones infundadas, si apreciare temeridad o</w:t>
      </w:r>
    </w:p>
    <w:p w:rsidR="008B3772" w:rsidRDefault="008B3772" w:rsidP="008B3772">
      <w:pPr>
        <w:pStyle w:val="TextoNormal"/>
      </w:pPr>
      <w:r>
        <w:t>mala fe.</w:t>
      </w:r>
    </w:p>
    <w:p w:rsidR="008B3772" w:rsidRDefault="008B3772" w:rsidP="008B3772">
      <w:pPr>
        <w:pStyle w:val="TextoNormal"/>
      </w:pPr>
      <w:r>
        <w:t>Se trata, pues, de una potestad que no lleva aparejada la existencia de un pronunciamiento expreso sobre las costas en cada caso de este Tribunal, y no existiendo en este caso pronunciamiento expreso al respecto, es claro que sólo se puede concluir que el demandante de amparo no ha sido condenado al pago de las costas (ATC 178/2006, de 5 de junio, FJ Único), por lo que no procede completar ni aclarar la Sentencia.</w:t>
      </w:r>
    </w:p>
    <w:p w:rsidR="008B3772" w:rsidRDefault="008B3772" w:rsidP="008B3772">
      <w:pPr>
        <w:pStyle w:val="TextoNormal"/>
      </w:pPr>
    </w:p>
    <w:p w:rsidR="008B3772" w:rsidRDefault="008B3772" w:rsidP="008B3772">
      <w:pPr>
        <w:pStyle w:val="TextoNormal"/>
      </w:pPr>
      <w:r>
        <w:t>Por lo expuesto, la Sala</w:t>
      </w:r>
    </w:p>
    <w:p w:rsidR="008B3772" w:rsidRDefault="008B3772" w:rsidP="008B3772">
      <w:pPr>
        <w:pStyle w:val="TextoNormal"/>
      </w:pPr>
    </w:p>
    <w:p w:rsidR="008B3772" w:rsidRDefault="008B3772" w:rsidP="008B3772">
      <w:pPr>
        <w:pStyle w:val="TextoNormalCentrado"/>
      </w:pPr>
      <w:r>
        <w:lastRenderedPageBreak/>
        <w:t>ACUERDA</w:t>
      </w:r>
    </w:p>
    <w:p w:rsidR="008B3772" w:rsidRDefault="008B3772" w:rsidP="008B3772">
      <w:pPr>
        <w:pStyle w:val="TextoNormalCentrado"/>
      </w:pPr>
    </w:p>
    <w:p w:rsidR="008B3772" w:rsidRDefault="008B3772" w:rsidP="008B3772">
      <w:pPr>
        <w:pStyle w:val="TextoNormal"/>
      </w:pPr>
      <w:r>
        <w:t>Denegar lo solicitado por la representación de don Mariano López Martínez.</w:t>
      </w:r>
    </w:p>
    <w:p w:rsidR="008B3772" w:rsidRDefault="008B3772" w:rsidP="008B3772">
      <w:pPr>
        <w:pStyle w:val="TextoNormal"/>
      </w:pPr>
    </w:p>
    <w:p w:rsidR="008B3772" w:rsidRDefault="008B3772" w:rsidP="008B3772">
      <w:pPr>
        <w:pStyle w:val="TextoNormal"/>
      </w:pPr>
      <w:r>
        <w:t>Madrid, a dieciocho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50" w:name="AUTO_2007_286"/>
      <w:r>
        <w:lastRenderedPageBreak/>
        <w:t>AUTO 286/2007, de 18 de junio de 2007</w:t>
      </w:r>
    </w:p>
    <w:bookmarkEnd w:id="150"/>
    <w:p w:rsidR="008B3772" w:rsidRDefault="008B3772" w:rsidP="008B3772">
      <w:pPr>
        <w:pStyle w:val="TtuloResolucin"/>
      </w:pPr>
      <w:r>
        <w:t>Sala Segunda</w:t>
      </w:r>
    </w:p>
    <w:p w:rsidR="008B3772" w:rsidRDefault="008B3772" w:rsidP="008B3772">
      <w:pPr>
        <w:pStyle w:val="TtuloResolucin"/>
      </w:pPr>
    </w:p>
    <w:p w:rsidR="008B3772" w:rsidRDefault="008B3772" w:rsidP="008B3772">
      <w:pPr>
        <w:pStyle w:val="SntesisDescriptiva"/>
      </w:pPr>
      <w:r>
        <w:t>ECLI:ES:TC:2007:286A</w:t>
      </w:r>
    </w:p>
    <w:p w:rsidR="008B3772" w:rsidRDefault="008B3772" w:rsidP="008B3772">
      <w:pPr>
        <w:pStyle w:val="SntesisDescriptiva"/>
      </w:pPr>
    </w:p>
    <w:p w:rsidR="008B3772" w:rsidRDefault="008B3772" w:rsidP="008B3772">
      <w:pPr>
        <w:pStyle w:val="SntesisDescriptiva"/>
      </w:pPr>
      <w:r>
        <w:t>Excms. Srs. don Guillermo Jiménez Sánchez, don Vicente Conde Martín de Hijas, doña Elisa Pérez Vera, don Eugeni Gay Montalvo, don Ramón Rodríguez Arribas y don Pascual Sala Sánchez.</w:t>
      </w:r>
    </w:p>
    <w:p w:rsidR="008B3772" w:rsidRDefault="008B3772" w:rsidP="008B3772">
      <w:pPr>
        <w:pStyle w:val="SntesisDescriptiva"/>
      </w:pPr>
    </w:p>
    <w:p w:rsidR="008B3772" w:rsidRDefault="008B3772" w:rsidP="008B3772">
      <w:pPr>
        <w:pStyle w:val="SntesisDescriptiva"/>
      </w:pPr>
      <w:r>
        <w:t>Acuerda la suspensión parcial en el recurso de amparo 925-2006, promovido por don José María Botella Alfaro y otro en causa por delito de calumnias.</w:t>
      </w:r>
    </w:p>
    <w:p w:rsidR="008B3772" w:rsidRDefault="008B3772" w:rsidP="008B3772">
      <w:pPr>
        <w:pStyle w:val="SntesisDescriptiva"/>
      </w:pPr>
    </w:p>
    <w:p w:rsidR="008B3772" w:rsidRDefault="008B3772" w:rsidP="008B3772">
      <w:pPr>
        <w:pStyle w:val="SntesisAnaltica"/>
      </w:pPr>
      <w:r>
        <w:t>Suspensión cautelar de sentencias penales: inhabilitación especial del derecho de sufragio y prisión de un año, suspende.</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31 de enero de 2006 tuvo entrada en el Registro de este Tribunal escrito firmado por la Procuradora de los Tribunales doña Beatriz Martínez Martínez, en representación de don José María Botella Alfaro y de don Rafael Llorca Vallés, en virtud del cual interponía recurso de amparo contra la Sentencia de la Sección Segunda de la Audiencia Provincial de Valencia, de 29 de septiembre de 2005, recaída en el recurso de apelación núm. 1223-2005, revocatoria de la Sentencia absolutoria dictada por el Juzgado de lo Penal núm. 12 de Valencia con fecha 13 de junio de 2005 en la causa núm. 85-2005, y frente al Auto del mismo órgano judicial, de 15 de diciembre de 2005, que desestimó el incidente de nulidad de actuaciones promovido contra la Sentencia de apelación. La Sentencia de la Audiencia Provincial de Valencia había condenado a los actores, como autores criminalmente responsables de un delito de calumnias con publicidad, a la pena de un año y tres meses de prisión para el Sr. Botella Alfaro, y a la pena de un año de prisión para el Sr. Llorca Vallés, con suspensión del derecho de sufragio pasivo durante todo el tiempo de la condena y pago de las costas de la primera instancia, así como a indemnizar a don Rafael Soler Vert en la suma de 1.000 euros, más los intereses legales de dicha cantidad desde la fecha de la resolución. La Sentencia también acordó la publicación, a costa de los condenados, de los hechos probados y del fallo, en los términos de su fundamento de derecho octavo.</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Los recurrentes por medio de otrosí, solicitaron la suspensión de la ejecución de la Sentencia de la Audiencia Provincial de Valencia de 29 de septiembre de 2005, con invocación de la doctrina de este Tribunal, aduciendo que, si se compara la duración de las penas impuestas con el tiempo que requiere la tramitación de un proceso como el presente, de no acordarse la suspensión de la ejecución se les ocasionaría un perjuicio irreparable, que dejaría totalmente en entredicho la eficacia de un eventual fallo estimatorio. Por otro lado, alegan que no se trata de un delito de especial gravedad, que ocasione una lesión específica </w:t>
      </w:r>
      <w:r>
        <w:lastRenderedPageBreak/>
        <w:t>y grave del interés general, por lo que solicitan también la suspensión de las penas accesorias, en tanto que han de seguir la misma suerte que la principal.</w:t>
      </w:r>
    </w:p>
    <w:p w:rsidR="008B3772" w:rsidRDefault="008B3772" w:rsidP="008B3772">
      <w:pPr>
        <w:pStyle w:val="TextoNormal"/>
      </w:pPr>
    </w:p>
    <w:p w:rsidR="008B3772" w:rsidRDefault="008B3772" w:rsidP="008B3772">
      <w:pPr>
        <w:pStyle w:val="TextoNormal"/>
      </w:pPr>
      <w:r w:rsidRPr="008B3772">
        <w:rPr>
          <w:rStyle w:val="NumeroAFNegritaCaracter"/>
        </w:rPr>
        <w:t>3</w:t>
      </w:r>
      <w:r>
        <w:t>. Mediante providencias de 8 de mayo de 2007 la Sala Segunda acordó admitir a trámite el recurso de amparo, formar la oportuna pieza para la tramitación del incidente de suspensión, y, conforme a lo dispuesto en el art. 56 LOTC, concedió un plazo común de tres días a la parte recurrente y al Ministerio Fiscal para que alegasen lo que estimaran pertinente sobre dicha suspensión.</w:t>
      </w:r>
    </w:p>
    <w:p w:rsidR="008B3772" w:rsidRDefault="008B3772" w:rsidP="008B3772">
      <w:pPr>
        <w:pStyle w:val="TextoNormal"/>
      </w:pPr>
    </w:p>
    <w:p w:rsidR="008B3772" w:rsidRDefault="008B3772" w:rsidP="008B3772">
      <w:pPr>
        <w:pStyle w:val="TextoNormal"/>
      </w:pPr>
      <w:r w:rsidRPr="008B3772">
        <w:rPr>
          <w:rStyle w:val="NumeroAFNegritaCaracter"/>
        </w:rPr>
        <w:t>4</w:t>
      </w:r>
      <w:r>
        <w:t>. La Procuradora doña Beatriz Martínez Martínez presentó escrito en este Tribunal el 21 de mayo de 2007, ratificándose en los motivos alegados en la demanda de amparo. Añade la consideración de que la condena comprende también la publicación de la Sentencia condenatoria en los mismos diarios en los que se publicó la información, lo cual, de llevarse a cabo, ocasionaría un irreparable demérito y desprestigio para los actores, porque daría lugar a que, de manera inmediata, la opinión pública, en general, y las personas allegadas, en particular, dieran por sentado y definitivo la condición criminal de los recurrentes, sin que ello pudiera ser corregido por un eventual y posterior fallo absolutorio.</w:t>
      </w:r>
    </w:p>
    <w:p w:rsidR="008B3772" w:rsidRDefault="008B3772" w:rsidP="008B3772">
      <w:pPr>
        <w:pStyle w:val="TextoNormal"/>
      </w:pPr>
    </w:p>
    <w:p w:rsidR="008B3772" w:rsidRDefault="008B3772" w:rsidP="008B3772">
      <w:pPr>
        <w:pStyle w:val="TextoNormal"/>
      </w:pPr>
      <w:r w:rsidRPr="008B3772">
        <w:rPr>
          <w:rStyle w:val="NumeroAFNegritaCaracter"/>
        </w:rPr>
        <w:t>5</w:t>
      </w:r>
      <w:r>
        <w:t>. Por su parte, el Fiscal, en escrito registrado el 23 de mayo de 2007, invoca la doctrina sentada en el ATC 460/2006, y, en aplicación de la misma, entiende que resulta procedente no suspender la ejecución de la resolución impugnada en lo que afecta al pronunciamiento pecuniario, referido a una indemnización a favor del perjudicado por el delito, sin perjuicio de la suspensión de la pena privativa de libertad, ya que, de no suspenderse, su corta duración haría perder al amparo su finalidad en el supuesto de ser finalmente concedido.</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art. 56.1 LOTC (en la redacción anterior a la introducida por la Ley Orgánica 6/2007, de 24 de mayo) estableció que la Sala que conozca de un recurso de amparo suspenderá, de oficio o a instancia del recurrente, la ejecución del acto de los poderes públicos por razón del cual se reclame el amparo constitucional, siempre que la ejecución ocasionare un perjuicio que haría perder al amparo su finalidad, previendo también la posibilidad de denegar la suspensión cuando de ésta pueda seguirse perturbación grave de los intereses generales o de los derechos fundamentales o libertades públicas de un tercero.</w:t>
      </w:r>
    </w:p>
    <w:p w:rsidR="008B3772" w:rsidRDefault="008B3772" w:rsidP="008B3772">
      <w:pPr>
        <w:pStyle w:val="TextoNormal"/>
      </w:pPr>
      <w: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Consecuentemente, la regla general debe ser la improcedencia de la suspensión que se configura así como una medida provisional de carácter excepcional y de aplicación restrictiva (entre otros, AATC 2/2001, de 15 de enero; 64/2001, de 26 de marzo, y 4/2006, de 16 de enero).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w:t>
      </w:r>
      <w:r>
        <w:lastRenderedPageBreak/>
        <w:t>56 LOTC. En este sentido, por perjuicio irreparable se ha de entender aquel que provoque que el restablecimiento del recurrente en el derecho constitucional vulnerado sea tardío y convierta el amparo en meramente ilusorio y nominal (por todos AATC 251/2000, de 30 de octubre; 63/2001, de 26 de marzo; 170/2001, de 22 de junio; 9/2003, de 20 de enero, y 338/2005, de 26 de septiembre).</w:t>
      </w:r>
    </w:p>
    <w:p w:rsidR="008B3772" w:rsidRDefault="008B3772" w:rsidP="008B3772">
      <w:pPr>
        <w:pStyle w:val="TextoNormal"/>
      </w:pPr>
      <w:r>
        <w:t>Más concretamente, este Tribunal, entre otros, en los AATC 293/2001, de 26 de noviembre, FJ 1, y 211/2004, de 2 junio, FJ 2,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008B3772" w:rsidRDefault="008B3772" w:rsidP="008B3772">
      <w:pPr>
        <w:pStyle w:val="TextoNormal"/>
      </w:pPr>
    </w:p>
    <w:p w:rsidR="008B3772" w:rsidRDefault="008B3772" w:rsidP="008B3772">
      <w:pPr>
        <w:pStyle w:val="TextoNormal"/>
      </w:pPr>
      <w:r w:rsidRPr="008B3772">
        <w:rPr>
          <w:rStyle w:val="NumeroAFNegritaCaracter"/>
        </w:rPr>
        <w:t>2</w:t>
      </w:r>
      <w:r>
        <w:t>. Descendiendo ya al análisis del concreto caso a que se refiere la petición de suspensión, se ha de advertir que la Sentencia de la Audiencia Provincial de Valencia de 29 de septiembre de 2005 condenó a los demandantes de amparo, como autores de un delito de calumnias con publicidad, a la penas de un año y tres meses de prisión para el Sr. Botella Alfaro, y de un año de prisión para el Sr. Llorca Vallés, con la accesoria de suspensión del derecho de sufragio pasivo durante todo el tiempo de la condena, todo ello con indemnización a don Rafael Soler Vert en la suma de 1.000 euros, más los intereses legales de dicha cantidad desde la fecha de la resolución, e imposición de las costas de primera instancia. Asimismo, se acordó la publicación, a costa de los condenados, de los hechos probados y del fallo en los mismos diarios en que se publicó la información calumniosa.</w:t>
      </w:r>
    </w:p>
    <w:p w:rsidR="008B3772" w:rsidRDefault="008B3772" w:rsidP="008B3772">
      <w:pPr>
        <w:pStyle w:val="TextoNormal"/>
      </w:pPr>
      <w:r>
        <w:t>En la demanda, los recurrentes señalan que la ejecución de la resolución recurrida les ocasionaría un grave perjuicio que difícilmente podría restablecerse en el caso de prosperar el recurso, lo que haría perder al amparo su finalidad. En este sentido, invocan la doctrina de este Tribunal, y aducen que la suspensión de la pena privativa de libertad y de las accesorias no supondría una perturbación grave a los intereses generales. Asimismo, en su posterior escrito de alegaciones afirman que la publicación de la Sentencia condenatoria les produciría un irreparable demérito y desprestigio. El Ministerio Fiscal ha interesado que se acuerde la suspensión, exclusivamente, de la pena privativa de libertad, pero no de los demás pronunciamientos contenidos en el fallo, sin considerar expresamente el relativo a la publicación de éste.</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cuanto a las penas privativas de libertad, dado que la duración de las penas de prisión impuestas a los actores es de un año y tres meses respecto de uno de ellos, y de un año en relación con el otro, resulta claro que entran dentro del tiempo que este Tribunal viene habitualmente entendiendo que permite su suspensión, no sólo por quedar comprendido dentro de la posible duración de la tramitación del recurso (ATC 269/1998, de 26 de noviembre) sino, también y sobre todo, porque en una ponderación entre el interés general en el cumplimiento de una pena que es de naturaleza menos grave, y el interés particular en la suspensión de su ejecución, debe ceder aquél ante el carácter irreparable del perjuicio que se deriva de la privación de libertad, en relación con la posible pérdida de la finalidad del amparo. Asimismo, se constata que no existe una particular lesión de los intereses generales distinta de la que en sí misma produce la suspensión de un fallo judicial y que de la no suspensión derivarían perjuicios y daños irreparables. Atendidas estas circunstancias, se ha de otorgar la suspensión solicitada respecto a las penas privativas de libertad, pues, teniendo </w:t>
      </w:r>
      <w:r>
        <w:lastRenderedPageBreak/>
        <w:t>en cuenta su duración, el amparo podría perder su virtualidad, quedando así en entredicho la eficacia de un eventual fallo estimatorio. Dicha suspensión implicará, paralelamente, la de la pena accesoria de privación del derecho de sufragio pasivo, al seguir la misma suerte que las penas principales a las que acompaña (por todos, AATC 258/2000, de 13 de noviembre, FJ 2, y 7/2001, de 15 de enero, FJ 2).</w:t>
      </w:r>
    </w:p>
    <w:p w:rsidR="008B3772" w:rsidRDefault="008B3772" w:rsidP="008B3772">
      <w:pPr>
        <w:pStyle w:val="TextoNormal"/>
      </w:pPr>
      <w:r>
        <w:t>Por otro lado, procede acordar también la suspensión del fallo de la Sentencia de la Audiencia Provincial de Valencia en lo relativo a la publicación del mismo en los diarios que se señalan en su fundamento octavo, pues si tal publicación se llevase a cabo se ocasionaría un perjuicio que, al menos parcialmente, haría perder al amparo su finalidad caso de otorgarse finalmente por este Tribunal, sin que se produzca por otra parte afectación grave de los intereses generales, sino únicamente el aplazamiento de la eventual satisfacción del derecho de un tercero, que quedará pendiente de la definitiva resolución del presente recurso (AATC 239/1990, 25/1991, 165/1995, 123/1996, 135/1996, 84/1997, 13/1999, 305/1999, 211/1999).</w:t>
      </w:r>
    </w:p>
    <w:p w:rsidR="008B3772" w:rsidRDefault="008B3772" w:rsidP="008B3772">
      <w:pPr>
        <w:pStyle w:val="TextoNormal"/>
      </w:pPr>
      <w:r>
        <w:t>Por el contrario, no procede la suspensión de la condena en lo que se refiere a los pronunciamientos de contenido patrimonial —indemnización de 1.000 euros al perjudicado don Rafael Soler Vert y abono de las costas procesales de la primera instancia— de conformidad con el criterio de este Tribunal de que, por tratarse de condenas de contenido económico, los perjuicios anejos a su ejecución son perfectamente reparables, incluso si se otorgase el amparo (AATC 371/1996, 91/1997, 182/1998, 273/1998, 189/2000, 193/2000 y 258/2000). Por otra parte, ha de añadirse la consideración de que la suspensión de la ejecución en cuanto al pago de la indemnización, aparte de no haber sido interesada expresamente por los demandantes de amparo, afectaría a los derechos de un tercero, que vería sacrificado su derecho a la tutela judicial efectiva, en la vertiente relativa a la obtención de la ejecución de una sentencia que contiene un pronunciamiento favorable a sus intereses.</w:t>
      </w:r>
    </w:p>
    <w:p w:rsidR="008B3772" w:rsidRDefault="008B3772" w:rsidP="008B3772">
      <w:pPr>
        <w:pStyle w:val="TextoNormal"/>
      </w:pPr>
    </w:p>
    <w:p w:rsidR="008B3772" w:rsidRDefault="008B3772" w:rsidP="008B3772">
      <w:pPr>
        <w:pStyle w:val="TextoNormal"/>
      </w:pPr>
      <w:r>
        <w:t>Por todo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1º Suspender la ejecución de la Sentencia de la Sección Segunda de la Audiencia Provincial de Valencia de 29 de septiembre de 2005, en lo relativo a las penas privativas de libertad de un año y tres meses de prisión y de un año de prisión impuestas,</w:t>
      </w:r>
    </w:p>
    <w:p w:rsidR="008B3772" w:rsidRDefault="008B3772" w:rsidP="008B3772">
      <w:pPr>
        <w:pStyle w:val="TextoNormal"/>
      </w:pPr>
      <w:r>
        <w:t>respectivamente, a don José María Botella Alfaro y a don Rafael Llorca Vallés, a la accesoria de privación del derecho de sufragio pasivo durante el tiempo de la condena, y a la publicación, a costa de los condenados, de los hechos probados y del fallo</w:t>
      </w:r>
    </w:p>
    <w:p w:rsidR="008B3772" w:rsidRDefault="008B3772" w:rsidP="008B3772">
      <w:pPr>
        <w:pStyle w:val="TextoNormal"/>
      </w:pPr>
      <w:r>
        <w:t>de la referida Sentencia.</w:t>
      </w:r>
    </w:p>
    <w:p w:rsidR="008B3772" w:rsidRDefault="008B3772" w:rsidP="008B3772">
      <w:pPr>
        <w:pStyle w:val="TextoNormal"/>
      </w:pPr>
      <w:r>
        <w:t>2º Denegar la suspensión interesada en todo lo demás.</w:t>
      </w:r>
    </w:p>
    <w:p w:rsidR="008B3772" w:rsidRDefault="008B3772" w:rsidP="008B3772">
      <w:pPr>
        <w:pStyle w:val="TextoNormal"/>
      </w:pPr>
    </w:p>
    <w:p w:rsidR="008B3772" w:rsidRDefault="008B3772" w:rsidP="008B3772">
      <w:pPr>
        <w:pStyle w:val="TextoNormal"/>
      </w:pPr>
      <w:r>
        <w:t>Madrid, a dieciocho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51" w:name="AUTO_2007_287"/>
      <w:r>
        <w:lastRenderedPageBreak/>
        <w:t>AUTO 287/2007, de 18 de junio de 2007</w:t>
      </w:r>
    </w:p>
    <w:bookmarkEnd w:id="151"/>
    <w:p w:rsidR="008B3772" w:rsidRDefault="008B3772" w:rsidP="008B3772">
      <w:pPr>
        <w:pStyle w:val="TtuloResolucin"/>
      </w:pPr>
      <w:r>
        <w:t>Sala Segunda</w:t>
      </w:r>
    </w:p>
    <w:p w:rsidR="008B3772" w:rsidRDefault="008B3772" w:rsidP="008B3772">
      <w:pPr>
        <w:pStyle w:val="TtuloResolucin"/>
      </w:pPr>
    </w:p>
    <w:p w:rsidR="008B3772" w:rsidRDefault="008B3772" w:rsidP="008B3772">
      <w:pPr>
        <w:pStyle w:val="SntesisDescriptiva"/>
      </w:pPr>
      <w:r>
        <w:t>ECLI:ES:TC:2007:287A</w:t>
      </w:r>
    </w:p>
    <w:p w:rsidR="008B3772" w:rsidRDefault="008B3772" w:rsidP="008B3772">
      <w:pPr>
        <w:pStyle w:val="SntesisDescriptiva"/>
      </w:pPr>
    </w:p>
    <w:p w:rsidR="008B3772" w:rsidRDefault="008B3772" w:rsidP="008B3772">
      <w:pPr>
        <w:pStyle w:val="SntesisDescriptiva"/>
      </w:pPr>
      <w:r>
        <w:t>Excms. Srs. don Guillermo Jiménez Sánchez, don Vicente Conde Martín de Hijas, doña Elisa Pérez Vera, don Eugeni Gay Montalvo, don Ramón Rodríguez Arribas y don Pascual Sala Sánchez.</w:t>
      </w:r>
    </w:p>
    <w:p w:rsidR="008B3772" w:rsidRDefault="008B3772" w:rsidP="008B3772">
      <w:pPr>
        <w:pStyle w:val="SntesisDescriptiva"/>
      </w:pPr>
    </w:p>
    <w:p w:rsidR="008B3772" w:rsidRDefault="008B3772" w:rsidP="008B3772">
      <w:pPr>
        <w:pStyle w:val="SntesisDescriptiva"/>
      </w:pPr>
      <w:r>
        <w:t>Deniega la suspensión en el recurso de amparo 10112-2006, promovido por don Jon Aguirre Aguiriano en procedimiento penitenciario sobre licenciamiento definitivo.</w:t>
      </w:r>
    </w:p>
    <w:p w:rsidR="008B3772" w:rsidRDefault="008B3772" w:rsidP="008B3772">
      <w:pPr>
        <w:pStyle w:val="SntesisDescriptiva"/>
      </w:pPr>
    </w:p>
    <w:p w:rsidR="008B3772" w:rsidRDefault="008B3772" w:rsidP="008B3772">
      <w:pPr>
        <w:pStyle w:val="SntesisAnaltica"/>
      </w:pPr>
      <w:r>
        <w:t>Reclusos: beneficios penitenciarios. Redención de penas por el trabajo: cómputo. Suspensión de la ejecución del acto que origina el amparo: causa penal, improcedencia; doctrina constitucional.</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este Tribunal el día 8 de noviembre de 2006 don José Javier Cuevas Rivas, Procurador de los Tribunales, y de don Jon Aguirre Aguiriano, interpuso recurso de amparo contra la resolución judicial que se cita en el encabezamiento.</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Sucintamente expuestos, los hechos en que se basa la pretensión de amparo son los siguientes: </w:t>
      </w:r>
    </w:p>
    <w:p w:rsidR="008B3772" w:rsidRDefault="008B3772" w:rsidP="008B3772">
      <w:pPr>
        <w:pStyle w:val="TextoNormal"/>
      </w:pPr>
      <w:r>
        <w:t xml:space="preserve">a) El Centro Penitenciario de Nanclares de la Oca, mediante oficio de fecha 18 de agosto de 2006, realizó una doble propuesta de licenciamiento definitivo del recurrente: para el 28 de octubre de 2006, conforme a los criterios anteriores a la Sentencia del Tribunal Supremo 197/2006, de 28 de febrero de 2006; y computando los beneficios de redención de penas por el trabajo en relación al total de la pena impuesta la fecha de cumplimiento sería el 15 de octubre de 2058, por lo que se aplica el límite máximo de cumplimiento de 30 años, fijándose como fecha el 3 de mayo de 2011. </w:t>
      </w:r>
    </w:p>
    <w:p w:rsidR="008B3772" w:rsidRDefault="008B3772" w:rsidP="008B3772">
      <w:pPr>
        <w:pStyle w:val="TextoNormal"/>
      </w:pPr>
      <w:r>
        <w:t xml:space="preserve">Por providencia de 19 de septiembre de 2006, la Sección Primera de la Sala de lo Penal de la Audiencia Nacional aprueba el licenciamiento definitivo para el 3 de mayo de 2011. </w:t>
      </w:r>
    </w:p>
    <w:p w:rsidR="008B3772" w:rsidRDefault="008B3772" w:rsidP="008B3772">
      <w:pPr>
        <w:pStyle w:val="TextoNormal"/>
      </w:pPr>
      <w:r>
        <w:t>b) Contra la anterior resolución se interpuso recurso de súplica, desestimado por Auto de 10 de octubre de 2006, que aplica la doctrina sentada por el Tribunal Supremo en la STS 197/2006, conforme a la cual los beneficios penitenciarios y las redenciones de pena serán computables sobre cada una de las penas impuestas hasta que se alcancen las limitaciones establecidas en el art. 70 CP 1973.</w:t>
      </w:r>
    </w:p>
    <w:p w:rsidR="008B3772" w:rsidRDefault="008B3772" w:rsidP="008B3772">
      <w:pPr>
        <w:pStyle w:val="TextoNormal"/>
      </w:pPr>
    </w:p>
    <w:p w:rsidR="008B3772" w:rsidRDefault="008B3772" w:rsidP="008B3772">
      <w:pPr>
        <w:pStyle w:val="TextoNormal"/>
      </w:pPr>
      <w:r w:rsidRPr="008B3772">
        <w:rPr>
          <w:rStyle w:val="NumeroAFNegritaCaracter"/>
        </w:rPr>
        <w:t>3</w:t>
      </w:r>
      <w:r>
        <w:t>. En la demanda de amparo se alega que la resolución judicial recurrida ha vulnerado los derechos del recurrente a la tutela judicial efectiva (art. 24.1 CE), a la legalidad (art. 25.1 y 25.2 CE), a la libertad (art. 17 CE) y a la igualdad en la aplicación de la ley (art. 14 CE).</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4</w:t>
      </w:r>
      <w:r>
        <w:t>. Por providencia de 6 de marzo de 2007 la Sala Segunda de este Tribunal acordó la admisión a trámite de la demanda así como, a tenor de lo establecido en el art. 51 LOTC, requerir atentamente a la Sección Primera de la Sala de lo Penal de la Audiencia Nacional para que remitiera testimonio de las actuaciones correspondientes a la Ejecutoria núm. 107-1979, interesándose al tiempo que se emplazara a quienes fueron parte en el procedimiento, a excepción del demandante de amparo, para que pudieran comparecer en el recurso de amparo.</w:t>
      </w:r>
    </w:p>
    <w:p w:rsidR="008B3772" w:rsidRDefault="008B3772" w:rsidP="008B3772">
      <w:pPr>
        <w:pStyle w:val="TextoNormal"/>
      </w:pPr>
    </w:p>
    <w:p w:rsidR="008B3772" w:rsidRDefault="008B3772" w:rsidP="008B3772">
      <w:pPr>
        <w:pStyle w:val="TextoNormal"/>
      </w:pPr>
      <w:r w:rsidRPr="008B3772">
        <w:rPr>
          <w:rStyle w:val="NumeroAFNegritaCaracter"/>
        </w:rPr>
        <w:t>5</w:t>
      </w:r>
      <w:r>
        <w:t>. Mediante un escrito registrado el día 3 de mayo de 2007, de acuerdo con lo previsto en el art. 56.1 LOTC, el demandante solicita se deje en suspenso la ejecución de las resoluciones impugnadas, dada la imposibilidad de reparación del perjuicio que viene sufriendo. En efecto, la condena que le fue impuesta ya ha sido cumplida en su totalidad y debería hallarse en libertad desde el día 28 de octubre de 2006, pese a lo que sigue privado de libertad y con enfermedades muy graves. La eventual estimación del amparo —de no suspenderse la ejecución— tendría como consecuencia una permanencia en prisión más allá del tiempo establecido por la ley, un perjuicio irreparable y que haría perder al amparo su finalidad, sin que la suspensión solicitada genere perturbación del interés general, al haberse cumplido ya la condena impuesta, de acuerdo con la doctrina aplicada sin excepción con anterioridad a la STS 197/2006.</w:t>
      </w:r>
    </w:p>
    <w:p w:rsidR="008B3772" w:rsidRDefault="008B3772" w:rsidP="008B3772">
      <w:pPr>
        <w:pStyle w:val="TextoNormal"/>
      </w:pPr>
    </w:p>
    <w:p w:rsidR="008B3772" w:rsidRDefault="008B3772" w:rsidP="008B3772">
      <w:pPr>
        <w:pStyle w:val="TextoNormal"/>
      </w:pPr>
      <w:r w:rsidRPr="008B3772">
        <w:rPr>
          <w:rStyle w:val="NumeroAFNegritaCaracter"/>
        </w:rPr>
        <w:t>6</w:t>
      </w:r>
      <w:r>
        <w:t>. Por providencia de 8 de mayo de 2007 la Sala Segunda acordó formar la correspondiente pieza separada de suspensión y, de conformidad con lo previsto en el artículo 56 LOTC, conceder un plazo común de tres días al Ministerio Fiscal y a las partes personadas para que alegaran lo que estimaran pertinente en relación con la petición de suspensión interesada.</w:t>
      </w:r>
    </w:p>
    <w:p w:rsidR="008B3772" w:rsidRDefault="008B3772" w:rsidP="008B3772">
      <w:pPr>
        <w:pStyle w:val="TextoNormal"/>
      </w:pPr>
    </w:p>
    <w:p w:rsidR="008B3772" w:rsidRDefault="008B3772" w:rsidP="008B3772">
      <w:pPr>
        <w:pStyle w:val="TextoNormal"/>
      </w:pPr>
      <w:r w:rsidRPr="008B3772">
        <w:rPr>
          <w:rStyle w:val="NumeroAFNegritaCaracter"/>
        </w:rPr>
        <w:t>7</w:t>
      </w:r>
      <w:r>
        <w:t xml:space="preserve">. Mediante escrito registrado en este Tribunal el día 17 de mayo de 2007 el Abogado del Estado se opuso a la suspensión interesada. </w:t>
      </w:r>
    </w:p>
    <w:p w:rsidR="008B3772" w:rsidRDefault="008B3772" w:rsidP="008B3772">
      <w:pPr>
        <w:pStyle w:val="TextoNormal"/>
      </w:pPr>
      <w:r>
        <w:t>Sostiene el Abogado del Estado que la pretensión resulta improcedente. Por una parte porque, aun de concederse la suspensión, ello no determinaría la excarcelación del recurrente, sino que dejaría abierta la consulta formulada por el Centro Penitenciario respecto de la fecha de cumplimiento definitivo. Por otra, a la vista de la naturaleza y gravedad de los delitos cometidos y de las penas impuestas, porque causaría sensación de impunidad y desconfianza en los mecanismos protectores del Estado, daño a los intereses generales y patentemente a las víctimas. Cita ATC 31/2007.</w:t>
      </w:r>
    </w:p>
    <w:p w:rsidR="008B3772" w:rsidRDefault="008B3772" w:rsidP="008B3772">
      <w:pPr>
        <w:pStyle w:val="TextoNormal"/>
      </w:pPr>
    </w:p>
    <w:p w:rsidR="008B3772" w:rsidRDefault="008B3772" w:rsidP="008B3772">
      <w:pPr>
        <w:pStyle w:val="TextoNormal"/>
      </w:pPr>
      <w:r w:rsidRPr="008B3772">
        <w:rPr>
          <w:rStyle w:val="NumeroAFNegritaCaracter"/>
        </w:rPr>
        <w:t>8</w:t>
      </w:r>
      <w:r>
        <w:t xml:space="preserve">. El 21 de mayo de 2007 se registró en este Tribunal el escrito de alegaciones del Ministerio Fiscal, que se opone a la suspensión solicitada, sin perjuicio de que, a la vista de los motivos de amparo y los derechos fundamentales en juego, solicite a este Tribunal la más urgente tramitación y resolución del recurso. </w:t>
      </w:r>
    </w:p>
    <w:p w:rsidR="008B3772" w:rsidRDefault="008B3772" w:rsidP="008B3772">
      <w:pPr>
        <w:pStyle w:val="TextoNormal"/>
      </w:pPr>
      <w:r>
        <w:t xml:space="preserve">Tras recordar la reiterada jurisprudencia del Tribunal en materia de suspensión de la ejecución de las sentencias firmes, destaca el Fiscal que en las alegaciones presentadas el día 16 de mayo de 2007 solicitó la estimación parcial del recurso, estimación que determinaría la anulación de las resoluciones impugnadas y que recobrase efecto la propuesta de licenciamiento definitivo del interno para el día 28 de octubre de 2006. Ahora bien, la suspensión de la ejecución de las penas privativas de libertad en este momento implicaría la anticipación del propio amparo, algo que —pese a la entidad de los derechos fundamentales en juego— </w:t>
      </w:r>
      <w:r>
        <w:lastRenderedPageBreak/>
        <w:t>no parece procedente de conformidad con la constante jurisprudencia del Tribunal, reflejada, entre otros, en el ATC 236/2005, de 20 de junio, FJ 2.</w:t>
      </w:r>
    </w:p>
    <w:p w:rsidR="008B3772" w:rsidRDefault="008B3772" w:rsidP="008B3772">
      <w:pPr>
        <w:pStyle w:val="TextoNormal"/>
      </w:pPr>
    </w:p>
    <w:p w:rsidR="008B3772" w:rsidRDefault="008B3772" w:rsidP="008B3772">
      <w:pPr>
        <w:pStyle w:val="TextoNormal"/>
      </w:pPr>
      <w:r w:rsidRPr="008B3772">
        <w:rPr>
          <w:rStyle w:val="NumeroAFNegritaCaracter"/>
        </w:rPr>
        <w:t>9</w:t>
      </w:r>
      <w:r>
        <w:t>. Ese mismo día 21 de mayo de 2007 realiza sus alegaciones el demandante de amparo, quien reitera la solicitud de suspensión y los argumentos expuestos en el escrito en el que la solicitó, fundamentalmente el perjuicio irreparable causado por la ejecución, al tratarse del derecho a la libertad de una persona que permanece en prisión pese a haber cumplido ya, el día 28 de octubre de 2006, la condena que le fue impuesta.</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8B3772" w:rsidRDefault="008B3772" w:rsidP="008B3772">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(AATC 99/2002, 263/2005, 369/2005). Por ello, y en atención a la naturaleza especial de la jurisdicción de amparo, la suspensión prevista en la LOTC se configura como una medida provisional de carácter excepcional y de aplicación restrictiva (AATC 227/1999, 41/2001, 127/2001, 369/2005), siendo la regla general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(AATC 228/2001, 263/2005, 369/2005, 214/2007).</w:t>
      </w:r>
    </w:p>
    <w:p w:rsidR="008B3772" w:rsidRDefault="008B3772" w:rsidP="008B3772">
      <w:pPr>
        <w:pStyle w:val="TextoNormal"/>
      </w:pPr>
    </w:p>
    <w:p w:rsidR="008B3772" w:rsidRDefault="008B3772" w:rsidP="008B3772">
      <w:pPr>
        <w:pStyle w:val="TextoNormal"/>
      </w:pPr>
      <w:r w:rsidRPr="008B3772">
        <w:rPr>
          <w:rStyle w:val="NumeroAFNegritaCaracter"/>
        </w:rPr>
        <w:t>2</w:t>
      </w:r>
      <w:r>
        <w:t>. Más concretamente, este Tribunal ha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lo cual sucede en las condenas a penas privativas de libertad, habida cuenta de que "la libertad constituye un derecho cuya naturaleza convierte el perjuicio irrogado en irreparable, en caso de estimarse el amparo una vez cumplida parcial o totalmente la pena" (AATC 155/2002, FJ 3; 9/2003, FJ 2).</w:t>
      </w:r>
    </w:p>
    <w:p w:rsidR="008B3772" w:rsidRDefault="008B3772" w:rsidP="008B3772">
      <w:pPr>
        <w:pStyle w:val="TextoNormal"/>
      </w:pPr>
      <w:r>
        <w:t xml:space="preserve">No obstante, este criterio no es absoluto, ni determina la suspensión automática de tales resoluciones, pues el art. 56 LOTC responde a la necesidad de mantener un equilibrio entre los intereses del recurrente, los generales de la sociedad y los derechos de terceros (ATC 369/2005). En consecuencia es necesario conciliar el interés en la ejecución de las resoluciones judiciales y derecho a la libertad personal, para lo que deben examinarse las circunstancias específicas que concurren en cada supuesto, pues las mismas pueden incrementar o disminuir el peso de los citados intereses, inclinando la resolución a favor del interés general o del interés particular que siempre concurren en el supuesto de hecho. Así, hemos afirmado que la decisión ha de ponderar la gravedad y naturaleza de los hechos enjuiciados y el bien </w:t>
      </w:r>
      <w:r>
        <w:lastRenderedPageBreak/>
        <w:t>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164/2002, 9/2003, 369/2005, 214/2007).</w:t>
      </w:r>
    </w:p>
    <w:p w:rsidR="008B3772" w:rsidRDefault="008B3772" w:rsidP="008B3772">
      <w:pPr>
        <w:pStyle w:val="TextoNormal"/>
      </w:pPr>
    </w:p>
    <w:p w:rsidR="008B3772" w:rsidRDefault="008B3772" w:rsidP="008B3772">
      <w:pPr>
        <w:pStyle w:val="TextoNormal"/>
      </w:pPr>
      <w:r w:rsidRPr="008B3772">
        <w:rPr>
          <w:rStyle w:val="NumeroAFNegritaCaracter"/>
        </w:rPr>
        <w:t>3</w:t>
      </w:r>
      <w:r>
        <w:t>. En el presente caso, que presenta perfiles diferenciadores frente a los incidentes de suspensión comúnmente resueltos y coincidentes esencialmente con el resuelto en el ATC 214/2007, de 16 de abril, las resoluciones judiciales recurridas no son aquellas que impusieron las penas privativas de libertad, sino las que aprueban el licenciamiento definitivo para el día 3 de mayo de 2011, en aplicación de la doctrina sentada por la Sala Segunda del Tribunal Supremo en la STS 197/2006. Por tanto lo que se cuestiona en el recurso de amparo es si el recurrente ha cumplido ya su condena (como él sostiene) y debe ser puesto en libertad o no la cumple hasta el año 2011 (como sostiene la Audiencia Nacional), disparidad de fechas de cumplimiento vinculada al modo de computar los beneficios penitenciarios y las redenciones de pena.</w:t>
      </w:r>
    </w:p>
    <w:p w:rsidR="008B3772" w:rsidRDefault="008B3772" w:rsidP="008B3772">
      <w:pPr>
        <w:pStyle w:val="TextoNormal"/>
      </w:pPr>
      <w:r>
        <w:t>Ponderando los intereses en juego en los términos anteriormente expuestos, este Tribunal entiende que ha de prevalecer el interés general en mantener la eficacia de las resoluciones judiciales, dado que, en este caso, como indica el Ministerio Fiscal, la suspensión equivaldría, de hecho, al otorgamiento del amparo, habida cuenta de que precisamente lo discutido en el recurso es la determinación de la fecha en que procede aprobar el licenciamiento definitivo, por cumplimiento de la pena impuesta al recurrente.</w:t>
      </w:r>
    </w:p>
    <w:p w:rsidR="008B3772" w:rsidRDefault="008B3772" w:rsidP="008B3772">
      <w:pPr>
        <w:pStyle w:val="TextoNormal"/>
      </w:pPr>
      <w:r>
        <w:t>Ello conduce a la denegación de la suspensión solicitada, sin perjuicio de que –como también interesa el Ministerio Fiscal y en la línea de lo que constituye la práctica habitual en casos en que resulta directamente afectado el derecho a la libertad-, a la vista de los motivos de amparo y los derechos fundamentales en juego, este Tribunal proceda a la tramitación y resolución urgente del recurso (AATC 419/1997, 267/1998, 369/2005, 214/2007).</w:t>
      </w:r>
    </w:p>
    <w:p w:rsidR="008B3772" w:rsidRDefault="008B3772" w:rsidP="008B3772">
      <w:pPr>
        <w:pStyle w:val="TextoNormal"/>
      </w:pPr>
    </w:p>
    <w:p w:rsidR="008B3772" w:rsidRDefault="008B3772" w:rsidP="008B3772">
      <w:pPr>
        <w:pStyle w:val="TextoNormal"/>
      </w:pPr>
      <w:r>
        <w:t>En virtud de todo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Denegar la suspensión solicitada por don Jon Aguirre Aguiriano.</w:t>
      </w:r>
    </w:p>
    <w:p w:rsidR="008B3772" w:rsidRDefault="008B3772" w:rsidP="008B3772">
      <w:pPr>
        <w:pStyle w:val="TextoNormal"/>
      </w:pPr>
    </w:p>
    <w:p w:rsidR="008B3772" w:rsidRDefault="008B3772" w:rsidP="008B3772">
      <w:pPr>
        <w:pStyle w:val="TextoNormal"/>
      </w:pPr>
      <w:r>
        <w:t>Madrid, a dieciocho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52" w:name="AUTO_2007_288"/>
      <w:r>
        <w:lastRenderedPageBreak/>
        <w:t>AUTO 288/2007, de 18 de junio de 2007</w:t>
      </w:r>
    </w:p>
    <w:bookmarkEnd w:id="152"/>
    <w:p w:rsidR="008B3772" w:rsidRDefault="008B3772" w:rsidP="008B3772">
      <w:pPr>
        <w:pStyle w:val="TtuloResolucin"/>
      </w:pPr>
      <w:r>
        <w:t>Sala Primera</w:t>
      </w:r>
    </w:p>
    <w:p w:rsidR="008B3772" w:rsidRDefault="008B3772" w:rsidP="008B3772">
      <w:pPr>
        <w:pStyle w:val="TtuloResolucin"/>
      </w:pPr>
    </w:p>
    <w:p w:rsidR="008B3772" w:rsidRDefault="008B3772" w:rsidP="008B3772">
      <w:pPr>
        <w:pStyle w:val="SntesisDescriptiva"/>
      </w:pPr>
      <w:r>
        <w:t>ECLI:ES:TC:2007:288A</w:t>
      </w:r>
    </w:p>
    <w:p w:rsidR="008B3772" w:rsidRDefault="008B3772" w:rsidP="008B3772">
      <w:pPr>
        <w:pStyle w:val="SntesisDescriptiva"/>
      </w:pPr>
    </w:p>
    <w:p w:rsidR="008B3772" w:rsidRDefault="008B3772" w:rsidP="008B3772">
      <w:pPr>
        <w:pStyle w:val="SntesisDescriptiva"/>
      </w:pPr>
      <w:r>
        <w:t>Excms. Srs. doña María Emilia Casas Baamonde, don Javier Delgado Barrio, don Roberto García-Calvo y Montiel, don Jorge Rodríguez-Zapata Pérez, don Manuel Aragón Reyes y don Pablo Pérez Tremps.</w:t>
      </w:r>
    </w:p>
    <w:p w:rsidR="008B3772" w:rsidRDefault="008B3772" w:rsidP="008B3772">
      <w:pPr>
        <w:pStyle w:val="SntesisDescriptiva"/>
      </w:pPr>
    </w:p>
    <w:p w:rsidR="008B3772" w:rsidRDefault="008B3772" w:rsidP="008B3772">
      <w:pPr>
        <w:pStyle w:val="SntesisDescriptiva"/>
      </w:pPr>
      <w:r>
        <w:t>Extinción del incidente de suspensión en el recurso de amparo 4234-2007, promovido por don Adrian John Wilson en procedimiento de euroorden a Rumanía por delito de agresión sexual.</w:t>
      </w:r>
    </w:p>
    <w:p w:rsidR="008B3772" w:rsidRDefault="008B3772" w:rsidP="008B3772">
      <w:pPr>
        <w:pStyle w:val="SntesisDescriptiva"/>
      </w:pPr>
    </w:p>
    <w:p w:rsidR="008B3772" w:rsidRDefault="008B3772" w:rsidP="008B3772">
      <w:pPr>
        <w:pStyle w:val="SntesisAnaltica"/>
      </w:pPr>
      <w:r>
        <w:t>Suspensión de la ejecución del acto que origina el amparo: pérdida sobrevenida de objeto.</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este Tribunal el 9 de mayo de 2007, la Procuradora de los Tribunales doña Paloma Alejandra Briones Torralba, en nombre y representación de don Adrian John Wilson, y bajo la dirección de la Letrada doña Concepción Gómez Bermúdez, interpuso recurso de amparo contra el Auto núm. 61/2007, de 27 de abril, dictado por la Sección Tercera de la Sala de lo Penal de la Audiencia Nacional por el que se acuerda autorizar la entrega incondicionada a Rumania del demandante (que es ciudadano de nacionalidad británica), para la ejecución de una condena penal que le fue impuesta tras ser juzgado en ausencia por delito de agresión sexual a un menor (rollo de Sala núm. 46-2007).</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La demanda tiene su origen en los siguientes antecedentes que se resumen en lo que concierne al objeto del recurso: </w:t>
      </w:r>
    </w:p>
    <w:p w:rsidR="008B3772" w:rsidRDefault="008B3772" w:rsidP="008B3772">
      <w:pPr>
        <w:pStyle w:val="TextoNormal"/>
      </w:pPr>
      <w:r>
        <w:t xml:space="preserve">a) El recurrente, ciudadano británico, de 44 años de edad, fue puesto a disposición del Juzgado Central de Instrucción núm. 5 de la Audiencia Nacional en virtud de una orden europea de detención expedida por las autoridades judiciales de Rumania (OEDE núm. 15571-2004, de 6 de febrero de 2007). Fue oído en declaración el 7 de marzo de 2007, y decidió no aceptar la entrega a Rumania. </w:t>
      </w:r>
    </w:p>
    <w:p w:rsidR="008B3772" w:rsidRDefault="008B3772" w:rsidP="008B3772">
      <w:pPr>
        <w:pStyle w:val="TextoNormal"/>
      </w:pPr>
      <w:r>
        <w:t xml:space="preserve">La petición de entrega ha sido cursada y tramitada conforme a las previsiones de la Ley 3/2003, de 14 de marzo, sobre la orden europea de detención y entrega, vigente en las relaciones entre la República de Rumania y el Reino de España. </w:t>
      </w:r>
    </w:p>
    <w:p w:rsidR="008B3772" w:rsidRDefault="008B3772" w:rsidP="008B3772">
      <w:pPr>
        <w:pStyle w:val="TextoNormal"/>
      </w:pPr>
      <w:r>
        <w:t xml:space="preserve">b) La entrega fue solicitada para el cumplimiento de la pena de cuatro años de privación de libertad, impuesta finalmente tras un juicio penal celebrado en febrero de 2005 en Bucarest, y revisado en apelación en diciembre de 2005. La Sentencia de primera instancia le impuso la pena de siete años de prisión. Ambas actuaciones jurisdiccionales, el juicio de instancia y la revisión de apelación, se desarrollaron en ausencia del acusado (aunque con la participación de un Letrado de su confianza, por él designado). La Sentencia de apelación </w:t>
      </w:r>
      <w:r>
        <w:lastRenderedPageBreak/>
        <w:t xml:space="preserve">le consideró autor de un delito de abusos sexuales por mantener sexo oral con un menor de 14 años a cambio de precio, imponiéndole la pena privativa de libertad antes reseñada. </w:t>
      </w:r>
    </w:p>
    <w:p w:rsidR="008B3772" w:rsidRDefault="008B3772" w:rsidP="008B3772">
      <w:pPr>
        <w:pStyle w:val="TextoNormal"/>
      </w:pPr>
      <w:r>
        <w:t xml:space="preserve">c) Los hechos imputados se remontan, según las resoluciones judiciales rumanas, al mes de agosto del año 2004. </w:t>
      </w:r>
    </w:p>
    <w:p w:rsidR="008B3772" w:rsidRDefault="008B3772" w:rsidP="008B3772">
      <w:pPr>
        <w:pStyle w:val="TextoNormal"/>
      </w:pPr>
      <w:r>
        <w:t xml:space="preserve">d) La Sección Tercera de la Audiencia Nacional declaró procedente la entrega solicitada, sin someterla a condición alguna, pese a que, en el proceso previo de tramitación de la orden de detención, el detenido alegó y probó que el juicio se había desarrollado sin su presencia. </w:t>
      </w:r>
    </w:p>
    <w:p w:rsidR="008B3772" w:rsidRDefault="008B3772" w:rsidP="008B3772">
      <w:pPr>
        <w:pStyle w:val="TextoNormal"/>
      </w:pPr>
      <w:r>
        <w:t>En su FJ 3 se justifica la decisión con las siguientes consideraciones: “No concurren causas de denegación imperativas (art 12.1) ni facultativas (art. 12.2) de la entrega según la ley 3/2003, por lo que procede acceder a lo solicitado para ejecutar la condena impuesta a la persona requerida. La autoridad judicial rumana emisora ha explicado conforme al formulario único (...) que el reclamado no fue juzgado en rebeldía, sino que fue citado y compareció por medio de su representante. Es más, examinada la documentación adjunta (...) consta que concedió apoderamiento al Abogado Sr. Maurea como defensor particular y entre los motivos de los recursos nunca se puso el acento en que no estuviera presente en el juicio de primera instancia su defendido, sino que se entró en consideraciones sobre la valoración de la prueba, que la Autoridad judicial se ejecución no puede reexaminar, dado que el procedimiento debatido no reúne los caracteres de una nueva instancia”.</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Con cita expresa de la reciente STC 177/2006, de 5 de junio, el recurrente alega en la demanda de amparo, en la que solicita además la suspensión de las resoluciones recurridas, que las mismas incurren en las siguientes vulneraciones de derechos fundamentales: </w:t>
      </w:r>
    </w:p>
    <w:p w:rsidR="008B3772" w:rsidRDefault="008B3772" w:rsidP="008B3772">
      <w:pPr>
        <w:pStyle w:val="TextoNormal"/>
      </w:pPr>
      <w:r>
        <w:t xml:space="preserve">a) art. 24.2 CE (en cuanto garantiza el derecho a un proceso con todas las garantías): la lesión se anuda al hecho de autorizar la entrega a Rumania para el cumplimiento de una condena por delito grave que fue dictada en su ausencia, sin que el demandante haya llegado a comparecer en juicio en ninguna de sus instancias. </w:t>
      </w:r>
    </w:p>
    <w:p w:rsidR="008B3772" w:rsidRDefault="008B3772" w:rsidP="008B3772">
      <w:pPr>
        <w:pStyle w:val="TextoNormal"/>
      </w:pPr>
      <w:r>
        <w:t>b) art. 24.1 CE (en cuanto garantiza el derecho a obtener una resolución fundada en Derecho): a través de esta pretensión de amparo, el demandante discrepa de la respuesta dada por el órgano judicial a su alegación relativa a las exigencias que, para la autorización de la entrega a un tercer país, tiene el hecho de que la causa justificativa sea una condena penal por delito grave adoptada tras un juicio en ausencia.</w:t>
      </w:r>
    </w:p>
    <w:p w:rsidR="008B3772" w:rsidRDefault="008B3772" w:rsidP="008B3772">
      <w:pPr>
        <w:pStyle w:val="TextoNormal"/>
      </w:pPr>
    </w:p>
    <w:p w:rsidR="008B3772" w:rsidRDefault="008B3772" w:rsidP="008B3772">
      <w:pPr>
        <w:pStyle w:val="TextoNormal"/>
      </w:pPr>
      <w:r w:rsidRPr="008B3772">
        <w:rPr>
          <w:rStyle w:val="NumeroAFNegritaCaracter"/>
        </w:rPr>
        <w:t>4</w:t>
      </w:r>
      <w:r>
        <w:t>. El recurrente, en el escrito de demanda, solicita la urgente suspensión de la entrega acordada, pues aduce que, en otro caso, el amparo, de otorgarse, perdería su finalidad. Consta en las actuaciones Auto de 3 de mayo de 2007, de la Sección Tercera de la Sala de lo Penal de la Audiencia Nacional, que acuerda conceder al Servicio de Interpol un plazo de diez días para ejecutar la entrega a Rumania del reclamado, que vencía el 17 de mayo de 2007.</w:t>
      </w:r>
    </w:p>
    <w:p w:rsidR="008B3772" w:rsidRDefault="008B3772" w:rsidP="008B3772">
      <w:pPr>
        <w:pStyle w:val="TextoNormal"/>
      </w:pPr>
    </w:p>
    <w:p w:rsidR="008B3772" w:rsidRDefault="008B3772" w:rsidP="008B3772">
      <w:pPr>
        <w:pStyle w:val="TextoNormal"/>
      </w:pPr>
      <w:r w:rsidRPr="008B3772">
        <w:rPr>
          <w:rStyle w:val="NumeroAFNegritaCaracter"/>
        </w:rPr>
        <w:t>5</w:t>
      </w:r>
      <w:r>
        <w:t>. La Sección Segunda de este Tribunal, por providencia de fecha 11 de mayo pasado, acordó admitir a trámite la presente demanda de amparo y, en aplicación de lo dispuesto en el art. 51 LOTC, ordenó dirigir atenta comunicación a la Sala de lo Penal de la Audiencia Nacional para que remitiera certificación o fotocopia adverada de las actuaciones, así como emplazar a quienes hubieran sido parte en el procedimiento excepto la parte recurrente en amparo para que pudieran comparecer si lo deseaban en el recurso de amparo.</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6</w:t>
      </w:r>
      <w:r>
        <w:t>. Por Auto de 14 de mayo de 2007, la Sala Primera de este Tribunal, dada la urgencia del caso y con carácter provisional, acordó de modo inmediato y a reserva de la ulterior audiencia a las partes, la suspensión del Auto de 27 de abril de 2007, al objeto de que el presente recurso de amparo no perdiera su finalidad en caso de ser finalmente estimado. En dicho Auto, además, se concedía un plazo de tres días a la parte recurrente y al Ministerio Fiscal para que alegaran lo que estimaran procedente sobre la continuidad o alzamiento de dicha suspensión.</w:t>
      </w:r>
    </w:p>
    <w:p w:rsidR="008B3772" w:rsidRDefault="008B3772" w:rsidP="008B3772">
      <w:pPr>
        <w:pStyle w:val="TextoNormal"/>
      </w:pPr>
    </w:p>
    <w:p w:rsidR="008B3772" w:rsidRDefault="008B3772" w:rsidP="008B3772">
      <w:pPr>
        <w:pStyle w:val="TextoNormal"/>
      </w:pPr>
      <w:r w:rsidRPr="008B3772">
        <w:rPr>
          <w:rStyle w:val="NumeroAFNegritaCaracter"/>
        </w:rPr>
        <w:t>7</w:t>
      </w:r>
      <w:r>
        <w:t>. El día 18 de mayo de 2007 tuvo entrada en el registro de este Tribunal un escrito de la Sección Tercera de la Sala de lo Penal de la Audiencia Nacional en el que pone en conocimiento de este Tribunal que la suspensión de la ejecución acordada mediante auto de fecha 14 de mayo de 2007 no se ha llevado a cabo al haber sido entregado ya el reclamado a las autoridades rumanas.</w:t>
      </w:r>
    </w:p>
    <w:p w:rsidR="008B3772" w:rsidRDefault="008B3772" w:rsidP="008B3772">
      <w:pPr>
        <w:pStyle w:val="TextoNormal"/>
      </w:pPr>
    </w:p>
    <w:p w:rsidR="008B3772" w:rsidRDefault="008B3772" w:rsidP="008B3772">
      <w:pPr>
        <w:pStyle w:val="TextoNormal"/>
      </w:pPr>
      <w:r w:rsidRPr="008B3772">
        <w:rPr>
          <w:rStyle w:val="NumeroAFNegritaCaracter"/>
        </w:rPr>
        <w:t>8</w:t>
      </w:r>
      <w:r>
        <w:t>. El Ministerio Fiscal, por escrito registrado el 24 de mayo de 2007, estima que debe mantenerse la suspensión acordada en atención a que la ejecución de la resolución recurrida privaría de su finalidad al amparo en caso de ser otorgado, no constando, además, que la misma pueda afectar al interés general o de tercero.</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Como hemos sostenido en anteriores ocasiones (AATC 61/1996, de 11 de marzo, 205/1997, de 4 de junio, FJ 2; 375/1997, de 24 de noviembre; 193/2000 de 24 de julio, 308/2000, 18 de noviembre; 347/2003, de 27 de octubre; 213/2004, de 2 de junio;</w:t>
      </w:r>
    </w:p>
    <w:p w:rsidR="008B3772" w:rsidRDefault="008B3772" w:rsidP="008B3772">
      <w:pPr>
        <w:pStyle w:val="TextoNormal"/>
      </w:pPr>
      <w:r>
        <w:t>259/2004, de 12 de julio) la ejecución de la resolución cuya suspensión se solicita conlleva la pérdida de objeto de la solicitud de suspensión haciendo improcedente cualquier decisión al respecto; todo ello sin perjuicio de la posibilidad de que, en su</w:t>
      </w:r>
    </w:p>
    <w:p w:rsidR="008B3772" w:rsidRDefault="008B3772" w:rsidP="008B3772">
      <w:pPr>
        <w:pStyle w:val="TextoNormal"/>
      </w:pPr>
      <w:r>
        <w:t>caso, este Tribunal pueda adoptar medidas cautelares positivas (ATC 193/2000, FJ 2).</w:t>
      </w:r>
    </w:p>
    <w:p w:rsidR="008B3772" w:rsidRDefault="008B3772" w:rsidP="008B3772">
      <w:pPr>
        <w:pStyle w:val="TextoNormal"/>
      </w:pPr>
      <w:r>
        <w:t>En el presente caso, pese a haber sido admitida a trámite la demanda de amparo el día 11 de mayo y dictado un Auto de fecha 14 de mayo en el que se acordó de manera urgente y provisional la suspensión de la ejecución del Auto recurrido en amparo, la entrega del reclamado a las autoridades rumanas se produjo ese mismo día 14 de mayo. Siendo así, ha de concluirse que la presente pieza de suspensión ha perdido su objeto y debe ser archivada sin más trámites, al haberse consumado con la entrega la ejecución cuya suspensión se interesaba, sin que el recurrente haya instado ninguna medida cautelar positiva tendente a asegurar la efectividad de una eventual estimación del amparo.</w:t>
      </w:r>
    </w:p>
    <w:p w:rsidR="008B3772" w:rsidRDefault="008B3772" w:rsidP="008B3772">
      <w:pPr>
        <w:pStyle w:val="TextoNormal"/>
      </w:pPr>
    </w:p>
    <w:p w:rsidR="008B3772" w:rsidRDefault="008B3772" w:rsidP="008B3772">
      <w:pPr>
        <w:pStyle w:val="TextoNormal"/>
      </w:pPr>
      <w:r>
        <w:t>Por todo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Archivar las actuaciones del presente incidente de suspensión por pérdida sobrevenida de objeto.</w:t>
      </w:r>
    </w:p>
    <w:p w:rsidR="008B3772" w:rsidRDefault="008B3772" w:rsidP="008B3772">
      <w:pPr>
        <w:pStyle w:val="TextoNormal"/>
      </w:pPr>
    </w:p>
    <w:p w:rsidR="008B3772" w:rsidRDefault="008B3772" w:rsidP="008B3772">
      <w:pPr>
        <w:pStyle w:val="TextoNormal"/>
      </w:pPr>
      <w:r>
        <w:t>Madrid, a dieciocho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lastRenderedPageBreak/>
        <w:br w:type="page"/>
      </w:r>
    </w:p>
    <w:p w:rsidR="008B3772" w:rsidRDefault="008B3772" w:rsidP="008B3772">
      <w:pPr>
        <w:pStyle w:val="TtuloResolucin"/>
      </w:pPr>
      <w:bookmarkStart w:id="153" w:name="AUTO_2007_289"/>
      <w:r>
        <w:lastRenderedPageBreak/>
        <w:t>AUTO 289/2007, de 19 de junio de 2007</w:t>
      </w:r>
    </w:p>
    <w:bookmarkEnd w:id="153"/>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ECLI:ES:TC:2007:289A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Deniega una abstención en la cuestión de inconstitucionalidad 1780-1999, planteada por el Juzgado de Primera Instancia núm. 46 de Madrid en relación con el artículo 150 del texto refundido de la Ley de propiedad intelectual.</w:t>
      </w:r>
    </w:p>
    <w:p w:rsidR="008B3772" w:rsidRDefault="008B3772" w:rsidP="008B3772">
      <w:pPr>
        <w:pStyle w:val="SntesisDescriptiva"/>
      </w:pPr>
    </w:p>
    <w:p w:rsidR="008B3772" w:rsidRDefault="008B3772" w:rsidP="008B3772">
      <w:pPr>
        <w:pStyle w:val="SntesisAnaltica"/>
      </w:pPr>
      <w:r>
        <w:t>Abstención de magistrados del Tribunal Constitucional, deniega. Votos particulares: formulados dos.</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Registrada con el núm. 1780-1999, se sigue ante este Tribunal Constitucional la presente cuestión de inconstitucionalidad, suscitada en relación con el párrafo segundo del art. 150 del Texto refundido de la Ley de propiedad intelectual, aprobado por Real Decreto Legislativo 1/1996, de 12 de abril (en la numeración resultante de la Ley 5/1998, de 6 de marzo, de incorporación al Derecho español de la Directiva 96/9/CE, del Parlamento Europeo y del Consejo, de 11 de marzo de 1996, sobre protección jurídica de las bases de datos), por posible vulneración de los arts. 9.3, 66.2 y 82 de la Constitución. La cuestión ha sido planteada por el Juzgado de Primera Instancia núm. 46 de Madrid, mediante Auto de 22 de febrero de 1999, recaído en el juicio declarativo de mayor cuantía núm. 857-1997.</w:t>
      </w:r>
    </w:p>
    <w:p w:rsidR="008B3772" w:rsidRDefault="008B3772" w:rsidP="008B3772">
      <w:pPr>
        <w:pStyle w:val="TextoNormal"/>
      </w:pPr>
    </w:p>
    <w:p w:rsidR="008B3772" w:rsidRDefault="008B3772" w:rsidP="008B3772">
      <w:pPr>
        <w:pStyle w:val="TextoNormal"/>
      </w:pPr>
      <w:r w:rsidRPr="008B3772">
        <w:rPr>
          <w:rStyle w:val="NumeroAFNegritaCaracter"/>
        </w:rPr>
        <w:t>2</w:t>
      </w:r>
      <w:r>
        <w:t>. Mediante escrito fechado el 5 de junio de 2007 don Jorge Rodríguez-Zapata Pérez, Magistrado de este Tribunal, comunicó, a los efectos oportunos, su propósito de abstenerse de intervenir en la deliberación y votación de la indicada cuestión de inconstitucionalidad, por entender que concurre en su persona la causa de abstención 13ª del art. 219 de la Ley Orgánica del Poder Judicial. Ello como consecuencia de haber desempeñado el cargo de Vicepresidente de la Comisión Mixta creada por el Real Decreto 287/1989, de 21 de marzo, por el que se desarrolló el art. 25 de la Ley 22/1987, de propiedad intelectual. Señala que mediante dicha Comisión Mixta se puso en marcha el mecanismo de la remuneración por copia privada y su administración a través de las entidades de gestión a que se refiere la cuestión de inconstitucionalidad. Añade que habiendo sido nombrado por Orden del Ministro de Cultura de 21 de septiembre de 1989 (“Boletín Oficial del Estado” de 4 de octubre de 1989) desempeñó el cargo hasta su renuncia al mismo por haber sido designado Magistrado del Tribunal Supremo, renuncia hecha pública por Orden del Ministro de Cultura de 15 de marzo de 1991 (“Boletín Oficial del Estado” de 8 de abril de 1991).</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Magistrado de este Tribunal don Jorge Rodríguez-Zapata Pérez ha comunicado al Pleno su intención de abstenerse de intervenir en la deliberación y votación de la presente cuestión de inconstitucionalidad, por entender que incurre en la causa 13ª del art. 219 de la Ley Orgánica del Poder Judicial (en adelante, LOPJ), que establece que es causa de abstención o de recusación “Haber ocupado cargo público, desempeñado empleo o ejercido profesión con ocasión de los cuales haya participado directa o indirectamente en el asunto objeto del pleito o causa o en otro relacionado con el mismo”.</w:t>
      </w:r>
    </w:p>
    <w:p w:rsidR="008B3772" w:rsidRDefault="008B3772" w:rsidP="008B3772">
      <w:pPr>
        <w:pStyle w:val="TextoNormal"/>
      </w:pPr>
      <w:r>
        <w:t>Sin embargo, como ya señaláramos en nuestro ATC 456/2006, de 14 de diciembre, FJ 1, aunque este Tribunal mantiene estrictamente el principio de imparcialidad al que le obligan la Constitución y el art. 22 de su Ley Orgánica, y comprende los escrúpulos de sus miembros, debe atenerse a razones objetivas al apreciar las causas de abstención y recusación. No hay que olvidar que el deber de imparcialidad de los Magistrados nunca puede ir en detrimento del derecho fundamental al juez ordinario predeterminado por la ley (art. 24.2 CE) ni perjudicar el ejercicio de la jurisdicción constitucional. No cabe olvidar tampoco, como hemos señalado en el ATC 383/2006, de 2 de noviembre, FJ 3, que, “en la medida en que las causas de abstención o recusación permiten apartar del caso al juez predeterminado por la ley, la interpretación de su ámbito ha de ser restrictiva y vinculada al contenido del derecho a un juez imparcial (STC 162/1999, de 27 de septiembre, FJ 8), interpretación restrictiva que se impone más aún respecto de un órgano, como es el Tribunal Constitucional, cuyos miembros no pueden ser objeto de sustitución (ATC 80/2005, de 17 de febrero)”. Por ello, la ley, que define las causas tasadas de abstención o recusación procurando un equilibrio entre estos distintos intereses constitucionales, no permite al Tribunal Constitucional que estime justificada la abstención en este caso, toda vez que la circunstancia alegada por el Magistrado don Jorge Rodríguez-Zapata Pérez no puede encontrar acomodo en ninguna de las causas contempladas en el art. 219 LOPJ.</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En efecto, el hecho de que el Magistrado don Jorge Rodríguez-Zapata Pérez hubiese desempeñado en su día el cargo de Vicepresidente de la Comisión Mixta creada por el Real Decreto 287/1989, de 21 de marzo, por el que se desarrolló el art. 25 de la Ley 22/1987, de 11 de noviembre, de propiedad intelectual, hasta su cese en dicho cargo por renuncia (hecha pública por Orden del Ministro de Cultura de 15 de marzo de 1991), al haber sido designado Magistrado del Tribunal Supremo, no puede traducirse en su inidoneidad para enjuiciar la cuestión debatida en este proceso constitucional, cuyo objeto resulta ajeno a los cometidos desempeñados por la referida Comisión Mixta, toda vez que la misma se ocupó de la puesta en marcha del mecanismo de remuneración por copia privada y su administración a través de las entidades de gestión previsto en el art. 25 de la Ley 22/1987, de 11 de noviembre, de propiedad intelectual (desarrollado por los arts. 15 a 17 del Real Decreto 287/1989, de 21 de marzo), mientras que el objeto de la presente cuestión de inconstitucionalidad se refiere al párrafo segundo del art. 150 del Texto refundido de la Ley de propiedad intelectual, aprobado por Real Decreto Legislativo 1/1996, de 12 de abril (en la numeración resultante de la Ley 5/1998, de 6 de marzo), al entender el Juzgado proponente que el Gobierno podría haber incurrido al redactar dicho precepto (en cuanto contiene la presunción de que los derechos de propiedad intelectual ejercitados en un proceso por la entidad de gestión están encomendados a la gestión de ésta, con la correlativa inversión de la carga de la prueba, limitándose </w:t>
      </w:r>
      <w:r>
        <w:lastRenderedPageBreak/>
        <w:t>además los medios de oposición de la parte contraria) en exceso en la refundición o vicio de ultra vires, por lo que estaría en contradicción con los arts. 9.3, 66.2 y 82 de la Constitución.</w:t>
      </w:r>
    </w:p>
    <w:p w:rsidR="008B3772" w:rsidRDefault="008B3772" w:rsidP="008B3772">
      <w:pPr>
        <w:pStyle w:val="TextoNormal"/>
      </w:pPr>
      <w:r>
        <w:t>No resulta de aplicación pues, en este caso, la invocada causa 13ª del citado art. 219 LOPJ, pues el Magistrado don Jorge Rodríguez-Zapata Pérez no ha ocupado cargo público, desempeñado empleo o ejercido profesión con ocasión de los cuales haya participado directa o indirectamente en el asunto que constituye el objeto de la presente cuestión de inconstitucionalidad, ni existe, por tanto, riesgo para la imparcialidad del Magistrado. Por el contrario, “existe un interés constitucional prevalente en mantener, salvo que resulte imposible, la composición del Pleno de este Tribunal en los términos establecidos directa y categóricamente por la propia Constitución, en su art. 159” (ATC 456/2006, FJ 2).</w:t>
      </w:r>
    </w:p>
    <w:p w:rsidR="008B3772" w:rsidRDefault="008B3772" w:rsidP="008B3772">
      <w:pPr>
        <w:pStyle w:val="TextoNormal"/>
      </w:pPr>
    </w:p>
    <w:p w:rsidR="008B3772" w:rsidRDefault="008B3772" w:rsidP="008B3772">
      <w:pPr>
        <w:pStyle w:val="TextoNormal"/>
      </w:pPr>
      <w:r>
        <w:t>En consecuencia, el Pleno</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No estimar justificada la abstención del Magistrado don Jorge Rodríguez-Zapata Pérez en la cuestión de inconstitucionalidad núm. 1780-1999.</w:t>
      </w:r>
    </w:p>
    <w:p w:rsidR="008B3772" w:rsidRDefault="008B3772" w:rsidP="008B3772">
      <w:pPr>
        <w:pStyle w:val="TextoNormal"/>
      </w:pPr>
    </w:p>
    <w:p w:rsidR="008B3772" w:rsidRDefault="008B3772" w:rsidP="008B3772">
      <w:pPr>
        <w:pStyle w:val="TextoNormal"/>
      </w:pPr>
      <w:r>
        <w:t>Madrid, a diecinueve de junio de dos mil siete.</w:t>
      </w:r>
    </w:p>
    <w:p w:rsidR="008B3772" w:rsidRDefault="008B3772" w:rsidP="008B3772">
      <w:pPr>
        <w:pStyle w:val="ParrafoNormal"/>
      </w:pPr>
    </w:p>
    <w:p w:rsidR="008B3772" w:rsidRDefault="008B3772" w:rsidP="008B3772">
      <w:pPr>
        <w:pStyle w:val="TextoNormalNegritaCentrado"/>
        <w:keepNext/>
      </w:pPr>
      <w:r>
        <w:t>Voto particular que formula el Magistrado don Ramón Rodríguez Arribas al que se adhiere el Magistrado don Javier Delgado Barrio, respecto al Auto dictado en la abstención del Excmo. Sr. Magistrado, don Jorge Rodríguez- Zapata Pérez, dimanante de la cuestión de inconstitucionalidad núm. 1780-1999</w:t>
      </w:r>
    </w:p>
    <w:p w:rsidR="008B3772" w:rsidRDefault="008B3772" w:rsidP="008B3772">
      <w:pPr>
        <w:pStyle w:val="TextoNormalNegritaCentrado"/>
        <w:keepNext/>
      </w:pPr>
    </w:p>
    <w:p w:rsidR="008B3772" w:rsidRDefault="008B3772" w:rsidP="008B3772">
      <w:pPr>
        <w:pStyle w:val="TextoNormal"/>
      </w:pPr>
      <w:r>
        <w:t>En el ejercicio de la facultad que nos confiere el art. 90.2 LOTC y con pleno respeto a la opinión de la mayoría, expreso mi discrepancia con el Auto que fundo en las siguientes consideraciones:</w:t>
      </w:r>
    </w:p>
    <w:p w:rsidR="008B3772" w:rsidRDefault="008B3772" w:rsidP="008B3772">
      <w:pPr>
        <w:pStyle w:val="TextoNormal"/>
      </w:pPr>
      <w:r>
        <w:t>Así como la recusación es un derecho de las partes en cualquier proceso que pueden ejercer para salvaguardar la imparcialidad del Tribunal, la abstención, dirigida al mismo fin, es un deber de los miembros del órgano jurisdiccional que han de cumplir en el caso de que consideren que están incursos en alguna de las causas que establece el art. 219 de la Ley Orgánia del Poder Judicial (LOPJ), por la remisión que, en nuestro caso, hace a dicha Ley la LOTC.</w:t>
      </w:r>
    </w:p>
    <w:p w:rsidR="008B3772" w:rsidRDefault="008B3772" w:rsidP="008B3772">
      <w:pPr>
        <w:pStyle w:val="TextoNormal"/>
      </w:pPr>
      <w:r>
        <w:t>El Magistrado de este Tribunal don Jorge Rodríguez-Zapata Pérez ha llegado a la conclusión de que concurría en él la causa 13ª del artículo acabado de citar, es decir “ haber ocupado cargo público, desempeñado empleo o ejercido profesión con ocasión de los cuales haya participado directa o indirectamente en el asunto objeto del pleito o causa o en otro relacionado con el mismo”, por haber desempeñado el cargo de Vicepresidente de la Comisión Mixta creada por el Real Decreto 287/1989, de 21 de marzo, por el que se desarrolló el art. 25 de la Ley 22/1987, de propiedad intelectual, sobre cuyo art. 150 de su Texto refundido, aprobado por Real Decreto Legislativo 1/1996, de 12 de abril, recae el objeto del proceso en cuya deliberación y votación pretendía abstenerse de intervenir.</w:t>
      </w:r>
    </w:p>
    <w:p w:rsidR="008B3772" w:rsidRDefault="008B3772" w:rsidP="008B3772">
      <w:pPr>
        <w:pStyle w:val="TextoNormal"/>
      </w:pPr>
      <w:r>
        <w:t xml:space="preserve">A mi juicio, la dicción del precepto orgánico transcrito , cuando habla de haber “participado directa o indirectamente en el asunto objeto del pleito…..” debería haber conducido a </w:t>
      </w:r>
      <w:r>
        <w:lastRenderedPageBreak/>
        <w:t>la estimación de la abstención, pues no cabe duda que afectando la cuestión de inconstitucionalidad al mismo cuerpo normativo en cuyo desarrollo, siquiera fuera parcial, intervino el Magistrado Rodríguez-Zapata Pérez, se da esa participación, al menos indirecta , con el objeto del proceso.</w:t>
      </w:r>
    </w:p>
    <w:p w:rsidR="008B3772" w:rsidRDefault="008B3772" w:rsidP="008B3772">
      <w:pPr>
        <w:pStyle w:val="TextoNormal"/>
      </w:pPr>
      <w:r>
        <w:t>La anterior conclusión, siempre a mi entender y reiterando el respeto que me merece la opinión mayoritaria, no queda enervada por la circunstancia, que se destaca en el FJ. 2 del Auto del que discrepo, de que el concreto objeto ( el párrafo 2 del art.  150 del Texto refundido de la Ley de propiedad intelectual), resulta ajeno a los cometidos desempeñados por la referida Comisión Mixta cuya Vicepresidencia ocupó el Magistrado (la puesta en marcha del mecanismo de remuneración por copia privada y su administración a través de las entidades de gestión previsto en el art. 25 de la Ley de propiedad intelectual), no solo porque, como ya se ha dicho, el cuerpo normativo es sustancialmente el mismo, sino también porque el objeto de debate es la presunción, a favor de las entidades de gestión, de la representación de los autores para el cobro de los derechos de propiedad intelectual .</w:t>
      </w:r>
    </w:p>
    <w:p w:rsidR="008B3772" w:rsidRDefault="008B3772" w:rsidP="008B3772">
      <w:pPr>
        <w:pStyle w:val="TextoNormal"/>
      </w:pPr>
      <w:r>
        <w:t>Por supuesto, que se da por sentada la imparcialidad subjetiva del Magistrado que pretende abstenerse al aplicar escrupulosamente el precepto legal que invoca, pero como ya he tenido ocasión de mantener con anterioridad, incluso, con plena coherencia, en el planteamiento de abstención personalmente ejercitada, la imparcialidad no sólo es una actitud subjetiva presumible, sino también la apariencia objetiva que, si falta, pudiera despertar en los justiciables una sensación, razonablemente fundada, de que el Juez no está completamente alejado del objeto del proceso.</w:t>
      </w:r>
    </w:p>
    <w:p w:rsidR="008B3772" w:rsidRDefault="008B3772" w:rsidP="008B3772">
      <w:pPr>
        <w:pStyle w:val="TextoNormal"/>
      </w:pPr>
      <w:r>
        <w:t>Madrid, a diecinueve de junio de dos mil siete</w:t>
      </w:r>
    </w:p>
    <w:p w:rsidR="008B3772" w:rsidRDefault="008B3772" w:rsidP="008B3772">
      <w:pPr>
        <w:pStyle w:val="TextoNormal"/>
      </w:pPr>
    </w:p>
    <w:p w:rsidR="008B3772" w:rsidRDefault="008B3772" w:rsidP="008B3772">
      <w:pPr>
        <w:pStyle w:val="TextoNormalNegritaCentrado"/>
        <w:keepNext/>
      </w:pPr>
      <w:r>
        <w:t>Voto particular que formula el Magistrado don Roberto García-Calvo y Montiel respecto al Auto dictado en la abstención del Excmo. Sr. Magistrado, don Jorge Rodríguez- Zapata Pérez, dimanante de la cuestión de inconstitucionalidad núm. 1780-1999</w:t>
      </w:r>
    </w:p>
    <w:p w:rsidR="008B3772" w:rsidRDefault="008B3772" w:rsidP="008B3772">
      <w:pPr>
        <w:pStyle w:val="TextoNormalNegritaCentrado"/>
        <w:keepNext/>
      </w:pPr>
    </w:p>
    <w:p w:rsidR="008B3772" w:rsidRDefault="008B3772" w:rsidP="008B3772">
      <w:pPr>
        <w:pStyle w:val="TextoNormal"/>
      </w:pPr>
      <w:r>
        <w:t>Con el mayor respeto a la decisión mayoritaria y ejerciendo la facultad que me atribuye el art. 260 de la Ley Orgánica del Poder Judicial (LOPJ) manifiesto mi discrepancia con la resolución aprobada por las razones que a continuación desarrollo.</w:t>
      </w:r>
    </w:p>
    <w:p w:rsidR="008B3772" w:rsidRDefault="008B3772" w:rsidP="008B3772">
      <w:pPr>
        <w:pStyle w:val="TextoNormal"/>
      </w:pPr>
      <w:r>
        <w:t>1. Con arreglo al art. 219.13ª LOPJ, en relación con el art. 80 LOTC, es causa de abstención de los Magistrados de este Tribunal Constitucional “Haber ocupado cargo público, desempeñado empleo o ejercido profesión con ocasión de los cuales haya participado directa o indirectamente en el asunto objeto del pleito o causa o en otro relacionado con el mismo”.</w:t>
      </w:r>
    </w:p>
    <w:p w:rsidR="008B3772" w:rsidRDefault="008B3772" w:rsidP="008B3772">
      <w:pPr>
        <w:pStyle w:val="TextoNormal"/>
      </w:pPr>
      <w:r>
        <w:t xml:space="preserve">Esta causa de abstención ha sido creada por la Ley Orgánica 19/2003, de 23 de diciembre, que, en general, ha aumentado las exigencias de imparcialidad de Jueces y Magistrados, introduciendo causas nuevas, redactando las ya existentes en términos de mayor exigencia o dotándolas de un marcado carácter objetivo. Como señalamos en el ATC 26/2007, de 5 de febrero (FJ 8) las exigencias de ajenidad del juzgador con el proceso en el cual la abstención o recusación se plantea son configuradas en grado superlativo en el art. 219.13ª LOPJ: no se exige que haya participado en el propio asunto objeto del proceso sino que basta con que lo haya hecho en otro que esté relacionado con ese asunto; la participación en el asunto objeto del proceso o en otro relacionado con él no ha de ser forzosamente directa, sino que basta con que sea indirecta; no se exige que la participación —directa o indirecta, en el asunto objeto del proceso o en otro relacionado— constituya el contenido ordinario o normal de su ejercicio profesional, esto es, su objeto propio y característico, sino que basta </w:t>
      </w:r>
      <w:r>
        <w:lastRenderedPageBreak/>
        <w:t>con que la participación se haya producido con ocasión del ejercicio profesional; finalmente, no se requiere la constatación de una pérdida subjetiva de imparcialidad.  Resulta así que el legislador opta por un modelo de Juez rodeado de la apariencia de imparcialidad, no sólo en la realidad de su desconexión con las partes y con el objeto del proceso, sino también en su imagen, eliminando cualquier sombra al respecto cuando existan elementos objetivos que puedan justificar una apariencia de parcialidad. Cuando esto sucede la causa de abstención ahora aducida se anticipa a la valoración que sobre la imparcialidad subjetiva merezcan los hechos en los que se funde. En este sentido, el Juez imparcial no es sólo un derecho fundamental de las partes de un litigio; es también una garantía institucional de un Estado de Derecho establecida en beneficio de todos los ciudadanos y de la imagen de la Justicia, como pilar de la democracia.</w:t>
      </w:r>
    </w:p>
    <w:p w:rsidR="008B3772" w:rsidRDefault="008B3772" w:rsidP="008B3772">
      <w:pPr>
        <w:pStyle w:val="TextoNormal"/>
      </w:pPr>
      <w:r>
        <w:t>2. En el presente caso el Magistrado abstenido desempeñó el cargo de Vicepresidente de la Comisión Mixta creada por el Real Decreto 287/1989, de 21 de marzo, por el que se desarrolló el art. 25 de la Ley 22/1987, de 11 de noviembre, de propiedad intelectual. Tal y como se señala en el escrito de abstención, mediante dicha Comisión Mixta se puso en marcha el mecanismo de la remuneración por copia privada y su administración a través de las Entidades de gestión (arts. 15 a 17 del Real Decreto 287/1989, de 21 de marzo) a las que se refiere el precepto objeto de la cuestión de inconstitucionalidad planteada por el Juzgado de Primera Instancia núm. 46 de Madrid. Este contacto con el objeto del proceso, surgido con ocasión del desempeño de un cargo público, puede generar la apariencia de que el Magistrado que lo ejerció no se acerca al thema decidendi desprovisto de postura o posición previa en relación con él.</w:t>
      </w:r>
    </w:p>
    <w:p w:rsidR="008B3772" w:rsidRDefault="008B3772" w:rsidP="008B3772">
      <w:pPr>
        <w:pStyle w:val="TextoNormal"/>
      </w:pPr>
      <w:r>
        <w:t>En consecuencia, procede apreciar como justificada la abstención planteada, como ha ocurrido en otros supuestos en que ante el alegato de un contacto semejante al que ahora se analiza con el objeto del litigio se ha entendido procedente la abstención dado lo razonado por el afectado al respecto de su imparcialidad objetiva.</w:t>
      </w:r>
    </w:p>
    <w:p w:rsidR="008B3772" w:rsidRDefault="008B3772" w:rsidP="008B3772">
      <w:pPr>
        <w:pStyle w:val="TextoNormal"/>
      </w:pPr>
      <w:r>
        <w:t>En Madrid, a veintiuno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54" w:name="AUTO_2007_290"/>
      <w:r>
        <w:lastRenderedPageBreak/>
        <w:t>AUTO 290/2007, de 19 de junio de 2007</w:t>
      </w:r>
    </w:p>
    <w:bookmarkEnd w:id="154"/>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ECLI:ES:TC:2007:290A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Acuerda la extinción de la cuestión de inconstitucionalidad 4814-2002, planteada por el Juzgado de lo Social núm. 2 de Badajoz en relación con el artículo 2, apartado 3, del Real Decreto-ley 5/2002, de 24 de  mayo, de medidas urgentes para la reforma del sistema de protección por desempleo y mejora de la ocupabilidad.</w:t>
      </w:r>
    </w:p>
    <w:p w:rsidR="008B3772" w:rsidRDefault="008B3772" w:rsidP="008B3772">
      <w:pPr>
        <w:pStyle w:val="SntesisDescriptiva"/>
      </w:pPr>
    </w:p>
    <w:p w:rsidR="008B3772" w:rsidRDefault="008B3772" w:rsidP="008B3772">
      <w:pPr>
        <w:pStyle w:val="SntesisAnaltica"/>
      </w:pPr>
      <w:r>
        <w:t>Cuestión de inconstitucionalidad: pérdida sobrevenida de objeto por derogación de la norma.</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el Tribunal el día 2 de agosto de 2002, al que se acompaña el correspondiente Auto de 26 de julio de 2002, el Juzgado de lo Social núm. 2 de Badajoz plantea cuestión de inconstitucionalidad en relación con el art. 2, apartado 3, del Real Decreto-ley 5/2002, de 24 de mayo, de medidas urgentes para la reforma del sistema de protección por desempleo y mejora de la ocupabilidad, por posible vulneración de los arts. 14, 24, 35 y 86.1 CE.</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La presente cuestión de inconstitucionalidad tiene su origen en la demanda por despido (422-2002) interpuesta por don Antonio José Carrión Arenas contra la empresa Ambulancias Cooperativa Extremeña. SL. Conclusas las actuaciones, el Juez de lo Social dicta en el propio acto del juicio resolución verbal, propiamente providencia de apertura, acordando la suspensión del plazo para dictar Sentencia y tramitar el incidente previsto en el art. 35 y ss. de la Ley Orgánica del Tribunal Constitucional (LOTC) a fin de resolver el planteamiento de la cuestión de inconstitucionalidad instado, en trámite de alegaciones, por la representación procesal de la Unión Regional de Comisiones Obreras de Extremadura. En dicha resolución verbal, dictada al amparo de lo dispuesto en el art. 49.2 LPL, se delimitaron los preceptos que serían objeto de la cuestión de inconstitucionalidad y los preceptos de la norma fundamental con los que habrán de confrontarse aquéllos. La referida providencia fue notificada a las partes presentes en el acto, confiriéndoles término de diez días para formular alegaciones, acordando requerir al Ministerio Fiscal, con traslado de copia del Acta, para que alegara lo que estimara conveniente en igual plazo. En el trámite de alegaciones, sustanciado conforme a lo dispuesto en el art. 35.2 LOTC, la representación procesal </w:t>
      </w:r>
      <w:r>
        <w:lastRenderedPageBreak/>
        <w:t>de la Organización sindical proponente emitió informe interesando el planteamiento de la cuestión, mientras que el Ministerio Fiscal lo hizo en sentido opuesto.</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Decreto-ley 5/2002 y ha de ser declarado improcedente, llevando aparejada tal calificación, conforme a la citada normativa, la consecuencia del devengo de salarios de tramitación sólo si el empresario optara por readmitir al trabajador,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al trabajador los salarios correspondientes a la tramitación. </w:t>
      </w:r>
    </w:p>
    <w:p w:rsidR="008B3772" w:rsidRDefault="008B3772" w:rsidP="008B3772">
      <w:pPr>
        <w:pStyle w:val="TextoNormal"/>
      </w:pPr>
      <w: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Real Decreto-ley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008B3772" w:rsidRDefault="008B3772" w:rsidP="008B3772">
      <w:pPr>
        <w:pStyle w:val="TextoNormal"/>
      </w:pPr>
      <w:r>
        <w:t xml:space="preserve">En segundo lugar y desde un prisma de derecho procesal, puede considerarse, a juicio del Magistrado, igualmente vulnerado el art. 24 CE. En primer lugar por razones de seguridad jurídica, en tanto que el trabajador se ve inmerso en un procedimiento judicial cuya </w:t>
      </w:r>
      <w:r>
        <w:lastRenderedPageBreak/>
        <w:t xml:space="preserve">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(salarios de tramitación incluidos) o menos condena si opta por indemnizar (salarios de tramitación excluidos), por lo que o bien no hay tutela judicial o, si pudiera entenderse existente, ésta no sería efectiva. </w:t>
      </w:r>
    </w:p>
    <w:p w:rsidR="008B3772" w:rsidRDefault="008B3772" w:rsidP="008B3772">
      <w:pPr>
        <w:pStyle w:val="TextoNormal"/>
      </w:pPr>
      <w: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008B3772" w:rsidRDefault="008B3772" w:rsidP="008B3772">
      <w:pPr>
        <w:pStyle w:val="TextoNormal"/>
      </w:pPr>
      <w:r>
        <w:t>Por último, considera el Magistrado, haciendo propios los argumentos defendidos en las alegaciones efectuadas por la Unión Regional de Comisiones Obreras, que el Real Decreto-ley 5/2002 no cumple con las exigencias de extraordinaria y urgente necesidad que impone como condición necesaria del uso del Decreto-ley el art. 86.1 CE.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008B3772" w:rsidRDefault="008B3772" w:rsidP="008B3772">
      <w:pPr>
        <w:pStyle w:val="TextoNormal"/>
      </w:pPr>
    </w:p>
    <w:p w:rsidR="008B3772" w:rsidRDefault="008B3772" w:rsidP="008B3772">
      <w:pPr>
        <w:pStyle w:val="TextoNormal"/>
      </w:pPr>
      <w:r w:rsidRPr="008B3772">
        <w:rPr>
          <w:rStyle w:val="NumeroAFNegritaCaracter"/>
        </w:rPr>
        <w:t>4</w:t>
      </w:r>
      <w:r>
        <w:t>. Mediante providencia de 15 de octubre de 2002 (BOE de 31 de octubre) la Sección Segunda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008B3772" w:rsidRDefault="008B3772" w:rsidP="008B3772">
      <w:pPr>
        <w:pStyle w:val="TextoNormal"/>
      </w:pPr>
    </w:p>
    <w:p w:rsidR="008B3772" w:rsidRDefault="008B3772" w:rsidP="008B3772">
      <w:pPr>
        <w:pStyle w:val="TextoNormal"/>
      </w:pPr>
      <w:r w:rsidRPr="008B3772">
        <w:rPr>
          <w:rStyle w:val="NumeroAFNegritaCaracter"/>
        </w:rPr>
        <w:t>5</w:t>
      </w:r>
      <w:r>
        <w:t>. El día 4 de noviembre de 2002 la Presidenta del Congreso de los Diputados comunicó al Tribunal que dicha Cámara no se personaría en el proceso ni formularía alegaciones.</w:t>
      </w:r>
    </w:p>
    <w:p w:rsidR="008B3772" w:rsidRDefault="008B3772" w:rsidP="008B3772">
      <w:pPr>
        <w:pStyle w:val="TextoNormal"/>
      </w:pPr>
    </w:p>
    <w:p w:rsidR="008B3772" w:rsidRDefault="008B3772" w:rsidP="008B3772">
      <w:pPr>
        <w:pStyle w:val="TextoNormal"/>
      </w:pPr>
      <w:r w:rsidRPr="008B3772">
        <w:rPr>
          <w:rStyle w:val="NumeroAFNegritaCaracter"/>
        </w:rPr>
        <w:t>6</w:t>
      </w:r>
      <w:r>
        <w:t>. El Presidente del Senado, mediante escrito registrado el día 4 de noviembre de 2002, comunicó que la Cámara se personaba en el proceso, ofreciendo su colaboración.</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7</w:t>
      </w:r>
      <w:r>
        <w:t>. Mediante escrito registrado el día 7 de noviembre de 2002 el Abogado del Estado presentó sus alegaciones solicitando a este Tribunal Constitucional que dictara Sentencia inadmitiendo o, subsidiariamente, desestimando la cuestión de inconstitucionalidad planteada, por entender que en el planteamiento de la misma no habían sido cumplidos los requisitos establecidos en el art. 35.2 LOTC y por considerar que el precepto cuestionado no vulnera los preceptos constitucionales que se estiman infringidos.</w:t>
      </w:r>
    </w:p>
    <w:p w:rsidR="008B3772" w:rsidRDefault="008B3772" w:rsidP="008B3772">
      <w:pPr>
        <w:pStyle w:val="TextoNormal"/>
      </w:pPr>
    </w:p>
    <w:p w:rsidR="008B3772" w:rsidRDefault="008B3772" w:rsidP="008B3772">
      <w:pPr>
        <w:pStyle w:val="TextoNormal"/>
      </w:pPr>
      <w:r w:rsidRPr="008B3772">
        <w:rPr>
          <w:rStyle w:val="NumeroAFNegritaCaracter"/>
        </w:rPr>
        <w:t>8</w:t>
      </w:r>
      <w:r>
        <w:t>. El Fiscal General del Estado presentó sus alegaciones mediante escrito registrado el día 12 de noviembre de 2002, interesando la estimación de la cuestión de inconstitucionalidad por vulnerar el precepto cuestionado el art. 14 CE.</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El Juzgado de lo Social núm. 2 de Badajoz plantea cuestión de inconstitucionalidad en relación con el art. 2, apartado 3, del Real Decreto-ley 5/2002, de 24 de mayo, de medidas urgentes para la reforma del sistema de protección por desempleo y</w:t>
      </w:r>
    </w:p>
    <w:p w:rsidR="008B3772" w:rsidRDefault="008B3772" w:rsidP="008B3772">
      <w:pPr>
        <w:pStyle w:val="TextoNormal"/>
      </w:pPr>
      <w:r>
        <w:t>mejora de la ocupabilidad, por posible vulneración de los arts. 14, 24, 35 y 86.1 CE.</w:t>
      </w:r>
    </w:p>
    <w:p w:rsidR="008B3772" w:rsidRDefault="008B3772" w:rsidP="008B3772">
      <w:pPr>
        <w:pStyle w:val="TextoNormal"/>
      </w:pPr>
      <w:r>
        <w:t>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8B3772" w:rsidRDefault="008B3772" w:rsidP="008B3772">
      <w:pPr>
        <w:pStyle w:val="TextoNormal"/>
      </w:pPr>
    </w:p>
    <w:p w:rsidR="008B3772" w:rsidRDefault="008B3772" w:rsidP="008B3772">
      <w:pPr>
        <w:pStyle w:val="TextoNormal"/>
      </w:pPr>
      <w:r>
        <w:t>Por todo lo cual, el Pleno del Tribunal</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Declarar la extinción de la cuestión de inconstitucionalidad núm. 4814-2002, por desaparición sobrevenida de su objeto.</w:t>
      </w:r>
    </w:p>
    <w:p w:rsidR="008B3772" w:rsidRDefault="008B3772" w:rsidP="008B3772">
      <w:pPr>
        <w:pStyle w:val="TextoNormal"/>
      </w:pPr>
    </w:p>
    <w:p w:rsidR="008B3772" w:rsidRDefault="008B3772" w:rsidP="008B3772">
      <w:pPr>
        <w:pStyle w:val="TextoNormal"/>
      </w:pPr>
      <w:r>
        <w:t>Madrid, a diecinueve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55" w:name="AUTO_2007_291"/>
      <w:r>
        <w:lastRenderedPageBreak/>
        <w:t>AUTO 291/2007, de 19 de junio de 2007</w:t>
      </w:r>
    </w:p>
    <w:bookmarkEnd w:id="155"/>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ECLI:ES:TC:2007:291A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Acuerda la extinción de la cuestión de inconstitucionalidad 5931-2002, planteada por el Juzgado de lo Social núm. 2 de Badajoz en relación con el Real Decreto-ley 5/2002, de 24 de mayo.</w:t>
      </w:r>
    </w:p>
    <w:p w:rsidR="008B3772" w:rsidRDefault="008B3772" w:rsidP="008B3772">
      <w:pPr>
        <w:pStyle w:val="SntesisDescriptiva"/>
      </w:pPr>
    </w:p>
    <w:p w:rsidR="008B3772" w:rsidRDefault="008B3772" w:rsidP="008B3772">
      <w:pPr>
        <w:pStyle w:val="SntesisAnaltica"/>
      </w:pPr>
      <w:r>
        <w:t>Cuestión de inconstitucionalidad: ATC 290/2007.</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el Tribunal el día 23 de octubre de 2002, al que se acompaña el correspondiente Auto de 15 de octubre de 2002,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008B3772" w:rsidRDefault="008B3772" w:rsidP="008B3772">
      <w:pPr>
        <w:pStyle w:val="TextoNormal"/>
      </w:pPr>
    </w:p>
    <w:p w:rsidR="008B3772" w:rsidRDefault="008B3772" w:rsidP="008B3772">
      <w:pPr>
        <w:pStyle w:val="TextoNormal"/>
      </w:pPr>
      <w:r w:rsidRPr="008B3772">
        <w:rPr>
          <w:rStyle w:val="NumeroAFNegritaCaracter"/>
        </w:rPr>
        <w:t>2</w:t>
      </w:r>
      <w:r>
        <w:t>. La presente cuestión de inconstitucionalidad tiene su origen en la demanda por despido (474/2002) interpuesta por don Jorge Fermoselle León contra la empresa Talleres Madrid, SL. Conclusas las actuaciones, el Juez de lo Social dicta providencia de 17 de septiembre de 2002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el Ministerio Fiscal informó en el sentido de considerar improcedente el planteamiento de la cuestión.</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Decreto-ley 5/2002 y ha de ser declarado improcedente, llevando aparejada tal calificación, </w:t>
      </w:r>
      <w:r>
        <w:lastRenderedPageBreak/>
        <w:t xml:space="preserve">conforme a la citada normativa, la consecuencia del devengo de salarios de tramitación sólo si el empresario optara por readmitir al trabajador,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al trabajador los salarios correspondientes a la tramitación. </w:t>
      </w:r>
    </w:p>
    <w:p w:rsidR="008B3772" w:rsidRDefault="008B3772" w:rsidP="008B3772">
      <w:pPr>
        <w:pStyle w:val="TextoNormal"/>
      </w:pPr>
      <w: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008B3772" w:rsidRDefault="008B3772" w:rsidP="008B3772">
      <w:pPr>
        <w:pStyle w:val="TextoNormal"/>
      </w:pPr>
      <w:r>
        <w:t xml:space="preserve">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(salarios de tramitación incluidos) o menos condena si opta por indemnizar (salarios de tramitación excluidos), por lo que o bien no hay tutela judicial o, si pudiera entenderse existente, ésta no sería efectiva. </w:t>
      </w:r>
    </w:p>
    <w:p w:rsidR="008B3772" w:rsidRDefault="008B3772" w:rsidP="008B3772">
      <w:pPr>
        <w:pStyle w:val="TextoNormal"/>
      </w:pPr>
      <w:r>
        <w:lastRenderedPageBreak/>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008B3772" w:rsidRDefault="008B3772" w:rsidP="008B3772">
      <w:pPr>
        <w:pStyle w:val="TextoNormal"/>
      </w:pPr>
      <w:r>
        <w:t>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008B3772" w:rsidRDefault="008B3772" w:rsidP="008B3772">
      <w:pPr>
        <w:pStyle w:val="TextoNormal"/>
      </w:pPr>
    </w:p>
    <w:p w:rsidR="008B3772" w:rsidRDefault="008B3772" w:rsidP="008B3772">
      <w:pPr>
        <w:pStyle w:val="TextoNormal"/>
      </w:pPr>
      <w:r w:rsidRPr="008B3772">
        <w:rPr>
          <w:rStyle w:val="NumeroAFNegritaCaracter"/>
        </w:rPr>
        <w:t>4</w:t>
      </w:r>
      <w:r>
        <w:t>. Mediante providencia de 26 de noviembre de 2002 (BOE de 10 de diciembre) la Sección Segunda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008B3772" w:rsidRDefault="008B3772" w:rsidP="008B3772">
      <w:pPr>
        <w:pStyle w:val="TextoNormal"/>
      </w:pPr>
    </w:p>
    <w:p w:rsidR="008B3772" w:rsidRDefault="008B3772" w:rsidP="008B3772">
      <w:pPr>
        <w:pStyle w:val="TextoNormal"/>
      </w:pPr>
      <w:r w:rsidRPr="008B3772">
        <w:rPr>
          <w:rStyle w:val="NumeroAFNegritaCaracter"/>
        </w:rPr>
        <w:t>5</w:t>
      </w:r>
      <w:r>
        <w:t>. El día 13 de diciembre de 2002 la Presidenta del Congreso de los Diputados comunicó al Tribunal que dicha Cámara no se personaría en el proceso ni formularía alegaciones.</w:t>
      </w:r>
    </w:p>
    <w:p w:rsidR="008B3772" w:rsidRDefault="008B3772" w:rsidP="008B3772">
      <w:pPr>
        <w:pStyle w:val="TextoNormal"/>
      </w:pPr>
    </w:p>
    <w:p w:rsidR="008B3772" w:rsidRDefault="008B3772" w:rsidP="008B3772">
      <w:pPr>
        <w:pStyle w:val="TextoNormal"/>
      </w:pPr>
      <w:r w:rsidRPr="008B3772">
        <w:rPr>
          <w:rStyle w:val="NumeroAFNegritaCaracter"/>
        </w:rPr>
        <w:t>6</w:t>
      </w:r>
      <w:r>
        <w:t>. Mediante escrito registrado el día 13 de diciembre de 2002 el Abogado del Estado presentó sus alegaciones solicitando a este Tribunal Constitucional que dictara Sentencia inadmitiendo o, subsidiariamente, desestimando la cuestión de inconstitucionalidad planteada, por entender que en el planteamiento de la misma no habían sido cumplidos los requisitos establecidos en el art. 35.2 LOTC y por considerar que el precepto cuestionado no vulnera los preceptos constitucionales que se estiman infringidos.</w:t>
      </w:r>
    </w:p>
    <w:p w:rsidR="008B3772" w:rsidRDefault="008B3772" w:rsidP="008B3772">
      <w:pPr>
        <w:pStyle w:val="TextoNormal"/>
      </w:pPr>
    </w:p>
    <w:p w:rsidR="008B3772" w:rsidRDefault="008B3772" w:rsidP="008B3772">
      <w:pPr>
        <w:pStyle w:val="TextoNormal"/>
      </w:pPr>
      <w:r w:rsidRPr="008B3772">
        <w:rPr>
          <w:rStyle w:val="NumeroAFNegritaCaracter"/>
        </w:rPr>
        <w:t>7</w:t>
      </w:r>
      <w:r>
        <w:t>. El Presidente del Senado, mediante escrito registrado el día 19 de diciembre de 2002, comunicó que la Cámara se personaba en el proceso, ofreciendo su colaboración.</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8</w:t>
      </w:r>
      <w:r>
        <w:t>. El Fiscal General del Estado presentó sus alegaciones mediante escrito registrado el día 20 de diciembre de 2002, interesando la estimación de la cuestión de inconstitucionalidad por vulnerar el precepto cuestionado los arts. 14 y 86.1 CE.</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El Juzgado de lo Social núm. 2 de Badajoz plantea cuestión de inconstitucionalidad en relación con el artículo segundo, apartado tres, del Real Decreto-ley 5/2002, de 24 de mayo, de medidas urgentes para la reforma del sistema de protección por</w:t>
      </w:r>
    </w:p>
    <w:p w:rsidR="008B3772" w:rsidRDefault="008B3772" w:rsidP="008B3772">
      <w:pPr>
        <w:pStyle w:val="TextoNormal"/>
      </w:pPr>
      <w:r>
        <w:t>desempleo y mejora de la ocupabilidad, por posible vulneración de los arts. 14, 24, 35 y 86.1 CE.</w:t>
      </w:r>
    </w:p>
    <w:p w:rsidR="008B3772" w:rsidRDefault="008B3772" w:rsidP="008B3772">
      <w:pPr>
        <w:pStyle w:val="TextoNormal"/>
      </w:pPr>
      <w:r>
        <w:t>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se ha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8B3772" w:rsidRDefault="008B3772" w:rsidP="008B3772">
      <w:pPr>
        <w:pStyle w:val="TextoNormal"/>
      </w:pPr>
    </w:p>
    <w:p w:rsidR="008B3772" w:rsidRDefault="008B3772" w:rsidP="008B3772">
      <w:pPr>
        <w:pStyle w:val="TextoNormal"/>
      </w:pPr>
      <w:r>
        <w:t>Por todo lo cual, el Pleno del Tribunal</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Declarar la extinción de la cuestión de inconstitucionalidad núm. 5931-2002, por desaparición sobrevenida de su objeto.</w:t>
      </w:r>
    </w:p>
    <w:p w:rsidR="008B3772" w:rsidRDefault="008B3772" w:rsidP="008B3772">
      <w:pPr>
        <w:pStyle w:val="TextoNormal"/>
      </w:pPr>
    </w:p>
    <w:p w:rsidR="008B3772" w:rsidRDefault="008B3772" w:rsidP="008B3772">
      <w:pPr>
        <w:pStyle w:val="TextoNormal"/>
      </w:pPr>
      <w:r>
        <w:t>Madrid, a diecinueve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56" w:name="AUTO_2007_292"/>
      <w:r>
        <w:lastRenderedPageBreak/>
        <w:t>AUTO 292/2007, de 19 de junio de 2007</w:t>
      </w:r>
    </w:p>
    <w:bookmarkEnd w:id="156"/>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ECLI:ES:TC:2007:292A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Acuerda la extinción de la cuestión de inconstitucionalidad 6480-2002, planteada por el Juzgado de lo Social núm. 2 de Badajoz en relación con el Real Decreto-ley 5/2002, de 24 de mayo.</w:t>
      </w:r>
    </w:p>
    <w:p w:rsidR="008B3772" w:rsidRDefault="008B3772" w:rsidP="008B3772">
      <w:pPr>
        <w:pStyle w:val="SntesisDescriptiva"/>
      </w:pPr>
    </w:p>
    <w:p w:rsidR="008B3772" w:rsidRDefault="008B3772" w:rsidP="008B3772">
      <w:pPr>
        <w:pStyle w:val="SntesisAnaltica"/>
      </w:pPr>
      <w:r>
        <w:t>Cuestión de inconstitucionalidad: ATC 290/2007.</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el Tribunal el día 16 de noviembre de 2002, al que se acompaña el correspondiente Auto de 6 de noviembre de 2002,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008B3772" w:rsidRDefault="008B3772" w:rsidP="008B3772">
      <w:pPr>
        <w:pStyle w:val="TextoNormal"/>
      </w:pPr>
    </w:p>
    <w:p w:rsidR="008B3772" w:rsidRDefault="008B3772" w:rsidP="008B3772">
      <w:pPr>
        <w:pStyle w:val="TextoNormal"/>
      </w:pPr>
      <w:r w:rsidRPr="008B3772">
        <w:rPr>
          <w:rStyle w:val="NumeroAFNegritaCaracter"/>
        </w:rPr>
        <w:t>2</w:t>
      </w:r>
      <w:r>
        <w:t>. La presente cuestión de inconstitucionalidad tiene su origen en la demanda por despido (701/2002) interpuesta por doña Esperanza Delgado Ruiz contra la empresa Era El Peñasco, SL. Conclusas las actuaciones, el Juez de lo Social dicta providencia de 3 de octubre de 2002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el Ministerio Fiscal informó en el sentido de considerar improcedente el planteamiento de la cuestión.</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Decreto-ley 5/2002 y ha de ser declarado improcedente, llevando aparejada tal calificación, </w:t>
      </w:r>
      <w:r>
        <w:lastRenderedPageBreak/>
        <w:t xml:space="preserve">conforme a la citada normativa, la consecuencia del devengo de salarios de tramitación sólo si el empresario optara por readmitir al trabajador,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al trabajador los salarios correspondientes a la tramitación. </w:t>
      </w:r>
    </w:p>
    <w:p w:rsidR="008B3772" w:rsidRDefault="008B3772" w:rsidP="008B3772">
      <w:pPr>
        <w:pStyle w:val="TextoNormal"/>
      </w:pPr>
      <w: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008B3772" w:rsidRDefault="008B3772" w:rsidP="008B3772">
      <w:pPr>
        <w:pStyle w:val="TextoNormal"/>
      </w:pPr>
      <w:r>
        <w:t xml:space="preserve">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(salarios de tramitación incluidos) o menos condena si opta por indemnizar (salarios de tramitación excluidos), por lo que o bien no hay tutela judicial o, si pudiera entenderse existente, ésta no sería efectiva. </w:t>
      </w:r>
    </w:p>
    <w:p w:rsidR="008B3772" w:rsidRDefault="008B3772" w:rsidP="008B3772">
      <w:pPr>
        <w:pStyle w:val="TextoNormal"/>
      </w:pPr>
      <w:r>
        <w:lastRenderedPageBreak/>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008B3772" w:rsidRDefault="008B3772" w:rsidP="008B3772">
      <w:pPr>
        <w:pStyle w:val="TextoNormal"/>
      </w:pPr>
      <w:r>
        <w:t>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008B3772" w:rsidRDefault="008B3772" w:rsidP="008B3772">
      <w:pPr>
        <w:pStyle w:val="TextoNormal"/>
      </w:pPr>
    </w:p>
    <w:p w:rsidR="008B3772" w:rsidRDefault="008B3772" w:rsidP="008B3772">
      <w:pPr>
        <w:pStyle w:val="TextoNormal"/>
      </w:pPr>
      <w:r w:rsidRPr="008B3772">
        <w:rPr>
          <w:rStyle w:val="NumeroAFNegritaCaracter"/>
        </w:rPr>
        <w:t>4</w:t>
      </w:r>
      <w:r>
        <w:t>. Mediante providencia de 25 de marzo de 2003 (BOE de 7 de abril) la Sección Primera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008B3772" w:rsidRDefault="008B3772" w:rsidP="008B3772">
      <w:pPr>
        <w:pStyle w:val="TextoNormal"/>
      </w:pPr>
    </w:p>
    <w:p w:rsidR="008B3772" w:rsidRDefault="008B3772" w:rsidP="008B3772">
      <w:pPr>
        <w:pStyle w:val="TextoNormal"/>
      </w:pPr>
      <w:r w:rsidRPr="008B3772">
        <w:rPr>
          <w:rStyle w:val="NumeroAFNegritaCaracter"/>
        </w:rPr>
        <w:t>5</w:t>
      </w:r>
      <w:r>
        <w:t>. Mediante escrito registrado el día 15 de abril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008B3772" w:rsidRDefault="008B3772" w:rsidP="008B3772">
      <w:pPr>
        <w:pStyle w:val="TextoNormal"/>
      </w:pPr>
    </w:p>
    <w:p w:rsidR="008B3772" w:rsidRDefault="008B3772" w:rsidP="008B3772">
      <w:pPr>
        <w:pStyle w:val="TextoNormal"/>
      </w:pPr>
      <w:r w:rsidRPr="008B3772">
        <w:rPr>
          <w:rStyle w:val="NumeroAFNegritaCaracter"/>
        </w:rPr>
        <w:t>6</w:t>
      </w:r>
      <w:r>
        <w:t>. El Presidente del Senado, mediante escrito registrado el día 24 de abril de 2003, comunicó que la Cámara se personaba en el proceso, ofreciendo su colaboración.</w:t>
      </w:r>
    </w:p>
    <w:p w:rsidR="008B3772" w:rsidRDefault="008B3772" w:rsidP="008B3772">
      <w:pPr>
        <w:pStyle w:val="TextoNormal"/>
      </w:pPr>
    </w:p>
    <w:p w:rsidR="008B3772" w:rsidRDefault="008B3772" w:rsidP="008B3772">
      <w:pPr>
        <w:pStyle w:val="TextoNormal"/>
      </w:pPr>
      <w:r w:rsidRPr="008B3772">
        <w:rPr>
          <w:rStyle w:val="NumeroAFNegritaCaracter"/>
        </w:rPr>
        <w:t>7</w:t>
      </w:r>
      <w:r>
        <w:t>. El día 25 de abril de 2003 la Presidenta del Congreso de los Diputados comunicó al Tribunal que dicha Cámara no se personaría en el proceso ni formularía alegaciones.</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8</w:t>
      </w:r>
      <w:r>
        <w:t>. El Fiscal General del Estado presentó sus alegaciones mediante escrito registrado el día 29 de abril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El Juzgado de lo Social núm. 2 de Badajoz plantea cuestión de inconstitucionalidad en relación con el artículo segundo, apartado tres, del Real Decreto-ley 5/2002, de 24 de mayo, de medidas urgentes para la reforma del sistema de protección por</w:t>
      </w:r>
    </w:p>
    <w:p w:rsidR="008B3772" w:rsidRDefault="008B3772" w:rsidP="008B3772">
      <w:pPr>
        <w:pStyle w:val="TextoNormal"/>
      </w:pPr>
      <w:r>
        <w:t>desempleo y mejora de la ocupabilidad, por posible vulneración de los arts. 14, 24, 35 y 86.1 CE.</w:t>
      </w:r>
    </w:p>
    <w:p w:rsidR="008B3772" w:rsidRDefault="008B3772" w:rsidP="008B3772">
      <w:pPr>
        <w:pStyle w:val="TextoNormal"/>
      </w:pPr>
      <w:r>
        <w:t>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se ha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8B3772" w:rsidRDefault="008B3772" w:rsidP="008B3772">
      <w:pPr>
        <w:pStyle w:val="TextoNormal"/>
      </w:pPr>
    </w:p>
    <w:p w:rsidR="008B3772" w:rsidRDefault="008B3772" w:rsidP="008B3772">
      <w:pPr>
        <w:pStyle w:val="TextoNormal"/>
      </w:pPr>
      <w:r>
        <w:t>Por todo lo cual, el Pleno del Tribunal</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Declarar la extinción de la cuestión de inconstitucionalidad núm. 6480-2002, por desaparición sobrevenida de su objeto.</w:t>
      </w:r>
    </w:p>
    <w:p w:rsidR="008B3772" w:rsidRDefault="008B3772" w:rsidP="008B3772">
      <w:pPr>
        <w:pStyle w:val="TextoNormal"/>
      </w:pPr>
    </w:p>
    <w:p w:rsidR="008B3772" w:rsidRDefault="008B3772" w:rsidP="008B3772">
      <w:pPr>
        <w:pStyle w:val="TextoNormal"/>
      </w:pPr>
      <w:r>
        <w:t>Madrid, a diecinueve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57" w:name="AUTO_2007_293"/>
      <w:r>
        <w:lastRenderedPageBreak/>
        <w:t>AUTO 293/2007, de 19 de junio de 2007</w:t>
      </w:r>
    </w:p>
    <w:bookmarkEnd w:id="157"/>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ECLI:ES:TC:2007:293A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Acuerda la extinción de la cuestión de inconstitucionalidad 6566-2002, planteada por el Juzgado de lo Social núm. 2 de Badajoz en relación con el Real Decreto-ley 5/2002, de 24 de mayo.</w:t>
      </w:r>
    </w:p>
    <w:p w:rsidR="008B3772" w:rsidRDefault="008B3772" w:rsidP="008B3772">
      <w:pPr>
        <w:pStyle w:val="SntesisDescriptiva"/>
      </w:pPr>
    </w:p>
    <w:p w:rsidR="008B3772" w:rsidRDefault="008B3772" w:rsidP="008B3772">
      <w:pPr>
        <w:pStyle w:val="SntesisAnaltica"/>
      </w:pPr>
      <w:r>
        <w:t>Cuestión de inconstitucionalidad: ATC 290/2007.</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el Tribunal el día 20 de noviembre de 2002, al que se acompaña el correspondiente Auto de 7 de noviembre de 2002,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008B3772" w:rsidRDefault="008B3772" w:rsidP="008B3772">
      <w:pPr>
        <w:pStyle w:val="TextoNormal"/>
      </w:pPr>
    </w:p>
    <w:p w:rsidR="008B3772" w:rsidRDefault="008B3772" w:rsidP="008B3772">
      <w:pPr>
        <w:pStyle w:val="TextoNormal"/>
      </w:pPr>
      <w:r w:rsidRPr="008B3772">
        <w:rPr>
          <w:rStyle w:val="NumeroAFNegritaCaracter"/>
        </w:rPr>
        <w:t>2</w:t>
      </w:r>
      <w:r>
        <w:t>. La presente cuestión de inconstitucionalidad tiene su origen en la demanda por despido (615/2002) interpuesta por don Javier Sánchez Guerra contra la empresa Decoraciones Yedra, SL. Conclusas las actuaciones, el Juez de lo Social dicta providencia de 11 de octubre de 2002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el Ministerio Fiscal informó en el sentido de considerar improcedente el planteamiento de la cuestión, mientras que el demandante informó en el sentido contrario.</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w:t>
      </w:r>
      <w:r>
        <w:lastRenderedPageBreak/>
        <w:t xml:space="preserve">Decreto-ley 5/2002 y ha de ser declarado improcedente, llevando aparejada tal calificación, conforme a la citada normativa, la consecuencia del devengo de salarios de tramitación sólo si el empresario optara por readmitir al trabajador,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al trabajador los salarios correspondientes a la tramitación. </w:t>
      </w:r>
    </w:p>
    <w:p w:rsidR="008B3772" w:rsidRDefault="008B3772" w:rsidP="008B3772">
      <w:pPr>
        <w:pStyle w:val="TextoNormal"/>
      </w:pPr>
      <w: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008B3772" w:rsidRDefault="008B3772" w:rsidP="008B3772">
      <w:pPr>
        <w:pStyle w:val="TextoNormal"/>
      </w:pPr>
      <w:r>
        <w:t>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w:t>
      </w:r>
      <w:r>
        <w:lastRenderedPageBreak/>
        <w:t xml:space="preserve">rios de tramitación incluidos) o menos condena si opta por indemnizar (salarios de tramitación excluidos), por lo que o bien no hay tutela judicial o, si pudiera entenderse existente, ésta no sería efectiva. </w:t>
      </w:r>
    </w:p>
    <w:p w:rsidR="008B3772" w:rsidRDefault="008B3772" w:rsidP="008B3772">
      <w:pPr>
        <w:pStyle w:val="TextoNormal"/>
      </w:pPr>
      <w: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008B3772" w:rsidRDefault="008B3772" w:rsidP="008B3772">
      <w:pPr>
        <w:pStyle w:val="TextoNormal"/>
      </w:pPr>
      <w:r>
        <w:t>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008B3772" w:rsidRDefault="008B3772" w:rsidP="008B3772">
      <w:pPr>
        <w:pStyle w:val="TextoNormal"/>
      </w:pPr>
    </w:p>
    <w:p w:rsidR="008B3772" w:rsidRDefault="008B3772" w:rsidP="008B3772">
      <w:pPr>
        <w:pStyle w:val="TextoNormal"/>
      </w:pPr>
      <w:r w:rsidRPr="008B3772">
        <w:rPr>
          <w:rStyle w:val="NumeroAFNegritaCaracter"/>
        </w:rPr>
        <w:t>4</w:t>
      </w:r>
      <w:r>
        <w:t>. Mediante providencia de 25 de marzo de 2003 (BOE de 7 de abril) la Sección Cuarta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008B3772" w:rsidRDefault="008B3772" w:rsidP="008B3772">
      <w:pPr>
        <w:pStyle w:val="TextoNormal"/>
      </w:pPr>
    </w:p>
    <w:p w:rsidR="008B3772" w:rsidRDefault="008B3772" w:rsidP="008B3772">
      <w:pPr>
        <w:pStyle w:val="TextoNormal"/>
      </w:pPr>
      <w:r w:rsidRPr="008B3772">
        <w:rPr>
          <w:rStyle w:val="NumeroAFNegritaCaracter"/>
        </w:rPr>
        <w:t>5</w:t>
      </w:r>
      <w:r>
        <w:t>. Mediante escrito registrado el día 15 de abril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008B3772" w:rsidRDefault="008B3772" w:rsidP="008B3772">
      <w:pPr>
        <w:pStyle w:val="TextoNormal"/>
      </w:pPr>
    </w:p>
    <w:p w:rsidR="008B3772" w:rsidRDefault="008B3772" w:rsidP="008B3772">
      <w:pPr>
        <w:pStyle w:val="TextoNormal"/>
      </w:pPr>
      <w:r w:rsidRPr="008B3772">
        <w:rPr>
          <w:rStyle w:val="NumeroAFNegritaCaracter"/>
        </w:rPr>
        <w:t>6</w:t>
      </w:r>
      <w:r>
        <w:t>. El Presidente del Senado, mediante escrito registrado el día 24 de abril de 2003, comunicó que la Cámara se personaba en el proceso, ofreciendo su colaboración.</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7</w:t>
      </w:r>
      <w:r>
        <w:t>. El día 25 de abril de 2003 la Presidenta del Congreso de los Diputados comunicó al Tribunal que dicha Cámara no se personaría en el proceso ni formularía alegaciones.</w:t>
      </w:r>
    </w:p>
    <w:p w:rsidR="008B3772" w:rsidRDefault="008B3772" w:rsidP="008B3772">
      <w:pPr>
        <w:pStyle w:val="TextoNormal"/>
      </w:pPr>
    </w:p>
    <w:p w:rsidR="008B3772" w:rsidRDefault="008B3772" w:rsidP="008B3772">
      <w:pPr>
        <w:pStyle w:val="TextoNormal"/>
      </w:pPr>
      <w:r w:rsidRPr="008B3772">
        <w:rPr>
          <w:rStyle w:val="NumeroAFNegritaCaracter"/>
        </w:rPr>
        <w:t>8</w:t>
      </w:r>
      <w:r>
        <w:t>. El Fiscal General del Estado presentó sus alegaciones mediante escrito registrado el día 29 de abril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El Juzgado de lo Social núm. 2 de Badajoz plantea cuestión de inconstitucionalidad en relación con el artículo segundo, apartado tres, del Real Decreto-ley 5/2002, de 24 de mayo, de medidas urgentes para la reforma del sistema de protección por</w:t>
      </w:r>
    </w:p>
    <w:p w:rsidR="008B3772" w:rsidRDefault="008B3772" w:rsidP="008B3772">
      <w:pPr>
        <w:pStyle w:val="TextoNormal"/>
      </w:pPr>
      <w:r>
        <w:t>desempleo y mejora de la ocupabilidad, por posible vulneración de los arts. 14, 24, 35 y 86.1 CE.</w:t>
      </w:r>
    </w:p>
    <w:p w:rsidR="008B3772" w:rsidRDefault="008B3772" w:rsidP="008B3772">
      <w:pPr>
        <w:pStyle w:val="TextoNormal"/>
      </w:pPr>
      <w:r>
        <w:t>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8B3772" w:rsidRDefault="008B3772" w:rsidP="008B3772">
      <w:pPr>
        <w:pStyle w:val="TextoNormal"/>
      </w:pPr>
    </w:p>
    <w:p w:rsidR="008B3772" w:rsidRDefault="008B3772" w:rsidP="008B3772">
      <w:pPr>
        <w:pStyle w:val="TextoNormal"/>
      </w:pPr>
      <w:r>
        <w:t>Por todo lo cual, el Pleno del Tribunal</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Declarar la extinción de la cuestión de inconstitucionalidad núm. 6566-2002, por desaparición sobrevenida de su objeto.</w:t>
      </w:r>
    </w:p>
    <w:p w:rsidR="008B3772" w:rsidRDefault="008B3772" w:rsidP="008B3772">
      <w:pPr>
        <w:pStyle w:val="TextoNormal"/>
      </w:pPr>
    </w:p>
    <w:p w:rsidR="008B3772" w:rsidRDefault="008B3772" w:rsidP="008B3772">
      <w:pPr>
        <w:pStyle w:val="TextoNormal"/>
      </w:pPr>
      <w:r>
        <w:t>Madrid, a diecinueve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58" w:name="AUTO_2007_294"/>
      <w:r>
        <w:lastRenderedPageBreak/>
        <w:t>AUTO 294/2007, de 19 de junio de 2007</w:t>
      </w:r>
    </w:p>
    <w:bookmarkEnd w:id="158"/>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ECLI:ES:TC:2007:294A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Acuerda la extinción de la cuestión de inconstitucionalidad 6917-2002, planteada por el Juzgado de lo Social núm. 2 de Badajoz en relación con el Real Decreto-ley 5/2002, de 24 de mayo.</w:t>
      </w:r>
    </w:p>
    <w:p w:rsidR="008B3772" w:rsidRDefault="008B3772" w:rsidP="008B3772">
      <w:pPr>
        <w:pStyle w:val="SntesisDescriptiva"/>
      </w:pPr>
    </w:p>
    <w:p w:rsidR="008B3772" w:rsidRDefault="008B3772" w:rsidP="008B3772">
      <w:pPr>
        <w:pStyle w:val="SntesisAnaltica"/>
      </w:pPr>
      <w:r>
        <w:t>Cuestión de inconstitucionalidad: ATC 290/2007.</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el Tribunal el día 4 de diciembre de 2002, al que se acompaña el correspondiente Auto de 25 de noviembre de 2002,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008B3772" w:rsidRDefault="008B3772" w:rsidP="008B3772">
      <w:pPr>
        <w:pStyle w:val="TextoNormal"/>
      </w:pPr>
    </w:p>
    <w:p w:rsidR="008B3772" w:rsidRDefault="008B3772" w:rsidP="008B3772">
      <w:pPr>
        <w:pStyle w:val="TextoNormal"/>
      </w:pPr>
      <w:r w:rsidRPr="008B3772">
        <w:rPr>
          <w:rStyle w:val="NumeroAFNegritaCaracter"/>
        </w:rPr>
        <w:t>2</w:t>
      </w:r>
      <w:r>
        <w:t>. La presente cuestión de inconstitucionalidad tiene su origen en la demanda por despido (816/2002) interpuesta por doña María de los Ángeles Vázquez Sánchez contra la empresa Badajoz Service Catering, SL. Conclusas las actuaciones, el Juez de lo Social dicta providencia de 30 de octubre de 2002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el Ministerio Fiscal informó en el sentido de considerar improcedente el planteamiento de la cuestión, mientras que la demandante manifestó adherirse a la cuestión de inconstitucionalidad.</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w:t>
      </w:r>
      <w:r>
        <w:lastRenderedPageBreak/>
        <w:t xml:space="preserve">Decreto-ley 5/2002 y ha de ser declarado improcedente, llevando aparejada tal calificación, conforme a la citada normativa, la consecuencia del devengo de salarios de tramitación sólo si el empresario optara por readmitir al trabajador,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al trabajador los salarios correspondientes a la tramitación. </w:t>
      </w:r>
    </w:p>
    <w:p w:rsidR="008B3772" w:rsidRDefault="008B3772" w:rsidP="008B3772">
      <w:pPr>
        <w:pStyle w:val="TextoNormal"/>
      </w:pPr>
      <w: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008B3772" w:rsidRDefault="008B3772" w:rsidP="008B3772">
      <w:pPr>
        <w:pStyle w:val="TextoNormal"/>
      </w:pPr>
      <w:r>
        <w:t>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w:t>
      </w:r>
      <w:r>
        <w:lastRenderedPageBreak/>
        <w:t xml:space="preserve">rios de tramitación incluidos) o menos condena si opta por indemnizar (salarios de tramitación excluidos), por lo que o bien no hay tutela judicial o, si pudiera entenderse existente, ésta no sería efectiva. </w:t>
      </w:r>
    </w:p>
    <w:p w:rsidR="008B3772" w:rsidRDefault="008B3772" w:rsidP="008B3772">
      <w:pPr>
        <w:pStyle w:val="TextoNormal"/>
      </w:pPr>
      <w: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008B3772" w:rsidRDefault="008B3772" w:rsidP="008B3772">
      <w:pPr>
        <w:pStyle w:val="TextoNormal"/>
      </w:pPr>
      <w:r>
        <w:t>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008B3772" w:rsidRDefault="008B3772" w:rsidP="008B3772">
      <w:pPr>
        <w:pStyle w:val="TextoNormal"/>
      </w:pPr>
    </w:p>
    <w:p w:rsidR="008B3772" w:rsidRDefault="008B3772" w:rsidP="008B3772">
      <w:pPr>
        <w:pStyle w:val="TextoNormal"/>
      </w:pPr>
      <w:r w:rsidRPr="008B3772">
        <w:rPr>
          <w:rStyle w:val="NumeroAFNegritaCaracter"/>
        </w:rPr>
        <w:t>4</w:t>
      </w:r>
      <w:r>
        <w:t>. Mediante providencia de 25 de marzo de 2003 (BOE de 7 de abril) la Sección Tercera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008B3772" w:rsidRDefault="008B3772" w:rsidP="008B3772">
      <w:pPr>
        <w:pStyle w:val="TextoNormal"/>
      </w:pPr>
    </w:p>
    <w:p w:rsidR="008B3772" w:rsidRDefault="008B3772" w:rsidP="008B3772">
      <w:pPr>
        <w:pStyle w:val="TextoNormal"/>
      </w:pPr>
      <w:r w:rsidRPr="008B3772">
        <w:rPr>
          <w:rStyle w:val="NumeroAFNegritaCaracter"/>
        </w:rPr>
        <w:t>5</w:t>
      </w:r>
      <w:r>
        <w:t>. Mediante escrito registrado el día 15 de abril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008B3772" w:rsidRDefault="008B3772" w:rsidP="008B3772">
      <w:pPr>
        <w:pStyle w:val="TextoNormal"/>
      </w:pPr>
    </w:p>
    <w:p w:rsidR="008B3772" w:rsidRDefault="008B3772" w:rsidP="008B3772">
      <w:pPr>
        <w:pStyle w:val="TextoNormal"/>
      </w:pPr>
      <w:r w:rsidRPr="008B3772">
        <w:rPr>
          <w:rStyle w:val="NumeroAFNegritaCaracter"/>
        </w:rPr>
        <w:t>6</w:t>
      </w:r>
      <w:r>
        <w:t>. El Presidente del Senado, mediante escrito registrado el día 24 de abril de 2003, comunicó que la Cámara se personaba en el proceso, ofreciendo su colaboración.</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7</w:t>
      </w:r>
      <w:r>
        <w:t>. El día 25 de abril de 2003 la Presidenta del Congreso de los Diputados comunicó al Tribunal que dicha Cámara no se personaría en el proceso ni formularía alegaciones.</w:t>
      </w:r>
    </w:p>
    <w:p w:rsidR="008B3772" w:rsidRDefault="008B3772" w:rsidP="008B3772">
      <w:pPr>
        <w:pStyle w:val="TextoNormal"/>
      </w:pPr>
    </w:p>
    <w:p w:rsidR="008B3772" w:rsidRDefault="008B3772" w:rsidP="008B3772">
      <w:pPr>
        <w:pStyle w:val="TextoNormal"/>
      </w:pPr>
      <w:r w:rsidRPr="008B3772">
        <w:rPr>
          <w:rStyle w:val="NumeroAFNegritaCaracter"/>
        </w:rPr>
        <w:t>8</w:t>
      </w:r>
      <w:r>
        <w:t>. El Fiscal General del Estado presentó sus alegaciones mediante escrito registrado el día 29 de abril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El Juzgado de lo Social núm. 2 de Badajoz plantea cuestión de inconstitucionalidad en relación con el artículo segundo, apartado tres, del Real Decreto-ley 5/2002, de 24 de mayo, de medidas urgentes para la reforma del sistema de protección por</w:t>
      </w:r>
    </w:p>
    <w:p w:rsidR="008B3772" w:rsidRDefault="008B3772" w:rsidP="008B3772">
      <w:pPr>
        <w:pStyle w:val="TextoNormal"/>
      </w:pPr>
      <w:r>
        <w:t>desempleo y mejora de la ocupabilidad, por posible vulneración de los arts. 14, 24, 35 y 86.1 CE.</w:t>
      </w:r>
    </w:p>
    <w:p w:rsidR="008B3772" w:rsidRDefault="008B3772" w:rsidP="008B3772">
      <w:pPr>
        <w:pStyle w:val="TextoNormal"/>
      </w:pPr>
      <w:r>
        <w:t>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8B3772" w:rsidRDefault="008B3772" w:rsidP="008B3772">
      <w:pPr>
        <w:pStyle w:val="TextoNormal"/>
      </w:pPr>
    </w:p>
    <w:p w:rsidR="008B3772" w:rsidRDefault="008B3772" w:rsidP="008B3772">
      <w:pPr>
        <w:pStyle w:val="TextoNormal"/>
      </w:pPr>
      <w:r>
        <w:t>Por todo lo cual, el Pleno del Tribunal</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Declarar la extinción de la cuestión de inconstitucionalidad núm. 6917-2002, por desaparición sobrevenida de su objeto.</w:t>
      </w:r>
    </w:p>
    <w:p w:rsidR="008B3772" w:rsidRDefault="008B3772" w:rsidP="008B3772">
      <w:pPr>
        <w:pStyle w:val="TextoNormal"/>
      </w:pPr>
    </w:p>
    <w:p w:rsidR="008B3772" w:rsidRDefault="008B3772" w:rsidP="008B3772">
      <w:pPr>
        <w:pStyle w:val="TextoNormal"/>
      </w:pPr>
      <w:r>
        <w:t>Madrid, a diecinueve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59" w:name="AUTO_2007_295"/>
      <w:r>
        <w:lastRenderedPageBreak/>
        <w:t>AUTO 295/2007, de 19 de junio de 2007</w:t>
      </w:r>
    </w:p>
    <w:bookmarkEnd w:id="159"/>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ECLI:ES:TC:2007:295A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Acuerda la extinción de la cuestión de inconstitucionalidad 7016-2002, planteada por el Juzgado de lo Social núm. 2 de Badajoz en relación con el Real Decreto-ley 5/2002, de 24 de mayo.</w:t>
      </w:r>
    </w:p>
    <w:p w:rsidR="008B3772" w:rsidRDefault="008B3772" w:rsidP="008B3772">
      <w:pPr>
        <w:pStyle w:val="SntesisDescriptiva"/>
      </w:pPr>
    </w:p>
    <w:p w:rsidR="008B3772" w:rsidRDefault="008B3772" w:rsidP="008B3772">
      <w:pPr>
        <w:pStyle w:val="SntesisAnaltica"/>
      </w:pPr>
      <w:r>
        <w:t>Cuestión de inconstitucionalidad: ATC 290/2007.</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el Tribunal el día 9 de diciembre de 2002, al que se acompaña el correspondiente Auto de 21 de noviembre de 2002,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008B3772" w:rsidRDefault="008B3772" w:rsidP="008B3772">
      <w:pPr>
        <w:pStyle w:val="TextoNormal"/>
      </w:pPr>
    </w:p>
    <w:p w:rsidR="008B3772" w:rsidRDefault="008B3772" w:rsidP="008B3772">
      <w:pPr>
        <w:pStyle w:val="TextoNormal"/>
      </w:pPr>
      <w:r w:rsidRPr="008B3772">
        <w:rPr>
          <w:rStyle w:val="NumeroAFNegritaCaracter"/>
        </w:rPr>
        <w:t>2</w:t>
      </w:r>
      <w:r>
        <w:t>. La presente cuestión de inconstitucionalidad tiene su origen en la demanda por despido (753/2002) interpuesta por don José López Ginés contra la empresa Grupo Ceferal, SL. Conclusas las actuaciones, el Juez de lo Social dicta providencia de 30 de octubre de 2002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el Ministerio Fiscal informó en el sentido de considerar improcedente el planteamiento de la cuestión, mientras que el demandante manifestó adherirse a la cuestión de inconstitucionalidad.</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w:t>
      </w:r>
      <w:r>
        <w:lastRenderedPageBreak/>
        <w:t xml:space="preserve">Decreto-ley 5/2002 y ha de ser declarado improcedente, llevando aparejada tal calificación, conforme a la citada normativa, la consecuencia del devengo de salarios de tramitación sólo si el empresario optara por readmitir al trabajador,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al trabajador los salarios correspondientes a la tramitación. </w:t>
      </w:r>
    </w:p>
    <w:p w:rsidR="008B3772" w:rsidRDefault="008B3772" w:rsidP="008B3772">
      <w:pPr>
        <w:pStyle w:val="TextoNormal"/>
      </w:pPr>
      <w: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008B3772" w:rsidRDefault="008B3772" w:rsidP="008B3772">
      <w:pPr>
        <w:pStyle w:val="TextoNormal"/>
      </w:pPr>
      <w:r>
        <w:t>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w:t>
      </w:r>
      <w:r>
        <w:lastRenderedPageBreak/>
        <w:t xml:space="preserve">rios de tramitación incluidos) o menos condena si opta por indemnizar (salarios de tramitación excluidos), por lo que o bien no hay tutela judicial o, si pudiera entenderse existente, ésta no sería efectiva. </w:t>
      </w:r>
    </w:p>
    <w:p w:rsidR="008B3772" w:rsidRDefault="008B3772" w:rsidP="008B3772">
      <w:pPr>
        <w:pStyle w:val="TextoNormal"/>
      </w:pPr>
      <w: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008B3772" w:rsidRDefault="008B3772" w:rsidP="008B3772">
      <w:pPr>
        <w:pStyle w:val="TextoNormal"/>
      </w:pPr>
      <w:r>
        <w:t>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008B3772" w:rsidRDefault="008B3772" w:rsidP="008B3772">
      <w:pPr>
        <w:pStyle w:val="TextoNormal"/>
      </w:pPr>
    </w:p>
    <w:p w:rsidR="008B3772" w:rsidRDefault="008B3772" w:rsidP="008B3772">
      <w:pPr>
        <w:pStyle w:val="TextoNormal"/>
      </w:pPr>
      <w:r w:rsidRPr="008B3772">
        <w:rPr>
          <w:rStyle w:val="NumeroAFNegritaCaracter"/>
        </w:rPr>
        <w:t>4</w:t>
      </w:r>
      <w:r>
        <w:t>. Mediante providencia de 25 de marzo de 2003 (BOE de 7 de abril) la Sección Tercera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008B3772" w:rsidRDefault="008B3772" w:rsidP="008B3772">
      <w:pPr>
        <w:pStyle w:val="TextoNormal"/>
      </w:pPr>
    </w:p>
    <w:p w:rsidR="008B3772" w:rsidRDefault="008B3772" w:rsidP="008B3772">
      <w:pPr>
        <w:pStyle w:val="TextoNormal"/>
      </w:pPr>
      <w:r w:rsidRPr="008B3772">
        <w:rPr>
          <w:rStyle w:val="NumeroAFNegritaCaracter"/>
        </w:rPr>
        <w:t>5</w:t>
      </w:r>
      <w:r>
        <w:t>. Mediante escrito registrado el día 15 de abril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008B3772" w:rsidRDefault="008B3772" w:rsidP="008B3772">
      <w:pPr>
        <w:pStyle w:val="TextoNormal"/>
      </w:pPr>
    </w:p>
    <w:p w:rsidR="008B3772" w:rsidRDefault="008B3772" w:rsidP="008B3772">
      <w:pPr>
        <w:pStyle w:val="TextoNormal"/>
      </w:pPr>
      <w:r w:rsidRPr="008B3772">
        <w:rPr>
          <w:rStyle w:val="NumeroAFNegritaCaracter"/>
        </w:rPr>
        <w:t>6</w:t>
      </w:r>
      <w:r>
        <w:t>. El Presidente del Senado, mediante escrito registrado el día 24 de abril de 2003, comunicó que la Cámara se personaba en el proceso, ofreciendo su colaboración.</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7</w:t>
      </w:r>
      <w:r>
        <w:t>. El día 25 de abril de 2003 la Presidenta del Congreso de los Diputados comunicó al Tribunal que dicha Cámara no se personaría en el proceso ni formularía alegaciones.</w:t>
      </w:r>
    </w:p>
    <w:p w:rsidR="008B3772" w:rsidRDefault="008B3772" w:rsidP="008B3772">
      <w:pPr>
        <w:pStyle w:val="TextoNormal"/>
      </w:pPr>
    </w:p>
    <w:p w:rsidR="008B3772" w:rsidRDefault="008B3772" w:rsidP="008B3772">
      <w:pPr>
        <w:pStyle w:val="TextoNormal"/>
      </w:pPr>
      <w:r w:rsidRPr="008B3772">
        <w:rPr>
          <w:rStyle w:val="NumeroAFNegritaCaracter"/>
        </w:rPr>
        <w:t>8</w:t>
      </w:r>
      <w:r>
        <w:t>. El Fiscal General del Estado presentó sus alegaciones mediante escrito registrado el día 29 de abril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El Juzgado de lo Social núm. 2 de Badajoz plantea cuestión de inconstitucionalidad en relación con el artículo segundo, apartado tres, del Real Decreto-ley 5/2002, de 24 de mayo, de medidas urgentes para la reforma del sistema de protección por</w:t>
      </w:r>
    </w:p>
    <w:p w:rsidR="008B3772" w:rsidRDefault="008B3772" w:rsidP="008B3772">
      <w:pPr>
        <w:pStyle w:val="TextoNormal"/>
      </w:pPr>
      <w:r>
        <w:t>desempleo y mejora de la ocupabilidad, por posible vulneración de los arts. 14, 24, 35 y 86.1 CE.</w:t>
      </w:r>
    </w:p>
    <w:p w:rsidR="008B3772" w:rsidRDefault="008B3772" w:rsidP="008B3772">
      <w:pPr>
        <w:pStyle w:val="TextoNormal"/>
      </w:pPr>
      <w:r>
        <w:t>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8B3772" w:rsidRDefault="008B3772" w:rsidP="008B3772">
      <w:pPr>
        <w:pStyle w:val="TextoNormal"/>
      </w:pPr>
    </w:p>
    <w:p w:rsidR="008B3772" w:rsidRDefault="008B3772" w:rsidP="008B3772">
      <w:pPr>
        <w:pStyle w:val="TextoNormal"/>
      </w:pPr>
      <w:r>
        <w:t>Por todo lo cual, el Pleno del Tribunal</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Declarar la extinción de la cuestión de inconstitucionalidad núm. 7016-2002, por desaparición sobrevenida de su objeto.</w:t>
      </w:r>
    </w:p>
    <w:p w:rsidR="008B3772" w:rsidRDefault="008B3772" w:rsidP="008B3772">
      <w:pPr>
        <w:pStyle w:val="TextoNormal"/>
      </w:pPr>
    </w:p>
    <w:p w:rsidR="008B3772" w:rsidRDefault="008B3772" w:rsidP="008B3772">
      <w:pPr>
        <w:pStyle w:val="TextoNormal"/>
      </w:pPr>
      <w:r>
        <w:t>Madrid, a diecinueve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60" w:name="AUTO_2007_296"/>
      <w:r>
        <w:lastRenderedPageBreak/>
        <w:t>AUTO 296/2007, de 19 de junio de 2007</w:t>
      </w:r>
    </w:p>
    <w:bookmarkEnd w:id="160"/>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ECLI:ES:TC:2007:296A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Acuerda la extinción de la cuestión de inconstitucionalidad 7168-2002, planteada por el Juzgado de lo Social núm. 2 de Badajoz en relación con el Real Decreto-ley 5/2002, de 24 de mayo.</w:t>
      </w:r>
    </w:p>
    <w:p w:rsidR="008B3772" w:rsidRDefault="008B3772" w:rsidP="008B3772">
      <w:pPr>
        <w:pStyle w:val="SntesisDescriptiva"/>
      </w:pPr>
    </w:p>
    <w:p w:rsidR="008B3772" w:rsidRDefault="008B3772" w:rsidP="008B3772">
      <w:pPr>
        <w:pStyle w:val="SntesisAnaltica"/>
      </w:pPr>
      <w:r>
        <w:t>Cuestión de inconstitucionalidad: ATC 290/2007.</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el Tribunal el día 17 de diciembre de 2002, al que se acompaña el correspondiente Auto de 29 de noviembre de 2002,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008B3772" w:rsidRDefault="008B3772" w:rsidP="008B3772">
      <w:pPr>
        <w:pStyle w:val="TextoNormal"/>
      </w:pPr>
    </w:p>
    <w:p w:rsidR="008B3772" w:rsidRDefault="008B3772" w:rsidP="008B3772">
      <w:pPr>
        <w:pStyle w:val="TextoNormal"/>
      </w:pPr>
      <w:r w:rsidRPr="008B3772">
        <w:rPr>
          <w:rStyle w:val="NumeroAFNegritaCaracter"/>
        </w:rPr>
        <w:t>2</w:t>
      </w:r>
      <w:r>
        <w:t>. La presente cuestión de inconstitucionalidad tiene su origen en la demanda por despido (849/2002) interpuesta por doña Paloma García de Paredes Paredes contra la empresa Complutel Comunicaciones, SL. Conclusas las actuaciones, el Juez de lo Social dicta providencia de 13 de noviembre de 2002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el Ministerio Fiscal informó en el sentido de considerar improcedente el planteamiento de la cuestión, mientras que la demandante manifestó adherirse a la cuestión de inconstitucionalidad y la empresa demandada puso de manifiesto las connotaciones procesales de la propuesta.</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el Auto de planteamiento de la cuestión el órgano judicial lleva a cabo el juicio de relevancia de la norma destacando que de su validez depende el contenido de la Sentencia a dictar, toda vez que, conclusos los autos, se encuentra en condiciones de afirmar que el </w:t>
      </w:r>
      <w:r>
        <w:lastRenderedPageBreak/>
        <w:t xml:space="preserve">despido sometido a juicio se encuentra sujeto a la nueva normativa contenida en el Real Decreto-ley 5/2002 y ha de ser declarado improcedente, llevando aparejada tal calificación, conforme a la citada normativa, la consecuencia del devengo de salarios de tramitación sólo si el empresario optara por readmitir a la trabajadora,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 la trabajadora los salarios correspondientes a la tramitación. </w:t>
      </w:r>
    </w:p>
    <w:p w:rsidR="008B3772" w:rsidRDefault="008B3772" w:rsidP="008B3772">
      <w:pPr>
        <w:pStyle w:val="TextoNormal"/>
      </w:pPr>
      <w: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008B3772" w:rsidRDefault="008B3772" w:rsidP="008B3772">
      <w:pPr>
        <w:pStyle w:val="TextoNormal"/>
      </w:pPr>
      <w:r>
        <w:t>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w:t>
      </w:r>
      <w:r>
        <w:lastRenderedPageBreak/>
        <w:t xml:space="preserve">rios de tramitación incluidos) o menos condena si opta por indemnizar (salarios de tramitación excluidos), por lo que o bien no hay tutela judicial o, si pudiera entenderse existente, ésta no sería efectiva. </w:t>
      </w:r>
    </w:p>
    <w:p w:rsidR="008B3772" w:rsidRDefault="008B3772" w:rsidP="008B3772">
      <w:pPr>
        <w:pStyle w:val="TextoNormal"/>
      </w:pPr>
      <w: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008B3772" w:rsidRDefault="008B3772" w:rsidP="008B3772">
      <w:pPr>
        <w:pStyle w:val="TextoNormal"/>
      </w:pPr>
      <w:r>
        <w:t>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008B3772" w:rsidRDefault="008B3772" w:rsidP="008B3772">
      <w:pPr>
        <w:pStyle w:val="TextoNormal"/>
      </w:pPr>
    </w:p>
    <w:p w:rsidR="008B3772" w:rsidRDefault="008B3772" w:rsidP="008B3772">
      <w:pPr>
        <w:pStyle w:val="TextoNormal"/>
      </w:pPr>
      <w:r w:rsidRPr="008B3772">
        <w:rPr>
          <w:rStyle w:val="NumeroAFNegritaCaracter"/>
        </w:rPr>
        <w:t>4</w:t>
      </w:r>
      <w:r>
        <w:t>. Mediante providencia de 25 de marzo de 2003 (BOE de 7 de abril) la Sección Primera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008B3772" w:rsidRDefault="008B3772" w:rsidP="008B3772">
      <w:pPr>
        <w:pStyle w:val="TextoNormal"/>
      </w:pPr>
    </w:p>
    <w:p w:rsidR="008B3772" w:rsidRDefault="008B3772" w:rsidP="008B3772">
      <w:pPr>
        <w:pStyle w:val="TextoNormal"/>
      </w:pPr>
      <w:r w:rsidRPr="008B3772">
        <w:rPr>
          <w:rStyle w:val="NumeroAFNegritaCaracter"/>
        </w:rPr>
        <w:t>5</w:t>
      </w:r>
      <w:r>
        <w:t>. Mediante escrito registrado el día 15 de abril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008B3772" w:rsidRDefault="008B3772" w:rsidP="008B3772">
      <w:pPr>
        <w:pStyle w:val="TextoNormal"/>
      </w:pPr>
    </w:p>
    <w:p w:rsidR="008B3772" w:rsidRDefault="008B3772" w:rsidP="008B3772">
      <w:pPr>
        <w:pStyle w:val="TextoNormal"/>
      </w:pPr>
      <w:r w:rsidRPr="008B3772">
        <w:rPr>
          <w:rStyle w:val="NumeroAFNegritaCaracter"/>
        </w:rPr>
        <w:t>6</w:t>
      </w:r>
      <w:r>
        <w:t>. El Presidente del Senado, mediante escrito registrado el día 24 de abril de 2003, comunicó que la Cámara se personaba en el proceso, ofreciendo su colaboración.</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7</w:t>
      </w:r>
      <w:r>
        <w:t>. El día 25 de abril de 2003 la Presidenta del Congreso de los Diputados comunicó al Tribunal que dicha Cámara no se personaría en el proceso ni formularía alegaciones.</w:t>
      </w:r>
    </w:p>
    <w:p w:rsidR="008B3772" w:rsidRDefault="008B3772" w:rsidP="008B3772">
      <w:pPr>
        <w:pStyle w:val="TextoNormal"/>
      </w:pPr>
    </w:p>
    <w:p w:rsidR="008B3772" w:rsidRDefault="008B3772" w:rsidP="008B3772">
      <w:pPr>
        <w:pStyle w:val="TextoNormal"/>
      </w:pPr>
      <w:r w:rsidRPr="008B3772">
        <w:rPr>
          <w:rStyle w:val="NumeroAFNegritaCaracter"/>
        </w:rPr>
        <w:t>8</w:t>
      </w:r>
      <w:r>
        <w:t>. El Fiscal General del Estado presentó sus alegaciones mediante escrito registrado el día 29 de abril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El Juzgado de lo Social núm. 2 de Badajoz plantea cuestión de inconstitucionalidad en relación con el artículo segundo, apartado tres, del Real Decreto-ley 5/2002, de 24 de mayo, de medidas urgentes para la reforma del sistema de protección por</w:t>
      </w:r>
    </w:p>
    <w:p w:rsidR="008B3772" w:rsidRDefault="008B3772" w:rsidP="008B3772">
      <w:pPr>
        <w:pStyle w:val="TextoNormal"/>
      </w:pPr>
      <w:r>
        <w:t>desempleo y mejora de la ocupabilidad, por posible vulneración de los arts. 14, 24, 35 y 86.1 CE.</w:t>
      </w:r>
    </w:p>
    <w:p w:rsidR="008B3772" w:rsidRDefault="008B3772" w:rsidP="008B3772">
      <w:pPr>
        <w:pStyle w:val="TextoNormal"/>
      </w:pPr>
      <w:r>
        <w:t>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8B3772" w:rsidRDefault="008B3772" w:rsidP="008B3772">
      <w:pPr>
        <w:pStyle w:val="TextoNormal"/>
      </w:pPr>
    </w:p>
    <w:p w:rsidR="008B3772" w:rsidRDefault="008B3772" w:rsidP="008B3772">
      <w:pPr>
        <w:pStyle w:val="TextoNormal"/>
      </w:pPr>
      <w:r>
        <w:t>Por todo lo cual, el Pleno del Tribunal</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Declarar la extinción de la cuestión de inconstitucionalidad núm. 7168-2002, por desaparición sobrevenida de su objeto.</w:t>
      </w:r>
    </w:p>
    <w:p w:rsidR="008B3772" w:rsidRDefault="008B3772" w:rsidP="008B3772">
      <w:pPr>
        <w:pStyle w:val="TextoNormal"/>
      </w:pPr>
    </w:p>
    <w:p w:rsidR="008B3772" w:rsidRDefault="008B3772" w:rsidP="008B3772">
      <w:pPr>
        <w:pStyle w:val="TextoNormal"/>
      </w:pPr>
      <w:r>
        <w:t>Madrid, a diecinueve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61" w:name="AUTO_2007_297"/>
      <w:r>
        <w:lastRenderedPageBreak/>
        <w:t>AUTO 297/2007, de 19 de junio de 2007</w:t>
      </w:r>
    </w:p>
    <w:bookmarkEnd w:id="161"/>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ECLI:ES:TC:2007:297A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Acuerda la extinción de la cuestión de inconstitucionalidad 7363-2002, planteada por el Juzgado de lo Social núm. 2 de Badajoz en relación con el Real Decreto-ley 5/2002, de 24 de mayo.</w:t>
      </w:r>
    </w:p>
    <w:p w:rsidR="008B3772" w:rsidRDefault="008B3772" w:rsidP="008B3772">
      <w:pPr>
        <w:pStyle w:val="SntesisDescriptiva"/>
      </w:pPr>
    </w:p>
    <w:p w:rsidR="008B3772" w:rsidRDefault="008B3772" w:rsidP="008B3772">
      <w:pPr>
        <w:pStyle w:val="SntesisAnaltica"/>
      </w:pPr>
      <w:r>
        <w:t>Cuestión de inconstitucionalidad: ATC 290/2007.</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el Tribunal el día 26 de diciembre de 2002, al que se acompaña el correspondiente Auto de 13 de diciembre de 2002,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008B3772" w:rsidRDefault="008B3772" w:rsidP="008B3772">
      <w:pPr>
        <w:pStyle w:val="TextoNormal"/>
      </w:pPr>
    </w:p>
    <w:p w:rsidR="008B3772" w:rsidRDefault="008B3772" w:rsidP="008B3772">
      <w:pPr>
        <w:pStyle w:val="TextoNormal"/>
      </w:pPr>
      <w:r w:rsidRPr="008B3772">
        <w:rPr>
          <w:rStyle w:val="NumeroAFNegritaCaracter"/>
        </w:rPr>
        <w:t>2</w:t>
      </w:r>
      <w:r>
        <w:t>. La presente cuestión de inconstitucionalidad tiene su origen en la demanda por despido (933/2002) interpuesta por doña Antonia Fernández Tamudo contra la empresa Gestora Turismo y Servicios, SA. Conclusas las actuaciones, el Juez de lo Social dicta providencia de 26 de noviembre de 2002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tanto el Ministerio Fiscal como la demandante informaron en el sentido de considerar improcedente el planteamiento de la cuestión.</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w:t>
      </w:r>
      <w:r>
        <w:lastRenderedPageBreak/>
        <w:t xml:space="preserve">Decreto-ley 5/2002 y ha de ser declarado improcedente, llevando aparejada tal calificación, conforme a la citada normativa, la consecuencia del devengo de salarios de tramitación sólo si el empresario optara por readmitir a la trabajadora,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 la trabajadora los salarios correspondientes a la tramitación. </w:t>
      </w:r>
    </w:p>
    <w:p w:rsidR="008B3772" w:rsidRDefault="008B3772" w:rsidP="008B3772">
      <w:pPr>
        <w:pStyle w:val="TextoNormal"/>
      </w:pPr>
      <w: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008B3772" w:rsidRDefault="008B3772" w:rsidP="008B3772">
      <w:pPr>
        <w:pStyle w:val="TextoNormal"/>
      </w:pPr>
      <w:r>
        <w:t>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w:t>
      </w:r>
      <w:r>
        <w:lastRenderedPageBreak/>
        <w:t xml:space="preserve">rios de tramitación incluidos) o menos condena si opta por indemnizar (salarios de tramitación excluidos), por lo que o bien no hay tutela judicial o, si pudiera entenderse existente, ésta no sería efectiva. </w:t>
      </w:r>
    </w:p>
    <w:p w:rsidR="008B3772" w:rsidRDefault="008B3772" w:rsidP="008B3772">
      <w:pPr>
        <w:pStyle w:val="TextoNormal"/>
      </w:pPr>
      <w: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008B3772" w:rsidRDefault="008B3772" w:rsidP="008B3772">
      <w:pPr>
        <w:pStyle w:val="TextoNormal"/>
      </w:pPr>
      <w:r>
        <w:t>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008B3772" w:rsidRDefault="008B3772" w:rsidP="008B3772">
      <w:pPr>
        <w:pStyle w:val="TextoNormal"/>
      </w:pPr>
    </w:p>
    <w:p w:rsidR="008B3772" w:rsidRDefault="008B3772" w:rsidP="008B3772">
      <w:pPr>
        <w:pStyle w:val="TextoNormal"/>
      </w:pPr>
      <w:r w:rsidRPr="008B3772">
        <w:rPr>
          <w:rStyle w:val="NumeroAFNegritaCaracter"/>
        </w:rPr>
        <w:t>4</w:t>
      </w:r>
      <w:r>
        <w:t>. Mediante providencia de 25 de marzo de 2003 (BOE de 7 de abril) la Sección Tercera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008B3772" w:rsidRDefault="008B3772" w:rsidP="008B3772">
      <w:pPr>
        <w:pStyle w:val="TextoNormal"/>
      </w:pPr>
    </w:p>
    <w:p w:rsidR="008B3772" w:rsidRDefault="008B3772" w:rsidP="008B3772">
      <w:pPr>
        <w:pStyle w:val="TextoNormal"/>
      </w:pPr>
      <w:r w:rsidRPr="008B3772">
        <w:rPr>
          <w:rStyle w:val="NumeroAFNegritaCaracter"/>
        </w:rPr>
        <w:t>5</w:t>
      </w:r>
      <w:r>
        <w:t>. Mediante escrito registrado el día 15 de abril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008B3772" w:rsidRDefault="008B3772" w:rsidP="008B3772">
      <w:pPr>
        <w:pStyle w:val="TextoNormal"/>
      </w:pPr>
    </w:p>
    <w:p w:rsidR="008B3772" w:rsidRDefault="008B3772" w:rsidP="008B3772">
      <w:pPr>
        <w:pStyle w:val="TextoNormal"/>
      </w:pPr>
      <w:r w:rsidRPr="008B3772">
        <w:rPr>
          <w:rStyle w:val="NumeroAFNegritaCaracter"/>
        </w:rPr>
        <w:t>6</w:t>
      </w:r>
      <w:r>
        <w:t>. El Presidente del Senado, mediante escrito registrado el día 24 de abril de 2003, comunicó que la Cámara se personaba en el proceso, ofreciendo su colaboración.</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7</w:t>
      </w:r>
      <w:r>
        <w:t>. El día 25 de abril de 2003 la Presidenta del Congreso de los Diputados comunicó al Tribunal que dicha Cámara no se personaría en el proceso ni formularía alegaciones.</w:t>
      </w:r>
    </w:p>
    <w:p w:rsidR="008B3772" w:rsidRDefault="008B3772" w:rsidP="008B3772">
      <w:pPr>
        <w:pStyle w:val="TextoNormal"/>
      </w:pPr>
    </w:p>
    <w:p w:rsidR="008B3772" w:rsidRDefault="008B3772" w:rsidP="008B3772">
      <w:pPr>
        <w:pStyle w:val="TextoNormal"/>
      </w:pPr>
      <w:r w:rsidRPr="008B3772">
        <w:rPr>
          <w:rStyle w:val="NumeroAFNegritaCaracter"/>
        </w:rPr>
        <w:t>8</w:t>
      </w:r>
      <w:r>
        <w:t>. El Fiscal General del Estado presentó sus alegaciones mediante escrito registrado el día 29 de abril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El Juzgado de lo Social núm. 2 de Badajoz plantea cuestión de inconstitucionalidad en relación con el artículo segundo, apartado tres, del Real Decreto-ley 5/2002, de 24 de mayo, de medidas urgentes para la reforma del sistema de protección por</w:t>
      </w:r>
    </w:p>
    <w:p w:rsidR="008B3772" w:rsidRDefault="008B3772" w:rsidP="008B3772">
      <w:pPr>
        <w:pStyle w:val="TextoNormal"/>
      </w:pPr>
      <w:r>
        <w:t>desempleo y mejora de la ocupabilidad, por posible vulneración de los arts. 14, 24, 35 y 86.1 CE.</w:t>
      </w:r>
    </w:p>
    <w:p w:rsidR="008B3772" w:rsidRDefault="008B3772" w:rsidP="008B3772">
      <w:pPr>
        <w:pStyle w:val="TextoNormal"/>
      </w:pPr>
      <w:r>
        <w:t>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8B3772" w:rsidRDefault="008B3772" w:rsidP="008B3772">
      <w:pPr>
        <w:pStyle w:val="TextoNormal"/>
      </w:pPr>
    </w:p>
    <w:p w:rsidR="008B3772" w:rsidRDefault="008B3772" w:rsidP="008B3772">
      <w:pPr>
        <w:pStyle w:val="TextoNormal"/>
      </w:pPr>
      <w:r>
        <w:t>Por todo lo cual, el Pleno del Tribunal</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Declarar la extinción de la cuestión de inconstitucionalidad núm. 7363-2002, por desaparición sobrevenida de su objeto.</w:t>
      </w:r>
    </w:p>
    <w:p w:rsidR="008B3772" w:rsidRDefault="008B3772" w:rsidP="008B3772">
      <w:pPr>
        <w:pStyle w:val="TextoNormal"/>
      </w:pPr>
    </w:p>
    <w:p w:rsidR="008B3772" w:rsidRDefault="008B3772" w:rsidP="008B3772">
      <w:pPr>
        <w:pStyle w:val="TextoNormal"/>
      </w:pPr>
      <w:r>
        <w:t>Madrid, a diecinueve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62" w:name="AUTO_2007_298"/>
      <w:r>
        <w:lastRenderedPageBreak/>
        <w:t>AUTO 298/2007, de 19 de junio de 2007</w:t>
      </w:r>
    </w:p>
    <w:bookmarkEnd w:id="162"/>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ECLI:ES:TC:2007:298A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Acuerda la extinción de la cuestión de inconstitucionalidad 295-2003, planteada por el Juzgado de lo Social núm. 2 de Badajoz en relación con el Real Decreto-ley 5/2002, de 24 de mayo.</w:t>
      </w:r>
    </w:p>
    <w:p w:rsidR="008B3772" w:rsidRDefault="008B3772" w:rsidP="008B3772">
      <w:pPr>
        <w:pStyle w:val="SntesisDescriptiva"/>
      </w:pPr>
    </w:p>
    <w:p w:rsidR="008B3772" w:rsidRDefault="008B3772" w:rsidP="008B3772">
      <w:pPr>
        <w:pStyle w:val="SntesisAnaltica"/>
      </w:pPr>
      <w:r>
        <w:t>Cuestión de inconstitucionalidad: ATC 290/2007.</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el Tribunal el día 16 de enero de 2003, al que se acompaña el correspondiente Auto de 2 de enero de 2003,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008B3772" w:rsidRDefault="008B3772" w:rsidP="008B3772">
      <w:pPr>
        <w:pStyle w:val="TextoNormal"/>
      </w:pPr>
    </w:p>
    <w:p w:rsidR="008B3772" w:rsidRDefault="008B3772" w:rsidP="008B3772">
      <w:pPr>
        <w:pStyle w:val="TextoNormal"/>
      </w:pPr>
      <w:r w:rsidRPr="008B3772">
        <w:rPr>
          <w:rStyle w:val="NumeroAFNegritaCaracter"/>
        </w:rPr>
        <w:t>2</w:t>
      </w:r>
      <w:r>
        <w:t>. La presente cuestión de inconstitucionalidad tiene su origen en la demanda por despido (930/2002) interpuesta por don Modesto González Corbacho contra la empresa Enrique Piriz Rodríguez. Conclusas las actuaciones, el Juez de lo Social dicta providencia de 13 de diciembre de 2002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el Ministerio Fiscal informó en el sentido de considerar procedente el planteamiento de la cuestión.</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Decreto-ley 5/2002 y ha de ser declarado improcedente, llevando aparejada tal calificación, </w:t>
      </w:r>
      <w:r>
        <w:lastRenderedPageBreak/>
        <w:t xml:space="preserve">conforme a la citada normativa, la consecuencia del devengo de salarios de tramitación sólo si el empresario optara por readmitir al trabajador,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al trabajador los salarios correspondientes a la tramitación. </w:t>
      </w:r>
    </w:p>
    <w:p w:rsidR="008B3772" w:rsidRDefault="008B3772" w:rsidP="008B3772">
      <w:pPr>
        <w:pStyle w:val="TextoNormal"/>
      </w:pPr>
      <w: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008B3772" w:rsidRDefault="008B3772" w:rsidP="008B3772">
      <w:pPr>
        <w:pStyle w:val="TextoNormal"/>
      </w:pPr>
      <w:r>
        <w:t xml:space="preserve">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(salarios de tramitación incluidos) o menos condena si opta por indemnizar (salarios de tramitación excluidos), por lo que o bien no hay tutela judicial o, si pudiera entenderse existente, ésta no sería efectiva. </w:t>
      </w:r>
    </w:p>
    <w:p w:rsidR="008B3772" w:rsidRDefault="008B3772" w:rsidP="008B3772">
      <w:pPr>
        <w:pStyle w:val="TextoNormal"/>
      </w:pPr>
      <w:r>
        <w:lastRenderedPageBreak/>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008B3772" w:rsidRDefault="008B3772" w:rsidP="008B3772">
      <w:pPr>
        <w:pStyle w:val="TextoNormal"/>
      </w:pPr>
      <w:r>
        <w:t>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008B3772" w:rsidRDefault="008B3772" w:rsidP="008B3772">
      <w:pPr>
        <w:pStyle w:val="TextoNormal"/>
      </w:pPr>
    </w:p>
    <w:p w:rsidR="008B3772" w:rsidRDefault="008B3772" w:rsidP="008B3772">
      <w:pPr>
        <w:pStyle w:val="TextoNormal"/>
      </w:pPr>
      <w:r w:rsidRPr="008B3772">
        <w:rPr>
          <w:rStyle w:val="NumeroAFNegritaCaracter"/>
        </w:rPr>
        <w:t>4</w:t>
      </w:r>
      <w:r>
        <w:t>. Mediante providencia de 25 de marzo de 2003 (BOE de 7 de abril) la Sección Segunda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008B3772" w:rsidRDefault="008B3772" w:rsidP="008B3772">
      <w:pPr>
        <w:pStyle w:val="TextoNormal"/>
      </w:pPr>
    </w:p>
    <w:p w:rsidR="008B3772" w:rsidRDefault="008B3772" w:rsidP="008B3772">
      <w:pPr>
        <w:pStyle w:val="TextoNormal"/>
      </w:pPr>
      <w:r w:rsidRPr="008B3772">
        <w:rPr>
          <w:rStyle w:val="NumeroAFNegritaCaracter"/>
        </w:rPr>
        <w:t>5</w:t>
      </w:r>
      <w:r>
        <w:t>. Mediante escrito registrado el día 15 de abril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008B3772" w:rsidRDefault="008B3772" w:rsidP="008B3772">
      <w:pPr>
        <w:pStyle w:val="TextoNormal"/>
      </w:pPr>
    </w:p>
    <w:p w:rsidR="008B3772" w:rsidRDefault="008B3772" w:rsidP="008B3772">
      <w:pPr>
        <w:pStyle w:val="TextoNormal"/>
      </w:pPr>
      <w:r w:rsidRPr="008B3772">
        <w:rPr>
          <w:rStyle w:val="NumeroAFNegritaCaracter"/>
        </w:rPr>
        <w:t>6</w:t>
      </w:r>
      <w:r>
        <w:t>. El Presidente del Senado, mediante escrito registrado el día 24 de abril de 2003, comunicó que la Cámara se personaba en el proceso, ofreciendo su colaboración.</w:t>
      </w:r>
    </w:p>
    <w:p w:rsidR="008B3772" w:rsidRDefault="008B3772" w:rsidP="008B3772">
      <w:pPr>
        <w:pStyle w:val="TextoNormal"/>
      </w:pPr>
    </w:p>
    <w:p w:rsidR="008B3772" w:rsidRDefault="008B3772" w:rsidP="008B3772">
      <w:pPr>
        <w:pStyle w:val="TextoNormal"/>
      </w:pPr>
      <w:r w:rsidRPr="008B3772">
        <w:rPr>
          <w:rStyle w:val="NumeroAFNegritaCaracter"/>
        </w:rPr>
        <w:t>7</w:t>
      </w:r>
      <w:r>
        <w:t>. El día 25 de abril de 2003 la Presidenta del Congreso de los Diputados comunicó al Tribunal que dicha Cámara no se personaría en el proceso ni formularía alegaciones.</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8</w:t>
      </w:r>
      <w:r>
        <w:t>. El Fiscal General del Estado presentó sus alegaciones mediante escrito registrado el día 29 de abril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El Juzgado de lo Social núm. 2 de Badajoz plantea cuestión de inconstitucionalidad en relación con el artículo segundo, apartado tres, del Real Decreto-ley 5/2002, de 24 de mayo, de medidas urgentes para la reforma del sistema de protección por</w:t>
      </w:r>
    </w:p>
    <w:p w:rsidR="008B3772" w:rsidRDefault="008B3772" w:rsidP="008B3772">
      <w:pPr>
        <w:pStyle w:val="TextoNormal"/>
      </w:pPr>
      <w:r>
        <w:t>desempleo y mejora de la ocupabilidad, por posible vulneración de los arts. 14, 24, 35 y 86.1 CE.</w:t>
      </w:r>
    </w:p>
    <w:p w:rsidR="008B3772" w:rsidRDefault="008B3772" w:rsidP="008B3772">
      <w:pPr>
        <w:pStyle w:val="TextoNormal"/>
      </w:pPr>
      <w:r>
        <w:t>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8B3772" w:rsidRDefault="008B3772" w:rsidP="008B3772">
      <w:pPr>
        <w:pStyle w:val="TextoNormal"/>
      </w:pPr>
    </w:p>
    <w:p w:rsidR="008B3772" w:rsidRDefault="008B3772" w:rsidP="008B3772">
      <w:pPr>
        <w:pStyle w:val="TextoNormal"/>
      </w:pPr>
      <w:r>
        <w:t>Por todo lo cual, el Pleno del Tribunal</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Declarar la extinción de la cuestión de inconstitucionalidad núm. 295-2003, por desaparición sobrevenida de su objeto.</w:t>
      </w:r>
    </w:p>
    <w:p w:rsidR="008B3772" w:rsidRDefault="008B3772" w:rsidP="008B3772">
      <w:pPr>
        <w:pStyle w:val="TextoNormal"/>
      </w:pPr>
    </w:p>
    <w:p w:rsidR="008B3772" w:rsidRDefault="008B3772" w:rsidP="008B3772">
      <w:pPr>
        <w:pStyle w:val="TextoNormal"/>
      </w:pPr>
      <w:r>
        <w:t>Madrid, a diecinueve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63" w:name="AUTO_2007_299"/>
      <w:r>
        <w:lastRenderedPageBreak/>
        <w:t>AUTO 299/2007, de 19 de junio de 2007</w:t>
      </w:r>
    </w:p>
    <w:bookmarkEnd w:id="163"/>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ECLI:ES:TC:2007:299A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Acuerda la extinción de la cuestión de inconstitucionalidad 568-2003, planteada por el Juzgado de lo Social núm. 2 de Badajoz en relación con el Real Decreto-ley 5/2002, de 24 de mayo.</w:t>
      </w:r>
    </w:p>
    <w:p w:rsidR="008B3772" w:rsidRDefault="008B3772" w:rsidP="008B3772">
      <w:pPr>
        <w:pStyle w:val="SntesisDescriptiva"/>
      </w:pPr>
    </w:p>
    <w:p w:rsidR="008B3772" w:rsidRDefault="008B3772" w:rsidP="008B3772">
      <w:pPr>
        <w:pStyle w:val="SntesisAnaltica"/>
      </w:pPr>
      <w:r>
        <w:t>Cuestión de inconstitucionalidad: ATC 290/2007.</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el Tribunal el día 4 de febrero de 2003, al que se acompaña el correspondiente Auto de 17 de enero de 2003,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008B3772" w:rsidRDefault="008B3772" w:rsidP="008B3772">
      <w:pPr>
        <w:pStyle w:val="TextoNormal"/>
      </w:pPr>
    </w:p>
    <w:p w:rsidR="008B3772" w:rsidRDefault="008B3772" w:rsidP="008B3772">
      <w:pPr>
        <w:pStyle w:val="TextoNormal"/>
      </w:pPr>
      <w:r w:rsidRPr="008B3772">
        <w:rPr>
          <w:rStyle w:val="NumeroAFNegritaCaracter"/>
        </w:rPr>
        <w:t>2</w:t>
      </w:r>
      <w:r>
        <w:t>. La presente cuestión de inconstitucionalidad tiene su origen en la demanda por despido (931/2002) interpuesta por doña María del Carmen Galván Reyes contra la empresa Catering El Buen Comer, SL. y don Pedro Rodríguez Gallego. Conclusas las actuaciones, el Juez de lo Social dicta providencia de 16 de diciembre de 2002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el Ministerio Fiscal informó en el sentido de considerar procedente el planteamiento de la cuestión.</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Decreto-ley 5/2002 y ha de ser declarado improcedente, llevando aparejada tal calificación, </w:t>
      </w:r>
      <w:r>
        <w:lastRenderedPageBreak/>
        <w:t xml:space="preserve">conforme a la citada normativa, la consecuencia del devengo de salarios de tramitación sólo si el empresario optara por readmitir a la trabajadora,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 la trabajadora los salarios correspondientes a la tramitación. </w:t>
      </w:r>
    </w:p>
    <w:p w:rsidR="008B3772" w:rsidRDefault="008B3772" w:rsidP="008B3772">
      <w:pPr>
        <w:pStyle w:val="TextoNormal"/>
      </w:pPr>
      <w: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008B3772" w:rsidRDefault="008B3772" w:rsidP="008B3772">
      <w:pPr>
        <w:pStyle w:val="TextoNormal"/>
      </w:pPr>
      <w:r>
        <w:t xml:space="preserve">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(salarios de tramitación incluidos) o menos condena si opta por indemnizar (salarios de tramitación excluidos), por lo que o bien no hay tutela judicial o, si pudiera entenderse existente, ésta no sería efectiva. </w:t>
      </w:r>
    </w:p>
    <w:p w:rsidR="008B3772" w:rsidRDefault="008B3772" w:rsidP="008B3772">
      <w:pPr>
        <w:pStyle w:val="TextoNormal"/>
      </w:pPr>
      <w:r>
        <w:lastRenderedPageBreak/>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008B3772" w:rsidRDefault="008B3772" w:rsidP="008B3772">
      <w:pPr>
        <w:pStyle w:val="TextoNormal"/>
      </w:pPr>
      <w:r>
        <w:t>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008B3772" w:rsidRDefault="008B3772" w:rsidP="008B3772">
      <w:pPr>
        <w:pStyle w:val="TextoNormal"/>
      </w:pPr>
    </w:p>
    <w:p w:rsidR="008B3772" w:rsidRDefault="008B3772" w:rsidP="008B3772">
      <w:pPr>
        <w:pStyle w:val="TextoNormal"/>
      </w:pPr>
      <w:r w:rsidRPr="008B3772">
        <w:rPr>
          <w:rStyle w:val="NumeroAFNegritaCaracter"/>
        </w:rPr>
        <w:t>4</w:t>
      </w:r>
      <w:r>
        <w:t>. Mediante providencia de 25 de marzo de 2003 (BOE de 7 de abril) la Sección Primera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008B3772" w:rsidRDefault="008B3772" w:rsidP="008B3772">
      <w:pPr>
        <w:pStyle w:val="TextoNormal"/>
      </w:pPr>
    </w:p>
    <w:p w:rsidR="008B3772" w:rsidRDefault="008B3772" w:rsidP="008B3772">
      <w:pPr>
        <w:pStyle w:val="TextoNormal"/>
      </w:pPr>
      <w:r w:rsidRPr="008B3772">
        <w:rPr>
          <w:rStyle w:val="NumeroAFNegritaCaracter"/>
        </w:rPr>
        <w:t>5</w:t>
      </w:r>
      <w:r>
        <w:t>. Mediante escrito registrado el día 15 de abril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008B3772" w:rsidRDefault="008B3772" w:rsidP="008B3772">
      <w:pPr>
        <w:pStyle w:val="TextoNormal"/>
      </w:pPr>
    </w:p>
    <w:p w:rsidR="008B3772" w:rsidRDefault="008B3772" w:rsidP="008B3772">
      <w:pPr>
        <w:pStyle w:val="TextoNormal"/>
      </w:pPr>
      <w:r w:rsidRPr="008B3772">
        <w:rPr>
          <w:rStyle w:val="NumeroAFNegritaCaracter"/>
        </w:rPr>
        <w:t>6</w:t>
      </w:r>
      <w:r>
        <w:t>. El Presidente del Senado, mediante escrito registrado el día 24 de abril de 2003, comunicó que la Cámara se personaba en el proceso, ofreciendo su colaboración.</w:t>
      </w:r>
    </w:p>
    <w:p w:rsidR="008B3772" w:rsidRDefault="008B3772" w:rsidP="008B3772">
      <w:pPr>
        <w:pStyle w:val="TextoNormal"/>
      </w:pPr>
    </w:p>
    <w:p w:rsidR="008B3772" w:rsidRDefault="008B3772" w:rsidP="008B3772">
      <w:pPr>
        <w:pStyle w:val="TextoNormal"/>
      </w:pPr>
      <w:r w:rsidRPr="008B3772">
        <w:rPr>
          <w:rStyle w:val="NumeroAFNegritaCaracter"/>
        </w:rPr>
        <w:t>7</w:t>
      </w:r>
      <w:r>
        <w:t>. El día 25 de abril de 2003 la Presidenta del Congreso de los Diputados comunicó al Tribunal que dicha Cámara no se personaría en el proceso ni formularía alegaciones.</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8</w:t>
      </w:r>
      <w:r>
        <w:t>. El Fiscal General del Estado presentó sus alegaciones mediante escrito registrado el día 29 de abril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El Juzgado de lo Social núm. 2 de Badajoz plantea cuestión de inconstitucionalidad en relación con el artículo segundo, apartado tres, del Real Decreto-ley 5/2002, de 24 de mayo, de medidas urgentes para la reforma del sistema de protección por</w:t>
      </w:r>
    </w:p>
    <w:p w:rsidR="008B3772" w:rsidRDefault="008B3772" w:rsidP="008B3772">
      <w:pPr>
        <w:pStyle w:val="TextoNormal"/>
      </w:pPr>
      <w:r>
        <w:t>desempleo y mejora de la ocupabilidad, por posible vulneración de los arts. 14, 24, 35 y 86.1 CE.</w:t>
      </w:r>
    </w:p>
    <w:p w:rsidR="008B3772" w:rsidRDefault="008B3772" w:rsidP="008B3772">
      <w:pPr>
        <w:pStyle w:val="TextoNormal"/>
      </w:pPr>
      <w:r>
        <w:t>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8B3772" w:rsidRDefault="008B3772" w:rsidP="008B3772">
      <w:pPr>
        <w:pStyle w:val="TextoNormal"/>
      </w:pPr>
    </w:p>
    <w:p w:rsidR="008B3772" w:rsidRDefault="008B3772" w:rsidP="008B3772">
      <w:pPr>
        <w:pStyle w:val="TextoNormal"/>
      </w:pPr>
      <w:r>
        <w:t>Por todo lo cual, el Pleno del Tribunal</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Declarar la extinción de la cuestión de inconstitucionalidad núm. 568-2003, por desaparición sobrevenida de su objeto.</w:t>
      </w:r>
    </w:p>
    <w:p w:rsidR="008B3772" w:rsidRDefault="008B3772" w:rsidP="008B3772">
      <w:pPr>
        <w:pStyle w:val="TextoNormal"/>
      </w:pPr>
    </w:p>
    <w:p w:rsidR="008B3772" w:rsidRDefault="008B3772" w:rsidP="008B3772">
      <w:pPr>
        <w:pStyle w:val="TextoNormal"/>
      </w:pPr>
      <w:r>
        <w:t>Madrid, a diecinueve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64" w:name="AUTO_2007_300"/>
      <w:r>
        <w:lastRenderedPageBreak/>
        <w:t>AUTO 300/2007, de 19 de junio de 2007</w:t>
      </w:r>
    </w:p>
    <w:bookmarkEnd w:id="164"/>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ECLI:ES:TC:2007:300A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Acuerda la extinción de la cuestión de inconstitucionalidad 749-2003, planteada por el Juzgado de lo Social núm. 2 de Badajoz en relación con el Real Decreto-ley 5/2002, de 24 de mayo.</w:t>
      </w:r>
    </w:p>
    <w:p w:rsidR="008B3772" w:rsidRDefault="008B3772" w:rsidP="008B3772">
      <w:pPr>
        <w:pStyle w:val="SntesisDescriptiva"/>
      </w:pPr>
    </w:p>
    <w:p w:rsidR="008B3772" w:rsidRDefault="008B3772" w:rsidP="008B3772">
      <w:pPr>
        <w:pStyle w:val="SntesisAnaltica"/>
      </w:pPr>
      <w:r>
        <w:t>Cuestión de inconstitucionalidad: ATC 290/2007.</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el Tribunal el día 11 de febrero de 2003, al que se acompaña el correspondiente Auto de 30 de enero de 2003,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008B3772" w:rsidRDefault="008B3772" w:rsidP="008B3772">
      <w:pPr>
        <w:pStyle w:val="TextoNormal"/>
      </w:pPr>
    </w:p>
    <w:p w:rsidR="008B3772" w:rsidRDefault="008B3772" w:rsidP="008B3772">
      <w:pPr>
        <w:pStyle w:val="TextoNormal"/>
      </w:pPr>
      <w:r w:rsidRPr="008B3772">
        <w:rPr>
          <w:rStyle w:val="NumeroAFNegritaCaracter"/>
        </w:rPr>
        <w:t>2</w:t>
      </w:r>
      <w:r>
        <w:t>. La presente cuestión de inconstitucionalidad tiene su origen en la demanda por despido (899/2002) interpuesta por don Alonso Gavilán Barjola contra la empresa Horno Santa Eulalia, SL. Conclusas las actuaciones, el Juez de lo Social dicta providencia de 14 de enero de 2003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el Ministerio Fiscal informó en el sentido de considerar procedente el planteamiento de la cuestión.</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Decreto-ley 5/2002 y ha de ser declarado improcedente, llevando aparejada tal calificación, </w:t>
      </w:r>
      <w:r>
        <w:lastRenderedPageBreak/>
        <w:t xml:space="preserve">conforme a la citada normativa, la consecuencia del devengo de salarios de tramitación sólo si el empresario optara por readmitir al trabajador,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al trabajador los salarios correspondientes a la tramitación. </w:t>
      </w:r>
    </w:p>
    <w:p w:rsidR="008B3772" w:rsidRDefault="008B3772" w:rsidP="008B3772">
      <w:pPr>
        <w:pStyle w:val="TextoNormal"/>
      </w:pPr>
      <w: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008B3772" w:rsidRDefault="008B3772" w:rsidP="008B3772">
      <w:pPr>
        <w:pStyle w:val="TextoNormal"/>
      </w:pPr>
      <w:r>
        <w:t xml:space="preserve">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(salarios de tramitación incluidos) o menos condena si opta por indemnizar (salarios de tramitación excluidos), por lo que o bien no hay tutela judicial o, si pudiera entenderse existente, ésta no sería efectiva. </w:t>
      </w:r>
    </w:p>
    <w:p w:rsidR="008B3772" w:rsidRDefault="008B3772" w:rsidP="008B3772">
      <w:pPr>
        <w:pStyle w:val="TextoNormal"/>
      </w:pPr>
      <w:r>
        <w:lastRenderedPageBreak/>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008B3772" w:rsidRDefault="008B3772" w:rsidP="008B3772">
      <w:pPr>
        <w:pStyle w:val="TextoNormal"/>
      </w:pPr>
      <w:r>
        <w:t>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008B3772" w:rsidRDefault="008B3772" w:rsidP="008B3772">
      <w:pPr>
        <w:pStyle w:val="TextoNormal"/>
      </w:pPr>
    </w:p>
    <w:p w:rsidR="008B3772" w:rsidRDefault="008B3772" w:rsidP="008B3772">
      <w:pPr>
        <w:pStyle w:val="TextoNormal"/>
      </w:pPr>
      <w:r w:rsidRPr="008B3772">
        <w:rPr>
          <w:rStyle w:val="NumeroAFNegritaCaracter"/>
        </w:rPr>
        <w:t>4</w:t>
      </w:r>
      <w:r>
        <w:t>. Mediante providencia de 25 de marzo de 2003 (BOE de 7 de abril) la Sección Primera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008B3772" w:rsidRDefault="008B3772" w:rsidP="008B3772">
      <w:pPr>
        <w:pStyle w:val="TextoNormal"/>
      </w:pPr>
    </w:p>
    <w:p w:rsidR="008B3772" w:rsidRDefault="008B3772" w:rsidP="008B3772">
      <w:pPr>
        <w:pStyle w:val="TextoNormal"/>
      </w:pPr>
      <w:r w:rsidRPr="008B3772">
        <w:rPr>
          <w:rStyle w:val="NumeroAFNegritaCaracter"/>
        </w:rPr>
        <w:t>5</w:t>
      </w:r>
      <w:r>
        <w:t>. Mediante escrito registrado el día 15 de abril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008B3772" w:rsidRDefault="008B3772" w:rsidP="008B3772">
      <w:pPr>
        <w:pStyle w:val="TextoNormal"/>
      </w:pPr>
    </w:p>
    <w:p w:rsidR="008B3772" w:rsidRDefault="008B3772" w:rsidP="008B3772">
      <w:pPr>
        <w:pStyle w:val="TextoNormal"/>
      </w:pPr>
      <w:r w:rsidRPr="008B3772">
        <w:rPr>
          <w:rStyle w:val="NumeroAFNegritaCaracter"/>
        </w:rPr>
        <w:t>6</w:t>
      </w:r>
      <w:r>
        <w:t>. El Presidente del Senado, mediante escrito registrado el día 24 de abril de 2003, comunicó que la Cámara se personaba en el proceso, ofreciendo su colaboración.</w:t>
      </w:r>
    </w:p>
    <w:p w:rsidR="008B3772" w:rsidRDefault="008B3772" w:rsidP="008B3772">
      <w:pPr>
        <w:pStyle w:val="TextoNormal"/>
      </w:pPr>
    </w:p>
    <w:p w:rsidR="008B3772" w:rsidRDefault="008B3772" w:rsidP="008B3772">
      <w:pPr>
        <w:pStyle w:val="TextoNormal"/>
      </w:pPr>
      <w:r w:rsidRPr="008B3772">
        <w:rPr>
          <w:rStyle w:val="NumeroAFNegritaCaracter"/>
        </w:rPr>
        <w:t>7</w:t>
      </w:r>
      <w:r>
        <w:t>. El día 25 de abril de 2003 la Presidenta del Congreso de los Diputados comunicó al Tribunal que dicha Cámara no se personaría en el proceso ni formularía alegaciones.</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8</w:t>
      </w:r>
      <w:r>
        <w:t>. El Fiscal General del Estado presentó sus alegaciones mediante escrito registrado el día 29 de abril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El Juzgado de lo Social núm. 2 de Badajoz plantea cuestión de inconstitucionalidad en relación con el artículo segundo, apartado tres, del Real Decreto-ley 5/2002, de 24 de mayo, de medidas urgentes para la reforma del sistema de protección por</w:t>
      </w:r>
    </w:p>
    <w:p w:rsidR="008B3772" w:rsidRDefault="008B3772" w:rsidP="008B3772">
      <w:pPr>
        <w:pStyle w:val="TextoNormal"/>
      </w:pPr>
      <w:r>
        <w:t>desempleo y mejora de la ocupabilidad, por posible vulneración de los arts. 14, 24, 35 y 86.1 CE.</w:t>
      </w:r>
    </w:p>
    <w:p w:rsidR="008B3772" w:rsidRDefault="008B3772" w:rsidP="008B3772">
      <w:pPr>
        <w:pStyle w:val="TextoNormal"/>
      </w:pPr>
      <w:r>
        <w:t>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8B3772" w:rsidRDefault="008B3772" w:rsidP="008B3772">
      <w:pPr>
        <w:pStyle w:val="TextoNormal"/>
      </w:pPr>
    </w:p>
    <w:p w:rsidR="008B3772" w:rsidRDefault="008B3772" w:rsidP="008B3772">
      <w:pPr>
        <w:pStyle w:val="TextoNormal"/>
      </w:pPr>
      <w:r>
        <w:t>Por todo lo cual, el Pleno del Tribunal</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Declarar la extinción de la cuestión de inconstitucionalidad núm. 749-2003, por desaparición sobrevenida de su objeto.</w:t>
      </w:r>
    </w:p>
    <w:p w:rsidR="008B3772" w:rsidRDefault="008B3772" w:rsidP="008B3772">
      <w:pPr>
        <w:pStyle w:val="TextoNormal"/>
      </w:pPr>
    </w:p>
    <w:p w:rsidR="008B3772" w:rsidRDefault="008B3772" w:rsidP="008B3772">
      <w:pPr>
        <w:pStyle w:val="TextoNormal"/>
      </w:pPr>
      <w:r>
        <w:t>Madrid, a diecinueve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65" w:name="AUTO_2007_301"/>
      <w:r>
        <w:lastRenderedPageBreak/>
        <w:t>AUTO 301/2007, de 19 de junio de 2007</w:t>
      </w:r>
    </w:p>
    <w:bookmarkEnd w:id="165"/>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ECLI:ES:TC:2007:301A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Acuerda la extinción de la cuestión de inconstitucionalidad 922-2003, planteada por el Juzgado de lo Social núm. 2 de Badajoz en relación con el Real Decreto-ley 5/2002, de 24 de mayo.</w:t>
      </w:r>
    </w:p>
    <w:p w:rsidR="008B3772" w:rsidRDefault="008B3772" w:rsidP="008B3772">
      <w:pPr>
        <w:pStyle w:val="SntesisDescriptiva"/>
      </w:pPr>
    </w:p>
    <w:p w:rsidR="008B3772" w:rsidRDefault="008B3772" w:rsidP="008B3772">
      <w:pPr>
        <w:pStyle w:val="SntesisAnaltica"/>
      </w:pPr>
      <w:r>
        <w:t>Cuestión de inconstitucionalidad: ATC 290/2007.</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el Tribunal el día 19 de febrero de 2003, al que se acompaña el correspondiente Auto de 7 de febrero de 2003,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008B3772" w:rsidRDefault="008B3772" w:rsidP="008B3772">
      <w:pPr>
        <w:pStyle w:val="TextoNormal"/>
      </w:pPr>
    </w:p>
    <w:p w:rsidR="008B3772" w:rsidRDefault="008B3772" w:rsidP="008B3772">
      <w:pPr>
        <w:pStyle w:val="TextoNormal"/>
      </w:pPr>
      <w:r w:rsidRPr="008B3772">
        <w:rPr>
          <w:rStyle w:val="NumeroAFNegritaCaracter"/>
        </w:rPr>
        <w:t>2</w:t>
      </w:r>
      <w:r>
        <w:t>. La presente cuestión de inconstitucionalidad tiene su origen en la demanda por despido (980/2002) interpuesta por doña Encarnación López Arjona contra la Junta de Extremadura –Consejería de Cultura- y contra doña Fátima Fernández Morgado. Conclusas las actuaciones, el Juez de lo Social dicta providencia de 16 de enero de 2003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el Ministerio Fiscal informó en el sentido de considerar procedente el planteamiento de la cuestión, al igual que la trabajadora demandante, mientras que la representación procesal de la Junta de Extremadura se opuso al planteamiento de la cuestión.</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el Auto de planteamiento de la cuestión el órgano judicial lleva a cabo el juicio de relevancia de la norma destacando que de su validez depende el contenido de la Sentencia a dictar, toda vez que, conclusos los autos, se encuentra en condiciones de afirmar que el </w:t>
      </w:r>
      <w:r>
        <w:lastRenderedPageBreak/>
        <w:t xml:space="preserve">despido sometido a juicio se encuentra sujeto a la nueva normativa contenida en el Real Decreto-ley 5/2002 y ha de ser declarado improcedente, llevando aparejada tal calificación, conforme a la citada normativa, la consecuencia del devengo de salarios de tramitación sólo si el empresario optara por readmitir a la trabajadora,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 la trabajadora los salarios correspondientes a la tramitación. </w:t>
      </w:r>
    </w:p>
    <w:p w:rsidR="008B3772" w:rsidRDefault="008B3772" w:rsidP="008B3772">
      <w:pPr>
        <w:pStyle w:val="TextoNormal"/>
      </w:pPr>
      <w: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008B3772" w:rsidRDefault="008B3772" w:rsidP="008B3772">
      <w:pPr>
        <w:pStyle w:val="TextoNormal"/>
      </w:pPr>
      <w:r>
        <w:t>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w:t>
      </w:r>
      <w:r>
        <w:lastRenderedPageBreak/>
        <w:t xml:space="preserve">rios de tramitación incluidos) o menos condena si opta por indemnizar (salarios de tramitación excluidos), por lo que o bien no hay tutela judicial o, si pudiera entenderse existente, ésta no sería efectiva. </w:t>
      </w:r>
    </w:p>
    <w:p w:rsidR="008B3772" w:rsidRDefault="008B3772" w:rsidP="008B3772">
      <w:pPr>
        <w:pStyle w:val="TextoNormal"/>
      </w:pPr>
      <w: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008B3772" w:rsidRDefault="008B3772" w:rsidP="008B3772">
      <w:pPr>
        <w:pStyle w:val="TextoNormal"/>
      </w:pPr>
      <w:r>
        <w:t>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008B3772" w:rsidRDefault="008B3772" w:rsidP="008B3772">
      <w:pPr>
        <w:pStyle w:val="TextoNormal"/>
      </w:pPr>
    </w:p>
    <w:p w:rsidR="008B3772" w:rsidRDefault="008B3772" w:rsidP="008B3772">
      <w:pPr>
        <w:pStyle w:val="TextoNormal"/>
      </w:pPr>
      <w:r w:rsidRPr="008B3772">
        <w:rPr>
          <w:rStyle w:val="NumeroAFNegritaCaracter"/>
        </w:rPr>
        <w:t>4</w:t>
      </w:r>
      <w:r>
        <w:t>. Mediante providencia de 25 de marzo de 2003 (BOE de 7 de abril) la Sección Primera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008B3772" w:rsidRDefault="008B3772" w:rsidP="008B3772">
      <w:pPr>
        <w:pStyle w:val="TextoNormal"/>
      </w:pPr>
    </w:p>
    <w:p w:rsidR="008B3772" w:rsidRDefault="008B3772" w:rsidP="008B3772">
      <w:pPr>
        <w:pStyle w:val="TextoNormal"/>
      </w:pPr>
      <w:r w:rsidRPr="008B3772">
        <w:rPr>
          <w:rStyle w:val="NumeroAFNegritaCaracter"/>
        </w:rPr>
        <w:t>5</w:t>
      </w:r>
      <w:r>
        <w:t>. Mediante escrito registrado el día 15 de abril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008B3772" w:rsidRDefault="008B3772" w:rsidP="008B3772">
      <w:pPr>
        <w:pStyle w:val="TextoNormal"/>
      </w:pPr>
    </w:p>
    <w:p w:rsidR="008B3772" w:rsidRDefault="008B3772" w:rsidP="008B3772">
      <w:pPr>
        <w:pStyle w:val="TextoNormal"/>
      </w:pPr>
      <w:r w:rsidRPr="008B3772">
        <w:rPr>
          <w:rStyle w:val="NumeroAFNegritaCaracter"/>
        </w:rPr>
        <w:t>6</w:t>
      </w:r>
      <w:r>
        <w:t>. El Presidente del Senado, mediante escrito registrado el día 24 de abril de 2003, comunicó que la Cámara se personaba en el proceso, ofreciendo su colaboración.</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7</w:t>
      </w:r>
      <w:r>
        <w:t>. El día 25 de abril de 2003 la Presidenta del Congreso de los Diputados comunicó al Tribunal que dicha Cámara no se personaría en el proceso ni formularía alegaciones.</w:t>
      </w:r>
    </w:p>
    <w:p w:rsidR="008B3772" w:rsidRDefault="008B3772" w:rsidP="008B3772">
      <w:pPr>
        <w:pStyle w:val="TextoNormal"/>
      </w:pPr>
    </w:p>
    <w:p w:rsidR="008B3772" w:rsidRDefault="008B3772" w:rsidP="008B3772">
      <w:pPr>
        <w:pStyle w:val="TextoNormal"/>
      </w:pPr>
      <w:r w:rsidRPr="008B3772">
        <w:rPr>
          <w:rStyle w:val="NumeroAFNegritaCaracter"/>
        </w:rPr>
        <w:t>8</w:t>
      </w:r>
      <w:r>
        <w:t>. El Fiscal General del Estado presentó sus alegaciones mediante escrito registrado el día 29 de abril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El Juzgado de lo Social núm. 2 de Badajoz plantea cuestión de inconstitucionalidad en relación con el artículo segundo, apartado tres, del Real Decreto-ley 5/2002, de 24 de mayo, de medidas urgentes para la reforma del sistema de protección por</w:t>
      </w:r>
    </w:p>
    <w:p w:rsidR="008B3772" w:rsidRDefault="008B3772" w:rsidP="008B3772">
      <w:pPr>
        <w:pStyle w:val="TextoNormal"/>
      </w:pPr>
      <w:r>
        <w:t>desempleo y mejora de la ocupabilidad, por posible vulneración de los arts. 14, 24, 35 y 86.1 CE.</w:t>
      </w:r>
    </w:p>
    <w:p w:rsidR="008B3772" w:rsidRDefault="008B3772" w:rsidP="008B3772">
      <w:pPr>
        <w:pStyle w:val="TextoNormal"/>
      </w:pPr>
      <w:r>
        <w:t>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8B3772" w:rsidRDefault="008B3772" w:rsidP="008B3772">
      <w:pPr>
        <w:pStyle w:val="TextoNormal"/>
      </w:pPr>
    </w:p>
    <w:p w:rsidR="008B3772" w:rsidRDefault="008B3772" w:rsidP="008B3772">
      <w:pPr>
        <w:pStyle w:val="TextoNormal"/>
      </w:pPr>
      <w:r>
        <w:t>Por todo lo cual, el Pleno del Tribunal</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Declarar la extinción de la cuestión de inconstitucionalidad núm. 922-2003, por desaparición sobrevenida de su objeto.</w:t>
      </w:r>
    </w:p>
    <w:p w:rsidR="008B3772" w:rsidRDefault="008B3772" w:rsidP="008B3772">
      <w:pPr>
        <w:pStyle w:val="TextoNormal"/>
      </w:pPr>
    </w:p>
    <w:p w:rsidR="008B3772" w:rsidRDefault="008B3772" w:rsidP="008B3772">
      <w:pPr>
        <w:pStyle w:val="TextoNormal"/>
      </w:pPr>
      <w:r>
        <w:t>Madrid, a diecinueve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66" w:name="AUTO_2007_302"/>
      <w:r>
        <w:lastRenderedPageBreak/>
        <w:t>AUTO 302/2007, de 19 de junio de 2007</w:t>
      </w:r>
    </w:p>
    <w:bookmarkEnd w:id="166"/>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ECLI:ES:TC:2007:302A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Acuerda la extinción de la cuestión de inconstitucionalidad 1147-2003, planteada por el Juzgado de lo Social núm. 2 de Badajoz en relación con el Real Decreto-ley 5/2002, de 24 de mayo.</w:t>
      </w:r>
    </w:p>
    <w:p w:rsidR="008B3772" w:rsidRDefault="008B3772" w:rsidP="008B3772">
      <w:pPr>
        <w:pStyle w:val="SntesisDescriptiva"/>
      </w:pPr>
    </w:p>
    <w:p w:rsidR="008B3772" w:rsidRDefault="008B3772" w:rsidP="008B3772">
      <w:pPr>
        <w:pStyle w:val="SntesisAnaltica"/>
      </w:pPr>
      <w:r>
        <w:t>Cuestión de inconstitucionalidad: ATC 290/2007.</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el Tribunal el día 28 de febrero de 2003, al que se acompaña el correspondiente Auto de 18 de febrero de 2003,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008B3772" w:rsidRDefault="008B3772" w:rsidP="008B3772">
      <w:pPr>
        <w:pStyle w:val="TextoNormal"/>
      </w:pPr>
    </w:p>
    <w:p w:rsidR="008B3772" w:rsidRDefault="008B3772" w:rsidP="008B3772">
      <w:pPr>
        <w:pStyle w:val="TextoNormal"/>
      </w:pPr>
      <w:r w:rsidRPr="008B3772">
        <w:rPr>
          <w:rStyle w:val="NumeroAFNegritaCaracter"/>
        </w:rPr>
        <w:t>2</w:t>
      </w:r>
      <w:r>
        <w:t>. La presente cuestión de inconstitucionalidad tiene su origen en la demanda por despido (1018/2002) interpuesta por don Santiago Joaquín Suárez-Figueroa Pulido contra la empresa Juan Francisco Macías Chico. Conclusas las actuaciones, el Juez de lo Social dicta providencia de 4 de febrero de 2003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tanto el Ministerio Fiscal como el trabajador demandante informaron en el sentido de considerar procedente el planteamiento de la cuestión.</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w:t>
      </w:r>
      <w:r>
        <w:lastRenderedPageBreak/>
        <w:t xml:space="preserve">Decreto-ley 5/2002 y ha de ser declarado improcedente, llevando aparejada tal calificación, conforme a la citada normativa, la consecuencia del devengo de salarios de tramitación sólo si el empresario optara por readmitir al trabajador,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al trabajador los salarios correspondientes a la tramitación. </w:t>
      </w:r>
    </w:p>
    <w:p w:rsidR="008B3772" w:rsidRDefault="008B3772" w:rsidP="008B3772">
      <w:pPr>
        <w:pStyle w:val="TextoNormal"/>
      </w:pPr>
      <w: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008B3772" w:rsidRDefault="008B3772" w:rsidP="008B3772">
      <w:pPr>
        <w:pStyle w:val="TextoNormal"/>
      </w:pPr>
      <w:r>
        <w:t>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w:t>
      </w:r>
      <w:r>
        <w:lastRenderedPageBreak/>
        <w:t xml:space="preserve">rios de tramitación incluidos) o menos condena si opta por indemnizar (salarios de tramitación excluidos), por lo que o bien no hay tutela judicial o, si pudiera entenderse existente, ésta no sería efectiva. </w:t>
      </w:r>
    </w:p>
    <w:p w:rsidR="008B3772" w:rsidRDefault="008B3772" w:rsidP="008B3772">
      <w:pPr>
        <w:pStyle w:val="TextoNormal"/>
      </w:pPr>
      <w: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008B3772" w:rsidRDefault="008B3772" w:rsidP="008B3772">
      <w:pPr>
        <w:pStyle w:val="TextoNormal"/>
      </w:pPr>
      <w:r>
        <w:t>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008B3772" w:rsidRDefault="008B3772" w:rsidP="008B3772">
      <w:pPr>
        <w:pStyle w:val="TextoNormal"/>
      </w:pPr>
    </w:p>
    <w:p w:rsidR="008B3772" w:rsidRDefault="008B3772" w:rsidP="008B3772">
      <w:pPr>
        <w:pStyle w:val="TextoNormal"/>
      </w:pPr>
      <w:r w:rsidRPr="008B3772">
        <w:rPr>
          <w:rStyle w:val="NumeroAFNegritaCaracter"/>
        </w:rPr>
        <w:t>4</w:t>
      </w:r>
      <w:r>
        <w:t>. Mediante providencia de 25 de marzo de 2003 (BOE de 7 de abril) la Sección Cuarta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008B3772" w:rsidRDefault="008B3772" w:rsidP="008B3772">
      <w:pPr>
        <w:pStyle w:val="TextoNormal"/>
      </w:pPr>
    </w:p>
    <w:p w:rsidR="008B3772" w:rsidRDefault="008B3772" w:rsidP="008B3772">
      <w:pPr>
        <w:pStyle w:val="TextoNormal"/>
      </w:pPr>
      <w:r w:rsidRPr="008B3772">
        <w:rPr>
          <w:rStyle w:val="NumeroAFNegritaCaracter"/>
        </w:rPr>
        <w:t>5</w:t>
      </w:r>
      <w:r>
        <w:t>. Mediante escrito registrado el día 15 de abril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008B3772" w:rsidRDefault="008B3772" w:rsidP="008B3772">
      <w:pPr>
        <w:pStyle w:val="TextoNormal"/>
      </w:pPr>
    </w:p>
    <w:p w:rsidR="008B3772" w:rsidRDefault="008B3772" w:rsidP="008B3772">
      <w:pPr>
        <w:pStyle w:val="TextoNormal"/>
      </w:pPr>
      <w:r w:rsidRPr="008B3772">
        <w:rPr>
          <w:rStyle w:val="NumeroAFNegritaCaracter"/>
        </w:rPr>
        <w:t>6</w:t>
      </w:r>
      <w:r>
        <w:t>. El Presidente del Senado, mediante escrito registrado el día 24 de abril de 2003, comunicó que la Cámara se personaba en el proceso, ofreciendo su colaboración.</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7</w:t>
      </w:r>
      <w:r>
        <w:t>. El día 25 de abril de 2003 la Presidenta del Congreso de los Diputados comunicó al Tribunal que dicha Cámara no se personaría en el proceso ni formularía alegaciones.</w:t>
      </w:r>
    </w:p>
    <w:p w:rsidR="008B3772" w:rsidRDefault="008B3772" w:rsidP="008B3772">
      <w:pPr>
        <w:pStyle w:val="TextoNormal"/>
      </w:pPr>
    </w:p>
    <w:p w:rsidR="008B3772" w:rsidRDefault="008B3772" w:rsidP="008B3772">
      <w:pPr>
        <w:pStyle w:val="TextoNormal"/>
      </w:pPr>
      <w:r w:rsidRPr="008B3772">
        <w:rPr>
          <w:rStyle w:val="NumeroAFNegritaCaracter"/>
        </w:rPr>
        <w:t>8</w:t>
      </w:r>
      <w:r>
        <w:t>. El Fiscal General del Estado presentó sus alegaciones mediante escrito registrado el día 29 de abril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El Juzgado de lo Social núm. 2 de Badajoz plantea cuestión de inconstitucionalidad en relación con el artículo segundo, apartado tres, del Real Decreto-ley 5/2002, de 24 de mayo, de medidas urgentes para la reforma del sistema de protección por</w:t>
      </w:r>
    </w:p>
    <w:p w:rsidR="008B3772" w:rsidRDefault="008B3772" w:rsidP="008B3772">
      <w:pPr>
        <w:pStyle w:val="TextoNormal"/>
      </w:pPr>
      <w:r>
        <w:t>desempleo y mejora de la ocupabilidad, por posible vulneración de los arts. 14, 24, 35 y 86.1 CE.</w:t>
      </w:r>
    </w:p>
    <w:p w:rsidR="008B3772" w:rsidRDefault="008B3772" w:rsidP="008B3772">
      <w:pPr>
        <w:pStyle w:val="TextoNormal"/>
      </w:pPr>
      <w:r>
        <w:t>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8B3772" w:rsidRDefault="008B3772" w:rsidP="008B3772">
      <w:pPr>
        <w:pStyle w:val="TextoNormal"/>
      </w:pPr>
    </w:p>
    <w:p w:rsidR="008B3772" w:rsidRDefault="008B3772" w:rsidP="008B3772">
      <w:pPr>
        <w:pStyle w:val="TextoNormal"/>
      </w:pPr>
      <w:r>
        <w:t>Por todo lo cual, el Pleno del Tribunal</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Declarar la extinción de la cuestión de inconstitucionalidad núm. 1147-2003, por desaparición sobrevenida de su objeto.</w:t>
      </w:r>
    </w:p>
    <w:p w:rsidR="008B3772" w:rsidRDefault="008B3772" w:rsidP="008B3772">
      <w:pPr>
        <w:pStyle w:val="TextoNormal"/>
      </w:pPr>
    </w:p>
    <w:p w:rsidR="008B3772" w:rsidRDefault="008B3772" w:rsidP="008B3772">
      <w:pPr>
        <w:pStyle w:val="TextoNormal"/>
      </w:pPr>
      <w:r>
        <w:t>Madrid, a diecinueve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67" w:name="AUTO_2007_303"/>
      <w:r>
        <w:lastRenderedPageBreak/>
        <w:t>AUTO 303/2007, de 19 de junio de 2007</w:t>
      </w:r>
    </w:p>
    <w:bookmarkEnd w:id="167"/>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ECLI:ES:TC:2007:303A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Acuerda la extinción de la cuestión de inconstitucionalidad 1148-2003, planteada por el Juzgado de lo Social núm. 2 de Badajoz en relación con el Real Decreto-ley 5/2002, de 24 de mayo.</w:t>
      </w:r>
    </w:p>
    <w:p w:rsidR="008B3772" w:rsidRDefault="008B3772" w:rsidP="008B3772">
      <w:pPr>
        <w:pStyle w:val="SntesisDescriptiva"/>
      </w:pPr>
    </w:p>
    <w:p w:rsidR="008B3772" w:rsidRDefault="008B3772" w:rsidP="008B3772">
      <w:pPr>
        <w:pStyle w:val="SntesisAnaltica"/>
      </w:pPr>
      <w:r>
        <w:t>Cuestión de inconstitucionalidad: ATC 290/2007.</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el Tribunal el día 28 de febrero de 2003, al que se acompaña el correspondiente Auto de 7 de febrero de 2003,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008B3772" w:rsidRDefault="008B3772" w:rsidP="008B3772">
      <w:pPr>
        <w:pStyle w:val="TextoNormal"/>
      </w:pPr>
    </w:p>
    <w:p w:rsidR="008B3772" w:rsidRDefault="008B3772" w:rsidP="008B3772">
      <w:pPr>
        <w:pStyle w:val="TextoNormal"/>
      </w:pPr>
      <w:r w:rsidRPr="008B3772">
        <w:rPr>
          <w:rStyle w:val="NumeroAFNegritaCaracter"/>
        </w:rPr>
        <w:t>2</w:t>
      </w:r>
      <w:r>
        <w:t>. La presente cuestión de inconstitucionalidad tiene su origen en la demanda por despido (864/2002) interpuesta por doña Rocío Regalado García contra doña Mónica Extremadura, don Jorge Carrión y todos los demás comuneros de La Bocana del Puerto, CB. Conclusas las actuaciones, el Juez de lo Social dicta providencia de 8 de enero de 2003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tanto el Ministerio Fiscal como la trabajadora demandante informaron en el sentido de considerar procedente el planteamiento de la cuestión.</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w:t>
      </w:r>
      <w:r>
        <w:lastRenderedPageBreak/>
        <w:t xml:space="preserve">Decreto-ley 5/2002 y ha de ser declarado improcedente, llevando aparejada tal calificación, conforme a la citada normativa, la consecuencia del devengo de salarios de tramitación sólo si el empresario optara por readmitir a la trabajadora,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 la trabajadora los salarios correspondientes a la tramitación. </w:t>
      </w:r>
    </w:p>
    <w:p w:rsidR="008B3772" w:rsidRDefault="008B3772" w:rsidP="008B3772">
      <w:pPr>
        <w:pStyle w:val="TextoNormal"/>
      </w:pPr>
      <w: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008B3772" w:rsidRDefault="008B3772" w:rsidP="008B3772">
      <w:pPr>
        <w:pStyle w:val="TextoNormal"/>
      </w:pPr>
      <w:r>
        <w:t>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w:t>
      </w:r>
      <w:r>
        <w:lastRenderedPageBreak/>
        <w:t xml:space="preserve">rios de tramitación incluidos) o menos condena si opta por indemnizar (salarios de tramitación excluidos), por lo que o bien no hay tutela judicial o, si pudiera entenderse existente, ésta no sería efectiva. </w:t>
      </w:r>
    </w:p>
    <w:p w:rsidR="008B3772" w:rsidRDefault="008B3772" w:rsidP="008B3772">
      <w:pPr>
        <w:pStyle w:val="TextoNormal"/>
      </w:pPr>
      <w: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008B3772" w:rsidRDefault="008B3772" w:rsidP="008B3772">
      <w:pPr>
        <w:pStyle w:val="TextoNormal"/>
      </w:pPr>
      <w:r>
        <w:t>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008B3772" w:rsidRDefault="008B3772" w:rsidP="008B3772">
      <w:pPr>
        <w:pStyle w:val="TextoNormal"/>
      </w:pPr>
    </w:p>
    <w:p w:rsidR="008B3772" w:rsidRDefault="008B3772" w:rsidP="008B3772">
      <w:pPr>
        <w:pStyle w:val="TextoNormal"/>
      </w:pPr>
      <w:r w:rsidRPr="008B3772">
        <w:rPr>
          <w:rStyle w:val="NumeroAFNegritaCaracter"/>
        </w:rPr>
        <w:t>4</w:t>
      </w:r>
      <w:r>
        <w:t>. Mediante providencia de 25 de marzo de 2003 (BOE de 7 de abril) la Sección Tercera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008B3772" w:rsidRDefault="008B3772" w:rsidP="008B3772">
      <w:pPr>
        <w:pStyle w:val="TextoNormal"/>
      </w:pPr>
    </w:p>
    <w:p w:rsidR="008B3772" w:rsidRDefault="008B3772" w:rsidP="008B3772">
      <w:pPr>
        <w:pStyle w:val="TextoNormal"/>
      </w:pPr>
      <w:r w:rsidRPr="008B3772">
        <w:rPr>
          <w:rStyle w:val="NumeroAFNegritaCaracter"/>
        </w:rPr>
        <w:t>5</w:t>
      </w:r>
      <w:r>
        <w:t>. Mediante escrito registrado el día 15 de abril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008B3772" w:rsidRDefault="008B3772" w:rsidP="008B3772">
      <w:pPr>
        <w:pStyle w:val="TextoNormal"/>
      </w:pPr>
    </w:p>
    <w:p w:rsidR="008B3772" w:rsidRDefault="008B3772" w:rsidP="008B3772">
      <w:pPr>
        <w:pStyle w:val="TextoNormal"/>
      </w:pPr>
      <w:r w:rsidRPr="008B3772">
        <w:rPr>
          <w:rStyle w:val="NumeroAFNegritaCaracter"/>
        </w:rPr>
        <w:t>6</w:t>
      </w:r>
      <w:r>
        <w:t>. El Presidente del Senado, mediante escrito registrado el día 24 de abril de 2003, comunicó que la Cámara se personaba en el proceso, ofreciendo su colaboración.</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7</w:t>
      </w:r>
      <w:r>
        <w:t>. El día 25 de abril de 2003 la Presidenta del Congreso de los Diputados comunicó al Tribunal que dicha Cámara no se personaría en el proceso ni formularía alegaciones.</w:t>
      </w:r>
    </w:p>
    <w:p w:rsidR="008B3772" w:rsidRDefault="008B3772" w:rsidP="008B3772">
      <w:pPr>
        <w:pStyle w:val="TextoNormal"/>
      </w:pPr>
    </w:p>
    <w:p w:rsidR="008B3772" w:rsidRDefault="008B3772" w:rsidP="008B3772">
      <w:pPr>
        <w:pStyle w:val="TextoNormal"/>
      </w:pPr>
      <w:r w:rsidRPr="008B3772">
        <w:rPr>
          <w:rStyle w:val="NumeroAFNegritaCaracter"/>
        </w:rPr>
        <w:t>8</w:t>
      </w:r>
      <w:r>
        <w:t>. El Fiscal General del Estado presentó sus alegaciones mediante escrito registrado el día 29 de abril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El Juzgado de lo Social núm. 2 de Badajoz plantea cuestión de inconstitucionalidad en relación con el artículo segundo, apartado tres, del Real Decreto-ley 5/2002, de 24 de mayo, de medidas urgentes para la reforma del sistema de protección por</w:t>
      </w:r>
    </w:p>
    <w:p w:rsidR="008B3772" w:rsidRDefault="008B3772" w:rsidP="008B3772">
      <w:pPr>
        <w:pStyle w:val="TextoNormal"/>
      </w:pPr>
      <w:r>
        <w:t>desempleo y mejora de la ocupabilidad, por posible vulneración de los arts. 14, 24, 35 y 86.1 CE.</w:t>
      </w:r>
    </w:p>
    <w:p w:rsidR="008B3772" w:rsidRDefault="008B3772" w:rsidP="008B3772">
      <w:pPr>
        <w:pStyle w:val="TextoNormal"/>
      </w:pPr>
      <w:r>
        <w:t>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8B3772" w:rsidRDefault="008B3772" w:rsidP="008B3772">
      <w:pPr>
        <w:pStyle w:val="TextoNormal"/>
      </w:pPr>
    </w:p>
    <w:p w:rsidR="008B3772" w:rsidRDefault="008B3772" w:rsidP="008B3772">
      <w:pPr>
        <w:pStyle w:val="TextoNormal"/>
      </w:pPr>
      <w:r>
        <w:t>Por todo lo cual, el Pleno del Tribunal</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Declarar la extinción de la cuestión de inconstitucionalidad núm. 1148-2003, por desaparición sobrevenida de su objeto.</w:t>
      </w:r>
    </w:p>
    <w:p w:rsidR="008B3772" w:rsidRDefault="008B3772" w:rsidP="008B3772">
      <w:pPr>
        <w:pStyle w:val="TextoNormal"/>
      </w:pPr>
    </w:p>
    <w:p w:rsidR="008B3772" w:rsidRDefault="008B3772" w:rsidP="008B3772">
      <w:pPr>
        <w:pStyle w:val="TextoNormal"/>
      </w:pPr>
      <w:r>
        <w:t>Madrid, a diecinueve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68" w:name="AUTO_2007_304"/>
      <w:r>
        <w:lastRenderedPageBreak/>
        <w:t>AUTO 304/2007, de 19 de junio de 2007</w:t>
      </w:r>
    </w:p>
    <w:bookmarkEnd w:id="168"/>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ECLI:ES:TC:2007:304A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Acuerda la extinción de la cuestión de inconstitucionalidad 1196-2003, planteada por el Juzgado de lo Social núm. 2 de Badajoz en relación con el Real Decreto-ley 5/2002, de 24 de mayo.</w:t>
      </w:r>
    </w:p>
    <w:p w:rsidR="008B3772" w:rsidRDefault="008B3772" w:rsidP="008B3772">
      <w:pPr>
        <w:pStyle w:val="SntesisDescriptiva"/>
      </w:pPr>
    </w:p>
    <w:p w:rsidR="008B3772" w:rsidRDefault="008B3772" w:rsidP="008B3772">
      <w:pPr>
        <w:pStyle w:val="SntesisAnaltica"/>
      </w:pPr>
      <w:r>
        <w:t>Cuestión de inconstitucionalidad: ATC 290/2007.</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el Tribunal el día 3 de marzo de 2003, al que se acompaña el correspondiente Auto de 12 de febrero de 2003, el Juzgado de lo Social núm. 25 de Madrid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24.1 y 86.1 CE.</w:t>
      </w:r>
    </w:p>
    <w:p w:rsidR="008B3772" w:rsidRDefault="008B3772" w:rsidP="008B3772">
      <w:pPr>
        <w:pStyle w:val="TextoNormal"/>
      </w:pPr>
    </w:p>
    <w:p w:rsidR="008B3772" w:rsidRDefault="008B3772" w:rsidP="008B3772">
      <w:pPr>
        <w:pStyle w:val="TextoNormal"/>
      </w:pPr>
      <w:r w:rsidRPr="008B3772">
        <w:rPr>
          <w:rStyle w:val="NumeroAFNegritaCaracter"/>
        </w:rPr>
        <w:t>2</w:t>
      </w:r>
      <w:r>
        <w:t>. La presente cuestión de inconstitucionalidad tiene su origen en la demanda por despido (1005/2002) interpuesta por doña Raquel Moreno Rico contra la empresa Clínica Fuensanta, SL. Conclusas las actuaciones, el Juez de lo Social dicta providencia de 24 de diciembre de 2002 acordando, visto lo reseñado por la actora en la vista oral, dar audiencia a las partes y al Ministerio Fiscal, de conformidad con lo previsto en el art. 35 LOTC, para que efectúen alegaciones sobre la posible inconstitucionalidad del artículo segundo, apartado tres, del Real Decreto-ley 5/2002, de 24 de mayo, de medidas urgentes para la reforma del sistema de protección por desempleo y mejora de la ocupabilidad, por posible vulneración de los arts. 14, 24.1 y 86 CE. En el trámite de alegaciones tanto el Ministerio Fiscal como la demandante informaron en el sentido de considerar procedente el planteamiento de la cuestión, mientras que la empresa demandada lo hizo en sentido contrario.</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el Auto de planteamiento de la cuestión el órgano judicial, tras examinar la evolución normativa vivida por la norma cuestionada, procede a efectuar, de acuerdo con lo exigido por el art. 35.1 LOTC, el juicio de relevancia de la norma de la cual postula su inconstitucionalidad. A tal efecto, recuerda el Magistrado que la acción entablada es la de despido; que éste se produce el 17 de octubre de 2002, con esa misma fecha de efectos, es decir bajo </w:t>
      </w:r>
      <w:r>
        <w:lastRenderedPageBreak/>
        <w:t xml:space="preserve">el imperio normativo del RDL 5/2002; y, en consecuencia, de entenderse el mismo improcedente, como defiende la trabajadora, se plantea por ésta la alternativa de que no sólo tiene derecho a la indemnización del art. 56.1, en la redacción de dicho Real Decreto-ley, sino también a los salarios de tramitación, por entender que su supresión es inconstitucional. Añade a lo anterior que si bien es obvio que la empleadora ha cumplido con dos de los requisitos legalmente exigidos para proceder al despido, cual es la notificación escrita y la concreción de los efectos del despido, no sucede lo mismo con el tercero de ellos, es decir el concretar "los hechos que lo motivan", y que, desde dicha perspectiva, lo más lógico sería la declaración de improcedencia del despido, con lo cual es del todo punto indispensable dirimir la constitucionalidad de la norma cuestionada. </w:t>
      </w:r>
    </w:p>
    <w:p w:rsidR="008B3772" w:rsidRDefault="008B3772" w:rsidP="008B3772">
      <w:pPr>
        <w:pStyle w:val="TextoNormal"/>
      </w:pPr>
      <w:r>
        <w:t xml:space="preserve">Recuerda el Juez proponente de la cuestión de inconstitucionalidad que con anterioridad se han venido produciendo actuaciones similares, ya de origen judicial, ya del ámbito parlamentario, en este último caso tanto a nivel del Congreso de los Diputados, como de varios Parlamentos Autonómicos. Así, se cita la cuestión de inconstitucionalidad promovida por el Juzgado de lo Social núm. 2 de Badajoz, que aparece con el núm. 4814/2002; el recurso de inconstitucionalidad núm. 4915/2002, promovido por el Grupo Parlamentario .Socialista, Federal de Izquierda Unida y Mixto del Congreso; u otros recursos como el 4749/2002, 4781/2002, 4917/2002 y 4922/2002. En consecuencia, da por reproducidos los argumentos que allí se formulaban, si bien no así en relación con otros preceptos que no aparecen involucrados en esta cuestión; por lo cual únicamente hace especial cita de aquellos artículos de la Constitución sobre los que entiende puede aportar algún argumento nuevo, o habiendo sido ya utilizado, efectuarlo con una mayor amplitud, teniendo en cuenta que la mayoría de esos recursos y/o cuestiones de inconstitucionalidad no pudieron analizar la Ley 45/2002, por razones lógicas, y que a su juicio resulta decisiva valorarla para ratificar determinadas tesis allí contempladas. </w:t>
      </w:r>
    </w:p>
    <w:p w:rsidR="008B3772" w:rsidRDefault="008B3772" w:rsidP="008B3772">
      <w:pPr>
        <w:pStyle w:val="TextoNormal"/>
      </w:pPr>
      <w:r>
        <w:t xml:space="preserve">Empieza el análisis de los diversos preceptos constitucionales deteniéndose en los problemas vinculados con el art. 86.1 CE. Después de analizar los presupuestos exigidos por nuestra doctrina para apreciar la existencia del "presupuesto habilitante", considera el proponente que las razones invocadas en la exposición de motivos del RDL 5/2002 son profundamente genéricas e inconcretas y se encuentran desvinculadas del tema de fondo. Ello se acentúa, entiende, si se analiza el resto de tal Exposición, donde con pretendida mayor concreción se van exponiendo una serie de razones para reformar "las prestaciones por desempleo", entendidas éstas no solo como prestaciones económicas propiamente dichas, sino en orden a dar oportunidades: "de formación y empleo que posibiliten que los empleados puedan encontrar un trabajo en el menor tiempo posible". Constata, por todo ello, que nada se refleja en la Exposición de Motivos sobre el presupuesto habilitante de referencia. Procede, en segundo lugar, a analizar las "situaciones concretas y objetivos gubernamentales que se persiguen", siempre desde el punto de vista reseñado. Señala, a tal efecto, que la decisión del Gobierno de suprimir tales salarios de tramitación tomó por sorpresa a los agentes sociales, tanto sindicatos como representantes de los empresarios, puesto que, a su juicio, es notorio que ninguna reivindicación existía por parte de estos últimos y mucho menos por los primeros, en relación a la desaparición de los mismos y con esa urgencia. Es cierto, añade, que es una reivindicación de las organizaciones patronales el que se "abarate el despido", pero ese planteamiento estaba reivindicativamente muy atenuado desde la entrada en vigor de la Ley 12/2001, de 9 de Julio, de Medidas Urgentes de Reforma del Mercado de Trabajo para el Incremento de Empleo y la Mejora de su Calidad, vista la reducción que allí se opera (Disposición Adicional 1ª, núm. 4) y a cambio de la fijeza en plantilla (núm. 1). Además, concluye, el planteamiento de esas Organizaciones afecta de manera exclusiva a </w:t>
      </w:r>
      <w:r>
        <w:lastRenderedPageBreak/>
        <w:t xml:space="preserve">la que denomina indemnización en sentido estricto, es decir la regulada en el art. 56.1.a) del RDL 1/1995, de 24 de marzo; y no a estos salarios. Por tanto, una decisión de tales características resulta difícil de entender, no solo desde el punto de vista de que exista algún tipo de reivindicaciones inmediatas, que el Gobierno cree conveniente aceptar por las circunstancias que vive el país, sino que, en todo caso, su origen indeterminado e imprevisto, conlleva que no se justifique su extraordinaria y urgente necesidad </w:t>
      </w:r>
    </w:p>
    <w:p w:rsidR="008B3772" w:rsidRDefault="008B3772" w:rsidP="008B3772">
      <w:pPr>
        <w:pStyle w:val="TextoNormal"/>
      </w:pPr>
      <w:r>
        <w:t xml:space="preserve">Entiende que el art. 86.1 CE establece una importante reserva a la hora de excluir de la regulación por Decreto-ley, cual es la de aquellas cuestiones que afecten, entre otras, a los "derechos, deberes y libertades de los ciudadanos regulados en el Titulo I". Titulo que abarca los arts. 10 a 55, entre los que está el art. 35, que en su núm. 1 establece que "todos los españoles tienen el deber de trabajar y el derecho al trabajo, a la libre elección de profesión u oficio, a la promoción a través del trabajo y a una remuneración suficiente para satisfacer sus necesidades y las de su familia", añadiendo su núm. 2 que "la Ley regulará un Estatuto de los Trabajadores". Sin perjuicio de dar por reproducido lo que señalan anteriores recursos de inconstitucionalidad y/o cuestión de esa misma naturaleza, sobre la relación que se da entre estos dos preceptos, indica el Magistrado proponente que la extinción del contrato de trabajo imputable al empleador y de manera injustificada, es decir todos aquellos supuestos contemplados en el art. 49.1 LET que pudieran tener estas características, pertenecen al "núcleo duro" del contrato de trabajo, como también lo conforman su nacimiento y la retribución; el percibo de una indemnización por la finalización de una relación laboral de manera injusta e imputable al empresario pertenece así al ámbito de la tutela judicial efectiva (art. 24.1 CE). </w:t>
      </w:r>
    </w:p>
    <w:p w:rsidR="008B3772" w:rsidRDefault="008B3772" w:rsidP="008B3772">
      <w:pPr>
        <w:pStyle w:val="TextoNormal"/>
      </w:pPr>
      <w:r>
        <w:t xml:space="preserve">A mayor abundamiento, entiende que existe una clara tradición en el ordenamiento jurídico- laboral español de que se abone esta indemnización y en el doble aspecto analizado, es decir la indemnización en sentido estricto y aquella que compensa los salarios dejados de percibir, tema no obstante sobre el que se volverá al analizar la posible vulneración de la norma constitucional que se acaba de reflejar. </w:t>
      </w:r>
    </w:p>
    <w:p w:rsidR="008B3772" w:rsidRDefault="008B3772" w:rsidP="008B3772">
      <w:pPr>
        <w:pStyle w:val="TextoNormal"/>
      </w:pPr>
      <w:r>
        <w:t xml:space="preserve">Resalta que el recurso normativo al Decreto-ley no solo es frecuente en materia laboral, sino que también lo es que se dicte una Ley posterior vía parlamentaria; pero hasta ahora nunca se había apreciado un grado de contradicción tal entre ambos sistemas legislativos como ocurre en el presente caso. Por la propia naturaleza de lo establecido en el art. 86.3 CE, la Ley que se tramite por las Cortes con posterioridad a la entrada en vigor del Real Decreto-ley y que, por ello, se efectúa de urgencia, no solo derogará en su momento al nombrado en segundo lugar, lo que efectivamente aquí ocurre con la Disposición Derogatoria Única, letra e), sino que también es convalidante, de tal manera que debe existir la necesaria congruencia entre ambas normas, so pena de que, al ser posterior la Ley al Decreto-ley, se desautorice por el Parlamento al Gobierno si se legisla en sentido contrario, ya sea total y/o parcialmente. Eso es lo que aquí, a juicio del proponente, acontece. Señala, en este sentido, que la supresión de los salarios de tramitación para aquellos despidos declarados improcedentes y en que el empresario opte por la indemnización en sentido estricto ahora ya no tiene lugar. Más aun, considera el Magistrado que se vuelve a una redacción idéntica a la que tenía el art. 56.1 en el RDL 1/1995, de 24 de marzo, en sus tres primeros párrafos, es decir a la situación justo anterior a que se dictara el Real Decreto-ley. Entiende, por todo ello, que si lo hasta ahora argumentado es muy evidente, ello cobra aun más relevancia si se analiza desde la perspectiva del cumplimiento del presupuesto habilitante del art. 86.1 CE. La respuesta, entiende, debe ser negativa, no solo por todo lo hasta ahora relacionado, sino porque a su juicio no parece lógico, al pugnar con el sentido común, que se diga que era de extraordinaria y urgente necesidad suprimir los salarios de tramitación a </w:t>
      </w:r>
      <w:r>
        <w:lastRenderedPageBreak/>
        <w:t xml:space="preserve">partir del 26 de mayo de 2002, para restaurarlos en términos similares a los anteriormente vigentes, cuando menos el núm.1 del art. 56 LET, el 14 de diciembre de ese mismo año, es decir, tan siquiera seis meses después. </w:t>
      </w:r>
    </w:p>
    <w:p w:rsidR="008B3772" w:rsidRDefault="008B3772" w:rsidP="008B3772">
      <w:pPr>
        <w:pStyle w:val="TextoNormal"/>
      </w:pPr>
      <w:r>
        <w:t xml:space="preserve">Por lo que se refiere a la posible vulneración del art. 24.1 CE, que garantiza la tutela judicial efectiva para todas las personas que la intenten obtener en el ejercicio de sus derechos e intereses legítimos, señala el Magistrado proponente que, según la jurisprudencia de este Tribunal, tal derecho aparece configurado de muy diversas maneras, pero la que ahora nos interesa es la que se refiere al derecho que tiene el afectado por una decisión injusta de un tercero a ser indemnizado por los perjuicios que la misma le causen, tal como se infiere de la sentencia 181/2000, FJ 20. Señala el Magistrado que, conforme al art. 55.3 LET, un despido puede ser declarado procedente, improcedente o nulo. En el primero de los supuestos, se impugne o no judicialmente, y en este último caso de ratificarse, al existir un previo incumplimiento del trabajador frente a su empresario, no tiene derecho a indemnización y/o salarios de tramitación. Sin embargo, cuando se declara improcedente, conlleva, cuando menos, que no se ha acreditado el incumplimiento que alega el empleador para proceder a una decisión de esta naturaleza, es decir tal decisión es injustificada y arbitraria, y en consecuencia no ajustada a derecho. El art. 56.1 del RDL 1/1995, y también en la redacción que hoy aparece en la Ley 45/2002, consagra el derecho del trabajador afectado por una decisión de estas características a dos tipos de percepciones económicas: por una parte, “una indemnización de cuarenta y cinco días de salario, por año de servicio" y, por otra, "una cantidad igual a la suma de los salarios dejados de percibir desde la fecha del despido hasta la notificación de la sentencia que declare la improcedencia o hasta que hubiera encontrado otro empleo". El Real Decreto-ley 5/2002 suprime esta última percepción, por lo cual está reduciendo el monto de esos daños y perjuicios para todos aquellos a los que, por la fecha en la que han sido despedidos, les sea aplicable esta norma (Disposición Transitoria Primera, en relación con la Disposición Final Segunda, núm. 2). Procede el Auto de planteamiento de la presente cuestión de inconstitucionalidad a efectuar diversas precisiones sobre los salarios de tramitación en el ordenamiento jurídico-laboral, precisiones que resume así: 1) Es pacífica al día de hoy la jurisprudencia de la Sala de lo Social del TS sobre que su naturaleza es indemnizatoria y no salarial. 2) El reconocimiento de tal derecho y cuantificación, solo puede tener lugar en una acción de despido, por lo cual su exigencia está sometida al plazo general de caducidad que se da en este tipo de demandas (art. 103.1 LPL), como lo ha ratificado la Sala de lo Social del TS en sus sentencias. 3) El salario modulo que se utiliza para su cálculo, siempre normalmente y con independencia de ciertas especialidades, es el que se le entregaba al momento en que es despedido, o como muy gráficamente se suele decir, de acuerdo a la "última nómina", según indica la Sala de lo Social del Tribunal Supremo. 4) En consecuencia, estamos en presencia de un sistema legal de "tasación de carácter cerrado", por emplear los mismos términos que el Tribunal Constitucional en la sentencia ya citada. </w:t>
      </w:r>
    </w:p>
    <w:p w:rsidR="008B3772" w:rsidRDefault="008B3772" w:rsidP="008B3772">
      <w:pPr>
        <w:pStyle w:val="TextoNormal"/>
      </w:pPr>
      <w:r>
        <w:t xml:space="preserve">Concluye de todo lo anterior que, tomando en cuenta el carácter indemnizatorio de los salarios de tramitación y, por tanto, reparador del daño que al trabajador le ha causado la injusta decisión del empresario de despedirle, la supresión que efectúa el Real Decreto-ley sin otra alternativa indemnizatoria, que se concreta en no percibir retribución alguna durante un determinado periodo, conlleva que se vulnere el derecho constitucional a la tutela judicial efectiva, en cuanto que el Gobierno habría "establecido un impedimento insuperable para la adecuada individualización del real alcance o extensión del daño, cuando su reparación sea reclamada en el oportuno proceso, con lo que se frustra la legitima pretensión resarcitoria del dañado" (STC 181/2000, FJ 20). </w:t>
      </w:r>
    </w:p>
    <w:p w:rsidR="008B3772" w:rsidRDefault="008B3772" w:rsidP="008B3772">
      <w:pPr>
        <w:pStyle w:val="TextoNormal"/>
      </w:pPr>
      <w:r>
        <w:lastRenderedPageBreak/>
        <w:t xml:space="preserve">Considera, por último el Magistrado que no existe alternativa indemnizatoria al perjuicio que se le causa durante ese período, porque no puede tener esa consideración el que se le reconozcan las prestaciones por desempleo del nivel contributivo desde el día siguiente al que tiene lugar el despido, de acuerdo a la nueva redacción que le da el art. 1, núm. 3, del Real Decreto-ley, al art. 209, núm. 4, del RDL 1/94, de 20 de Junio, por el que se aprueba el Texto Refundido de la LGSS. Y ello dado que: 1) No puede tener este carácter cuando el derecho a las mismas se genera en virtud de una cotizaciones previas, con independencia de si el despido es procedente o improcedente, tal como se infiere del art. 210.1 LGSS, puesto en conexión con el art. 207.b) y sin perjuicio de los demás requisitos que en esta última norma se establecen en orden a su nacimiento. 2) Tampoco puede decirse que son equivalentes en su cuantía, ya que mientras los salarios de tramitación se calculan conforme al último salario percibido, a la hora de obtener la base reguladora de esta prestación se toman en cuenta los 180 días anteriores a la situación de desempleo (art. 211.1); y, sobre todo, lo que es más importante, no se le abona el 100% de la misma, sino únicamente el 70% y durante los primeros 180 días, siendo el porcentaje inferior en un periodo más amplio (art. 211.2); a lo que se añade que existe un tope máximo para su cuantía, el 170% del salario mínimo interprofesional, sin perjuicio de que concurran determinadas circunstancias familiares (art. 211.3). 3) De aceptarse la referida tesis se daría la paradoja de que, sin causar perjuicio alguno y por tanto no tener que indemnizar, las cantidades habrían de abonarse por un tercero ajeno al litigio, cual es el INEM (art. 226.1). 4) Consecuencia directa de lo anterior es que el injustamente despedido se viera sometido a otra "perdida", cual es que siendo limitada en el tiempo la duración máxima de las prestaciones por desempleo, y para ello hay que volver al art. 210.1, empieza a "gastar" las mismas, de manera anticipada. Además, no se cotiza por los salarios de tramitación a que antes venía obligada la empresa, lo que tiene una evidente dimensión prestacional para generar una hipotética mayor base reguladora y/o período de estas prestaciones. 5) Por último, la vulneración del art. 24.1 CE se hace aun más evidente en aquellos supuestos en los que el trabajador no tiene, con anterioridad a ser despedido, el período de carencia necesario para acceder a estas prestaciones, que como mínimo son 360 días, según el art. 210.1 LGSS. </w:t>
      </w:r>
    </w:p>
    <w:p w:rsidR="008B3772" w:rsidRDefault="008B3772" w:rsidP="008B3772">
      <w:pPr>
        <w:pStyle w:val="TextoNormal"/>
      </w:pPr>
      <w:r>
        <w:t>El Auto de planteamiento termina haciendo una breve referencia al art. 14 CE. Considera en relación con la vulneración del referido precepto que, aun partiendo del principio de aplicabilidad de la norma vigente en cada momento, en el presente caso el periodo de aplicabilidad del Real Decreto-ley 5/2002 (para lo cual hay que tomar en consideración su Disposición Transitoria Primera, puesta en relación con la Disposición Final Segunda, núm. 2; y, todo ello, con la Disposición Transitoria Primera y Disposición Derogatoria Única, letra e, de la Ley 45/2002), produce una clara desigualdad entre trabajadores que, partiendo de una situación idéntica, cual es que su despido ha sido declarado improcedente y la empresa ha optado por la no readmisión, se ven privados de tales salarios por el hecho de que tal evento ha tenido lugar entre el 26 de mayo y el 13 de diciembre de 2002, lo que a su juicio carece de suficiente base, que además pueda calificarse de objetiva y razonable, para que se les de ese tratamiento tan distinto.</w:t>
      </w:r>
    </w:p>
    <w:p w:rsidR="008B3772" w:rsidRDefault="008B3772" w:rsidP="008B3772">
      <w:pPr>
        <w:pStyle w:val="TextoNormal"/>
      </w:pPr>
    </w:p>
    <w:p w:rsidR="008B3772" w:rsidRDefault="008B3772" w:rsidP="008B3772">
      <w:pPr>
        <w:pStyle w:val="TextoNormal"/>
      </w:pPr>
      <w:r w:rsidRPr="008B3772">
        <w:rPr>
          <w:rStyle w:val="NumeroAFNegritaCaracter"/>
        </w:rPr>
        <w:t>4</w:t>
      </w:r>
      <w:r>
        <w:t xml:space="preserve">. Mediante providencia de 30 de septiembre de 2003 (BOE de 11 de octubre) la Sección Tercera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w:t>
      </w:r>
      <w:r>
        <w:lastRenderedPageBreak/>
        <w:t>plazo de quince días, pudieran personarse en el proceso y efectuar las alegaciones que estimasen convenientes.</w:t>
      </w:r>
    </w:p>
    <w:p w:rsidR="008B3772" w:rsidRDefault="008B3772" w:rsidP="008B3772">
      <w:pPr>
        <w:pStyle w:val="TextoNormal"/>
      </w:pPr>
    </w:p>
    <w:p w:rsidR="008B3772" w:rsidRDefault="008B3772" w:rsidP="008B3772">
      <w:pPr>
        <w:pStyle w:val="TextoNormal"/>
      </w:pPr>
      <w:r w:rsidRPr="008B3772">
        <w:rPr>
          <w:rStyle w:val="NumeroAFNegritaCaracter"/>
        </w:rPr>
        <w:t>5</w:t>
      </w:r>
      <w:r>
        <w:t>. El día 16 de octubre de 2003 la Presidenta del Congreso de los Diputados comunicó al Tribunal que dicha Cámara no se personaría en el proceso ni formularía alegaciones.</w:t>
      </w:r>
    </w:p>
    <w:p w:rsidR="008B3772" w:rsidRDefault="008B3772" w:rsidP="008B3772">
      <w:pPr>
        <w:pStyle w:val="TextoNormal"/>
      </w:pPr>
    </w:p>
    <w:p w:rsidR="008B3772" w:rsidRDefault="008B3772" w:rsidP="008B3772">
      <w:pPr>
        <w:pStyle w:val="TextoNormal"/>
      </w:pPr>
      <w:r w:rsidRPr="008B3772">
        <w:rPr>
          <w:rStyle w:val="NumeroAFNegritaCaracter"/>
        </w:rPr>
        <w:t>6</w:t>
      </w:r>
      <w:r>
        <w:t>. El Presidente del Senado, mediante escrito registrado el día 16 de octubre de 2003, comunicó que la Cámara se personaba en el proceso, ofreciendo su colaboración.</w:t>
      </w:r>
    </w:p>
    <w:p w:rsidR="008B3772" w:rsidRDefault="008B3772" w:rsidP="008B3772">
      <w:pPr>
        <w:pStyle w:val="TextoNormal"/>
      </w:pPr>
    </w:p>
    <w:p w:rsidR="008B3772" w:rsidRDefault="008B3772" w:rsidP="008B3772">
      <w:pPr>
        <w:pStyle w:val="TextoNormal"/>
      </w:pPr>
      <w:r w:rsidRPr="008B3772">
        <w:rPr>
          <w:rStyle w:val="NumeroAFNegritaCaracter"/>
        </w:rPr>
        <w:t>7</w:t>
      </w:r>
      <w:r>
        <w:t>. El Fiscal General del Estado presentó sus alegaciones mediante escrito registrado el día 23 de octubre de 2003, dando por reproducidas las efectuadas en relación con las cuestiones de inconstitucionalidad núms. 4814/02, 6567/02 y 5931/02, entre otras, suscitadas por el Juzgado de lo Social núm. 2 de Badajoz respecto de la misma norma y en relación con idénticos preceptos constitucionales. Junto a ello, añade el Fiscal su conformidad con el criterio manifestado por el órgano judicial proponente sobre el hecho de que lo acontecido con posterioridad a la entrada en vigor del Real Decreto-ley 5/2002, con la aprobación de la Ley 45/2002 y la restauración por la misma de los salarios de tramitación suprimidos por el RDL, refuerza la tesis proclive a la infracción de los límites legislativos del Gobierno ex art. 86.1 CE. Razones todas ellas por las que interesa la estimación de la cuestión planteada.</w:t>
      </w:r>
    </w:p>
    <w:p w:rsidR="008B3772" w:rsidRDefault="008B3772" w:rsidP="008B3772">
      <w:pPr>
        <w:pStyle w:val="TextoNormal"/>
      </w:pPr>
    </w:p>
    <w:p w:rsidR="008B3772" w:rsidRDefault="008B3772" w:rsidP="008B3772">
      <w:pPr>
        <w:pStyle w:val="TextoNormal"/>
      </w:pPr>
      <w:r w:rsidRPr="008B3772">
        <w:rPr>
          <w:rStyle w:val="NumeroAFNegritaCaracter"/>
        </w:rPr>
        <w:t>8</w:t>
      </w:r>
      <w:r>
        <w:t>. Mediante escrito registrado el día 24 de octubre de 2003 el Abogado del Estado presentó sus alegaciones remitiéndose íntegramente a las efectuadas en relación con anteriores cuestiones de inconstitucionalidad promovidas frente a los mismos preceptos y por supuesta infracción de las mismas normas constitucionales. A ello añade el criterio de considerar de encaje muy artificioso en el marco del art. 86 CE el argumento utilizado por el órgano judicial que atiende a la posterior promulgación de la Ley 45/2002, de 12 de diciembre, y al restablecimiento de los salarios de tramitación operado por la misma para demostrar la ausencia de presupuesto habilitante. El momento en que debe apreciarse la concurrencia de tal presupuesto es el instante de la promulgación de la norma, al margen del éxito de sus resultados o de la perduración de su vigencia. Por todo lo cual interesa la desestimación de la cuestión.</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El Juzgado de lo Social núm. 25 de Madrid plantea cuestión de inconstitucionalidad en relación con el artículo segundo, apartado tres, del Real Decreto-ley 5/2002, de 24 de mayo, de medidas urgentes para la reforma del sistema de protección por</w:t>
      </w:r>
    </w:p>
    <w:p w:rsidR="008B3772" w:rsidRDefault="008B3772" w:rsidP="008B3772">
      <w:pPr>
        <w:pStyle w:val="TextoNormal"/>
      </w:pPr>
      <w:r>
        <w:t>desempleo y mejora de la ocupabilidad, por posible vulneración de los arts. 14, 24.1 y 86.1 CE.</w:t>
      </w:r>
    </w:p>
    <w:p w:rsidR="008B3772" w:rsidRDefault="008B3772" w:rsidP="008B3772">
      <w:pPr>
        <w:pStyle w:val="TextoNormal"/>
      </w:pPr>
      <w:r>
        <w:t xml:space="preserve">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25 de Madrid ha </w:t>
      </w:r>
      <w:r>
        <w:lastRenderedPageBreak/>
        <w:t>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8B3772" w:rsidRDefault="008B3772" w:rsidP="008B3772">
      <w:pPr>
        <w:pStyle w:val="TextoNormal"/>
      </w:pPr>
    </w:p>
    <w:p w:rsidR="008B3772" w:rsidRDefault="008B3772" w:rsidP="008B3772">
      <w:pPr>
        <w:pStyle w:val="TextoNormal"/>
      </w:pPr>
      <w:r>
        <w:t>Por todo lo cual, el Pleno del Tribunal</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Declarar la extinción de la cuestión de inconstitucionalidad núm. 1196-2003, por desaparición sobrevenida de su objeto.</w:t>
      </w:r>
    </w:p>
    <w:p w:rsidR="008B3772" w:rsidRDefault="008B3772" w:rsidP="008B3772">
      <w:pPr>
        <w:pStyle w:val="TextoNormal"/>
      </w:pPr>
    </w:p>
    <w:p w:rsidR="008B3772" w:rsidRDefault="008B3772" w:rsidP="008B3772">
      <w:pPr>
        <w:pStyle w:val="TextoNormal"/>
      </w:pPr>
      <w:r>
        <w:t>Madrid, a diecinueve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69" w:name="AUTO_2007_305"/>
      <w:r>
        <w:lastRenderedPageBreak/>
        <w:t>AUTO 305/2007, de 19 de junio de 2007</w:t>
      </w:r>
    </w:p>
    <w:bookmarkEnd w:id="169"/>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ECLI:ES:TC:2007:305A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Acuerda la extinción de la cuestión de inconstitucionalidad 1306-2003, planteada por el Juzgado de lo Social núm. 2 de Badajoz en relación con el Real Decreto-ley 5/2002, de 24 de mayo.</w:t>
      </w:r>
    </w:p>
    <w:p w:rsidR="008B3772" w:rsidRDefault="008B3772" w:rsidP="008B3772">
      <w:pPr>
        <w:pStyle w:val="SntesisDescriptiva"/>
      </w:pPr>
    </w:p>
    <w:p w:rsidR="008B3772" w:rsidRDefault="008B3772" w:rsidP="008B3772">
      <w:pPr>
        <w:pStyle w:val="SntesisAnaltica"/>
      </w:pPr>
      <w:r>
        <w:t>Cuestión de inconstitucionalidad: ATC 290/2007.</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el Tribunal el día 7 de marzo de 2003, al que se acompaña el correspondiente Auto de 26 de febrero de 2003,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008B3772" w:rsidRDefault="008B3772" w:rsidP="008B3772">
      <w:pPr>
        <w:pStyle w:val="TextoNormal"/>
      </w:pPr>
    </w:p>
    <w:p w:rsidR="008B3772" w:rsidRDefault="008B3772" w:rsidP="008B3772">
      <w:pPr>
        <w:pStyle w:val="TextoNormal"/>
      </w:pPr>
      <w:r w:rsidRPr="008B3772">
        <w:rPr>
          <w:rStyle w:val="NumeroAFNegritaCaracter"/>
        </w:rPr>
        <w:t>2</w:t>
      </w:r>
      <w:r>
        <w:t>. La presente cuestión de inconstitucionalidad tiene su origen en la demanda por despido (1029/2002) interpuesta por don Javier Garrigós Barceló contra la empresa Great Value Task Force, SL. Conclusas las actuaciones, el Juez de lo Social dicta providencia de 7 de febrero de 2003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tanto el Ministerio Fiscal como el trabajador demandante informaron en el sentido de considerar procedente el planteamiento de la cuestión, mientras que la empresa demandada lo hizo en sentido contrario.</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w:t>
      </w:r>
      <w:r>
        <w:lastRenderedPageBreak/>
        <w:t xml:space="preserve">Decreto-ley 5/2002 y ha de ser declarado improcedente, llevando aparejada tal calificación, conforme a la citada normativa, la consecuencia del devengo de salarios de tramitación sólo si el empresario optara por readmitir al trabajador,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al trabajador los salarios correspondientes a la tramitación. </w:t>
      </w:r>
    </w:p>
    <w:p w:rsidR="008B3772" w:rsidRDefault="008B3772" w:rsidP="008B3772">
      <w:pPr>
        <w:pStyle w:val="TextoNormal"/>
      </w:pPr>
      <w: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008B3772" w:rsidRDefault="008B3772" w:rsidP="008B3772">
      <w:pPr>
        <w:pStyle w:val="TextoNormal"/>
      </w:pPr>
      <w:r>
        <w:t>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w:t>
      </w:r>
      <w:r>
        <w:lastRenderedPageBreak/>
        <w:t xml:space="preserve">rios de tramitación incluidos) o menos condena si opta por indemnizar (salarios de tramitación excluidos), por lo que o bien no hay tutela judicial o, si pudiera entenderse existente, ésta no sería efectiva. </w:t>
      </w:r>
    </w:p>
    <w:p w:rsidR="008B3772" w:rsidRDefault="008B3772" w:rsidP="008B3772">
      <w:pPr>
        <w:pStyle w:val="TextoNormal"/>
      </w:pPr>
      <w: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008B3772" w:rsidRDefault="008B3772" w:rsidP="008B3772">
      <w:pPr>
        <w:pStyle w:val="TextoNormal"/>
      </w:pPr>
      <w:r>
        <w:t>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008B3772" w:rsidRDefault="008B3772" w:rsidP="008B3772">
      <w:pPr>
        <w:pStyle w:val="TextoNormal"/>
      </w:pPr>
    </w:p>
    <w:p w:rsidR="008B3772" w:rsidRDefault="008B3772" w:rsidP="008B3772">
      <w:pPr>
        <w:pStyle w:val="TextoNormal"/>
      </w:pPr>
      <w:r w:rsidRPr="008B3772">
        <w:rPr>
          <w:rStyle w:val="NumeroAFNegritaCaracter"/>
        </w:rPr>
        <w:t>4</w:t>
      </w:r>
      <w:r>
        <w:t>. Mediante providencia de 29 de abril de 2003 (BOE de 17 de mayo) la Sección Cuarta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008B3772" w:rsidRDefault="008B3772" w:rsidP="008B3772">
      <w:pPr>
        <w:pStyle w:val="TextoNormal"/>
      </w:pPr>
    </w:p>
    <w:p w:rsidR="008B3772" w:rsidRDefault="008B3772" w:rsidP="008B3772">
      <w:pPr>
        <w:pStyle w:val="TextoNormal"/>
      </w:pPr>
      <w:r w:rsidRPr="008B3772">
        <w:rPr>
          <w:rStyle w:val="NumeroAFNegritaCaracter"/>
        </w:rPr>
        <w:t>5</w:t>
      </w:r>
      <w:r>
        <w:t>. El día 16 de mayo de 2003 la Presidenta del Congreso de los Diputados comunicó al Tribunal que dicha Cámara no se personaría en el proceso ni formularía alegaciones.</w:t>
      </w:r>
    </w:p>
    <w:p w:rsidR="008B3772" w:rsidRDefault="008B3772" w:rsidP="008B3772">
      <w:pPr>
        <w:pStyle w:val="TextoNormal"/>
      </w:pPr>
    </w:p>
    <w:p w:rsidR="008B3772" w:rsidRDefault="008B3772" w:rsidP="008B3772">
      <w:pPr>
        <w:pStyle w:val="TextoNormal"/>
      </w:pPr>
      <w:r w:rsidRPr="008B3772">
        <w:rPr>
          <w:rStyle w:val="NumeroAFNegritaCaracter"/>
        </w:rPr>
        <w:t>6</w:t>
      </w:r>
      <w:r>
        <w:t>. Mediante escrito registrado el día 19 de mayo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7</w:t>
      </w:r>
      <w:r>
        <w:t>. El Presidente del Senado, mediante escrito registrado el día 23 de mayo de 2003, comunicó que la Cámara se personaba en el proceso, ofreciendo su colaboración.</w:t>
      </w:r>
    </w:p>
    <w:p w:rsidR="008B3772" w:rsidRDefault="008B3772" w:rsidP="008B3772">
      <w:pPr>
        <w:pStyle w:val="TextoNormal"/>
      </w:pPr>
    </w:p>
    <w:p w:rsidR="008B3772" w:rsidRDefault="008B3772" w:rsidP="008B3772">
      <w:pPr>
        <w:pStyle w:val="TextoNormal"/>
      </w:pPr>
      <w:r w:rsidRPr="008B3772">
        <w:rPr>
          <w:rStyle w:val="NumeroAFNegritaCaracter"/>
        </w:rPr>
        <w:t>8</w:t>
      </w:r>
      <w:r>
        <w:t>. El Fiscal General del Estado presentó sus alegaciones mediante escrito registrado el día 23 de mayo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El Juzgado de lo Social núm. 2 de Badajoz plantea cuestión de inconstitucionalidad en relación con el artículo segundo, apartado tres, del Real Decreto-ley 5/2002, de 24 de mayo, de medidas urgentes para la reforma del sistema de protección por</w:t>
      </w:r>
    </w:p>
    <w:p w:rsidR="008B3772" w:rsidRDefault="008B3772" w:rsidP="008B3772">
      <w:pPr>
        <w:pStyle w:val="TextoNormal"/>
      </w:pPr>
      <w:r>
        <w:t>desempleo y mejora de la ocupabilidad, por posible vulneración de los arts. 14, 24, 35 y 86.1 CE.</w:t>
      </w:r>
    </w:p>
    <w:p w:rsidR="008B3772" w:rsidRDefault="008B3772" w:rsidP="008B3772">
      <w:pPr>
        <w:pStyle w:val="TextoNormal"/>
      </w:pPr>
      <w:r>
        <w:t>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8B3772" w:rsidRDefault="008B3772" w:rsidP="008B3772">
      <w:pPr>
        <w:pStyle w:val="TextoNormal"/>
      </w:pPr>
    </w:p>
    <w:p w:rsidR="008B3772" w:rsidRDefault="008B3772" w:rsidP="008B3772">
      <w:pPr>
        <w:pStyle w:val="TextoNormal"/>
      </w:pPr>
      <w:r>
        <w:t>Por todo lo cual, el Pleno del Tribunal</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Declarar la extinción de la cuestión de inconstitucionalidad núm. 1306-2003, por desaparición sobrevenida de su objeto.</w:t>
      </w:r>
    </w:p>
    <w:p w:rsidR="008B3772" w:rsidRDefault="008B3772" w:rsidP="008B3772">
      <w:pPr>
        <w:pStyle w:val="TextoNormal"/>
      </w:pPr>
    </w:p>
    <w:p w:rsidR="008B3772" w:rsidRDefault="008B3772" w:rsidP="008B3772">
      <w:pPr>
        <w:pStyle w:val="TextoNormal"/>
      </w:pPr>
      <w:r>
        <w:t>Madrid, a diecinueve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70" w:name="AUTO_2007_306"/>
      <w:r>
        <w:lastRenderedPageBreak/>
        <w:t>AUTO 306/2007, de 19 de junio de 2007</w:t>
      </w:r>
    </w:p>
    <w:bookmarkEnd w:id="170"/>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ECLI:ES:TC:2007:306A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Acuerda la extinción de la cuestión de inconstitucionalidad 1553-2003, planteada por el Juzgado de lo Social núm. 2 de Badajoz en relación con el Real Decreto-ley 5/2002, de 24 de mayo.</w:t>
      </w:r>
    </w:p>
    <w:p w:rsidR="008B3772" w:rsidRDefault="008B3772" w:rsidP="008B3772">
      <w:pPr>
        <w:pStyle w:val="SntesisDescriptiva"/>
      </w:pPr>
    </w:p>
    <w:p w:rsidR="008B3772" w:rsidRDefault="008B3772" w:rsidP="008B3772">
      <w:pPr>
        <w:pStyle w:val="SntesisAnaltica"/>
      </w:pPr>
      <w:r>
        <w:t>Cuestión de inconstitucionalidad: ATC 290/2007.</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el Tribunal el día 18 de marzo de 2003, al que se acompaña el correspondiente Auto de 28 de febrero de 2003,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008B3772" w:rsidRDefault="008B3772" w:rsidP="008B3772">
      <w:pPr>
        <w:pStyle w:val="TextoNormal"/>
      </w:pPr>
    </w:p>
    <w:p w:rsidR="008B3772" w:rsidRDefault="008B3772" w:rsidP="008B3772">
      <w:pPr>
        <w:pStyle w:val="TextoNormal"/>
      </w:pPr>
      <w:r w:rsidRPr="008B3772">
        <w:rPr>
          <w:rStyle w:val="NumeroAFNegritaCaracter"/>
        </w:rPr>
        <w:t>2</w:t>
      </w:r>
      <w:r>
        <w:t>. La presente cuestión de inconstitucionalidad tiene su origen en la demanda por despido (1034/2002) interpuesta por doña Manuela Carrasco Trujillo y dos más contra la empresa Enaco, SA. Conclusas las actuaciones, el Juez de lo Social dicta providencia de 12 de febrero de 2003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el Ministerio Fiscal informó en el sentido de considerar procedente el planteamiento de la cuestión, mientras que la entidad mercantil demandada lo hizo en el sentido contrario.</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w:t>
      </w:r>
      <w:r>
        <w:lastRenderedPageBreak/>
        <w:t xml:space="preserve">Decreto-ley 5/2002 y ha de ser declarado improcedente, llevando aparejada tal calificación, conforme a la citada normativa, la consecuencia del devengo de salarios de tramitación sólo si el empresario optara por readmitir a los trabajadores, mientras que en el caso de que optara por indemnizarles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 los trabajadores los salarios correspondientes a la tramitación. </w:t>
      </w:r>
    </w:p>
    <w:p w:rsidR="008B3772" w:rsidRDefault="008B3772" w:rsidP="008B3772">
      <w:pPr>
        <w:pStyle w:val="TextoNormal"/>
      </w:pPr>
      <w: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008B3772" w:rsidRDefault="008B3772" w:rsidP="008B3772">
      <w:pPr>
        <w:pStyle w:val="TextoNormal"/>
      </w:pPr>
      <w:r>
        <w:t>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w:t>
      </w:r>
      <w:r>
        <w:lastRenderedPageBreak/>
        <w:t xml:space="preserve">rios de tramitación incluidos) o menos condena si opta por indemnizar (salarios de tramitación excluidos), por lo que o bien no hay tutela judicial o, si pudiera entenderse existente, ésta no sería efectiva. </w:t>
      </w:r>
    </w:p>
    <w:p w:rsidR="008B3772" w:rsidRDefault="008B3772" w:rsidP="008B3772">
      <w:pPr>
        <w:pStyle w:val="TextoNormal"/>
      </w:pPr>
      <w: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008B3772" w:rsidRDefault="008B3772" w:rsidP="008B3772">
      <w:pPr>
        <w:pStyle w:val="TextoNormal"/>
      </w:pPr>
      <w:r>
        <w:t>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008B3772" w:rsidRDefault="008B3772" w:rsidP="008B3772">
      <w:pPr>
        <w:pStyle w:val="TextoNormal"/>
      </w:pPr>
    </w:p>
    <w:p w:rsidR="008B3772" w:rsidRDefault="008B3772" w:rsidP="008B3772">
      <w:pPr>
        <w:pStyle w:val="TextoNormal"/>
      </w:pPr>
      <w:r w:rsidRPr="008B3772">
        <w:rPr>
          <w:rStyle w:val="NumeroAFNegritaCaracter"/>
        </w:rPr>
        <w:t>4</w:t>
      </w:r>
      <w:r>
        <w:t>. Mediante providencia de 29 de abril de 2003 (BOE de 17 de mayo) la Sección Cuarta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008B3772" w:rsidRDefault="008B3772" w:rsidP="008B3772">
      <w:pPr>
        <w:pStyle w:val="TextoNormal"/>
      </w:pPr>
    </w:p>
    <w:p w:rsidR="008B3772" w:rsidRDefault="008B3772" w:rsidP="008B3772">
      <w:pPr>
        <w:pStyle w:val="TextoNormal"/>
      </w:pPr>
      <w:r w:rsidRPr="008B3772">
        <w:rPr>
          <w:rStyle w:val="NumeroAFNegritaCaracter"/>
        </w:rPr>
        <w:t>5</w:t>
      </w:r>
      <w:r>
        <w:t>. El día 16 de mayo de 2003 la Presidenta del Congreso de los Diputados comunicó al Tribunal que dicha Cámara no se personaría en el proceso ni formularía alegaciones.</w:t>
      </w:r>
    </w:p>
    <w:p w:rsidR="008B3772" w:rsidRDefault="008B3772" w:rsidP="008B3772">
      <w:pPr>
        <w:pStyle w:val="TextoNormal"/>
      </w:pPr>
    </w:p>
    <w:p w:rsidR="008B3772" w:rsidRDefault="008B3772" w:rsidP="008B3772">
      <w:pPr>
        <w:pStyle w:val="TextoNormal"/>
      </w:pPr>
      <w:r w:rsidRPr="008B3772">
        <w:rPr>
          <w:rStyle w:val="NumeroAFNegritaCaracter"/>
        </w:rPr>
        <w:t>6</w:t>
      </w:r>
      <w:r>
        <w:t>. Mediante escrito registrado el día 19 de mayo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7</w:t>
      </w:r>
      <w:r>
        <w:t>. El Presidente del Senado, mediante escrito registrado el día 23 de mayo de 2003, comunicó que la Cámara se personaba en el proceso, ofreciendo su colaboración.</w:t>
      </w:r>
    </w:p>
    <w:p w:rsidR="008B3772" w:rsidRDefault="008B3772" w:rsidP="008B3772">
      <w:pPr>
        <w:pStyle w:val="TextoNormal"/>
      </w:pPr>
    </w:p>
    <w:p w:rsidR="008B3772" w:rsidRDefault="008B3772" w:rsidP="008B3772">
      <w:pPr>
        <w:pStyle w:val="TextoNormal"/>
      </w:pPr>
      <w:r w:rsidRPr="008B3772">
        <w:rPr>
          <w:rStyle w:val="NumeroAFNegritaCaracter"/>
        </w:rPr>
        <w:t>8</w:t>
      </w:r>
      <w:r>
        <w:t>. El Fiscal General del Estado presentó sus alegaciones mediante escrito registrado el día 23 de mayo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008B3772" w:rsidRDefault="008B3772" w:rsidP="008B3772">
      <w:pPr>
        <w:pStyle w:val="TextoNormal"/>
      </w:pPr>
    </w:p>
    <w:p w:rsidR="008B3772" w:rsidRDefault="008B3772" w:rsidP="008B3772">
      <w:pPr>
        <w:pStyle w:val="TextoNormal"/>
      </w:pPr>
      <w:r w:rsidRPr="008B3772">
        <w:rPr>
          <w:rStyle w:val="NumeroAFNegritaCaracter"/>
        </w:rPr>
        <w:t>9</w:t>
      </w:r>
      <w:r>
        <w:t>. Por escrito registrado en este Tribunal el día 2 de junio de 2003 el Juzgado de lo Social núm. 2 de Badajoz remitió testimonio de la Sentencia dictada el 16 de mayo de 2003 en cuya parte dispositiva se declara resuelta en dicha fecha la relación laboral entre las partes y se condena a la demandada a mantener en alta durante el período de tramitación a los trabajadores, indemnizándoles en la suma que en el fallo se indica.</w:t>
      </w:r>
    </w:p>
    <w:p w:rsidR="008B3772" w:rsidRDefault="008B3772" w:rsidP="008B3772">
      <w:pPr>
        <w:pStyle w:val="TextoNormal"/>
      </w:pPr>
    </w:p>
    <w:p w:rsidR="008B3772" w:rsidRDefault="008B3772" w:rsidP="008B3772">
      <w:pPr>
        <w:pStyle w:val="TextoNormal"/>
      </w:pPr>
      <w:r w:rsidRPr="008B3772">
        <w:rPr>
          <w:rStyle w:val="NumeroAFNegritaCaracter"/>
        </w:rPr>
        <w:t>10</w:t>
      </w:r>
      <w:r>
        <w:t>. Por providencia de 15 de julio de 2003 la Sección Cuarta acordó oír al Ministerio Fiscal y al Abogado del Estado para que, en plazo de diez días, pudieran alegar lo que estimaran conveniente en relación con la incidencia que, en la pérdida de objeto de la presente cuestión de inconstitucionalidad, pudiera tener la Sentencia dictada en el procedimiento de despido en que aquélla se planteó.</w:t>
      </w:r>
    </w:p>
    <w:p w:rsidR="008B3772" w:rsidRDefault="008B3772" w:rsidP="008B3772">
      <w:pPr>
        <w:pStyle w:val="TextoNormal"/>
      </w:pPr>
    </w:p>
    <w:p w:rsidR="008B3772" w:rsidRDefault="008B3772" w:rsidP="008B3772">
      <w:pPr>
        <w:pStyle w:val="TextoNormal"/>
      </w:pPr>
      <w:r w:rsidRPr="008B3772">
        <w:rPr>
          <w:rStyle w:val="NumeroAFNegritaCaracter"/>
        </w:rPr>
        <w:t>11</w:t>
      </w:r>
      <w:r>
        <w:t>. Por escrito registrado el 22 de julio de 2003 el Abogado del Estado presentó sus alegaciones en el sentido de considerar que, al no constar la firmeza de la Sentencia referida, de confirmarse esta falta de firmeza no debería procederse al archivo de la cuestión.</w:t>
      </w:r>
    </w:p>
    <w:p w:rsidR="008B3772" w:rsidRDefault="008B3772" w:rsidP="008B3772">
      <w:pPr>
        <w:pStyle w:val="TextoNormal"/>
      </w:pPr>
    </w:p>
    <w:p w:rsidR="008B3772" w:rsidRDefault="008B3772" w:rsidP="008B3772">
      <w:pPr>
        <w:pStyle w:val="TextoNormal"/>
      </w:pPr>
      <w:r w:rsidRPr="008B3772">
        <w:rPr>
          <w:rStyle w:val="NumeroAFNegritaCaracter"/>
        </w:rPr>
        <w:t>12</w:t>
      </w:r>
      <w:r>
        <w:t>. El Fiscal General del Estado evacuó el trámite conferido mediante escrito registrado el 28 de julio de 2003, en el que estimó concurrente la pérdida de objeto consultada.</w:t>
      </w:r>
    </w:p>
    <w:p w:rsidR="008B3772" w:rsidRDefault="008B3772" w:rsidP="008B3772">
      <w:pPr>
        <w:pStyle w:val="TextoNormal"/>
      </w:pPr>
    </w:p>
    <w:p w:rsidR="008B3772" w:rsidRDefault="008B3772" w:rsidP="008B3772">
      <w:pPr>
        <w:pStyle w:val="TextoNormal"/>
      </w:pPr>
      <w:r w:rsidRPr="008B3772">
        <w:rPr>
          <w:rStyle w:val="NumeroAFNegritaCaracter"/>
        </w:rPr>
        <w:t>13</w:t>
      </w:r>
      <w:r>
        <w:t>. Mediante escrito registrado el 1 de junio de 2004, el Juzgado de lo Social núm. 2 de Badajoz remitió testimonio de la Sentencia de suplicación dictada el 9 de septiembre de 2003 por la Sala de lo Social del Tribunal Superior de Justicia de Extremadura, que decretaba la nulidad de la Sentencia del Juzgado de lo Social de 16 de mayo de 2003.</w:t>
      </w:r>
    </w:p>
    <w:p w:rsidR="008B3772" w:rsidRDefault="008B3772" w:rsidP="008B3772">
      <w:pPr>
        <w:pStyle w:val="TextoNormal"/>
      </w:pPr>
    </w:p>
    <w:p w:rsidR="008B3772" w:rsidRDefault="008B3772" w:rsidP="008B3772">
      <w:pPr>
        <w:pStyle w:val="TextoNormal"/>
      </w:pPr>
      <w:r w:rsidRPr="008B3772">
        <w:rPr>
          <w:rStyle w:val="NumeroAFNegritaCaracter"/>
        </w:rPr>
        <w:t>14</w:t>
      </w:r>
      <w:r>
        <w:t>. Por providencia de 2 de febrero de 2005 la Sección Tercera acordó hacer entrega al Ministerio Fiscal y al Abogado del Estado de copia de la Sentencia dictada por la Sala de lo Social del Tribunal Superior de Justicia de Extremadura, a fin de que, en plazo de diez días, completaran las alegaciones formuladas en virtud del traslado conferido por providencia de 15 de julio de 2003.</w:t>
      </w:r>
    </w:p>
    <w:p w:rsidR="008B3772" w:rsidRDefault="008B3772" w:rsidP="008B3772">
      <w:pPr>
        <w:pStyle w:val="TextoNormal"/>
      </w:pPr>
    </w:p>
    <w:p w:rsidR="008B3772" w:rsidRDefault="008B3772" w:rsidP="008B3772">
      <w:pPr>
        <w:pStyle w:val="TextoNormal"/>
      </w:pPr>
      <w:r w:rsidRPr="008B3772">
        <w:rPr>
          <w:rStyle w:val="NumeroAFNegritaCaracter"/>
        </w:rPr>
        <w:t>15</w:t>
      </w:r>
      <w:r>
        <w:t>. Mediante escrito registrado el 11 de febrero de 2005 el Abogado del Estado formuló sus observaciones en el sentido de estimar subsistente el objeto de la cuestión.</w:t>
      </w:r>
    </w:p>
    <w:p w:rsidR="008B3772" w:rsidRDefault="008B3772" w:rsidP="008B3772">
      <w:pPr>
        <w:pStyle w:val="TextoNormal"/>
      </w:pPr>
    </w:p>
    <w:p w:rsidR="008B3772" w:rsidRDefault="008B3772" w:rsidP="008B3772">
      <w:pPr>
        <w:pStyle w:val="TextoNormal"/>
      </w:pPr>
      <w:r w:rsidRPr="008B3772">
        <w:rPr>
          <w:rStyle w:val="NumeroAFNegritaCaracter"/>
        </w:rPr>
        <w:t>16</w:t>
      </w:r>
      <w:r>
        <w:t>. Mediante escrito registrado el 17 de febrero de 2005 el Fiscal General del Estado señaló igualmente que había que entender no concurrente la pérdida sobrevenida de objeto de la cuestión.</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El Juzgado de lo Social núm. 2 de Badajoz plantea cuestión de inconstitucionalidad en relación con el artículo segundo, apartado tres, del Real Decreto-ley 5/2002, de 24 de mayo, de medidas urgentes para la reforma del sistema de protección por</w:t>
      </w:r>
    </w:p>
    <w:p w:rsidR="008B3772" w:rsidRDefault="008B3772" w:rsidP="008B3772">
      <w:pPr>
        <w:pStyle w:val="TextoNormal"/>
      </w:pPr>
      <w:r>
        <w:t>desempleo y mejora de la ocupabilidad, por posible vulneración de los arts. 14, 24, 35 y 86.1 CE.</w:t>
      </w:r>
    </w:p>
    <w:p w:rsidR="008B3772" w:rsidRDefault="008B3772" w:rsidP="008B3772">
      <w:pPr>
        <w:pStyle w:val="TextoNormal"/>
      </w:pPr>
      <w:r>
        <w:t>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8B3772" w:rsidRDefault="008B3772" w:rsidP="008B3772">
      <w:pPr>
        <w:pStyle w:val="TextoNormal"/>
      </w:pPr>
    </w:p>
    <w:p w:rsidR="008B3772" w:rsidRDefault="008B3772" w:rsidP="008B3772">
      <w:pPr>
        <w:pStyle w:val="TextoNormal"/>
      </w:pPr>
      <w:r>
        <w:t>Por todo lo cual, el Pleno del Tribunal</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Declarar la extinción de la cuestión de inconstitucionalidad núm. 1553-2003, por desaparición sobrevenida de su objeto.</w:t>
      </w:r>
    </w:p>
    <w:p w:rsidR="008B3772" w:rsidRDefault="008B3772" w:rsidP="008B3772">
      <w:pPr>
        <w:pStyle w:val="TextoNormal"/>
      </w:pPr>
    </w:p>
    <w:p w:rsidR="008B3772" w:rsidRDefault="008B3772" w:rsidP="008B3772">
      <w:pPr>
        <w:pStyle w:val="TextoNormal"/>
      </w:pPr>
      <w:r>
        <w:t>Madrid, a diecinueve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71" w:name="AUTO_2007_307"/>
      <w:r>
        <w:lastRenderedPageBreak/>
        <w:t>AUTO 307/2007, de 19 de junio de 2007</w:t>
      </w:r>
    </w:p>
    <w:bookmarkEnd w:id="171"/>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ECLI:ES:TC:2007:307A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Acuerda la extinción de la cuestión de inconstitucionalidad 1913-2003, planteada por el Juzgado de lo Social núm. 2 de Badajoz en relación con el Real Decreto-ley 5/2002, de 24 de mayo.</w:t>
      </w:r>
    </w:p>
    <w:p w:rsidR="008B3772" w:rsidRDefault="008B3772" w:rsidP="008B3772">
      <w:pPr>
        <w:pStyle w:val="SntesisDescriptiva"/>
      </w:pPr>
    </w:p>
    <w:p w:rsidR="008B3772" w:rsidRDefault="008B3772" w:rsidP="008B3772">
      <w:pPr>
        <w:pStyle w:val="SntesisAnaltica"/>
      </w:pPr>
      <w:r>
        <w:t>Cuestión de inconstitucionalidad: ATC 290/2007.</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el Tribunal el día 2 de abril de 2003, al que se acompaña el correspondiente Auto de 20 de marzo de 2003,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008B3772" w:rsidRDefault="008B3772" w:rsidP="008B3772">
      <w:pPr>
        <w:pStyle w:val="TextoNormal"/>
      </w:pPr>
    </w:p>
    <w:p w:rsidR="008B3772" w:rsidRDefault="008B3772" w:rsidP="008B3772">
      <w:pPr>
        <w:pStyle w:val="TextoNormal"/>
      </w:pPr>
      <w:r w:rsidRPr="008B3772">
        <w:rPr>
          <w:rStyle w:val="NumeroAFNegritaCaracter"/>
        </w:rPr>
        <w:t>2</w:t>
      </w:r>
      <w:r>
        <w:t>. La presente cuestión de inconstitucionalidad tiene su origen en la demanda por despido (1072/2002) interpuesta por don José Javier Donoso Juez contra la empresa Distribuidora Internacional de Alimentación, SA. (DIA, SA.). Conclusas las actuaciones, el Juez de lo Social dicta providencia de 20 de febrero de 2003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el Ministerio Fiscal informó en el sentido de considerar procedente el planteamiento de la cuestión, mientras que la empresa demandada lo hizo en sentido contrario.</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w:t>
      </w:r>
      <w:r>
        <w:lastRenderedPageBreak/>
        <w:t xml:space="preserve">Decreto-ley 5/2002 y ha de ser declarado improcedente, llevando aparejada tal calificación, conforme a la citada normativa, la consecuencia del devengo de salarios de tramitación sólo si el empresario optara por readmitir al trabajador,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al trabajador los salarios correspondientes a la tramitación. </w:t>
      </w:r>
    </w:p>
    <w:p w:rsidR="008B3772" w:rsidRDefault="008B3772" w:rsidP="008B3772">
      <w:pPr>
        <w:pStyle w:val="TextoNormal"/>
      </w:pPr>
      <w: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008B3772" w:rsidRDefault="008B3772" w:rsidP="008B3772">
      <w:pPr>
        <w:pStyle w:val="TextoNormal"/>
      </w:pPr>
      <w:r>
        <w:t>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w:t>
      </w:r>
      <w:r>
        <w:lastRenderedPageBreak/>
        <w:t xml:space="preserve">rios de tramitación incluidos) o menos condena si opta por indemnizar (salarios de tramitación excluidos), por lo que o bien no hay tutela judicial o, si pudiera entenderse existente, ésta no sería efectiva. </w:t>
      </w:r>
    </w:p>
    <w:p w:rsidR="008B3772" w:rsidRDefault="008B3772" w:rsidP="008B3772">
      <w:pPr>
        <w:pStyle w:val="TextoNormal"/>
      </w:pPr>
      <w: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008B3772" w:rsidRDefault="008B3772" w:rsidP="008B3772">
      <w:pPr>
        <w:pStyle w:val="TextoNormal"/>
      </w:pPr>
      <w:r>
        <w:t>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008B3772" w:rsidRDefault="008B3772" w:rsidP="008B3772">
      <w:pPr>
        <w:pStyle w:val="TextoNormal"/>
      </w:pPr>
    </w:p>
    <w:p w:rsidR="008B3772" w:rsidRDefault="008B3772" w:rsidP="008B3772">
      <w:pPr>
        <w:pStyle w:val="TextoNormal"/>
      </w:pPr>
      <w:r w:rsidRPr="008B3772">
        <w:rPr>
          <w:rStyle w:val="NumeroAFNegritaCaracter"/>
        </w:rPr>
        <w:t>4</w:t>
      </w:r>
      <w:r>
        <w:t>. Mediante providencia de 29 de abril de 2003 (BOE de 17 de mayo) la Sección Cuarta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008B3772" w:rsidRDefault="008B3772" w:rsidP="008B3772">
      <w:pPr>
        <w:pStyle w:val="TextoNormal"/>
      </w:pPr>
    </w:p>
    <w:p w:rsidR="008B3772" w:rsidRDefault="008B3772" w:rsidP="008B3772">
      <w:pPr>
        <w:pStyle w:val="TextoNormal"/>
      </w:pPr>
      <w:r w:rsidRPr="008B3772">
        <w:rPr>
          <w:rStyle w:val="NumeroAFNegritaCaracter"/>
        </w:rPr>
        <w:t>5</w:t>
      </w:r>
      <w:r>
        <w:t>. El día 16 de mayo de 2003 la Presidenta del Congreso de los Diputados comunicó al Tribunal que dicha Cámara no se personaría en el proceso ni formularía alegaciones.</w:t>
      </w:r>
    </w:p>
    <w:p w:rsidR="008B3772" w:rsidRDefault="008B3772" w:rsidP="008B3772">
      <w:pPr>
        <w:pStyle w:val="TextoNormal"/>
      </w:pPr>
    </w:p>
    <w:p w:rsidR="008B3772" w:rsidRDefault="008B3772" w:rsidP="008B3772">
      <w:pPr>
        <w:pStyle w:val="TextoNormal"/>
      </w:pPr>
      <w:r w:rsidRPr="008B3772">
        <w:rPr>
          <w:rStyle w:val="NumeroAFNegritaCaracter"/>
        </w:rPr>
        <w:t>6</w:t>
      </w:r>
      <w:r>
        <w:t>. Mediante escrito registrado el día 19 de mayo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7</w:t>
      </w:r>
      <w:r>
        <w:t>. El Presidente del Senado, mediante escrito registrado el día 23 de mayo de 2003, comunicó que la Cámara se personaba en el proceso, ofreciendo su colaboración.</w:t>
      </w:r>
    </w:p>
    <w:p w:rsidR="008B3772" w:rsidRDefault="008B3772" w:rsidP="008B3772">
      <w:pPr>
        <w:pStyle w:val="TextoNormal"/>
      </w:pPr>
    </w:p>
    <w:p w:rsidR="008B3772" w:rsidRDefault="008B3772" w:rsidP="008B3772">
      <w:pPr>
        <w:pStyle w:val="TextoNormal"/>
      </w:pPr>
      <w:r w:rsidRPr="008B3772">
        <w:rPr>
          <w:rStyle w:val="NumeroAFNegritaCaracter"/>
        </w:rPr>
        <w:t>8</w:t>
      </w:r>
      <w:r>
        <w:t>. El Fiscal General del Estado presentó sus alegaciones mediante escrito registrado el día 23 de mayo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El Juzgado de lo Social núm. 2 de Badajoz plantea cuestión de inconstitucionalidad en relación con el artículo segundo, apartado tres, del Real Decreto-ley 5/2002, de 24 de mayo, de medidas urgentes para la reforma del sistema de protección por</w:t>
      </w:r>
    </w:p>
    <w:p w:rsidR="008B3772" w:rsidRDefault="008B3772" w:rsidP="008B3772">
      <w:pPr>
        <w:pStyle w:val="TextoNormal"/>
      </w:pPr>
      <w:r>
        <w:t>desempleo y mejora de la ocupabilidad, por posible vulneración de los arts. 14, 24, 35 y 86.1 CE.</w:t>
      </w:r>
    </w:p>
    <w:p w:rsidR="008B3772" w:rsidRDefault="008B3772" w:rsidP="008B3772">
      <w:pPr>
        <w:pStyle w:val="TextoNormal"/>
      </w:pPr>
      <w:r>
        <w:t>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8B3772" w:rsidRDefault="008B3772" w:rsidP="008B3772">
      <w:pPr>
        <w:pStyle w:val="TextoNormal"/>
      </w:pPr>
    </w:p>
    <w:p w:rsidR="008B3772" w:rsidRDefault="008B3772" w:rsidP="008B3772">
      <w:pPr>
        <w:pStyle w:val="TextoNormal"/>
      </w:pPr>
      <w:r>
        <w:t>Por todo lo cual, el Pleno del Tribunal</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Declarar la extinción de la cuestión de inconstitucionalidad núm. 1913-2003, por desaparición sobrevenida de su objeto.</w:t>
      </w:r>
    </w:p>
    <w:p w:rsidR="008B3772" w:rsidRDefault="008B3772" w:rsidP="008B3772">
      <w:pPr>
        <w:pStyle w:val="TextoNormal"/>
      </w:pPr>
    </w:p>
    <w:p w:rsidR="008B3772" w:rsidRDefault="008B3772" w:rsidP="008B3772">
      <w:pPr>
        <w:pStyle w:val="TextoNormal"/>
      </w:pPr>
      <w:r>
        <w:t>Madrid, a diecinueve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72" w:name="AUTO_2007_308"/>
      <w:r>
        <w:lastRenderedPageBreak/>
        <w:t>AUTO 308/2007, de 19 de junio de 2007</w:t>
      </w:r>
    </w:p>
    <w:bookmarkEnd w:id="172"/>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ECLI:ES:TC:2007:308A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Acuerda la extinción de la cuestión de inconstitucionalidad 1914-2003, planteada por el Juzgado de lo Social núm. 2 de Badajoz en relación con el Real Decreto-ley 5/2002, de 24 de mayo.</w:t>
      </w:r>
    </w:p>
    <w:p w:rsidR="008B3772" w:rsidRDefault="008B3772" w:rsidP="008B3772">
      <w:pPr>
        <w:pStyle w:val="SntesisDescriptiva"/>
      </w:pPr>
    </w:p>
    <w:p w:rsidR="008B3772" w:rsidRDefault="008B3772" w:rsidP="008B3772">
      <w:pPr>
        <w:pStyle w:val="SntesisAnaltica"/>
      </w:pPr>
      <w:r>
        <w:t>Cuestión de inconstitucionalidad: ATC 290/2007.</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el Tribunal el día 2 de abril de 2003, al que se acompaña el correspondiente Auto de 20 de marzo de 2003,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008B3772" w:rsidRDefault="008B3772" w:rsidP="008B3772">
      <w:pPr>
        <w:pStyle w:val="TextoNormal"/>
      </w:pPr>
    </w:p>
    <w:p w:rsidR="008B3772" w:rsidRDefault="008B3772" w:rsidP="008B3772">
      <w:pPr>
        <w:pStyle w:val="TextoNormal"/>
      </w:pPr>
      <w:r w:rsidRPr="008B3772">
        <w:rPr>
          <w:rStyle w:val="NumeroAFNegritaCaracter"/>
        </w:rPr>
        <w:t>2</w:t>
      </w:r>
      <w:r>
        <w:t>. La presente cuestión de inconstitucionalidad tiene su origen en la demanda por despido (2/2003) interpuesta por don Pablo Carballo Gómez contra la empresa Plata Recio, SL. Conclusas las actuaciones, el Juez de lo Social dicta providencia de 20 de febrero de 2003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tanto el Ministerio Fiscal como el trabajador demandante informaron en el sentido de considerar procedente el planteamiento de la cuestión.</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Decreto-ley 5/2002 y ha de ser declarado improcedente, llevando aparejada tal calificación, </w:t>
      </w:r>
      <w:r>
        <w:lastRenderedPageBreak/>
        <w:t xml:space="preserve">conforme a la citada normativa, la consecuencia del devengo de salarios de tramitación sólo si el empresario optara por readmitir al trabajador,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al trabajador los salarios correspondientes a la tramitación. </w:t>
      </w:r>
    </w:p>
    <w:p w:rsidR="008B3772" w:rsidRDefault="008B3772" w:rsidP="008B3772">
      <w:pPr>
        <w:pStyle w:val="TextoNormal"/>
      </w:pPr>
      <w: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008B3772" w:rsidRDefault="008B3772" w:rsidP="008B3772">
      <w:pPr>
        <w:pStyle w:val="TextoNormal"/>
      </w:pPr>
      <w:r>
        <w:t xml:space="preserve">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(salarios de tramitación incluidos) o menos condena si opta por indemnizar (salarios de tramitación excluidos), por lo que o bien no hay tutela judicial o, si pudiera entenderse existente, ésta no sería efectiva. </w:t>
      </w:r>
    </w:p>
    <w:p w:rsidR="008B3772" w:rsidRDefault="008B3772" w:rsidP="008B3772">
      <w:pPr>
        <w:pStyle w:val="TextoNormal"/>
      </w:pPr>
      <w:r>
        <w:lastRenderedPageBreak/>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008B3772" w:rsidRDefault="008B3772" w:rsidP="008B3772">
      <w:pPr>
        <w:pStyle w:val="TextoNormal"/>
      </w:pPr>
      <w:r>
        <w:t>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008B3772" w:rsidRDefault="008B3772" w:rsidP="008B3772">
      <w:pPr>
        <w:pStyle w:val="TextoNormal"/>
      </w:pPr>
    </w:p>
    <w:p w:rsidR="008B3772" w:rsidRDefault="008B3772" w:rsidP="008B3772">
      <w:pPr>
        <w:pStyle w:val="TextoNormal"/>
      </w:pPr>
      <w:r w:rsidRPr="008B3772">
        <w:rPr>
          <w:rStyle w:val="NumeroAFNegritaCaracter"/>
        </w:rPr>
        <w:t>4</w:t>
      </w:r>
      <w:r>
        <w:t>. Mediante providencia de 29 de abril de 2003 (BOE de 17 de mayo) la Sección Primera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008B3772" w:rsidRDefault="008B3772" w:rsidP="008B3772">
      <w:pPr>
        <w:pStyle w:val="TextoNormal"/>
      </w:pPr>
    </w:p>
    <w:p w:rsidR="008B3772" w:rsidRDefault="008B3772" w:rsidP="008B3772">
      <w:pPr>
        <w:pStyle w:val="TextoNormal"/>
      </w:pPr>
      <w:r w:rsidRPr="008B3772">
        <w:rPr>
          <w:rStyle w:val="NumeroAFNegritaCaracter"/>
        </w:rPr>
        <w:t>5</w:t>
      </w:r>
      <w:r>
        <w:t>. El día 16 de mayo de 2003 la Presidenta del Congreso de los Diputados comunicó al Tribunal que dicha Cámara no se personaría en el proceso ni formularía alegaciones.</w:t>
      </w:r>
    </w:p>
    <w:p w:rsidR="008B3772" w:rsidRDefault="008B3772" w:rsidP="008B3772">
      <w:pPr>
        <w:pStyle w:val="TextoNormal"/>
      </w:pPr>
    </w:p>
    <w:p w:rsidR="008B3772" w:rsidRDefault="008B3772" w:rsidP="008B3772">
      <w:pPr>
        <w:pStyle w:val="TextoNormal"/>
      </w:pPr>
      <w:r w:rsidRPr="008B3772">
        <w:rPr>
          <w:rStyle w:val="NumeroAFNegritaCaracter"/>
        </w:rPr>
        <w:t>6</w:t>
      </w:r>
      <w:r>
        <w:t>. Mediante escrito registrado el día 19 de mayo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008B3772" w:rsidRDefault="008B3772" w:rsidP="008B3772">
      <w:pPr>
        <w:pStyle w:val="TextoNormal"/>
      </w:pPr>
    </w:p>
    <w:p w:rsidR="008B3772" w:rsidRDefault="008B3772" w:rsidP="008B3772">
      <w:pPr>
        <w:pStyle w:val="TextoNormal"/>
      </w:pPr>
      <w:r w:rsidRPr="008B3772">
        <w:rPr>
          <w:rStyle w:val="NumeroAFNegritaCaracter"/>
        </w:rPr>
        <w:t>7</w:t>
      </w:r>
      <w:r>
        <w:t>. El Presidente del Senado, mediante escrito registrado el día 23 de mayo de 2003, comunicó que la Cámara se personaba en el proceso, ofreciendo su colaboración.</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8</w:t>
      </w:r>
      <w:r>
        <w:t>. El Fiscal General del Estado presentó sus alegaciones mediante escrito registrado el día 23 de mayo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El Juzgado de lo Social núm. 2 de Badajoz plantea cuestión de inconstitucionalidad en relación con el artículo segundo, apartado tres, del Real Decreto-ley 5/2002, de 24 de mayo, de medidas urgentes para la reforma del sistema de protección por</w:t>
      </w:r>
    </w:p>
    <w:p w:rsidR="008B3772" w:rsidRDefault="008B3772" w:rsidP="008B3772">
      <w:pPr>
        <w:pStyle w:val="TextoNormal"/>
      </w:pPr>
      <w:r>
        <w:t>desempleo y mejora de la ocupabilidad, por posible vulneración de los arts. 14, 24, 35 y 86.1 CE.</w:t>
      </w:r>
    </w:p>
    <w:p w:rsidR="008B3772" w:rsidRDefault="008B3772" w:rsidP="008B3772">
      <w:pPr>
        <w:pStyle w:val="TextoNormal"/>
      </w:pPr>
      <w:r>
        <w:t>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8B3772" w:rsidRDefault="008B3772" w:rsidP="008B3772">
      <w:pPr>
        <w:pStyle w:val="TextoNormal"/>
      </w:pPr>
    </w:p>
    <w:p w:rsidR="008B3772" w:rsidRDefault="008B3772" w:rsidP="008B3772">
      <w:pPr>
        <w:pStyle w:val="TextoNormal"/>
      </w:pPr>
      <w:r>
        <w:t>Por todo lo cual, el Pleno del Tribunal</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Declarar la extinción de la cuestión de inconstitucionalidad núm. 1914-2003, por desaparición sobrevenida de su objeto.</w:t>
      </w:r>
    </w:p>
    <w:p w:rsidR="008B3772" w:rsidRDefault="008B3772" w:rsidP="008B3772">
      <w:pPr>
        <w:pStyle w:val="TextoNormal"/>
      </w:pPr>
    </w:p>
    <w:p w:rsidR="008B3772" w:rsidRDefault="008B3772" w:rsidP="008B3772">
      <w:pPr>
        <w:pStyle w:val="TextoNormal"/>
      </w:pPr>
      <w:r>
        <w:t>Madrid, a diecinueve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73" w:name="AUTO_2007_309"/>
      <w:r>
        <w:lastRenderedPageBreak/>
        <w:t>AUTO 309/2007, de 19 de junio de 2007</w:t>
      </w:r>
    </w:p>
    <w:bookmarkEnd w:id="173"/>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ECLI:ES:TC:2007:309A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Acuerda la extinción de la cuestión de inconstitucionalidad 2009-2003, planteada por el Juzgado de lo Social núm. 2 de Badajoz en relación con el Real Decreto-ley 5/2002, de 24 de mayo.</w:t>
      </w:r>
    </w:p>
    <w:p w:rsidR="008B3772" w:rsidRDefault="008B3772" w:rsidP="008B3772">
      <w:pPr>
        <w:pStyle w:val="SntesisDescriptiva"/>
      </w:pPr>
    </w:p>
    <w:p w:rsidR="008B3772" w:rsidRDefault="008B3772" w:rsidP="008B3772">
      <w:pPr>
        <w:pStyle w:val="SntesisAnaltica"/>
      </w:pPr>
      <w:r>
        <w:t>Cuestión de inconstitucionalidad: ATC 290/2007.</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el Tribunal el día 7 de abril de 2003, al que se acompaña el correspondiente Auto de 20 de marzo de 2003,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008B3772" w:rsidRDefault="008B3772" w:rsidP="008B3772">
      <w:pPr>
        <w:pStyle w:val="TextoNormal"/>
      </w:pPr>
    </w:p>
    <w:p w:rsidR="008B3772" w:rsidRDefault="008B3772" w:rsidP="008B3772">
      <w:pPr>
        <w:pStyle w:val="TextoNormal"/>
      </w:pPr>
      <w:r w:rsidRPr="008B3772">
        <w:rPr>
          <w:rStyle w:val="NumeroAFNegritaCaracter"/>
        </w:rPr>
        <w:t>2</w:t>
      </w:r>
      <w:r>
        <w:t>. La presente cuestión de inconstitucionalidad tiene su origen en la demanda por despido (1022/2002) interpuesta por don Manuel Rodríguez Cubillana contra la empresa Piano Cercobaño, SL. Conclusas las actuaciones, el Juez de lo Social dicta providencia de 27 de febrero de 2003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el Ministerio Fiscal informó en el sentido de considerar procedente el planteamiento de la cuestión.</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Decreto-ley 5/2002 y ha de ser declarado improcedente, llevando aparejada tal calificación, </w:t>
      </w:r>
      <w:r>
        <w:lastRenderedPageBreak/>
        <w:t xml:space="preserve">conforme a la citada normativa, la consecuencia del devengo de salarios de tramitación sólo si el empresario optara por readmitir al trabajador,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al trabajador los salarios correspondientes a la tramitación. </w:t>
      </w:r>
    </w:p>
    <w:p w:rsidR="008B3772" w:rsidRDefault="008B3772" w:rsidP="008B3772">
      <w:pPr>
        <w:pStyle w:val="TextoNormal"/>
      </w:pPr>
      <w: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008B3772" w:rsidRDefault="008B3772" w:rsidP="008B3772">
      <w:pPr>
        <w:pStyle w:val="TextoNormal"/>
      </w:pPr>
      <w:r>
        <w:t xml:space="preserve">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(salarios de tramitación incluidos) o menos condena si opta por indemnizar (salarios de tramitación excluidos), por lo que o bien no hay tutela judicial o, si pudiera entenderse existente, ésta no sería efectiva. </w:t>
      </w:r>
    </w:p>
    <w:p w:rsidR="008B3772" w:rsidRDefault="008B3772" w:rsidP="008B3772">
      <w:pPr>
        <w:pStyle w:val="TextoNormal"/>
      </w:pPr>
      <w:r>
        <w:lastRenderedPageBreak/>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008B3772" w:rsidRDefault="008B3772" w:rsidP="008B3772">
      <w:pPr>
        <w:pStyle w:val="TextoNormal"/>
      </w:pPr>
      <w:r>
        <w:t>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008B3772" w:rsidRDefault="008B3772" w:rsidP="008B3772">
      <w:pPr>
        <w:pStyle w:val="TextoNormal"/>
      </w:pPr>
    </w:p>
    <w:p w:rsidR="008B3772" w:rsidRDefault="008B3772" w:rsidP="008B3772">
      <w:pPr>
        <w:pStyle w:val="TextoNormal"/>
      </w:pPr>
      <w:r w:rsidRPr="008B3772">
        <w:rPr>
          <w:rStyle w:val="NumeroAFNegritaCaracter"/>
        </w:rPr>
        <w:t>4</w:t>
      </w:r>
      <w:r>
        <w:t>. Mediante providencia de 20 de mayo de 2003 (BOE de 3 de junio) la Sección Cuarta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008B3772" w:rsidRDefault="008B3772" w:rsidP="008B3772">
      <w:pPr>
        <w:pStyle w:val="TextoNormal"/>
      </w:pPr>
    </w:p>
    <w:p w:rsidR="008B3772" w:rsidRDefault="008B3772" w:rsidP="008B3772">
      <w:pPr>
        <w:pStyle w:val="TextoNormal"/>
      </w:pPr>
      <w:r w:rsidRPr="008B3772">
        <w:rPr>
          <w:rStyle w:val="NumeroAFNegritaCaracter"/>
        </w:rPr>
        <w:t>5</w:t>
      </w:r>
      <w:r>
        <w:t>. El día 30 de mayo de 2003 la Presidenta del Congreso de los Diputados comunicó al Tribunal que dicha Cámara no se personaría en el proceso ni formularía alegaciones.</w:t>
      </w:r>
    </w:p>
    <w:p w:rsidR="008B3772" w:rsidRDefault="008B3772" w:rsidP="008B3772">
      <w:pPr>
        <w:pStyle w:val="TextoNormal"/>
      </w:pPr>
    </w:p>
    <w:p w:rsidR="008B3772" w:rsidRDefault="008B3772" w:rsidP="008B3772">
      <w:pPr>
        <w:pStyle w:val="TextoNormal"/>
      </w:pPr>
      <w:r w:rsidRPr="008B3772">
        <w:rPr>
          <w:rStyle w:val="NumeroAFNegritaCaracter"/>
        </w:rPr>
        <w:t>6</w:t>
      </w:r>
      <w:r>
        <w:t>. Mediante escrito registrado el día 3 de junio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008B3772" w:rsidRDefault="008B3772" w:rsidP="008B3772">
      <w:pPr>
        <w:pStyle w:val="TextoNormal"/>
      </w:pPr>
    </w:p>
    <w:p w:rsidR="008B3772" w:rsidRDefault="008B3772" w:rsidP="008B3772">
      <w:pPr>
        <w:pStyle w:val="TextoNormal"/>
      </w:pPr>
      <w:r w:rsidRPr="008B3772">
        <w:rPr>
          <w:rStyle w:val="NumeroAFNegritaCaracter"/>
        </w:rPr>
        <w:t>7</w:t>
      </w:r>
      <w:r>
        <w:t>. El Presidente del Senado, mediante escrito registrado el día 5 de junio de 2003, comunicó que la Cámara se personaba en el proceso, ofreciendo su colaboración.</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8</w:t>
      </w:r>
      <w:r>
        <w:t>. El Fiscal General del Estado presentó sus alegaciones mediante escrito registrado el día 6 de junio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El Juzgado de lo Social núm. 2 de Badajoz plantea cuestión de inconstitucionalidad en relación con el artículo segundo, apartado tres, del Real Decreto-ley 5/2002, de 24 de mayo, de medidas urgentes para la reforma del sistema de protección por</w:t>
      </w:r>
    </w:p>
    <w:p w:rsidR="008B3772" w:rsidRDefault="008B3772" w:rsidP="008B3772">
      <w:pPr>
        <w:pStyle w:val="TextoNormal"/>
      </w:pPr>
      <w:r>
        <w:t>desempleo y mejora de la ocupabilidad, por posible vulneración de los arts. 14, 24, 35 y 86.1 CE.</w:t>
      </w:r>
    </w:p>
    <w:p w:rsidR="008B3772" w:rsidRDefault="008B3772" w:rsidP="008B3772">
      <w:pPr>
        <w:pStyle w:val="TextoNormal"/>
      </w:pPr>
      <w:r>
        <w:t>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8B3772" w:rsidRDefault="008B3772" w:rsidP="008B3772">
      <w:pPr>
        <w:pStyle w:val="TextoNormal"/>
      </w:pPr>
    </w:p>
    <w:p w:rsidR="008B3772" w:rsidRDefault="008B3772" w:rsidP="008B3772">
      <w:pPr>
        <w:pStyle w:val="TextoNormal"/>
      </w:pPr>
      <w:r>
        <w:t>Por todo lo cual, el Pleno del Tribunal</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Declarar la extinción de la cuestión de inconstitucionalidad núm. 2009-2003, por desaparición sobrevenida de su objeto.</w:t>
      </w:r>
    </w:p>
    <w:p w:rsidR="008B3772" w:rsidRDefault="008B3772" w:rsidP="008B3772">
      <w:pPr>
        <w:pStyle w:val="TextoNormal"/>
      </w:pPr>
    </w:p>
    <w:p w:rsidR="008B3772" w:rsidRDefault="008B3772" w:rsidP="008B3772">
      <w:pPr>
        <w:pStyle w:val="TextoNormal"/>
      </w:pPr>
      <w:r>
        <w:t>Madrid, a diecinueve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74" w:name="AUTO_2007_310"/>
      <w:r>
        <w:lastRenderedPageBreak/>
        <w:t>AUTO 310/2007, de 19 de junio de 2007</w:t>
      </w:r>
    </w:p>
    <w:bookmarkEnd w:id="174"/>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ECLI:ES:TC:2007:310A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Acuerda la extinción de la cuestión de inconstitucionalidad 3061-2003, planteada por el Juzgado de lo Social núm. 2 de Badajoz en relación con el Real Decreto-ley 5/2002, de 24 de mayo.</w:t>
      </w:r>
    </w:p>
    <w:p w:rsidR="008B3772" w:rsidRDefault="008B3772" w:rsidP="008B3772">
      <w:pPr>
        <w:pStyle w:val="SntesisDescriptiva"/>
      </w:pPr>
    </w:p>
    <w:p w:rsidR="008B3772" w:rsidRDefault="008B3772" w:rsidP="008B3772">
      <w:pPr>
        <w:pStyle w:val="SntesisAnaltica"/>
      </w:pPr>
      <w:r>
        <w:t>Cuestión de inconstitucionalidad: ATC 290/2007.</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el Tribunal el día 9 de mayo de 2003, al que se acompaña el correspondiente Auto en el que figura como fecha la del 14 de noviembre de 2003,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008B3772" w:rsidRDefault="008B3772" w:rsidP="008B3772">
      <w:pPr>
        <w:pStyle w:val="TextoNormal"/>
      </w:pPr>
    </w:p>
    <w:p w:rsidR="008B3772" w:rsidRDefault="008B3772" w:rsidP="008B3772">
      <w:pPr>
        <w:pStyle w:val="TextoNormal"/>
      </w:pPr>
      <w:r w:rsidRPr="008B3772">
        <w:rPr>
          <w:rStyle w:val="NumeroAFNegritaCaracter"/>
        </w:rPr>
        <w:t>2</w:t>
      </w:r>
      <w:r>
        <w:t>. La presente cuestión de inconstitucionalidad tiene su origen en la demanda por despido (27/2003) interpuesta por don Luis Reinaldo Pereira Cordeiro contra la empresa Inver East, SL. Conclusas las actuaciones, el Juez de lo Social dicta providencia de 27 de febrero de 2003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el Ministerio Fiscal informó en el sentido de considerar procedente el planteamiento de la cuestión.</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Decreto-ley 5/2002 y ha de ser declarado improcedente, llevando aparejada tal calificación, </w:t>
      </w:r>
      <w:r>
        <w:lastRenderedPageBreak/>
        <w:t xml:space="preserve">conforme a la citada normativa, la consecuencia del devengo de salarios de tramitación sólo si el empresario optara por readmitir al trabajador,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al trabajador los salarios correspondientes a la tramitación. </w:t>
      </w:r>
    </w:p>
    <w:p w:rsidR="008B3772" w:rsidRDefault="008B3772" w:rsidP="008B3772">
      <w:pPr>
        <w:pStyle w:val="TextoNormal"/>
      </w:pPr>
      <w: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008B3772" w:rsidRDefault="008B3772" w:rsidP="008B3772">
      <w:pPr>
        <w:pStyle w:val="TextoNormal"/>
      </w:pPr>
      <w:r>
        <w:t xml:space="preserve">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(salarios de tramitación incluidos) o menos condena si opta por indemnizar (salarios de tramitación excluidos), por lo que o bien no hay tutela judicial o, si pudiera entenderse existente, ésta no sería efectiva. </w:t>
      </w:r>
    </w:p>
    <w:p w:rsidR="008B3772" w:rsidRDefault="008B3772" w:rsidP="008B3772">
      <w:pPr>
        <w:pStyle w:val="TextoNormal"/>
      </w:pPr>
      <w:r>
        <w:lastRenderedPageBreak/>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008B3772" w:rsidRDefault="008B3772" w:rsidP="008B3772">
      <w:pPr>
        <w:pStyle w:val="TextoNormal"/>
      </w:pPr>
      <w:r>
        <w:t>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008B3772" w:rsidRDefault="008B3772" w:rsidP="008B3772">
      <w:pPr>
        <w:pStyle w:val="TextoNormal"/>
      </w:pPr>
    </w:p>
    <w:p w:rsidR="008B3772" w:rsidRDefault="008B3772" w:rsidP="008B3772">
      <w:pPr>
        <w:pStyle w:val="TextoNormal"/>
      </w:pPr>
      <w:r w:rsidRPr="008B3772">
        <w:rPr>
          <w:rStyle w:val="NumeroAFNegritaCaracter"/>
        </w:rPr>
        <w:t>4</w:t>
      </w:r>
      <w:r>
        <w:t>. Mediante providencia de 3 de junio de 2003 (BOE de 14 de junio) la Sección Tercera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008B3772" w:rsidRDefault="008B3772" w:rsidP="008B3772">
      <w:pPr>
        <w:pStyle w:val="TextoNormal"/>
      </w:pPr>
    </w:p>
    <w:p w:rsidR="008B3772" w:rsidRDefault="008B3772" w:rsidP="008B3772">
      <w:pPr>
        <w:pStyle w:val="TextoNormal"/>
      </w:pPr>
      <w:r w:rsidRPr="008B3772">
        <w:rPr>
          <w:rStyle w:val="NumeroAFNegritaCaracter"/>
        </w:rPr>
        <w:t>5</w:t>
      </w:r>
      <w:r>
        <w:t>. El Fiscal General del Estado presentó sus alegaciones mediante escrito registrado el día 16 de junio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008B3772" w:rsidRDefault="008B3772" w:rsidP="008B3772">
      <w:pPr>
        <w:pStyle w:val="TextoNormal"/>
      </w:pPr>
    </w:p>
    <w:p w:rsidR="008B3772" w:rsidRDefault="008B3772" w:rsidP="008B3772">
      <w:pPr>
        <w:pStyle w:val="TextoNormal"/>
      </w:pPr>
      <w:r w:rsidRPr="008B3772">
        <w:rPr>
          <w:rStyle w:val="NumeroAFNegritaCaracter"/>
        </w:rPr>
        <w:t>6</w:t>
      </w:r>
      <w:r>
        <w:t>. El día 19 de junio de 2003 la Presidenta del Congreso de los Diputados comunicó al Tribunal que dicha Cámara no se personaría en el proceso ni formularía alegaciones.</w:t>
      </w:r>
    </w:p>
    <w:p w:rsidR="008B3772" w:rsidRDefault="008B3772" w:rsidP="008B3772">
      <w:pPr>
        <w:pStyle w:val="TextoNormal"/>
      </w:pPr>
    </w:p>
    <w:p w:rsidR="008B3772" w:rsidRDefault="008B3772" w:rsidP="008B3772">
      <w:pPr>
        <w:pStyle w:val="TextoNormal"/>
      </w:pPr>
      <w:r w:rsidRPr="008B3772">
        <w:rPr>
          <w:rStyle w:val="NumeroAFNegritaCaracter"/>
        </w:rPr>
        <w:t>7</w:t>
      </w:r>
      <w:r>
        <w:t>. El Presidente del Senado, mediante escrito registrado el día 19 de junio de 2003, comunicó que la Cámara se personaba en el proceso, ofreciendo su colaboración.</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8</w:t>
      </w:r>
      <w:r>
        <w:t>. Mediante escrito registrado el día 23 de junio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El Juzgado de lo Social núm. 2 de Badajoz plantea cuestión de inconstitucionalidad en relación con el artículo segundo, apartado tres, del Real Decreto-ley 5/2002, de 24 de mayo, de medidas urgentes para la reforma del sistema de protección por</w:t>
      </w:r>
    </w:p>
    <w:p w:rsidR="008B3772" w:rsidRDefault="008B3772" w:rsidP="008B3772">
      <w:pPr>
        <w:pStyle w:val="TextoNormal"/>
      </w:pPr>
      <w:r>
        <w:t>desempleo y mejora de la ocupabilidad, por posible vulneración de los arts. 14, 24, 35 y 86.1 CE.</w:t>
      </w:r>
    </w:p>
    <w:p w:rsidR="008B3772" w:rsidRDefault="008B3772" w:rsidP="008B3772">
      <w:pPr>
        <w:pStyle w:val="TextoNormal"/>
      </w:pPr>
      <w:r>
        <w:t>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8B3772" w:rsidRDefault="008B3772" w:rsidP="008B3772">
      <w:pPr>
        <w:pStyle w:val="TextoNormal"/>
      </w:pPr>
    </w:p>
    <w:p w:rsidR="008B3772" w:rsidRDefault="008B3772" w:rsidP="008B3772">
      <w:pPr>
        <w:pStyle w:val="TextoNormal"/>
      </w:pPr>
      <w:r>
        <w:t>Por todo lo cual, el Pleno del Tribunal</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Declarar la extinción de la cuestión de inconstitucionalidad núm. 3061-2003, por desaparición sobrevenida de su objeto.</w:t>
      </w:r>
    </w:p>
    <w:p w:rsidR="008B3772" w:rsidRDefault="008B3772" w:rsidP="008B3772">
      <w:pPr>
        <w:pStyle w:val="TextoNormal"/>
      </w:pPr>
    </w:p>
    <w:p w:rsidR="008B3772" w:rsidRDefault="008B3772" w:rsidP="008B3772">
      <w:pPr>
        <w:pStyle w:val="TextoNormal"/>
      </w:pPr>
      <w:r>
        <w:t>Madrid, a diecinueve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75" w:name="AUTO_2007_311"/>
      <w:r>
        <w:lastRenderedPageBreak/>
        <w:t>AUTO 311/2007, de 19 de junio de 2007</w:t>
      </w:r>
    </w:p>
    <w:bookmarkEnd w:id="175"/>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ECLI:ES:TC:2007:311A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Acuerda la extinción del recurso de inconstitucionalidad 1915-2004, planteado por el Parlamento de Cataluña en relación con el artículo 2 de la Ley Orgánica 20/2003, de 23 de diciembre, de modificación de la Ley Orgánica del Poder Judicial y del Código penal.</w:t>
      </w:r>
    </w:p>
    <w:p w:rsidR="008B3772" w:rsidRDefault="008B3772" w:rsidP="008B3772">
      <w:pPr>
        <w:pStyle w:val="SntesisDescriptiva"/>
      </w:pPr>
    </w:p>
    <w:p w:rsidR="008B3772" w:rsidRDefault="008B3772" w:rsidP="008B3772">
      <w:pPr>
        <w:pStyle w:val="SntesisAnaltica"/>
      </w:pPr>
      <w:r>
        <w:t>Recurso de inconstitucionalidad: pérdida sobrevenida de objeto por derogación de la norma.</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este Tribunal el 25 de marzo de 2004, el Letrado del Parlamento de Cataluña, en la representación que legalmente ostenta, promovió recurso de inconstitucionalidad contra el art. 2 de la Ley Orgánica 20/2003, de 23 de diciembre, de modificación de la Ley Orgánica del Poder Judicial y del Código Penal, por el se añadían al Código Penal los arts. 506 bis, 521 bis y 576 bis.</w:t>
      </w:r>
    </w:p>
    <w:p w:rsidR="008B3772" w:rsidRDefault="008B3772" w:rsidP="008B3772">
      <w:pPr>
        <w:pStyle w:val="TextoNormal"/>
      </w:pPr>
    </w:p>
    <w:p w:rsidR="008B3772" w:rsidRDefault="008B3772" w:rsidP="008B3772">
      <w:pPr>
        <w:pStyle w:val="TextoNormal"/>
      </w:pPr>
      <w:r w:rsidRPr="008B3772">
        <w:rPr>
          <w:rStyle w:val="NumeroAFNegritaCaracter"/>
        </w:rPr>
        <w:t>2</w:t>
      </w:r>
      <w:r>
        <w:t>. La Sección Tercera de este Tribunal, por providencia de 27 de abril de 2004, acordó la admisión a trámite del recurso de inconstitucionalidad y que se diera traslado al Congreso de los Diputados, al Senado y al Gobierno para que en el plazo de quince días pudieran personarse en el procedimiento y formular las alegaciones que estimaran convenientes. El Abogado del Estado, mediante escrito registrado el 4 de junio de 2004, formuló alegaciones. La Secretaría de Justicia del Pleno, por diligencia de 4 de junio de 2004, hizo constar que el presente recurso de inconstitucionalidad quedaba pendiente en su momento para deliberación y votación de la Sentencia, sin perjuicio de lo dispuesto en el art. 84. LOTC.</w:t>
      </w:r>
    </w:p>
    <w:p w:rsidR="008B3772" w:rsidRDefault="008B3772" w:rsidP="008B3772">
      <w:pPr>
        <w:pStyle w:val="TextoNormal"/>
      </w:pPr>
    </w:p>
    <w:p w:rsidR="008B3772" w:rsidRDefault="008B3772" w:rsidP="008B3772">
      <w:pPr>
        <w:pStyle w:val="TextoNormal"/>
      </w:pPr>
      <w:r w:rsidRPr="008B3772">
        <w:rPr>
          <w:rStyle w:val="NumeroAFNegritaCaracter"/>
        </w:rPr>
        <w:t>3</w:t>
      </w:r>
      <w:r>
        <w:t>. La Sección Segunda de este Tribunal, por providencia de 27 de marzo de 2007, acordó, de conformidad con el art. 84 LOTC, oír a las partes personadas, para que en el plazo de diez días, alegaran lo que estimaran pertinente respecto a la pérdida de objeto sobrevenida del presente recurso, a la vista de la publicación de la Ley Orgánica 2/2005, de 22 de junio, en su artículo único.</w:t>
      </w:r>
    </w:p>
    <w:p w:rsidR="008B3772" w:rsidRDefault="008B3772" w:rsidP="008B3772">
      <w:pPr>
        <w:pStyle w:val="TextoNormal"/>
      </w:pPr>
    </w:p>
    <w:p w:rsidR="008B3772" w:rsidRDefault="008B3772" w:rsidP="008B3772">
      <w:pPr>
        <w:pStyle w:val="TextoNormal"/>
      </w:pPr>
      <w:r w:rsidRPr="008B3772">
        <w:rPr>
          <w:rStyle w:val="NumeroAFNegritaCaracter"/>
        </w:rPr>
        <w:t>4</w:t>
      </w:r>
      <w:r>
        <w:t xml:space="preserve">. El Parlamento de Cataluña, mediante escrito registrado el 12 de abril de 2007, solicitó que se declarara extinguido el presente procedimiento por pérdida sobrevenida de su objeto, </w:t>
      </w:r>
      <w:r>
        <w:lastRenderedPageBreak/>
        <w:t>habida cuenta de que la Ley Orgánica 2/2005, de 22 de junio, suprime del Ordenamiento jurídico los arts. 506 bis, 521 bis y 576 bis del Código Penal, que habían sido incorporados al mismo en virtud del art. 2 de la Ley Orgánica 20/2003, de 23 de diciembre, de modificación de la Ley Orgánica del Poder Judicial y del Código Penal, que era la norma impugnada en este recurso de inconstitucionalidad.</w:t>
      </w:r>
    </w:p>
    <w:p w:rsidR="008B3772" w:rsidRDefault="008B3772" w:rsidP="008B3772">
      <w:pPr>
        <w:pStyle w:val="TextoNormal"/>
      </w:pPr>
    </w:p>
    <w:p w:rsidR="008B3772" w:rsidRDefault="008B3772" w:rsidP="008B3772">
      <w:pPr>
        <w:pStyle w:val="TextoNormal"/>
      </w:pPr>
      <w:r w:rsidRPr="008B3772">
        <w:rPr>
          <w:rStyle w:val="NumeroAFNegritaCaracter"/>
        </w:rPr>
        <w:t>5</w:t>
      </w:r>
      <w:r>
        <w:t>. El Abogado del Estado, mediante escrito registrado el 16 de abril de 2007, solicitó que se declarara la extinción del presente recurso de inconstitucionalidad por pérdida sobrevenida de su objeto, habida cuenta, en primer lugar, de que la derogación de los preceptos impugnados es una de las causas de perdida de objeto, y, en segundo lugar, que carece de interés constitucional un pronunciamiento sobre el particular, ya que dichos preceptos no tenían contenido competencial ni pueden tener un efecto ultraactivo como consecuencia de la aplicación del principio de retroacción de la norma penal más favorable.</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El art. 84 LOTC faculta a este Tribunal para que, en cualquier tiempo anterior a la decisión, pueda comunicar a los comparecidos en el proceso constitucional la eventual existencia de otros motivos distintos de los alegados con relevancia para</w:t>
      </w:r>
    </w:p>
    <w:p w:rsidR="008B3772" w:rsidRDefault="008B3772" w:rsidP="008B3772">
      <w:pPr>
        <w:pStyle w:val="TextoNormal"/>
      </w:pPr>
      <w:r>
        <w:t>acordar lo procedente sobre la admisión o inadmisión y, en su caso, sobre la estimación o desestimación de la pretensión constitucional.</w:t>
      </w:r>
    </w:p>
    <w:p w:rsidR="008B3772" w:rsidRDefault="008B3772" w:rsidP="008B3772">
      <w:pPr>
        <w:pStyle w:val="TextoNormal"/>
      </w:pPr>
      <w:r>
        <w:t>En cuanto a la desaparición sobrevenida de objeto, este Tribunal ya ha reiterado que, aunque no esté contemplada en el art. 86.1 LOTC como una de las causas de terminación extraordinaria de los distintos procesos constitucionales, y en particular de los recursos de inconstitucionalidad, es posible, no obstante, que tal cosa pueda suceder, provocando la conclusión del proceso constitucional sin que sea necesario un pronunciamiento sobre el reproche de inconstitucionalidad que se haya alegado (por todos, ATC 244/2000, de 17 de octubre, FJ 1). A esos efectos, se ha destacado que en el ámbito del recurso de inconstitucionalidad, habida cuenta de su carácter abstracto y orientado a la depuración objetiva del ordenamiento, la pérdida sobrevenida de la vigencia del precepto legal impugnado habrá de ser tenida en cuenta por este Tribunal para apreciar si la misma comporta la exclusión de toda la aplicabilidad de la Ley y, por tanto, su pérdida de objeto, toda vez que carece de sentido el pronunciamiento sobre normas que el mismo legislador ha expulsado ya de dicho ordenamiento de modo total, siempre que no sean susceptibles de aplicación ultraactiva (por todas, STC 233/1999, de 16 de diciembre, FJ 3).</w:t>
      </w:r>
    </w:p>
    <w:p w:rsidR="008B3772" w:rsidRDefault="008B3772" w:rsidP="008B3772">
      <w:pPr>
        <w:pStyle w:val="TextoNormal"/>
      </w:pPr>
      <w:r>
        <w:t>En el presente caso la Ley Orgánica 2/2005, de 22 de junio, ha derogado los arts. 506 bis, 521 bis y 576 bis del Código Penal, que habían sido incorporados al mismo en virtud del art. 2 de la Ley Orgánica 20/2003, de 23 de diciembre, de modificación de la Ley Orgánica del Poder Judicial y del Código Penal, Ley Orgánica 20/2003, que era la norma impugnada en este recurso de inconstitucionalidad. Esta pérdida de vigencia, unida al carácter no competencial de su contenido y la carencia de cualquier posible efecto ultraactivo como consecuencia de la aplicación del principio de retroacción de la norma penal más favorable, provocan que deba apreciarse la desaparición sobrevenida de objeto del presente recurso de inconstitucionalidad, al no concurrir razón alguna de interés público ni afectación al de los particulares que aconsejen la prosecución de este proceso hasta su finalización por sentencia.</w:t>
      </w:r>
    </w:p>
    <w:p w:rsidR="008B3772" w:rsidRDefault="008B3772" w:rsidP="008B3772">
      <w:pPr>
        <w:pStyle w:val="TextoNormal"/>
      </w:pPr>
    </w:p>
    <w:p w:rsidR="008B3772" w:rsidRDefault="008B3772" w:rsidP="008B3772">
      <w:pPr>
        <w:pStyle w:val="TextoNormal"/>
      </w:pPr>
      <w:r>
        <w:lastRenderedPageBreak/>
        <w:t>Por lo expuesto, el Pleno</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Declarar la extinción del recurso de inconstitucionalidad núm. 1915-2004, promovido por el Parlamento de Cataluña contra el art. 2 de la Ley Orgánica 20/2003, de 23 de diciembre, de modificación de la Ley Orgánica del Poder Judicial y del Código Penal,</w:t>
      </w:r>
    </w:p>
    <w:p w:rsidR="008B3772" w:rsidRDefault="008B3772" w:rsidP="008B3772">
      <w:pPr>
        <w:pStyle w:val="TextoNormal"/>
      </w:pPr>
      <w:r>
        <w:t>por desaparición sobrevenida de su objeto.</w:t>
      </w:r>
    </w:p>
    <w:p w:rsidR="008B3772" w:rsidRDefault="008B3772" w:rsidP="008B3772">
      <w:pPr>
        <w:pStyle w:val="TextoNormal"/>
      </w:pPr>
    </w:p>
    <w:p w:rsidR="008B3772" w:rsidRDefault="008B3772" w:rsidP="008B3772">
      <w:pPr>
        <w:pStyle w:val="TextoNormal"/>
      </w:pPr>
      <w:r>
        <w:t>Madrid, a diecinueve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76" w:name="AUTO_2007_312"/>
      <w:r>
        <w:lastRenderedPageBreak/>
        <w:t>AUTO 312/2007, de 20 de junio de 2007</w:t>
      </w:r>
    </w:p>
    <w:bookmarkEnd w:id="176"/>
    <w:p w:rsidR="008B3772" w:rsidRDefault="008B3772" w:rsidP="008B3772">
      <w:pPr>
        <w:pStyle w:val="TtuloResolucin"/>
      </w:pPr>
      <w:r>
        <w:t>Sección Segunda</w:t>
      </w:r>
    </w:p>
    <w:p w:rsidR="008B3772" w:rsidRDefault="008B3772" w:rsidP="008B3772">
      <w:pPr>
        <w:pStyle w:val="TtuloResolucin"/>
      </w:pPr>
    </w:p>
    <w:p w:rsidR="008B3772" w:rsidRDefault="008B3772" w:rsidP="008B3772">
      <w:pPr>
        <w:pStyle w:val="SntesisDescriptiva"/>
      </w:pPr>
      <w:r>
        <w:t>ECLI:ES:TC:2007:312A</w:t>
      </w:r>
    </w:p>
    <w:p w:rsidR="008B3772" w:rsidRDefault="008B3772" w:rsidP="008B3772">
      <w:pPr>
        <w:pStyle w:val="SntesisDescriptiva"/>
      </w:pPr>
    </w:p>
    <w:p w:rsidR="008B3772" w:rsidRDefault="008B3772" w:rsidP="008B3772">
      <w:pPr>
        <w:pStyle w:val="SntesisDescriptiva"/>
      </w:pPr>
      <w:r>
        <w:t>Excms. Srs. don Jorge Rodríguez-Zapata Pérez, don Roberto García-Calvo y Montiel y don Pablo Pérez Tremps.</w:t>
      </w:r>
    </w:p>
    <w:p w:rsidR="008B3772" w:rsidRDefault="008B3772" w:rsidP="008B3772">
      <w:pPr>
        <w:pStyle w:val="SntesisDescriptiva"/>
      </w:pPr>
    </w:p>
    <w:p w:rsidR="008B3772" w:rsidRDefault="008B3772" w:rsidP="008B3772">
      <w:pPr>
        <w:pStyle w:val="SntesisDescriptiva"/>
      </w:pPr>
      <w:r>
        <w:t>Inadmite a trámite el recurso de amparo 1184-2005, promovido por don Antonio José Sierra Moreno en contencioso sobre liquidación del impuesto de donaciones.</w:t>
      </w:r>
    </w:p>
    <w:p w:rsidR="008B3772" w:rsidRDefault="008B3772" w:rsidP="008B3772">
      <w:pPr>
        <w:pStyle w:val="SntesisDescriptiva"/>
      </w:pPr>
    </w:p>
    <w:p w:rsidR="008B3772" w:rsidRDefault="008B3772" w:rsidP="008B3772">
      <w:pPr>
        <w:pStyle w:val="SntesisAnaltica"/>
      </w:pPr>
      <w:r>
        <w:t>Derecho a la tutela judicial efectiva: ejecución de sentencias, respetado. Igualdad en la aplicación de la ley: término de comparación inidóneo.</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este Tribunal el 22 de febrero de 2005, el Procurador de los Tribunales don Eduardo Codes Feijóo, en nombre y representación de don Amalio Muñoz Fernández, quien actúa como defensor judicial de don Antonio José Sierra Moneo, y bajo la asistencia de la Letrada doña Lourdes Herrero Lima, formuló demanda de amparo contra la Sentencia de la Sección Cuarta de la Sala de lo Contencioso-Administrativo del Tribunal Superior de Justicia de Madrid de 17 de diciembre de 2004, dictada en el recurso núm. 336-2001, sobre reclamación económico-administrativa.</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El recurso tiene su origen en los siguientes antecedentes: </w:t>
      </w:r>
    </w:p>
    <w:p w:rsidR="008B3772" w:rsidRDefault="008B3772" w:rsidP="008B3772">
      <w:pPr>
        <w:pStyle w:val="TextoNormal"/>
      </w:pPr>
      <w:r>
        <w:t xml:space="preserve">a) La Oficina Técnica de la Inspección de Tributos de la Comunidad de Madrid, por Acuerdo de 24 de septiembre de 1997, confirma la propuesta de liquidación efectuada en relación con el Impuesto sobre donaciones del que resultaba obligado tributario el recurrente. Éste, por medio de su defensor judicial, interpuso contra dicho Acuerdo reclamación ante el Tribunal Económico-Administrativo regional de Madrid, que fue desestimada por Resolución de 12 de septiembre de 2000. </w:t>
      </w:r>
    </w:p>
    <w:p w:rsidR="008B3772" w:rsidRDefault="008B3772" w:rsidP="008B3772">
      <w:pPr>
        <w:pStyle w:val="TextoNormal"/>
      </w:pPr>
      <w:r>
        <w:t xml:space="preserve">b) El recurrente, por medio de su defensor judicial, interpuso recurso contencioso-administrativo que fue tramitado con el núm. 336-2001 por la Sección Cuarta de la Sala de lo Contencioso-Administrativo del Tribunal Superior de Justicia de Madrid. En dicho recurso se alegó, entre otros extremos, la prescripción del derecho de la Administración a determinar la deuda tributaria por haber transcurrido más de cinco años, ya que, siendo la Administración Tributaria conocedora de que el recurrente contaba con el nombramiento de defensor judicial en todo lo relativo a la herencia de su madre, sin embargo, las diferentes actuaciones que se alegan que tienen efecto interruptivo de la prescripción se habían llevado a cabo con el padre del recurrente, como titular de la patria potestad, y no con dicho defensor judicial. Igualmente, se alegó la existencia de determinados gastos deducibles que no habían sido apreciados por la Administración. </w:t>
      </w:r>
    </w:p>
    <w:p w:rsidR="008B3772" w:rsidRDefault="008B3772" w:rsidP="008B3772">
      <w:pPr>
        <w:pStyle w:val="TextoNormal"/>
      </w:pPr>
      <w:r>
        <w:lastRenderedPageBreak/>
        <w:t>c) El recurso, que no fue recibido a prueba, fue desestimado por Sentencia de 13 de junio de 2003, argumentándose, en relación con la alegación de prescripción, que en las distintas diligencias interruptivas de la prescripción llevadas a cabo por la Inspección de Tributos con el padre del recurrente se expresa con toda claridad que éste actúa como titular de la patria potestad y en representación de él, “… sin que el hecho de la no intervención del defensor judicial tenga consecuencia alguna, pues su intervención, de acuerdo con el artículo 299 del Código Civil, su nombramiento y, por tanto, su actuación, se reduce a los casos en que exista conflicto de intereses entre el incapaz y su representante legal, conflicto que no se puede entender subsistente en este caso, ya que los actos tributarios derivados del impuesto sobre la herencia favorece y perjudican a ambos de la misma manera” (FD 2). En relación con los gastos deducibles, se afirma que “… nada se prueba en las actuaciones sobre la incorrección de las deudas tenidas en cuenta por la Administración” (FD 4).</w:t>
      </w:r>
    </w:p>
    <w:p w:rsidR="008B3772" w:rsidRDefault="008B3772" w:rsidP="008B3772">
      <w:pPr>
        <w:pStyle w:val="TextoNormal"/>
      </w:pPr>
    </w:p>
    <w:p w:rsidR="008B3772" w:rsidRDefault="008B3772" w:rsidP="008B3772">
      <w:pPr>
        <w:pStyle w:val="TextoNormal"/>
      </w:pPr>
      <w:r w:rsidRPr="008B3772">
        <w:rPr>
          <w:rStyle w:val="NumeroAFNegritaCaracter"/>
        </w:rPr>
        <w:t>3</w:t>
      </w:r>
      <w:r>
        <w:t>. El recurrente fundamenta su demanda de amparo en las vulneraciones de los derechos a la tutela judicial efectiva (art. 24.1 CE) y a la igualdad en la aplicación del derecho (art. 14 CE). Argumenta, en primer lugar, que la resolución judicial impugnada ha lesionado el derecho a la inmodificabilidad de las resoluciones judiciales firmes, toda vez que se ha confirmado el efecto interruptivo de las actuaciones mantenidas con el padre del recurrente en lugar de con su defensor judicial, que fue nombrado por Auto del Juzgado de Primera Instancia de Alcobendas de 21 de junio de 1993 para que representase al recurrente en todo lo relacionado con la herencia de la madre dado el conflicto de intereses existente con su padre, con el argumento de que no concurría en el caso concreto ningún conflicto de intereses, lo que supone desconocer lo ya dispuesto en el mencionado Auto de nombramiento de defensor judicial. Además, aduce el recurrente que la resolución judicial impugnada lesionó también sus derechos a la tutela judicial efectiva (art. 24.1 CE) y a la igualdad en aplicación de la Ley (art. 14 CE), ya que este mismo órgano judicial en la Sentencia de 13 de junio de 2003, dictada en el recurso contencioso-administrativo núm. 1271-2000, estimó parcialmente la demanda formulada por el padre del recurrente en relación con el carácter deducible de los gastos de enfermedad de la causante.</w:t>
      </w:r>
    </w:p>
    <w:p w:rsidR="008B3772" w:rsidRDefault="008B3772" w:rsidP="008B3772">
      <w:pPr>
        <w:pStyle w:val="TextoNormal"/>
      </w:pPr>
    </w:p>
    <w:p w:rsidR="008B3772" w:rsidRDefault="008B3772" w:rsidP="008B3772">
      <w:pPr>
        <w:pStyle w:val="TextoNormal"/>
      </w:pPr>
      <w:r w:rsidRPr="008B3772">
        <w:rPr>
          <w:rStyle w:val="NumeroAFNegritaCaracter"/>
        </w:rPr>
        <w:t>4</w:t>
      </w:r>
      <w:r>
        <w:t>. La Sección Segunda de este Tribunal acordó por providencia de 10 de enero de 2007, al amparo de lo dispuesto en el art. 50.3 LOTC, conferir al recurrente y al Ministerio Fiscal el plazo común de diez días para que formularan las alegaciones que estimaran pertinentes en relación con la posible existencia de la causa de inadmisión de carencia manifiesta de contenido constitucional de la demanda [art. 50.1 c) LOTC].</w:t>
      </w:r>
    </w:p>
    <w:p w:rsidR="008B3772" w:rsidRDefault="008B3772" w:rsidP="008B3772">
      <w:pPr>
        <w:pStyle w:val="TextoNormal"/>
      </w:pPr>
    </w:p>
    <w:p w:rsidR="008B3772" w:rsidRDefault="008B3772" w:rsidP="008B3772">
      <w:pPr>
        <w:pStyle w:val="TextoNormal"/>
      </w:pPr>
      <w:r w:rsidRPr="008B3772">
        <w:rPr>
          <w:rStyle w:val="NumeroAFNegritaCaracter"/>
        </w:rPr>
        <w:t>5</w:t>
      </w:r>
      <w:r>
        <w:t xml:space="preserve">. El Ministerio Fiscal formuló sus alegaciones por escrito registrado el 29 de enero de 2007 interesando la inadmisión de la demanda por carencia manifiesta de contenido constitucional. Así, en relación con la vulneración aducida del derecho a la tutela judicial efectiva (art. 24.1 CE), por intangibilidad de las resoluciones judiciales firmes, afirma que partiendo del razonamiento expresado por la Sala en relación con la inexistencia de un conflicto de intereses entre el recurrente y su padre en el caso concreto, es evidente que la falta de notificación al defensor judicial de las actuaciones iniciales de la Inspección no le habían generado ninguna indefensión, pues al haberlo hecho en la persona de su padre su actuación también iría en beneficio del recurrente. Por su parte, en relación con la queja referida a la inclusión de gastos deducibles por enfermedad de la causante, argumenta que habría una </w:t>
      </w:r>
      <w:r>
        <w:lastRenderedPageBreak/>
        <w:t>falta de agotamiento de la vía judicial previa, al no haberse promovido el incidente de nulidad de actuaciones contra la ausencia de una respuesta judicial sobre el particular y que, en su caso, carecería de contenido constitucional la alegada desigualdad de trato, al no existir identidad de pretensiones, pues mientras el padre solicitó en vía judicial la deducción de gastos de enfermedad el recurrente no hizo lo propio.</w:t>
      </w:r>
    </w:p>
    <w:p w:rsidR="008B3772" w:rsidRDefault="008B3772" w:rsidP="008B3772">
      <w:pPr>
        <w:pStyle w:val="TextoNormal"/>
      </w:pPr>
    </w:p>
    <w:p w:rsidR="008B3772" w:rsidRDefault="008B3772" w:rsidP="008B3772">
      <w:pPr>
        <w:pStyle w:val="TextoNormal"/>
      </w:pPr>
      <w:r w:rsidRPr="008B3772">
        <w:rPr>
          <w:rStyle w:val="NumeroAFNegritaCaracter"/>
        </w:rPr>
        <w:t>6</w:t>
      </w:r>
      <w:r>
        <w:t>. El recurrente formuló sus alegaciones por escrito registrado el 30 de enero de 2007, reiterando en esencia lo manifestado en su recurso de amparo.</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La Sección se ratifica en el inicial juicio formulado en su providencia de 10 de enero de 2007 de que las invocaciones de los derechos a la tutela judicial efectiva (art. 24.1 CE) y a la igualdad en la aplicación de la ley (art. 14) están incursas en la causa de inadmisión de carecer manifiestamente de contenido que justifique una decisión sobre el fondo por este Tribunal [art. 50.1 c) LOTC].</w:t>
      </w:r>
    </w:p>
    <w:p w:rsidR="008B3772" w:rsidRDefault="008B3772" w:rsidP="008B3772">
      <w:pPr>
        <w:pStyle w:val="TextoNormal"/>
      </w:pPr>
    </w:p>
    <w:p w:rsidR="008B3772" w:rsidRDefault="008B3772" w:rsidP="008B3772">
      <w:pPr>
        <w:pStyle w:val="TextoNormal"/>
      </w:pPr>
      <w:r w:rsidRPr="008B3772">
        <w:rPr>
          <w:rStyle w:val="NumeroAFNegritaCaracter"/>
        </w:rPr>
        <w:t>2</w:t>
      </w:r>
      <w:r>
        <w:t>. Este Tribunal ha reiterado que el derecho a la ejecución de sentencias y demás resoluciones judiciales firmes constituye una manifestación del derecho a la tutela judicial efectiva (art. 24.1 CE), en tanto que garantía del cumplimiento de los mandatos que estas resoluciones judiciales contienen, lo que determina que este derecho tenga como presupuesto lógico y aun constitucional la intangibilidad de las resoluciones judiciales firmes y de las situaciones jurídicas por ellas declaradas.  Igualmente, se ha destacado que la interpretación del sentido y alcance del fallo de una resolución judicial es una cuestión que corresponde a los Jueces y Tribunales, de ahí que sólo en los casos en los que estas resoluciones sean incongruentes, arbitrarias, irrazonables o incurran en error patente podrán considerarse lesivas del derecho a la tutela judicial efectiva. En todo caso, se ha hecho especial incidencia en que dicho enjuiciamiento exige el contraste del fallo de la resolución firme, interpretado de acuerdo con la fundamentación y con el resto de los extremos del pleito (por todas, STC 86/2006, de 27 de marzo, FJ 2).</w:t>
      </w:r>
    </w:p>
    <w:p w:rsidR="008B3772" w:rsidRDefault="008B3772" w:rsidP="008B3772">
      <w:pPr>
        <w:pStyle w:val="TextoNormal"/>
      </w:pPr>
      <w:r>
        <w:t>En el presente caso, queda acreditado en las actuaciones que el Juzgado de Primera Instancia de Alcobendas dictó Auto de 21 de junio de 1993, en el procedimiento de jurisdicción voluntaria núm. 419-1993, en que, considerando probada la concurrencia de conflicto de intereses entre el recurrente y su padre, dispuso el nombramiento de defensor judicial al recurrente “… para que lo represente en juicio y fuera de él en todo lo relacionado con la herencia de la madre del incapaz”. Dicho nombramiento, como también se hace constar expresamente en el citado Auto, trae causa de la solicitud efectuado por el padre del recurrente, “…estando pendiente la división y adjudicación de la herencia … en que tanto el incapaz como el promotor pudieran tener intereses contrapuestos“. Igualmente, queda acreditado que la resolución judicial impugnada desestimó la alegación de prescripción por haberse entendido la Inspección de tributos con el padre del recurrente en vez de con su defensor judicial, argumentando que no podía entenderse que subsiste la existencia de conflicto de intereses entre el recurrente y su padre, ya que los actos tributarios derivados del impuesto sobre la herencia favorece y perjudican a ambos de la misma manera.</w:t>
      </w:r>
    </w:p>
    <w:p w:rsidR="008B3772" w:rsidRDefault="008B3772" w:rsidP="008B3772">
      <w:pPr>
        <w:pStyle w:val="TextoNormal"/>
      </w:pPr>
      <w:r>
        <w:t xml:space="preserve">Pues bien, aun partiendo de que en el fallo del Auto de designación de defensor judicial aparecía una amplia referencia a su actuación para “todo lo relacionado con la herencia de la madre del incapaz”, no cabe considerar que la argumentación vertida en la resolución </w:t>
      </w:r>
      <w:r>
        <w:lastRenderedPageBreak/>
        <w:t>impugnada sobre que la concreta actividad de liquidación tributaria de la herencia no era necesariamente una de esas operaciones en que el Auto de designación obligaba a la intervención del defensor judicial en detrimento del padre, como titular de la patria potestad, esté incursa en ningún defecto de motivación con relevancia constitucional irrazonable o arbitrario, especialmente atendiendo al hecho de que la solicitud de designación de defensor judicial estaba contextualizada a las actividades de división y adjudicación de la herencia, que eran las concretas operaciones en las que se consideraba que existía conflicto de intereses y que, por tanto, a ellas se limitó la valoración judicial para el nombramiento de defensor judicial.</w:t>
      </w:r>
    </w:p>
    <w:p w:rsidR="008B3772" w:rsidRDefault="008B3772" w:rsidP="008B3772">
      <w:pPr>
        <w:pStyle w:val="TextoNormal"/>
      </w:pPr>
      <w:r>
        <w:t>De ese modo, en la medida en que si bien pueden ser legítimas las discrepancias que el recurrente mantiene respecto del sentido y alcance que la resolución judicial impugnada ha dado al fallo del Auto de designación de defensor judicial, sin embargo, en el contexto del procedimiento de jurisdicción voluntaria en que se llevó a efecto, no puede afirmarse que resulten arbitrarios, irrazonables o incursos en error patente, este concreto motivo de amparo carece del necesario contenido constitucional.</w:t>
      </w:r>
    </w:p>
    <w:p w:rsidR="008B3772" w:rsidRDefault="008B3772" w:rsidP="008B3772">
      <w:pPr>
        <w:pStyle w:val="TextoNormal"/>
      </w:pPr>
    </w:p>
    <w:p w:rsidR="008B3772" w:rsidRDefault="008B3772" w:rsidP="008B3772">
      <w:pPr>
        <w:pStyle w:val="TextoNormal"/>
      </w:pPr>
      <w:r w:rsidRPr="008B3772">
        <w:rPr>
          <w:rStyle w:val="NumeroAFNegritaCaracter"/>
        </w:rPr>
        <w:t>3</w:t>
      </w:r>
      <w:r>
        <w:t>. Este Tribunal ha reiterado que para que pueda apreciarse la vulneración del derecho a la igualdad en la aplicación del derecho (art. 14 CE) es necesario, en primer lugar, la acreditación de un término de comparación idóneo, ya que el juicio de igualdad sólo puede realizarse sobre la comparación entre la Sentencia impugnada y las precedentes decisiones del mismo órgano judicial que, en casos sustancialmente iguales, hayan resuelto de forma contradictoria (por todas, STC 33/20007, de 12 de febrero, FJ 1).</w:t>
      </w:r>
    </w:p>
    <w:p w:rsidR="008B3772" w:rsidRDefault="008B3772" w:rsidP="008B3772">
      <w:pPr>
        <w:pStyle w:val="TextoNormal"/>
      </w:pPr>
      <w:r>
        <w:t>En el presente caso, como ha quedado acreditado en las actuaciones, el procedimiento en que fue dictada la resolución judicial impugnada en este amparo no fue recibido a prueba y la desestimación relativa a la alegación de los gastos deducibles, se fundamentó en que “… nada se prueba en las actuaciones sobre la incorrección de las deudas tenidas en cuenta por la Administración” (FD 4). Por el contrario, en el procedimiento núm. 1271-2000 que se aporta como contraste, lo que queda acreditado es, por un lado, que fue recibido a prueba, practicándose las aportaciones documentales de la parte actora y que, tal como aparece reflejado en la Sentencia de 13 de junio de 2003, la estimación relativa a la alegación de los gastos deducibles por enfermedad de la causante, se fundamentó en que habían quedado probados dichos gastos con la aportación de las facturas correspondientes a las mismas que obran en la pieza separada de prueba (FD 4).</w:t>
      </w:r>
    </w:p>
    <w:p w:rsidR="008B3772" w:rsidRDefault="008B3772" w:rsidP="008B3772">
      <w:pPr>
        <w:pStyle w:val="TextoNormal"/>
      </w:pPr>
      <w:r>
        <w:t>En atención a ello, se evidencia que la distinta respuesta judicial obtenida en cada una de las resoluciones judiciales se deriva exclusivamente de una diferente estrategia y actuación procesal en relación con la acreditación y prueba de los gastos que se pretendían deducir, lo que impide que pueda apreciarse la necesaria idoneidad del término de comparación. Por tanto, este motivo de amparo también está incurso en la causa de inadmisión señalada.</w:t>
      </w:r>
    </w:p>
    <w:p w:rsidR="008B3772" w:rsidRDefault="008B3772" w:rsidP="008B3772">
      <w:pPr>
        <w:pStyle w:val="TextoNormal"/>
      </w:pPr>
    </w:p>
    <w:p w:rsidR="008B3772" w:rsidRDefault="008B3772" w:rsidP="008B3772">
      <w:pPr>
        <w:pStyle w:val="TextoNormal"/>
      </w:pPr>
      <w:r>
        <w:t>Por lo expuesto, la Sección</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Inadmitir el presente recurso de amparo.</w:t>
      </w:r>
    </w:p>
    <w:p w:rsidR="008B3772" w:rsidRDefault="008B3772" w:rsidP="008B3772">
      <w:pPr>
        <w:pStyle w:val="TextoNormal"/>
      </w:pPr>
    </w:p>
    <w:p w:rsidR="008B3772" w:rsidRDefault="008B3772" w:rsidP="008B3772">
      <w:pPr>
        <w:pStyle w:val="TextoNormal"/>
      </w:pPr>
      <w:r>
        <w:t>Madrid, a veinte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77" w:name="AUTO_2007_313"/>
      <w:r>
        <w:lastRenderedPageBreak/>
        <w:t>AUTO 313/2007, de 27 de junio de 2007</w:t>
      </w:r>
    </w:p>
    <w:bookmarkEnd w:id="177"/>
    <w:p w:rsidR="008B3772" w:rsidRDefault="008B3772" w:rsidP="008B3772">
      <w:pPr>
        <w:pStyle w:val="TtuloResolucin"/>
      </w:pPr>
      <w:r>
        <w:t>Sección Primera</w:t>
      </w:r>
    </w:p>
    <w:p w:rsidR="008B3772" w:rsidRDefault="008B3772" w:rsidP="008B3772">
      <w:pPr>
        <w:pStyle w:val="TtuloResolucin"/>
      </w:pPr>
    </w:p>
    <w:p w:rsidR="008B3772" w:rsidRDefault="008B3772" w:rsidP="008B3772">
      <w:pPr>
        <w:pStyle w:val="SntesisDescriptiva"/>
      </w:pPr>
      <w:r>
        <w:t>ECLI:ES:TC:2007:313A</w:t>
      </w:r>
    </w:p>
    <w:p w:rsidR="008B3772" w:rsidRDefault="008B3772" w:rsidP="008B3772">
      <w:pPr>
        <w:pStyle w:val="SntesisDescriptiva"/>
      </w:pPr>
    </w:p>
    <w:p w:rsidR="008B3772" w:rsidRDefault="008B3772" w:rsidP="008B3772">
      <w:pPr>
        <w:pStyle w:val="SntesisDescriptiva"/>
      </w:pPr>
      <w:r>
        <w:t>Excms. Srs. doña María Emilia Casas Baamonde, don Javier Delgado Barrio y don Manuel Aragón Reyes.</w:t>
      </w:r>
    </w:p>
    <w:p w:rsidR="008B3772" w:rsidRDefault="008B3772" w:rsidP="008B3772">
      <w:pPr>
        <w:pStyle w:val="SntesisDescriptiva"/>
      </w:pPr>
    </w:p>
    <w:p w:rsidR="008B3772" w:rsidRDefault="008B3772" w:rsidP="008B3772">
      <w:pPr>
        <w:pStyle w:val="SntesisDescriptiva"/>
      </w:pPr>
      <w:r>
        <w:t>Inadmite a trámite el recurso de amparo 7412-2004, promovido por Botafogo, S.A., en contencioso sobre liquidación del impuesto sobre transmisiones patrimoniales.</w:t>
      </w:r>
    </w:p>
    <w:p w:rsidR="008B3772" w:rsidRDefault="008B3772" w:rsidP="008B3772">
      <w:pPr>
        <w:pStyle w:val="SntesisDescriptiva"/>
      </w:pPr>
    </w:p>
    <w:p w:rsidR="008B3772" w:rsidRDefault="008B3772" w:rsidP="008B3772">
      <w:pPr>
        <w:pStyle w:val="SntesisAnaltica"/>
      </w:pPr>
      <w:r>
        <w:t>Derecho a la tutela judicial efectiva: error patente e incongruencia de las sentencias, respetado.</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que tuvo su entrada en el Registro General del Tribunal Constitucional el 10 de diciembre de 2004, la entidad Botafogo, S.A., representada por el Procurador don Luciano Rosch Nadal y asistida del Letrado don Alberto Segura Roda, interpuso recurso de amparo contra la Sentencia de la Sección Segunda de la Sala de lo Contencioso-Administrativo del Tribunal Supremo de 11 de octubre de 2004, desestimatoria del recurso de casación núm. 4080-1999 interpuesto frente a la Sentencia de la Sección Segunda de la Sala de lo Contencioso-Administrativo de la Audiencia Nacional de 25 de marzo de 1999.</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Los hechos en que se funda la demanda de amparo son en esencia, en cuanto aquí interesan, los siguientes: </w:t>
      </w:r>
    </w:p>
    <w:p w:rsidR="008B3772" w:rsidRDefault="008B3772" w:rsidP="008B3772">
      <w:pPr>
        <w:pStyle w:val="TextoNormal"/>
      </w:pPr>
      <w:r>
        <w:t xml:space="preserve">a) Por Resolución del Tribunal Económico-Administrativo Regional de Canarias de 29 de junio de 1995, confirmada por la del Tribunal Económico-Administrativo Central de 26 de septiembre de 1996, fue desestimada la reclamación interpuesta contra liquidación girada a cargo de la entidad demandante de amparo en concepto de impuesto sobre transmisiones patrimoniales y actos jurídicos documentados por importe de 74.823.293 pesetas. Tal desestimación en vía administrativa de la pretensión de la reclamante se fundó en la “cosa juzgada administrativa”, por haberse atemperado la liquidación recurrida a lo anteriormente decidido por el Tribunal Económico-Administrativo Regional de Canarias en Resolución ya firme y consentida de 17 de marzo de 1993. </w:t>
      </w:r>
    </w:p>
    <w:p w:rsidR="008B3772" w:rsidRDefault="008B3772" w:rsidP="008B3772">
      <w:pPr>
        <w:pStyle w:val="TextoNormal"/>
      </w:pPr>
      <w:r>
        <w:t xml:space="preserve">b) Interpuesto contra dicha Resolución del Tribunal Económico-Administrativo Central recurso contencioso-administrativo (núm. 862-1996) ante la Sección Segunda de la Sala de lo Contencioso-Administrativo de la Audiencia Nacional fue desestimado por Sentencia de 25 de marzo de 1999. </w:t>
      </w:r>
    </w:p>
    <w:p w:rsidR="008B3772" w:rsidRDefault="008B3772" w:rsidP="008B3772">
      <w:pPr>
        <w:pStyle w:val="TextoNormal"/>
      </w:pPr>
      <w:r>
        <w:t>c) Formulado recurso de casación (núm. 4080-1999) ante la Sección Segunda de la Sala de lo Contencioso-Administrativo del Tribunal Supremo fue asimismo desestimado por Sentencia de 11 de octubre de 2004.</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3</w:t>
      </w:r>
      <w:r>
        <w:t xml:space="preserve">. El escrito de demanda presentado se funda en la vulneración del derecho a la tutela judicial efectiva con infracción del art. 24 CE por los motivos siguientes: a) Por haber incurrido tanto la Audiencia Nacional como el Tribunal Supremo en el error patente de apreciar que la demandante de amparo habría consentido la Resolución del TEAR de Canarias de 17 de marzo de 1993, y que ésta habría resuelto ya la cuestión de fondo que dicha demandante pretendía plantear en vía contencioso-administrativa. b) Por interpretación manifiestamente irrazonable de las normas aplicables, y concretamente de los artículos 61 y 116 del Reglamento de procedimiento de las reclamaciones económico-administrativas, aprobado por Real Decreto 1999/1981, de 20 de agosto. c) Por haber incidido la Sentencia del Tribunal Supremo impugnada, y también la de la Audiencia Nacional recurrida en casación, en incongruencia omisiva, al no haberse resuelto sobre la cuestión de fondo, relativa a la conformidad a Derecho de la liquidación impugnada y a la sujeción o no sujeción del hecho imponible producido al impuesto sobre transmisiones patrimoniales. </w:t>
      </w:r>
    </w:p>
    <w:p w:rsidR="008B3772" w:rsidRDefault="008B3772" w:rsidP="008B3772">
      <w:pPr>
        <w:pStyle w:val="TextoNormal"/>
      </w:pPr>
      <w:r>
        <w:t>Se solicita que se reconozca el derecho fundamental vulnerado, se declare la nulidad de la Sentencia de 11 de octubre de 2004 del Tribunal Supremo y se ordene retrotraer las actuaciones judiciales al momento anterior a dictarse sentencia en casación, a fin de que se dicte nueva sentencia “en la que no se aprecie que se hubiera decidido administrativamente por el TEAR de Canarias sobre el carácter de la operación societaria liquidada”.</w:t>
      </w:r>
    </w:p>
    <w:p w:rsidR="008B3772" w:rsidRDefault="008B3772" w:rsidP="008B3772">
      <w:pPr>
        <w:pStyle w:val="TextoNormal"/>
      </w:pPr>
    </w:p>
    <w:p w:rsidR="008B3772" w:rsidRDefault="008B3772" w:rsidP="008B3772">
      <w:pPr>
        <w:pStyle w:val="TextoNormal"/>
      </w:pPr>
      <w:r w:rsidRPr="008B3772">
        <w:rPr>
          <w:rStyle w:val="NumeroAFNegritaCaracter"/>
        </w:rPr>
        <w:t>4</w:t>
      </w:r>
      <w:r>
        <w:t>. La Sección acordó en el asunto de referencia, por providencia de 14 de junio de 2006, de conformidad con lo dispuesto en el núm. 3 del art. 50 LOTC, conceder a la parte demandante de amparo y al Ministerio Fiscal un plazo común de diez días para formular, con las aportaciones documentales que procediesen, las alegaciones que estimasen pertinentes en relación con la causa de inadmisión de carencia manifiesta de contenido constitucional de la demanda —art. 50.1 c) LOTC—.</w:t>
      </w:r>
    </w:p>
    <w:p w:rsidR="008B3772" w:rsidRDefault="008B3772" w:rsidP="008B3772">
      <w:pPr>
        <w:pStyle w:val="TextoNormal"/>
      </w:pPr>
    </w:p>
    <w:p w:rsidR="008B3772" w:rsidRDefault="008B3772" w:rsidP="008B3772">
      <w:pPr>
        <w:pStyle w:val="TextoNormal"/>
      </w:pPr>
      <w:r w:rsidRPr="008B3772">
        <w:rPr>
          <w:rStyle w:val="NumeroAFNegritaCaracter"/>
        </w:rPr>
        <w:t>5</w:t>
      </w:r>
      <w:r>
        <w:t>. La parte demandante, mediante escrito que tuvo su entrada en el Registro General el 3 de julio de 2006, abundó en sus alegaciones ya formuladas en la demanda relativas a una pretendida vulneración del derecho a la tutela judicial efectiva por haberse incurrido en la Sentencia impugnada en error patente determinante del fallo, por interpretación indebida en la misma de las normas aplicables, que habría impedido el enjuiciamiento del fondo del asunto, y por la incongruencia omisiva de dicha Sentencia.</w:t>
      </w:r>
    </w:p>
    <w:p w:rsidR="008B3772" w:rsidRDefault="008B3772" w:rsidP="008B3772">
      <w:pPr>
        <w:pStyle w:val="TextoNormal"/>
      </w:pPr>
    </w:p>
    <w:p w:rsidR="008B3772" w:rsidRDefault="008B3772" w:rsidP="008B3772">
      <w:pPr>
        <w:pStyle w:val="TextoNormal"/>
      </w:pPr>
      <w:r w:rsidRPr="008B3772">
        <w:rPr>
          <w:rStyle w:val="NumeroAFNegritaCaracter"/>
        </w:rPr>
        <w:t>6</w:t>
      </w:r>
      <w:r>
        <w:t>. El Fiscal ante el Tribunal Constitucional, mediante escrito que tuvo su entrada el 3 de julio de 2006, señalaba que para comprobar el error denunciado por la entidad demandante de amparo era necesario disponer de la Resolución del Tribunal Económico-Administrativo Regional de Canarias de 17 de marzo de 1993 y que, por otro lado, las Resoluciones del mismo TEAR de 29 de junio de 1995 y la del Tribunal Económico-Administrativo Central de 26 de septiembre de 1996 constituían los antecedentes necesarios de las Sentencias aportadas y su conocimiento resultaba muy conveniente. Por lo que solicitó que, con suspensión del trámite del art. 50.3 conferido, se reclamase a la demandante la presentación de dichas resoluciones.</w:t>
      </w:r>
    </w:p>
    <w:p w:rsidR="008B3772" w:rsidRDefault="008B3772" w:rsidP="008B3772">
      <w:pPr>
        <w:pStyle w:val="TextoNormal"/>
      </w:pPr>
    </w:p>
    <w:p w:rsidR="008B3772" w:rsidRDefault="008B3772" w:rsidP="008B3772">
      <w:pPr>
        <w:pStyle w:val="TextoNormal"/>
      </w:pPr>
      <w:r w:rsidRPr="008B3772">
        <w:rPr>
          <w:rStyle w:val="NumeroAFNegritaCaracter"/>
        </w:rPr>
        <w:t>7</w:t>
      </w:r>
      <w:r>
        <w:t xml:space="preserve">. Por diligencia de ordenación del Secretario de Justicia de la Sala Primera de 11 de julio de 2006 se acordó, de conformidad con lo solicitado por el Ministerio Fiscal, suspender el plazo otorgado para la presentación de las alegaciones del art. 50.3 LOTC y requerir al </w:t>
      </w:r>
      <w:r>
        <w:lastRenderedPageBreak/>
        <w:t>representante procesal de la demandante para que en plazo de diez días aportase las Resoluciones del Tribunal Económico-Administrativo Regional de Canarias de 17 de marzo de 1993 y de 29 de junio de 1995 y la Resolución del Tribunal Económico-Administrativo Central de 26 de septiembre de 1996. Requerimiento que fue cumplimentado mediante escrito que tuvo su entrada en el Registro General de este Tribunal el 27 de julio de 2006.</w:t>
      </w:r>
    </w:p>
    <w:p w:rsidR="008B3772" w:rsidRDefault="008B3772" w:rsidP="008B3772">
      <w:pPr>
        <w:pStyle w:val="TextoNormal"/>
      </w:pPr>
    </w:p>
    <w:p w:rsidR="008B3772" w:rsidRDefault="008B3772" w:rsidP="008B3772">
      <w:pPr>
        <w:pStyle w:val="TextoNormal"/>
      </w:pPr>
      <w:r w:rsidRPr="008B3772">
        <w:rPr>
          <w:rStyle w:val="NumeroAFNegritaCaracter"/>
        </w:rPr>
        <w:t>8</w:t>
      </w:r>
      <w:r>
        <w:t>. La Sección, por providencia de 5 de septiembre de 2006, acordó, de conformidad con lo dispuesto en el art. 50.3 LOTC, conceder a la parte demandante de amparo y al Ministerio Fiscal un plazo común de diez días para que formulasen, con las aportaciones documentales que procediesen, las alegaciones que estimasen pertinentes en relación con la causa de inadmisión de carencia manifiesta de contenido constitucional de la demanda —art. 50.1 c) LOTC—.</w:t>
      </w:r>
    </w:p>
    <w:p w:rsidR="008B3772" w:rsidRDefault="008B3772" w:rsidP="008B3772">
      <w:pPr>
        <w:pStyle w:val="TextoNormal"/>
      </w:pPr>
    </w:p>
    <w:p w:rsidR="008B3772" w:rsidRDefault="008B3772" w:rsidP="008B3772">
      <w:pPr>
        <w:pStyle w:val="TextoNormal"/>
      </w:pPr>
      <w:r w:rsidRPr="008B3772">
        <w:rPr>
          <w:rStyle w:val="NumeroAFNegritaCaracter"/>
        </w:rPr>
        <w:t>9</w:t>
      </w:r>
      <w:r>
        <w:t>. La recurrente, por escrito presentado el 19 de septiembre de 2006, dio por reproducido su escrito de alegaciones ya formulado anteriormente.</w:t>
      </w:r>
    </w:p>
    <w:p w:rsidR="008B3772" w:rsidRDefault="008B3772" w:rsidP="008B3772">
      <w:pPr>
        <w:pStyle w:val="TextoNormal"/>
      </w:pPr>
    </w:p>
    <w:p w:rsidR="008B3772" w:rsidRDefault="008B3772" w:rsidP="008B3772">
      <w:pPr>
        <w:pStyle w:val="TextoNormal"/>
      </w:pPr>
      <w:r w:rsidRPr="008B3772">
        <w:rPr>
          <w:rStyle w:val="NumeroAFNegritaCaracter"/>
        </w:rPr>
        <w:t>10</w:t>
      </w:r>
      <w:r>
        <w:t>. El Fiscal ante el Tribunal Constitucional, por escrito presentado el 3 de octubre de 2006, dijo, en esencia, tras exponer la argumentación en que se funda la demanda de amparo, que la misma se sustentaría en que, frente a lo que se sostiene en las Resoluciones del TEAR de Canarias de 29 de junio de 1995 y del TEAC de 26 de septiembre de 1996, así como en las Sentencias de la Audiencia Nacional de 25 de marzo de 1999 y del Tribunal Supremo de 11 de octubre de 2004, la anterior Resolución del TEAR de Canarias de 17 de marzo de 1993 no habría resuelto la cuestión planteada sobre la sujeción o no al impuesto sobre transmisiones patrimoniales y actos jurídicos documentados del exceso de aportación de Botafogo, S.A., a Costa Blanca del Sur, S.A. Y sobre esta base, indicaba que examinados los considerandos y el fallo de dicha Resolución del TEAR de 17 de marzo de 1993, resultaría claro que la referida cuestión sí habría sido abordada y resuelta, en el sentido de que el exceso de aportación sí sería hecho imponible del impuesto, mientras que no cabría aplicar sanción ni por retraso ni por incorrección de la liquidación, por lo que en consecuencia procedía girar nueva liquidación en la que se excluyese la sanción señalada. Consecuentemente —vino a concluir—, al no apreciarse, a los efectos de la doctrina sobre vulneración del derecho a la tutela judicial efectiva recordada en la reciente STC 192/2006, FJ 3, que en esa interpretación de una anterior Resolución administrativa las Resoluciones recurridas hayan incurrido en error patente, la interpretación asimismo efectuada de la cosa juzgada administrativa no habría resultado arbitraria ni irrazonable, sin que aquí pueda llegarse a más, ya que el contenido y alcance de este concepto es una cuestión de legalidad ordinaria. Por todo ello interesó el Fiscal que se dictase auto inadmitiendo la demanda de amparo por falta de contenido constitucional.</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xml:space="preserve">. Con la demanda formulada en el presente recurso de amparo pretende plantearse la cuestión de si habría supuesto vulneración del derecho fundamental a la tutela judicial efectiva (art. 24.1 CE), la incongruencia en que habrían incurrido los órganos judiciales —la Sección Segunda de la Sala de lo Contencioso-Administrativo de la Audiencia Nacional, primero, y la Sección Segunda de la Sala de lo Contencioso-Administrativo del Tribunal </w:t>
      </w:r>
      <w:r>
        <w:lastRenderedPageBreak/>
        <w:t>Supremo, después— al omitir todo pronunciamiento sobre la cuestión de fondo —la de la sujeción o no al impuesto sobre transmisiones patrimoniales de determinado exceso de aportación de capital, a efectos de determinar la conformidad o disconformidad a Derecho de la liquidación tributaria impugnada— que la demandante de amparo pretendió suscitar en vía contencioso-administrativa. Omisión que se habría fundado, según la recurrente, en una patentemente errónea apreciación de “cosa juzgada administrativa”, así como en la aplicación irrazonable e incluso arbitraria, según entiende asimismo dicha recurrente, de los arts. 61 y 116 del Reglamento de procedimiento de las reclamaciones económico-administrativas de 1981, también lesiva del mismo derecho fundamental.</w:t>
      </w:r>
    </w:p>
    <w:p w:rsidR="008B3772" w:rsidRDefault="008B3772" w:rsidP="008B3772">
      <w:pPr>
        <w:pStyle w:val="TextoNormal"/>
      </w:pPr>
      <w:r>
        <w:t>Tal planteamiento de la cuestión objeto del presente recurso de amparo descansa, efectivamente, como viene a señalar el Ministerio Fiscal, sobre las afirmaciones efectuadas en la demanda de amparo, frente a lo considerado al respecto por los órganos de la jurisdicción contencioso-administrativa que han resuelto el caso, y previamente por los que decidieron la correspondiente reclamación económico-administrativa, según los cuales el Tribunal Económico-Administrativo Regional de Canarias no habría llegado a pronunciarse con su anterior Resolución de 17 de marzo de 1993 sobre la referida cuestión de fondo, y por otro lado habría anulado en su totalidad, y no sólo en la parte relativa a la sanción impuesta, la liquidación tributaria impugnada.</w:t>
      </w:r>
    </w:p>
    <w:p w:rsidR="008B3772" w:rsidRDefault="008B3772" w:rsidP="008B3772">
      <w:pPr>
        <w:pStyle w:val="TextoNormal"/>
      </w:pPr>
      <w:r>
        <w:t>Todo ello hizo necesario requerir a la entidad recurrente, a solicitud del Ministerio Fiscal, para que aportase copia de tales resoluciones económico-administrativas, incluida la del Tribunal Económico-Administrativo Regional de Canarias de 17 de marzo de 1993, a fin de poder contrastar y determinar, a los efectos de la admisibilidad del recurso de amparo, la mayor o menor consistencia de las imputaciones de error patente, irrazonabilidad e incluso arbitrariedad que por dicha recurrente se efectúan a los órganos judiciales en lo referente a sus apreciaciones sobre el contenido y alcance de los pronunciamientos económico-administrativos previos. Y, una vez aportada dicha copia, procede examinar el contenido de tales Resoluciones económico-administrativas, y muy especialmente el de la del TEAR de 17 de marzo de 1993, a los exclusivos efectos de resolver sobre la admisibilidad o inadmisibilidad del presente recurso; sin que en esa labor podamos rebasar los límites que a este Tribunal Constitucional imponen los arts. 44.1 b) y 54 LOTC respecto de los hechos que dieron lugar al proceso ordinario y de la actuación de los órganos jurisdiccionales ordinarios en aspectos ajenos a eventuales violaciones de derechos o libertades fundamentales.</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Y basta con examinar la referida Resolución del TEAR de Canarias de 17 de marzo de 1993 para que tengamos que convenir con el Ministerio Fiscal en que no cabe apreciar “error patente” alguno de los órganos judiciales ordinarios sobre el contenido y efectos de dicha Resolución económico-administrativa, sino, a lo más, una mera discordancia entre la demandante de amparo y los órganos jurisdiccionales acerca del sentido y alcance de aquélla que, por su carencia de relevancia constitucional, este Tribunal no debe entrar a dilucidar. Y es que, aunque la entidad demandante de amparo niegue que en la referida Resolución económico-administrativa se haya llegado a decidir sobre la cuestión de fondo posteriormente suscitada por la misma en vía judicial —la de la sujeción o no al ITP de un exceso de aportación en determinada operación societaria—, lo cierto es que del cuarto considerando de dicha Resolución se desprende meridianamente que esa fue, precisamente, una de las dos cuestiones —la otra era la de la procedencia o no de la multa impuesta— que el propio órgano económico-administrativo entendió que planteaba el expediente y que había que resolver. También ha de concluirse que es el siguiente considerando quinto de la misma Resolución el que argumenta, en sentido positivo, aunque sucintamente, acerca de la tan </w:t>
      </w:r>
      <w:r>
        <w:lastRenderedPageBreak/>
        <w:t>referida cuestión de fondo de la sujeción o no al impuesto de determinados excesos de aportación. Y del mismo modo ha de concluirse, viniendo a coincidir en ello con lo apreciado por el Ministerio Fiscal en el presente trámite, que la alusión a la discusión doctrinal efectuada en el segundo párrafo del considerando octavo de la Resolución del TEAR de 17 de marzo de 1993, se habría hecho, no —como parece interpretar la demandante de amparo— para dejar irresuelta dicha cuestión de fondo, sino como argumento para apreciar un “error de calificación” en que habría incurrido el sujeto pasivo y justificar la exclusión de la responsabilidad del mismo por infracción tributaria. Como también es posible interpretar razonablemente, a la luz de tal fundamentación jurídica, que el fallo a que se llegó en dicha Resolución económico-administrativa —“este Tribunal reunido en Pleno, acuerda en Primera Instancia, estimando en parte la reclamación anular la liquidación impugnada que deberá girarse nuevamente, sin sanción”— supuso, como la demandante de amparo pretende, la anulación de la liquidación en su totalidad, sino sólo, como han entendido los órganos económico-administrativos, primero, y los judiciales ordinarios, después, la de aquella parte de la liquidación relativa a la sanción impuesta.</w:t>
      </w:r>
    </w:p>
    <w:p w:rsidR="008B3772" w:rsidRDefault="008B3772" w:rsidP="008B3772">
      <w:pPr>
        <w:pStyle w:val="TextoNormal"/>
      </w:pPr>
      <w:r>
        <w:t>Todo ello se señala aquí, no a los efectos de resolver sobre la diferente interpretación de una misma Resolución económico-administrativa que la demandante de amparo y los órganos de la Jurisdicción contencioso-administrativa han efectuado con ocasión de los recursos interpuestos por aquélla, ya que ello constituiría una cuestión carente en sí misma de relevancia constitucional, ajena a la jurisdicción de este Tribunal Constitucional, sino exclusivamente con la finalidad de poner de relieve que es razonable la efectuada por los referidos Tribunales. Lo cual excluye que, respecto del caso de autos, quepa hablar con fundamento, como sin embargo se hace en la demanda de amparo, de “error patente con relevancia constitucional” determinante de vulneración del derecho fundamental a la tutela judicial efectiva con infracción del art. 24.1 CE. Pues, efectivamente, en el supuesto de que aquí se trata faltaría, al menos, uno de los requisitos para que, conforme a la STC 107/2002, de 6 de mayo, FJ 3, invocada en la demanda de amparo —o a la más reciente STC 192/2006, de 19 de junio, FJ 3, citada por el Ministerio Fiscal, ambas reiterando una abundante doctrina anterior—, un error pueda considerarse determinante de vulneración del derecho a la tutela judicial efectiva: el de que “sea patente, esto es, verificable de forma incontrovertible a partir de las propias actuaciones judiciales” —se decía en la STC 107/2002—, “por conducir —se añade en la STC 192/2006 respecto del mismo requisito— a una conclusión absurda o contraria a los principios elementales de la lógica y de la experiencia”: mediante el examen de la tan referida Resolución económico-administrativa de 17 de marzo de 1993 no se verifica error alguno incontrovertible de los órganos judiciales acerca del contenido y alcance de la misma, sino por el contrario una interpretación racionalmente defendible, aunque quizá discutible, del sentido de esa Resolución administrativa, que en modo alguno habría llevado a conclusiones absurdas o contrarias a los principios elementales de la lógica y de la experiencia. Pues tampoco podrían considerarse absurdas o contrarias a la luz de la lógica y de la experiencia jurídicas las conclusiones a las que los órganos judiciales, y previamente los económico-administrativos, habrían llegado a partir de esa interpretación de una Resolución económico-administrativa sólo estimatoria en parte de la reclamación interpuesta: la de que, al no haber sido ésta recurrida en tiempo y forma, habría quedado firme y consentida aquella parte de la actuación administrativa no invalidada mediante esa estimación parcial; y la de que la nueva liquidación tributaria que la entidad recurrente pretendía impugnar no era sino un acto de ejecución de dicha Resolución económico-administrativa  firme.</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3</w:t>
      </w:r>
      <w:r>
        <w:t>. Y una vez sentado lo anterior, pierde todo su posible fundamento el resto de las alegaciones de la demandante relativas a los otros dos motivos por los que entiende vulnerado su derecho fundamental a la tutela judicial efectiva. Puesto que, no resultando erróneo entender o interpretar que mediante la Resolución del TEAR de Canarias de 17 de marzo de 1993, no recurrida por la demandante de amparo, y por lo tanto firme y consentida, habría sido resuelta en sentido desestimatorio la pretensión de la demandante de amparo de no estar sujeta al impuesto sobre transmisiones patrimoniales respecto de su exceso de aportación a Costa Blanca del Sur, S.A., tampoco cabe calificar como irrazonable y absurda, como asimismo se hace en la demanda de amparo, la interpretación que al respecto efectuaron tanto los órganos económico-administrativos, primero, como los de la jurisdicción contencioso-administrativa, después, de los arts. 61 y 116 del Reglamento de procedimiento de las reclamaciones económico-administrativas de 1981, aplicables —lo que no se discute por la demandanre— a los hechos en función del tiempo en que éstos se produjeron, preceptos reglamentarios reguladores de la denominada “cosa juzgada administrativa” y de la impugnabilidad en vía económico-administrativa de los actos de ejecución de anteriores resoluciones económico-administrativas. Mientras que lo que en la demanda de amparo se califica de “incongruencia omisiva” no sería sino la decisión, sin duda razonada y fundada en Derecho, de los órganos judiciales ordinarios de abstenerse de entrar a conocer acerca de una determinada cuestión de fondo por entender que la misma ya había sido anteriormente resuelta mediante Resolución administrativa firme y consentida, por no haber sido recurrida en tiempo y forma.</w:t>
      </w:r>
    </w:p>
    <w:p w:rsidR="008B3772" w:rsidRDefault="008B3772" w:rsidP="008B3772">
      <w:pPr>
        <w:pStyle w:val="TextoNormal"/>
      </w:pPr>
    </w:p>
    <w:p w:rsidR="008B3772" w:rsidRDefault="008B3772" w:rsidP="008B3772">
      <w:pPr>
        <w:pStyle w:val="TextoNormal"/>
      </w:pPr>
      <w:r w:rsidRPr="008B3772">
        <w:rPr>
          <w:rStyle w:val="NumeroAFNegritaCaracter"/>
        </w:rPr>
        <w:t>4</w:t>
      </w:r>
      <w:r>
        <w:t>. Por todo ello procede apreciar en la presente demanda de amparo el motivo de inadmisión previsto en el artículo 50.1 c) LOTC, consistente en que la demanda carezca manifiestamente del contenido que justifique una decisión sobre el fondo de la misma por parte del Tribunal Constitucional. Pues hemos de reiterar aquí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(art. 120.3 CE),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87/2000,de 27 de marzo, FJ 3; 82/2001, de 26 de marzo, FJ 2; 221/2001, de 31 de octubre, FJ 6; 55/2003, de 24 de marzo, FJ 6)” (STC 325/2005, de 12 de diciembre, FJ 2). Y, en el presente supuesto, es manifiesto que no concurren la arbitrariedad, la irrazonabilidad o el error patente precisos para que una Resolución judicial pueda ser revisada por este Tribunal Constitucional so pretexto de vulneración del derecho a la tutela judicial efectiva con infracción del art.  24.1 CE.</w:t>
      </w:r>
    </w:p>
    <w:p w:rsidR="008B3772" w:rsidRDefault="008B3772" w:rsidP="008B3772">
      <w:pPr>
        <w:pStyle w:val="TextoNormal"/>
      </w:pPr>
    </w:p>
    <w:p w:rsidR="008B3772" w:rsidRDefault="008B3772" w:rsidP="008B3772">
      <w:pPr>
        <w:pStyle w:val="TextoNormal"/>
      </w:pPr>
      <w:r>
        <w:lastRenderedPageBreak/>
        <w:t>Por lo expuesto, la Sección</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Inadmitir a trámite el presente recurso de amparo y archivar las actuaciones del mismo.</w:t>
      </w:r>
    </w:p>
    <w:p w:rsidR="008B3772" w:rsidRDefault="008B3772" w:rsidP="008B3772">
      <w:pPr>
        <w:pStyle w:val="TextoNormal"/>
      </w:pPr>
    </w:p>
    <w:p w:rsidR="008B3772" w:rsidRDefault="008B3772" w:rsidP="008B3772">
      <w:pPr>
        <w:pStyle w:val="TextoNormal"/>
      </w:pPr>
      <w:r>
        <w:t>Madrid, a veintisiete de junio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78" w:name="AUTO_2007_314"/>
      <w:r>
        <w:lastRenderedPageBreak/>
        <w:t>AUTO 314/2007, de 2 de julio de 2007</w:t>
      </w:r>
    </w:p>
    <w:bookmarkEnd w:id="178"/>
    <w:p w:rsidR="008B3772" w:rsidRDefault="008B3772" w:rsidP="008B3772">
      <w:pPr>
        <w:pStyle w:val="TtuloResolucin"/>
      </w:pPr>
      <w:r>
        <w:t>Sala Primera</w:t>
      </w:r>
    </w:p>
    <w:p w:rsidR="008B3772" w:rsidRDefault="008B3772" w:rsidP="008B3772">
      <w:pPr>
        <w:pStyle w:val="TtuloResolucin"/>
      </w:pPr>
    </w:p>
    <w:p w:rsidR="008B3772" w:rsidRDefault="008B3772" w:rsidP="008B3772">
      <w:pPr>
        <w:pStyle w:val="SntesisDescriptiva"/>
      </w:pPr>
      <w:r>
        <w:t>ECLI:ES:TC:2007:314A</w:t>
      </w:r>
    </w:p>
    <w:p w:rsidR="008B3772" w:rsidRDefault="008B3772" w:rsidP="008B3772">
      <w:pPr>
        <w:pStyle w:val="SntesisDescriptiva"/>
      </w:pPr>
    </w:p>
    <w:p w:rsidR="008B3772" w:rsidRDefault="008B3772" w:rsidP="008B3772">
      <w:pPr>
        <w:pStyle w:val="SntesisDescriptiva"/>
      </w:pPr>
      <w:r>
        <w:t>Excms. Srs. doña María Emilia Casas Baamonde, don Javier Delgado Barrio, don Roberto García-Calvo y Montiel, don Jorge Rodríguez-Zapata Pérez y don Manuel Aragón Reyes.</w:t>
      </w:r>
    </w:p>
    <w:p w:rsidR="008B3772" w:rsidRDefault="008B3772" w:rsidP="008B3772">
      <w:pPr>
        <w:pStyle w:val="SntesisDescriptiva"/>
      </w:pPr>
    </w:p>
    <w:p w:rsidR="008B3772" w:rsidRDefault="008B3772" w:rsidP="008B3772">
      <w:pPr>
        <w:pStyle w:val="SntesisDescriptiva"/>
      </w:pPr>
      <w:r>
        <w:t>Acuerda la suspensión  en el recurso de amparo 5682-2004, promovido por don José Luis Álvarez Santacristina en procedimiento penitenciario por sanciones disciplinarias.</w:t>
      </w:r>
    </w:p>
    <w:p w:rsidR="008B3772" w:rsidRDefault="008B3772" w:rsidP="008B3772">
      <w:pPr>
        <w:pStyle w:val="SntesisDescriptiva"/>
      </w:pPr>
    </w:p>
    <w:p w:rsidR="008B3772" w:rsidRDefault="008B3772" w:rsidP="008B3772">
      <w:pPr>
        <w:pStyle w:val="SntesisAnaltica"/>
      </w:pPr>
      <w:r>
        <w:t>Suspensión cautelar de resoluciones penales: sanción de aislamiento en celda, suspende.</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xml:space="preserve">. Por escrito presentado en el Centro Penitenciario de Algeciras el 15 de septiembre de 2004, recibido en el Registro General de este Tribunal el 20 de septiembre de 2004, don José Luis Alvarez Santacristina manifestó su voluntad de recurrir en amparo los Autos de 4 de junio y 1 de septiembre de 2004, del Juzgado Central de Vigilancia Penitenciaria de la Audiencia Nacional, que desestiman la impugnación de los Acuerdos de 16 y 22 de enero de 2004 de la Comisión Disciplinaria del Centro Penitenciario de Algeciras recaídos en los expedientes disciplinarios acumulados núms. 1221-2003, 1236-2003, 1250-2003 y 1258-2003, que le impusieron sendas sanciones de siete fines de semana de aislamiento en celda, como responsable de otras tantas faltas muy graves previstas en el art. 108.a) del Reglamento Penitenciario, aprobado por Real Decreto, 1201/1981, de 8 de mayo. </w:t>
      </w:r>
    </w:p>
    <w:p w:rsidR="008B3772" w:rsidRDefault="008B3772" w:rsidP="008B3772">
      <w:pPr>
        <w:pStyle w:val="TextoNormal"/>
      </w:pPr>
      <w:r>
        <w:t>En el mismo escrito solicitaba el nombramiento de Abogado y Procurador del turno de oficio, para interponer demanda de amparo, siendo designados doña Gemma Muñoz Minaya como Procuradora y don Víctor Gómez Sánchez como Abogado. Tras las referidas designaciones, el 26 de noviembre de 2004 se presentó la demanda de amparo en la que, de acuerdo con lo previsto en el art. 56.1 LOTC —en la redacción anterior a la reforma operada por la Ley Orgánica 6/2007, de 24 de mayo— el demandante solicita que se deje en suspenso la ejecución de las resoluciones impugnadas, alegando que su ejecución podría ocasionarle un perjuicio que haría perder al amparo su finalidad.</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Sucintamente expuestos, los hechos relevantes para resolver la pretensión del demandante son los siguientes: </w:t>
      </w:r>
    </w:p>
    <w:p w:rsidR="008B3772" w:rsidRDefault="008B3772" w:rsidP="008B3772">
      <w:pPr>
        <w:pStyle w:val="TextoNormal"/>
      </w:pPr>
      <w:r>
        <w:t xml:space="preserve">a) Por Acuerdos de 16 y 22 de enero de 2004 de la Comisión Disciplinaria del Centro Penitenciario de Algeciras recaídos en los expedientes disciplinarios núms. 1221-2003, 1236-2003, 1250-2003 y 1258-2003 se impusieron al demandante de amparo sendas sanciones de siete fines de semana de aislamiento en celda, como responsable de otras tantas faltas muy graves previstas en el art. 108.a) del Reglamento Penitenciario aprobado por Real Decreto 1201/1981, de 8 de mayo. </w:t>
      </w:r>
    </w:p>
    <w:p w:rsidR="008B3772" w:rsidRDefault="008B3772" w:rsidP="008B3772">
      <w:pPr>
        <w:pStyle w:val="TextoNormal"/>
      </w:pPr>
      <w:r>
        <w:lastRenderedPageBreak/>
        <w:t xml:space="preserve">b) Contra los referidos Acuerdos recurrió en alzada ante el Juzgado Central de Vigilancia Penitenciaria de la Audiencia Nacional, que procedió a desestimar el recurso por Auto de 4 de junio de 2004. </w:t>
      </w:r>
    </w:p>
    <w:p w:rsidR="008B3772" w:rsidRDefault="008B3772" w:rsidP="008B3772">
      <w:pPr>
        <w:pStyle w:val="TextoNormal"/>
      </w:pPr>
      <w:r>
        <w:t>c) Contra el anterior Auto interpuso recurso de reforma que, a su vez, fue desestimado por Auto de 1 de septiembre de 2004.</w:t>
      </w:r>
    </w:p>
    <w:p w:rsidR="008B3772" w:rsidRDefault="008B3772" w:rsidP="008B3772">
      <w:pPr>
        <w:pStyle w:val="TextoNormal"/>
      </w:pPr>
    </w:p>
    <w:p w:rsidR="008B3772" w:rsidRDefault="008B3772" w:rsidP="008B3772">
      <w:pPr>
        <w:pStyle w:val="TextoNormal"/>
      </w:pPr>
      <w:r w:rsidRPr="008B3772">
        <w:rPr>
          <w:rStyle w:val="NumeroAFNegritaCaracter"/>
        </w:rPr>
        <w:t>3</w:t>
      </w:r>
      <w:r>
        <w:t>. En la demanda de amparo se alega que las Resoluciones impugnadas han vulnerado los derechos del recurrente a la igualdad (art. 14 CE), a la libertad ideológica (art. 16.1 CE), a la libertad de expresión (art. 20.1 a), a la tutela judicial efectiva (art. 24.1 CE), a la defensa y a utilizar los medios de prueba pertinentes (art. 24.2 CE), así como los principios de legalidad y tipicidad proclamados en el art. 25.1 CE. Como ya ha quedado reseñado, en la misma demanda de amparo, de acuerdo con lo previsto en el entonces art. 56.1 LOTC, el demandante solicita que se deje en suspenso la ejecución de las sanciones disciplinarias, alegando que su ejecución podría ocasionarle un perjuicio que haría perder al amparo su finalidad.</w:t>
      </w:r>
    </w:p>
    <w:p w:rsidR="008B3772" w:rsidRDefault="008B3772" w:rsidP="008B3772">
      <w:pPr>
        <w:pStyle w:val="TextoNormal"/>
      </w:pPr>
    </w:p>
    <w:p w:rsidR="008B3772" w:rsidRDefault="008B3772" w:rsidP="008B3772">
      <w:pPr>
        <w:pStyle w:val="TextoNormal"/>
      </w:pPr>
      <w:r w:rsidRPr="008B3772">
        <w:rPr>
          <w:rStyle w:val="NumeroAFNegritaCaracter"/>
        </w:rPr>
        <w:t>4</w:t>
      </w:r>
      <w:r>
        <w:t xml:space="preserve">. Por providencia de 25 de mayo de 2007 la Sección Segunda de este Tribunal acordó la admisión a trámite de la demanda de amparo y, en aplicación del art. 51 LOTC, obrando ya en la Sala copia de las actuaciones seguidas en el Juzgado Central de Vigilancia Penitenciaria de la Audiencia Nacional, se emplazó al Abogado del Estado y se dio traslado a las partes para que en el plazo de veinte días pudieran formular alegaciones, de conformidad con lo dispuesto en el art. 52.1 LOTC. </w:t>
      </w:r>
    </w:p>
    <w:p w:rsidR="008B3772" w:rsidRDefault="008B3772" w:rsidP="008B3772">
      <w:pPr>
        <w:pStyle w:val="TextoNormal"/>
      </w:pPr>
      <w:r>
        <w:t>Mediante otra providencia de la misma fecha se acordó formar la correspondiente pieza separada de suspensión y, de conformidad con lo previsto en el art. 56 LOTC, conceder un plazo común de tres días al Ministerio Fiscal, al recurrente en amparo y al Abogado del Estado para que alegaran lo que estimaran pertinente en relación con la petición de suspensión interesada.</w:t>
      </w:r>
    </w:p>
    <w:p w:rsidR="008B3772" w:rsidRDefault="008B3772" w:rsidP="008B3772">
      <w:pPr>
        <w:pStyle w:val="TextoNormal"/>
      </w:pPr>
    </w:p>
    <w:p w:rsidR="008B3772" w:rsidRDefault="008B3772" w:rsidP="008B3772">
      <w:pPr>
        <w:pStyle w:val="TextoNormal"/>
      </w:pPr>
      <w:r w:rsidRPr="008B3772">
        <w:rPr>
          <w:rStyle w:val="NumeroAFNegritaCaracter"/>
        </w:rPr>
        <w:t>5</w:t>
      </w:r>
      <w:r>
        <w:t>. El Abogado del Estado presentó su escrito de alegaciones el 30 de mayo de 2007, expresando que, dadas las fechas de la imposición de las sanciones y de su confirmación por el órgano judicial, la petición de suspensión carece de objeto.</w:t>
      </w:r>
    </w:p>
    <w:p w:rsidR="008B3772" w:rsidRDefault="008B3772" w:rsidP="008B3772">
      <w:pPr>
        <w:pStyle w:val="TextoNormal"/>
      </w:pPr>
    </w:p>
    <w:p w:rsidR="008B3772" w:rsidRDefault="008B3772" w:rsidP="008B3772">
      <w:pPr>
        <w:pStyle w:val="TextoNormal"/>
      </w:pPr>
      <w:r w:rsidRPr="008B3772">
        <w:rPr>
          <w:rStyle w:val="NumeroAFNegritaCaracter"/>
        </w:rPr>
        <w:t>6</w:t>
      </w:r>
      <w:r>
        <w:t>. La representación procesal del recurrente, mediante escrito presentado el 5 de junio de 2007, reitera su petición de que este Tribunal proceda a acordar la suspensión solicitada.</w:t>
      </w:r>
    </w:p>
    <w:p w:rsidR="008B3772" w:rsidRDefault="008B3772" w:rsidP="008B3772">
      <w:pPr>
        <w:pStyle w:val="TextoNormal"/>
      </w:pPr>
    </w:p>
    <w:p w:rsidR="008B3772" w:rsidRDefault="008B3772" w:rsidP="008B3772">
      <w:pPr>
        <w:pStyle w:val="TextoNormal"/>
      </w:pPr>
      <w:r w:rsidRPr="008B3772">
        <w:rPr>
          <w:rStyle w:val="NumeroAFNegritaCaracter"/>
        </w:rPr>
        <w:t>7</w:t>
      </w:r>
      <w:r>
        <w:t>. En su escrito de alegaciones, presentado el 6 de junio de 2007, el Ministerio Fiscal estima procedente que se acuerde la suspensión de la ejecución de las sanciones disciplinarias impuestas, ya que, de cumplirse, el amparo perdería su finalidad, sin que pueda colegirse un inmediato perjuicio del interés general o de los derechos fundamentales o libertades públicas de terceros.</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xml:space="preserve">. 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w:t>
      </w:r>
      <w:r>
        <w:lastRenderedPageBreak/>
        <w:t>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públicas de un tercero.</w:t>
      </w:r>
    </w:p>
    <w:p w:rsidR="008B3772" w:rsidRDefault="008B3772" w:rsidP="008B3772">
      <w:pPr>
        <w:pStyle w:val="TextoNormal"/>
      </w:pPr>
      <w:r>
        <w:t>Interpretando la referida norma, este Tribunal viene manteniendo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(por todos, ATC 159/2001, de 18 de junio, FJ 2 y las resoluciones allí citadas), a diferencia de aquellos otros en los que, por afectar a bienes o derechos del recurrente en amparo de imposible o muy difícil restitución a su estado anterior, procede acordarla, lo cual sucede, en principio, en las condenas o sanciones privativas de libertad, y en las privativas o limitativas de ciertos derechos (por todos, ATC 270/2002, de 11 de diciembre, FJ 2).</w:t>
      </w:r>
    </w:p>
    <w:p w:rsidR="008B3772" w:rsidRDefault="008B3772" w:rsidP="008B3772">
      <w:pPr>
        <w:pStyle w:val="TextoNormal"/>
      </w:pPr>
    </w:p>
    <w:p w:rsidR="008B3772" w:rsidRDefault="008B3772" w:rsidP="008B3772">
      <w:pPr>
        <w:pStyle w:val="TextoNormal"/>
      </w:pPr>
      <w:r w:rsidRPr="008B3772">
        <w:rPr>
          <w:rStyle w:val="NumeroAFNegritaCaracter"/>
        </w:rPr>
        <w:t>2</w:t>
      </w:r>
      <w:r>
        <w:t>. En relación con las sanciones penitenciarias tenemos dicho que la posibilidad de que la sanción haya sido cumplida —como advierte el Abogado del Estado— o, incluso, haya podido quedar cancelada, no es obstáculo para acordar la suspensión solicitada, en la medida en que la no suspensión de la resolución puede generar otros efectos, de forma que, a pesar del cumplimiento efectivo de la sanción, ésta puede tener efectos negativos en la concesión de beneficios penitenciarios al recurrente (arts. 202 a 206 del Reglamento Penitenciario aprobado por Real Decreto 190/1996, de 9 de febrero). Dado que, como sostuvimos en el ATC 58/1996, de 11 de marzo, se trata de efectos que por su naturaleza pueden favorecer al reo sin que, en principio, pueda colegirse un inmediato perjuicio del interés general o de los derechos fundamentales o libertades públicas de terceros, resulta pertinente la suspensión de los efectos que pudieran derivarse de la sanción impuesta, de haber sido ésta ya cumplida (AATC 58/1996, de 11 de marzo, FJ único; 188/1999, de 15 de julio, FJ único; 186/2001, de 2 de julio, FJ 2; 34/2002, de 11 de marzo, FJ 2; 94/2004, de 23 de marzo, FJ 1, y 98/2006, de 27 de marzo, FJ 2).  La aplicación de la doctrina precedente al caso ahora examinado debe llevarnos, a la vista de la naturaleza de las sanciones penitenciarias impuestas —de siete fines de semana de aislamiento en celda cada una—, a acordar la suspensión de su ejecución o, en su caso, de sus efectos.</w:t>
      </w:r>
    </w:p>
    <w:p w:rsidR="008B3772" w:rsidRDefault="008B3772" w:rsidP="008B3772">
      <w:pPr>
        <w:pStyle w:val="TextoNormal"/>
      </w:pPr>
    </w:p>
    <w:p w:rsidR="008B3772" w:rsidRDefault="008B3772" w:rsidP="008B3772">
      <w:pPr>
        <w:pStyle w:val="TextoNormal"/>
      </w:pPr>
      <w:r>
        <w:t>Por todo lo cual,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Suspender la ejecución o, en su caso, los efectos que pudieran derivarse de las sanciones disciplinarias de siete fines de semana de aislamiento en celda, que fueron impuestas al recurrente por los Acuerdos de la Comisión Disciplinaria del Centro</w:t>
      </w:r>
    </w:p>
    <w:p w:rsidR="008B3772" w:rsidRDefault="008B3772" w:rsidP="008B3772">
      <w:pPr>
        <w:pStyle w:val="TextoNormal"/>
      </w:pPr>
      <w:r>
        <w:t>Penitenciario de Algeciras recaídos en los expedientes disciplinarios núms. 1221-2003, 1236-2003, 1250-2003 y 1258-2003, confirmados por los Autos del Juzgado Central de Vigilancia Penitenciaria de la Audiencia Nacional de 4 de junio y 1 de septiembre de</w:t>
      </w:r>
    </w:p>
    <w:p w:rsidR="008B3772" w:rsidRDefault="008B3772" w:rsidP="008B3772">
      <w:pPr>
        <w:pStyle w:val="TextoNormal"/>
      </w:pPr>
      <w:r>
        <w:t>2004.</w:t>
      </w:r>
    </w:p>
    <w:p w:rsidR="008B3772" w:rsidRDefault="008B3772" w:rsidP="008B3772">
      <w:pPr>
        <w:pStyle w:val="TextoNormal"/>
      </w:pPr>
    </w:p>
    <w:p w:rsidR="008B3772" w:rsidRDefault="008B3772" w:rsidP="008B3772">
      <w:pPr>
        <w:pStyle w:val="TextoNormal"/>
      </w:pPr>
      <w:r>
        <w:t>Madrid, a dos de julio de dos mil siete.</w:t>
      </w:r>
    </w:p>
    <w:p w:rsidR="008B3772" w:rsidRDefault="008B3772">
      <w:pPr>
        <w:spacing w:after="160" w:line="259" w:lineRule="auto"/>
        <w:rPr>
          <w:rFonts w:ascii="Times New Roman" w:eastAsia="Times New Roman" w:hAnsi="Times New Roman" w:cs="Times New Roman"/>
          <w:sz w:val="24"/>
          <w:szCs w:val="24"/>
          <w:lang w:eastAsia="es-ES"/>
        </w:rPr>
      </w:pPr>
      <w:r>
        <w:lastRenderedPageBreak/>
        <w:br w:type="page"/>
      </w:r>
    </w:p>
    <w:p w:rsidR="008B3772" w:rsidRDefault="008B3772" w:rsidP="008B3772">
      <w:pPr>
        <w:pStyle w:val="TtuloResolucin"/>
      </w:pPr>
      <w:bookmarkStart w:id="179" w:name="AUTO_2007_315"/>
      <w:r>
        <w:lastRenderedPageBreak/>
        <w:t>AUTO 315/2007, de 2 de julio de 2007</w:t>
      </w:r>
    </w:p>
    <w:bookmarkEnd w:id="179"/>
    <w:p w:rsidR="008B3772" w:rsidRDefault="008B3772" w:rsidP="008B3772">
      <w:pPr>
        <w:pStyle w:val="TtuloResolucin"/>
      </w:pPr>
      <w:r>
        <w:t>Sección Tercera</w:t>
      </w:r>
    </w:p>
    <w:p w:rsidR="008B3772" w:rsidRDefault="008B3772" w:rsidP="008B3772">
      <w:pPr>
        <w:pStyle w:val="TtuloResolucin"/>
      </w:pPr>
    </w:p>
    <w:p w:rsidR="008B3772" w:rsidRDefault="008B3772" w:rsidP="008B3772">
      <w:pPr>
        <w:pStyle w:val="SntesisDescriptiva"/>
      </w:pPr>
      <w:r>
        <w:t>ECLI:ES:TC:2007:315A</w:t>
      </w:r>
    </w:p>
    <w:p w:rsidR="008B3772" w:rsidRDefault="008B3772" w:rsidP="008B3772">
      <w:pPr>
        <w:pStyle w:val="SntesisDescriptiva"/>
      </w:pPr>
    </w:p>
    <w:p w:rsidR="008B3772" w:rsidRDefault="008B3772" w:rsidP="008B3772">
      <w:pPr>
        <w:pStyle w:val="SntesisDescriptiva"/>
      </w:pPr>
      <w:r>
        <w:t>Excms. Srs. don Guillermo Jiménez Sánchez, don Eugeni Gay Montalvo y don Pascual Sala Sánchez.</w:t>
      </w:r>
    </w:p>
    <w:p w:rsidR="008B3772" w:rsidRDefault="008B3772" w:rsidP="008B3772">
      <w:pPr>
        <w:pStyle w:val="SntesisDescriptiva"/>
      </w:pPr>
    </w:p>
    <w:p w:rsidR="008B3772" w:rsidRDefault="008B3772" w:rsidP="008B3772">
      <w:pPr>
        <w:pStyle w:val="SntesisDescriptiva"/>
      </w:pPr>
      <w:r>
        <w:t>Inadmite a trámite el recurso de amparo 471-2005, promovido por doña Concepción Hidalgo Sánchez en causa militar por delito de abuso de autoridad.</w:t>
      </w:r>
    </w:p>
    <w:p w:rsidR="008B3772" w:rsidRDefault="008B3772" w:rsidP="008B3772">
      <w:pPr>
        <w:pStyle w:val="SntesisDescriptiva"/>
      </w:pPr>
    </w:p>
    <w:p w:rsidR="008B3772" w:rsidRDefault="008B3772" w:rsidP="008B3772">
      <w:pPr>
        <w:pStyle w:val="SntesisAnaltica"/>
      </w:pPr>
      <w:r>
        <w:t>Derecho a un juez imparcial: imparcialidad objetiva, respetado.</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Con fecha 24 de enero de 2005 el Procurador de los Tribunales don Gonzalo Muñíz Zubeldia, en representación de doña Concepción Hidalgo Sánchez, dedujo demanda de amparo contra la Sentencia de la Sala Quinta del Tribunal Supremo de 3 de diciembre de 2004 desestimatoria del recurso de casación deducido contra la Sentencia del Tribunal Militar Territorial Primero, de 1 de abril de 2004, en la cual se condenó la demandante de amparo como responsable de un delito de abuso de autoridad a la pena de tres meses y un día de prisión.</w:t>
      </w:r>
    </w:p>
    <w:p w:rsidR="008B3772" w:rsidRDefault="008B3772" w:rsidP="008B3772">
      <w:pPr>
        <w:pStyle w:val="TextoNormal"/>
      </w:pPr>
    </w:p>
    <w:p w:rsidR="008B3772" w:rsidRDefault="008B3772" w:rsidP="008B3772">
      <w:pPr>
        <w:pStyle w:val="TextoNormal"/>
      </w:pPr>
      <w:r w:rsidRPr="008B3772">
        <w:rPr>
          <w:rStyle w:val="NumeroAFNegritaCaracter"/>
        </w:rPr>
        <w:t>2</w:t>
      </w:r>
      <w:r>
        <w:t>. La demanda de amparo aduce vulneración del derecho a un proceso con todas las garantías (art. 24.2 CE), debido a que un miembro del Tribunal que desestimó el recurso de apelación deducido por la demandante contra el Auto que la declaró procesada formó parte también del Tribunal que la condenó como autora del delito abuso de autoridad. De acuerdo con la doctrina de este Tribunal y del Tribunal Europeo de Derechos Humanos que cita, entiende la demandante de amparo que el órgano judicial que la condenó en instancia estaba formado por un Magistrado que había perdido la imparcialidad objetiva como consecuencia de que, al conocer del recurso de apelación contra el Auto de procesamiento, había formado un prejuicio sobre los hechos a enjuiciar.</w:t>
      </w:r>
    </w:p>
    <w:p w:rsidR="008B3772" w:rsidRDefault="008B3772" w:rsidP="008B3772">
      <w:pPr>
        <w:pStyle w:val="TextoNormal"/>
      </w:pPr>
    </w:p>
    <w:p w:rsidR="008B3772" w:rsidRDefault="008B3772" w:rsidP="008B3772">
      <w:pPr>
        <w:pStyle w:val="TextoNormal"/>
      </w:pPr>
      <w:r w:rsidRPr="008B3772">
        <w:rPr>
          <w:rStyle w:val="NumeroAFNegritaCaracter"/>
        </w:rPr>
        <w:t>3</w:t>
      </w:r>
      <w:r>
        <w:t>. Con fecha 9 de enero de 2007 la Sala Segunda de este Tribunal acordó, de conformidad con lo dispuesto en el art. 50.3 LOTC, dar traslado a la demandante de amparo y al Ministerio Público para que, en término común de diez días, pudieran formular alegaciones en relación con la carencia manifiesta de contenido que justifique una decisión sobre el fondo [art. 50.1 c) LOTC].</w:t>
      </w:r>
    </w:p>
    <w:p w:rsidR="008B3772" w:rsidRDefault="008B3772" w:rsidP="008B3772">
      <w:pPr>
        <w:pStyle w:val="TextoNormal"/>
      </w:pPr>
    </w:p>
    <w:p w:rsidR="008B3772" w:rsidRDefault="008B3772" w:rsidP="008B3772">
      <w:pPr>
        <w:pStyle w:val="TextoNormal"/>
      </w:pPr>
      <w:r w:rsidRPr="008B3772">
        <w:rPr>
          <w:rStyle w:val="NumeroAFNegritaCaracter"/>
        </w:rPr>
        <w:t>4</w:t>
      </w:r>
      <w:r>
        <w:t xml:space="preserve">. La demandante de amparo formuló alegaciones mediante escrito presentado el 22 de enero de 2007, interesando la admisión a trámite de la demanda de amparo e insistiendo en la argumentación vertida en la demanda. </w:t>
      </w:r>
    </w:p>
    <w:p w:rsidR="008B3772" w:rsidRDefault="008B3772" w:rsidP="008B3772">
      <w:pPr>
        <w:pStyle w:val="TextoNormal"/>
      </w:pPr>
      <w:r>
        <w:lastRenderedPageBreak/>
        <w:t>El Fiscal, mediante escrito presentado en el Registro General de este Tribunal el 29 de enero de 2007, interesó la inadmisión del recurso de amparo por falta de contenido constitucional. Al efecto razona que, examinada la fundamentación jurídica de las resoluciones desestimatorias del recurso de apelación deducido contra el Auto de procesamiento de la demandante (así como del posterior Auto desestimatorio del recurso de súplica), se desprende que se trataron cuestiones periféricas que no comprometen la posición que sobre el fondo del asunto, esto es, sobre la culpabilidad de la acusada o la manera en que las pruebas se conectan con ella. Razón por la cual considera el Ministerio Fiscal que no cabe entender vulnerado el derecho fundamental aducido.</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La demandante de amparo entiende que se ha vulnerado su derecho a un proceso con todas las garantías (art. 24.2 CE) debido a que un miembro del Tribunal que desestimó el recurso de apelación por ella deducido contra el Auto que la declaró procesada formó parte también del Tribunal que la condenó como autora de un delito abuso de autoridad, pues al resolver el recurso de apelación contra el Auto de procesamiento formó criterio sobre las cuestiones que luego, como miembro del Tribunal que la juzgó, tuvo que resolver. La dimensión objetiva de la imparcialidad habría quedado así comprometida en uno de los Magistrados que formó parte del Tribunal que la condenó.</w:t>
      </w:r>
    </w:p>
    <w:p w:rsidR="008B3772" w:rsidRDefault="008B3772" w:rsidP="008B3772">
      <w:pPr>
        <w:pStyle w:val="TextoNormal"/>
      </w:pPr>
      <w:r>
        <w:t>Pues bien, tras las alegaciones de la demandante de amparo y del Ministerio público se confirma nuestro inicial criterio sobre la falta de contenido constitucional de la demanda.</w:t>
      </w:r>
    </w:p>
    <w:p w:rsidR="008B3772" w:rsidRDefault="008B3772" w:rsidP="008B3772">
      <w:pPr>
        <w:pStyle w:val="TextoNormal"/>
      </w:pPr>
    </w:p>
    <w:p w:rsidR="008B3772" w:rsidRDefault="008B3772" w:rsidP="008B3772">
      <w:pPr>
        <w:pStyle w:val="TextoNormal"/>
      </w:pPr>
      <w:r w:rsidRPr="008B3772">
        <w:rPr>
          <w:rStyle w:val="NumeroAFNegritaCaracter"/>
        </w:rPr>
        <w:t>2</w:t>
      </w:r>
      <w:r>
        <w:t>. En efecto, según recogíamos en la STC 143/2006, de 8 de mayo, “la determinación de cuáles son las circunstancias específicas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la intervención previa en la que el interesado centra sus dudas ha sido realizada por el órgano judicial teniendo que adoptar una decisión valorando cuestiones sustancialmente idénticas o muy cercanas a aquellas que deben ser objeto de pronunciamiento o resolución en el enjuiciamiento sobre el fondo”.</w:t>
      </w:r>
    </w:p>
    <w:p w:rsidR="008B3772" w:rsidRDefault="008B3772" w:rsidP="008B3772">
      <w:pPr>
        <w:pStyle w:val="TextoNormal"/>
      </w:pPr>
      <w:r>
        <w:t>La lectura de las resoluciones judiciales impugnadas revela que el razonamiento empleado en la desestimación del recurso deducido contra el procesamiento de la demandante, así como el desestimatorio de la posterior súplica, no comprometió la imparcialidad del Magistrado que participó en su adopción, en la medida en que contemplan cuestiones que no guardan conexión directa con las que habrán de resolverse en el enjuiciamiento sobre el fondo, tales como la suficiencia de la motivación del Auto de procesamiento, lo razonable que resultaba que las declaraciones sumariales se hubieran tomado mediante exhorto, atendida la distancia geográfica del lugar en que se encontraban los testigos, y, finalmente, la insuficiencia de indicios de criminalidad de otra soldado no procesada en la causa. Y es que, como concluyéramos en la Sentencia constitucional antes citada, sólo “deben considerarse objetivamente justificadas las dudas sobre la imparcialidad judicial y, por tanto, vulnerado el derecho al juez imparcial, cuando la decisión a la que se pretende vincular la pérdida de imparcialidad se fundamenta en valoraciones que resulten sustancialmente idénticas a las que serían propias de un juicio de fondo sobre la responsabilidad penal, exteriorizando, de este modo, un pronunciamiento anticipado al respecto”.</w:t>
      </w:r>
    </w:p>
    <w:p w:rsidR="008B3772" w:rsidRDefault="008B3772" w:rsidP="008B3772">
      <w:pPr>
        <w:pStyle w:val="TextoNormal"/>
      </w:pPr>
    </w:p>
    <w:p w:rsidR="008B3772" w:rsidRDefault="008B3772" w:rsidP="008B3772">
      <w:pPr>
        <w:pStyle w:val="TextoNormal"/>
      </w:pPr>
      <w:r>
        <w:t>Por todo ello la Sección</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La inadmisión a trámite del recurso al concurrir la causa prevista en el art. 50.1 c) LOTC.</w:t>
      </w:r>
    </w:p>
    <w:p w:rsidR="008B3772" w:rsidRDefault="008B3772" w:rsidP="008B3772">
      <w:pPr>
        <w:pStyle w:val="TextoNormal"/>
      </w:pPr>
    </w:p>
    <w:p w:rsidR="008B3772" w:rsidRDefault="008B3772" w:rsidP="008B3772">
      <w:pPr>
        <w:pStyle w:val="TextoNormal"/>
      </w:pPr>
      <w:r>
        <w:t>Madrid, a dos de julio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80" w:name="AUTO_2007_316"/>
      <w:r>
        <w:lastRenderedPageBreak/>
        <w:t>AUTO 316/2007, de 2 de julio de 2007</w:t>
      </w:r>
    </w:p>
    <w:bookmarkEnd w:id="180"/>
    <w:p w:rsidR="008B3772" w:rsidRDefault="008B3772" w:rsidP="008B3772">
      <w:pPr>
        <w:pStyle w:val="TtuloResolucin"/>
      </w:pPr>
      <w:r>
        <w:t>Sección Tercera</w:t>
      </w:r>
    </w:p>
    <w:p w:rsidR="008B3772" w:rsidRDefault="008B3772" w:rsidP="008B3772">
      <w:pPr>
        <w:pStyle w:val="TtuloResolucin"/>
      </w:pPr>
    </w:p>
    <w:p w:rsidR="008B3772" w:rsidRDefault="008B3772" w:rsidP="008B3772">
      <w:pPr>
        <w:pStyle w:val="SntesisDescriptiva"/>
      </w:pPr>
      <w:r>
        <w:t>ECLI:ES:TC:2007:316A</w:t>
      </w:r>
    </w:p>
    <w:p w:rsidR="008B3772" w:rsidRDefault="008B3772" w:rsidP="008B3772">
      <w:pPr>
        <w:pStyle w:val="SntesisDescriptiva"/>
      </w:pPr>
    </w:p>
    <w:p w:rsidR="008B3772" w:rsidRDefault="008B3772" w:rsidP="008B3772">
      <w:pPr>
        <w:pStyle w:val="SntesisDescriptiva"/>
      </w:pPr>
      <w:r>
        <w:t>Excms. Srs. don Guillermo Jiménez Sánchez, don Eugeni Gay Montalvo y don Pascual Sala Sánchez.</w:t>
      </w:r>
    </w:p>
    <w:p w:rsidR="008B3772" w:rsidRDefault="008B3772" w:rsidP="008B3772">
      <w:pPr>
        <w:pStyle w:val="SntesisDescriptiva"/>
      </w:pPr>
    </w:p>
    <w:p w:rsidR="008B3772" w:rsidRDefault="008B3772" w:rsidP="008B3772">
      <w:pPr>
        <w:pStyle w:val="SntesisDescriptiva"/>
      </w:pPr>
      <w:r>
        <w:t>Inadmite a trámite el recurso de súplica sobre la inadmisión del recurso de amparo 1720-2005, promovido por don Juan Álvarez Bastos en contencioso por bonificación tributaria de gasóleo.</w:t>
      </w:r>
    </w:p>
    <w:p w:rsidR="008B3772" w:rsidRDefault="008B3772" w:rsidP="008B3772">
      <w:pPr>
        <w:pStyle w:val="SntesisDescriptiva"/>
      </w:pPr>
    </w:p>
    <w:p w:rsidR="008B3772" w:rsidRDefault="008B3772" w:rsidP="008B3772">
      <w:pPr>
        <w:pStyle w:val="SntesisAnaltica"/>
      </w:pPr>
      <w:r>
        <w:t>Inadmisión de recurso de amparo: carencia de contenido que justifique una decisión sobre el fondo del asunto.</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La Procuradora de los Tribunales doña Rosina Montes Agustí presentó, en nombre de don Juan Álvarez Bastos, el día 11 de marzo de 2005 en el Registro de este Tribunal recurso de amparo contra los Autos de 29 de mayo de 2002 y 12 de septiembre de 2002, dictados por la Sección Tercera de la Sala de lo Contencioso-Administrativo del Tribunal Superior de Justicia de Galicia que, en el seno del procedimiento núm. 7747-2001, denegaron la apertura del trámite de prueba solicitado por la representación del actor; y también contra la Sentencia de 11 de febrero de 2005, dictada por el mismo órgano judicial en el mismo procedimiento.</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Los hechos de los que trae causa este recurso son los siguientes. </w:t>
      </w:r>
    </w:p>
    <w:p w:rsidR="008B3772" w:rsidRDefault="008B3772" w:rsidP="008B3772">
      <w:pPr>
        <w:pStyle w:val="TextoNormal"/>
      </w:pPr>
      <w:r>
        <w:t xml:space="preserve">a) Como consecuencia del acta de disconformidad núm. 70122526, extendida por funcionarios de la Unidad Regional de Aduanas, dependientes de la Agencia Estatal de la Administración Tributaria de Galicia, que apreciaron la falta de justificación del uso o destino dado a un total de 196.453 litros de gasóleo bonificado que, supuestamente, había vendido en el año 1996 el ahora demandante de amparo, don Juan Álvarez Bastos, a terceros clientes suyos, el Jefe de la Dependencia Regional de la citada Unidad confirmó dicha acta fijando en la cantidad de 7.567.217 pesetas la deuda tributaria que el ahora demandante había contraído con la hacienda pública, por no haber justificado el destino del gasóleo bonificado antes citado. </w:t>
      </w:r>
    </w:p>
    <w:p w:rsidR="008B3772" w:rsidRDefault="008B3772" w:rsidP="008B3772">
      <w:pPr>
        <w:pStyle w:val="TextoNormal"/>
      </w:pPr>
      <w:r>
        <w:t xml:space="preserve">b) Contra el anterior acto el demandante interpuso recurso de reposición, que fue desestimado, acudiendo entonces al Tribunal Económico-Administrativo Regional de Galicia para interponer reclamación económico-administrativa, que fue igualmente rechazada mediante resolución de 30 de noviembre de 2000. </w:t>
      </w:r>
    </w:p>
    <w:p w:rsidR="008B3772" w:rsidRDefault="008B3772" w:rsidP="008B3772">
      <w:pPr>
        <w:pStyle w:val="TextoNormal"/>
      </w:pPr>
      <w:r>
        <w:lastRenderedPageBreak/>
        <w:t xml:space="preserve">c) Agotada la vía administrativa el Sr. Álvarez Bastos interpuso recurso contencioso-administrativo, que quedó registrado con el núm. 7747-2001 de los de su clase, cuyo conocimiento correspondió a la Sección Tercera de la Sala de lo Contencioso-Administrativo del Tribunal Superior de Justicia de Galicia, que admitió a trámite la demanda. </w:t>
      </w:r>
    </w:p>
    <w:p w:rsidR="008B3772" w:rsidRDefault="008B3772" w:rsidP="008B3772">
      <w:pPr>
        <w:pStyle w:val="TextoNormal"/>
      </w:pPr>
      <w:r>
        <w:t xml:space="preserve">d) En su escrito de formalización del recurso, la representación del demandante, mediante otrosí interesó el recibimiento del pleito a prueba proponiendo la práctica de documental, consistente en el libramiento de determinados oficios a diferentes entidades bancarias para que informaran de la identidad de los libradores de determinados cheques y pagarés con los que, supuestamente, habían sido abonados ciertos pedidos de gasóleo por parte de clientes, así como de testifical de las personas que se citaban más adelante para que declararan que las empresas para las que trabajaban habían sido suministradas por el actor. </w:t>
      </w:r>
    </w:p>
    <w:p w:rsidR="008B3772" w:rsidRDefault="008B3772" w:rsidP="008B3772">
      <w:pPr>
        <w:pStyle w:val="TextoNormal"/>
      </w:pPr>
      <w:r>
        <w:t xml:space="preserve">e) La solicitud de recibimiento a prueba fue rechazada por el órgano judicial, por medio de Auto de 29 de mayo de 2002, al entender que no era trascendente para la resolución del litigio. El actor interpuso recurso de súplica contra aquél, que fue nuevamente desestimado mediante Auto de 12 de septiembre siguiente. La motivación de este último Auto fue la de que “las alegaciones contenidas en el escrito de interposición de recurso de súplica no son bastantes para desvirtuar los razonamientos de la resolución que se impugna”. </w:t>
      </w:r>
    </w:p>
    <w:p w:rsidR="008B3772" w:rsidRDefault="008B3772" w:rsidP="008B3772">
      <w:pPr>
        <w:pStyle w:val="TextoNormal"/>
      </w:pPr>
      <w:r>
        <w:t>f) Concluida la tramitación del procedimiento, sin formulación de conclusiones ni celebración de vista, la Sala, en fecha 11 de febrero de 2005, dictó Sentencia por la que desestimó íntegramente el recurso. La resolución fue notificada a la parte el día 21 de febrero siguiente.</w:t>
      </w:r>
    </w:p>
    <w:p w:rsidR="008B3772" w:rsidRDefault="008B3772" w:rsidP="008B3772">
      <w:pPr>
        <w:pStyle w:val="TextoNormal"/>
      </w:pPr>
    </w:p>
    <w:p w:rsidR="008B3772" w:rsidRDefault="008B3772" w:rsidP="008B3772">
      <w:pPr>
        <w:pStyle w:val="TextoNormal"/>
      </w:pPr>
      <w:r w:rsidRPr="008B3772">
        <w:rPr>
          <w:rStyle w:val="NumeroAFNegritaCaracter"/>
        </w:rPr>
        <w:t>3</w:t>
      </w:r>
      <w:r>
        <w:t>. En la demanda de amparo se alega la vulneración del derecho a la tutela judicial efectiva y a utilizar todos los medios de prueba pertinentes a su defensa. El recurrente considera que, no sólo en el expediente administrativo previo, sino también en la vía jurisdiccional, el Tribunal de lo Contencioso-Administrativo le ha denegado el recibimiento del pleito a prueba y la práctica de las que había propuesto en su escrito de formalización del recurso, de tal modo que se la ha impedido acreditar que realizó realmente las ventas de gasóleo bonificado a los consumidores finales que había relacionado con la Administración tributaria y que, por tanto, las liquidaciones y la sanción impuesta por la Agencia Estatal de Administración Tributaria deben ser reputadas como contrarias a Derecho.</w:t>
      </w:r>
    </w:p>
    <w:p w:rsidR="008B3772" w:rsidRDefault="008B3772" w:rsidP="008B3772">
      <w:pPr>
        <w:pStyle w:val="TextoNormal"/>
      </w:pPr>
    </w:p>
    <w:p w:rsidR="008B3772" w:rsidRDefault="008B3772" w:rsidP="008B3772">
      <w:pPr>
        <w:pStyle w:val="TextoNormal"/>
      </w:pPr>
      <w:r w:rsidRPr="008B3772">
        <w:rPr>
          <w:rStyle w:val="NumeroAFNegritaCaracter"/>
        </w:rPr>
        <w:t>4</w:t>
      </w:r>
      <w:r>
        <w:t>. La Sección Tercera de este Tribunal, por providencia de 27 de febrero de 2007, acordó, de conformidad con lo dispuesto en el art. 50.3 LOTC, conceder al demandante de amparo y al Ministerio Fiscal plazo común de diez días para que formulasen las alegaciones que estimaran oportunas con relación a la carencia manifiesta de contenido constitucional de la demanda de amparo.</w:t>
      </w:r>
    </w:p>
    <w:p w:rsidR="008B3772" w:rsidRDefault="008B3772" w:rsidP="008B3772">
      <w:pPr>
        <w:pStyle w:val="TextoNormal"/>
      </w:pPr>
    </w:p>
    <w:p w:rsidR="008B3772" w:rsidRDefault="008B3772" w:rsidP="008B3772">
      <w:pPr>
        <w:pStyle w:val="TextoNormal"/>
      </w:pPr>
      <w:r w:rsidRPr="008B3772">
        <w:rPr>
          <w:rStyle w:val="NumeroAFNegritaCaracter"/>
        </w:rPr>
        <w:t>5</w:t>
      </w:r>
      <w:r>
        <w:t xml:space="preserve">. El Fiscal formuló sus alegaciones el 19 de marzo de 2007, en escrito en el que consideró que la demanda carece manifiestamente de contenido constitucional. Así recuerda que, según la doctrina de este Tribunal sobre el derecho a los medios de prueba pertinentes para la defensa, es requisito primordial para considerar que se ha producido la vulneración alegada que la no práctica de los medios de prueba propuestos por la parte haya generado un vacío probatorio sobre aquellos hechos que el recurrente se propuso acreditar ante el Tribunal. </w:t>
      </w:r>
    </w:p>
    <w:p w:rsidR="008B3772" w:rsidRDefault="008B3772" w:rsidP="008B3772">
      <w:pPr>
        <w:pStyle w:val="TextoNormal"/>
      </w:pPr>
      <w:r>
        <w:t xml:space="preserve">No ocurre esto en el presente caso, en el que la negativa del órgano judicial a la práctica de los medios de prueba propuestos por la parte se ha apoyado en una argumentación lógica </w:t>
      </w:r>
      <w:r>
        <w:lastRenderedPageBreak/>
        <w:t>y razonada que se fundamenta en la ineficacia de los medios de prueba propuestos para justificar una de las exigencias que establece la normativa del Impuesto especial de Hidrocarburos para entender que las ventas de gasóleo bonificado realizadas por el recurrente hayan sido destinadas a consumidores finales debidamente autorizados. Dichos medios no habrían podido nunca acreditar si los supuestos compradores del combustibles estaban o no autorizados para su adquisición. Por lo de más la parte actora no ha justificado debidamente de qué forma la práctica de las pruebas propuestas y no practicadas habría alterado sustancialmente el sentido del fallo judicial.</w:t>
      </w:r>
    </w:p>
    <w:p w:rsidR="008B3772" w:rsidRDefault="008B3772" w:rsidP="008B3772">
      <w:pPr>
        <w:pStyle w:val="TextoNormal"/>
      </w:pPr>
    </w:p>
    <w:p w:rsidR="008B3772" w:rsidRDefault="008B3772" w:rsidP="008B3772">
      <w:pPr>
        <w:pStyle w:val="TextoNormal"/>
      </w:pPr>
      <w:r w:rsidRPr="008B3772">
        <w:rPr>
          <w:rStyle w:val="NumeroAFNegritaCaracter"/>
        </w:rPr>
        <w:t>6</w:t>
      </w:r>
      <w:r>
        <w:t>. Por la representación procesal de la demandante se presentaron alegaciones el día 14 de marzo de 2007. En ellas la parte recurrente reiteró el contenido de su demanda de amparo.</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Las alegaciones vertidas en el trámite al que se dio lugar en aplicación del art. 50.3 LOTC han puesto de manifiesto la falta de contenido constitucional de la presente demanda de amparo que justifique un pronunciamiento sobre el fondo del asunto por parte de este Tribunal.</w:t>
      </w:r>
    </w:p>
    <w:p w:rsidR="008B3772" w:rsidRDefault="008B3772" w:rsidP="008B3772">
      <w:pPr>
        <w:pStyle w:val="TextoNormal"/>
      </w:pPr>
    </w:p>
    <w:p w:rsidR="008B3772" w:rsidRDefault="008B3772" w:rsidP="008B3772">
      <w:pPr>
        <w:pStyle w:val="TextoNormal"/>
      </w:pPr>
      <w:r w:rsidRPr="008B3772">
        <w:rPr>
          <w:rStyle w:val="NumeroAFNegritaCaracter"/>
        </w:rPr>
        <w:t>2</w:t>
      </w:r>
      <w:r>
        <w:t>. Ciertamente, como ha sido puesto de relieve por el Ministerio Fiscal, a pesar de que los dos Autos de 29 de mayo y de 12 de septiembre de 2002 que sirvieron al Tribunal para rechazar el recibimiento a prueba y la práctica de los medios propuestos por el actor resultan, en efecto, extraordinariamente parcos en su contenido y no aportan razón alguna sobre la pertinencia de los mismos para la resolución del caso, la Sentencia de instancia suministra un caudal de fundamentos que sirven precisamente para dar una respuesta razonada a la impertinencia de dichos medios probatorios y su conexión con el objeto del proceso judicial.</w:t>
      </w:r>
    </w:p>
    <w:p w:rsidR="008B3772" w:rsidRDefault="008B3772" w:rsidP="008B3772">
      <w:pPr>
        <w:pStyle w:val="TextoNormal"/>
      </w:pPr>
      <w:r>
        <w:t>Así el fundamento de Derecho segundo de la Sentencia de 11 de febrero de 2005 afirma que la práctica de los medios de prueba propuestos por el recurrente en amparo no hubiera permitido resolver la cuestión de si los destinatarios finales del gasóleo bonificado, que fue vendido, se encontraban autorizados por la normativa correspondiente para ser beneficiarios del referido combustible. El penúltimo párrafo del señalado fundamento de Derecho razona detalladamente que los medios de prueba propuestos por la parte recurrente no hubieran servido, ni para demostrar que “el demandante ha suministrado gasóleo bonificado a las personas que ante la Inspección negaron haber adquirido el producto a aquél o que afirmaron haber adquirido una cantidad inferior a la que figura en las notas de entrega y en las facturas”, ni para determinar que el recurrente entregó el producto a “personas autorizadas para recibirlo” de acuerdo con la normativa aplicable.</w:t>
      </w:r>
    </w:p>
    <w:p w:rsidR="008B3772" w:rsidRDefault="008B3772" w:rsidP="008B3772">
      <w:pPr>
        <w:pStyle w:val="TextoNormal"/>
      </w:pPr>
      <w:r>
        <w:t>Por lo demás ha de recordarse que ambas cuestiones fueron objeto de detallada consideración por la Resolución de 30 de noviembre de 2000 del Tribunal Económico-Regionalde Galicia, y que la respuesta ofrecida por el Tribunal Superior de Justiciade Galicia en sus Autos ha de interpretarse a la luz de la misma.</w:t>
      </w:r>
    </w:p>
    <w:p w:rsidR="008B3772" w:rsidRDefault="008B3772" w:rsidP="008B3772">
      <w:pPr>
        <w:pStyle w:val="TextoNormal"/>
      </w:pPr>
      <w:r>
        <w:t>Por todo lo dicho no puede considerarse que la decisión del órgano judicial de inadmitir determinadas pruebas carezca de motivación o se haya realizado “mediante una interpretación y aplicación de la legalidad arbitraria o irrazonable” (STC 359/2006, de 18 de diciembre, FJ 2).</w:t>
      </w:r>
    </w:p>
    <w:p w:rsidR="008B3772" w:rsidRDefault="008B3772" w:rsidP="008B3772">
      <w:pPr>
        <w:pStyle w:val="TextoNormal"/>
      </w:pPr>
      <w:r>
        <w:t xml:space="preserve">Del mismo modo tampoco cabe afirmar, como pretende el recurrente, que el Tribunal Superior de Justicia de Galicia haya fundado su decisión en “la falta de acreditación de los </w:t>
      </w:r>
      <w:r>
        <w:lastRenderedPageBreak/>
        <w:t>hechos cuya demostración se intentaba obtener mediante la actividad probatoria que no se pudo practicar” (STC 359/2006, de 18 de diciembre, FJ 2). De la Sentencia recurrida se deduce con claridad que el conocimiento de los hechos cuya demostración se intentaba obtener nada hubiera aportado a la resolución final, habida cuenta que los medios de prueba propuestos iban encaminados a probar, en palabras del demandante de amparo, que “el gasóleo ha sido recibido por las personas que negaron recibirlo, porque lo pagaron y nadie abona algo que no ha recibido”. Esta cuestión es, como recuerda la Sala, distinta a la planteada en el proceso, a saber, que el recurrente no justificó la entrega del producto a personas autorizadas para recibirlo, por lo que, en aplicación de la normativa aplicable, resultaba responsable del pago del impuesto y sometido a las sanciones que pudieran imponérsele en relación con la circulación del gasóleo bonificado. Desde este punto de vista puede afirmarse que no se ha producido en el presente asunto la alegada indefensión, de tal modo que el recurrente no ha argumentado en esta vía de modo convincente que “la resolución final del proceso a quo podía haber sido favorable a sus pretensiones de haberse aceptado y practicado la prueba propuesta” (por todas, STC 42/2007, de 26 de febrero, FJ 4).</w:t>
      </w:r>
    </w:p>
    <w:p w:rsidR="008B3772" w:rsidRDefault="008B3772" w:rsidP="008B3772">
      <w:pPr>
        <w:pStyle w:val="TextoNormal"/>
      </w:pPr>
    </w:p>
    <w:p w:rsidR="008B3772" w:rsidRDefault="008B3772" w:rsidP="008B3772">
      <w:pPr>
        <w:pStyle w:val="TextoNormal"/>
      </w:pPr>
      <w:r>
        <w:t>En virtud de lo expuesto, la Sección</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La inadmisión del presente recurso de amparo.</w:t>
      </w:r>
    </w:p>
    <w:p w:rsidR="008B3772" w:rsidRDefault="008B3772" w:rsidP="008B3772">
      <w:pPr>
        <w:pStyle w:val="TextoNormal"/>
      </w:pPr>
    </w:p>
    <w:p w:rsidR="008B3772" w:rsidRDefault="008B3772" w:rsidP="008B3772">
      <w:pPr>
        <w:pStyle w:val="TextoNormal"/>
      </w:pPr>
      <w:r>
        <w:t>Madrid, a dos de julio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81" w:name="AUTO_2007_317"/>
      <w:r>
        <w:lastRenderedPageBreak/>
        <w:t>AUTO 317/2007, de 2 de julio de 2007</w:t>
      </w:r>
    </w:p>
    <w:bookmarkEnd w:id="181"/>
    <w:p w:rsidR="008B3772" w:rsidRDefault="008B3772" w:rsidP="008B3772">
      <w:pPr>
        <w:pStyle w:val="TtuloResolucin"/>
      </w:pPr>
      <w:r>
        <w:t>Sección Cuarta</w:t>
      </w:r>
    </w:p>
    <w:p w:rsidR="008B3772" w:rsidRDefault="008B3772" w:rsidP="008B3772">
      <w:pPr>
        <w:pStyle w:val="TtuloResolucin"/>
      </w:pPr>
    </w:p>
    <w:p w:rsidR="008B3772" w:rsidRDefault="008B3772" w:rsidP="008B3772">
      <w:pPr>
        <w:pStyle w:val="SntesisDescriptiva"/>
      </w:pPr>
      <w:r>
        <w:t>ECLI:ES:TC:2007:317A</w:t>
      </w:r>
    </w:p>
    <w:p w:rsidR="008B3772" w:rsidRDefault="008B3772" w:rsidP="008B3772">
      <w:pPr>
        <w:pStyle w:val="SntesisDescriptiva"/>
      </w:pPr>
    </w:p>
    <w:p w:rsidR="008B3772" w:rsidRDefault="008B3772" w:rsidP="008B3772">
      <w:pPr>
        <w:pStyle w:val="SntesisDescriptiva"/>
      </w:pPr>
      <w:r>
        <w:t>Excms. Srs. don Vicente Conde Martín de Hijas, doña Elisa Pérez Vera y don Ramón Rodríguez Arribas.</w:t>
      </w:r>
    </w:p>
    <w:p w:rsidR="008B3772" w:rsidRDefault="008B3772" w:rsidP="008B3772">
      <w:pPr>
        <w:pStyle w:val="SntesisDescriptiva"/>
      </w:pPr>
    </w:p>
    <w:p w:rsidR="008B3772" w:rsidRDefault="008B3772" w:rsidP="008B3772">
      <w:pPr>
        <w:pStyle w:val="SntesisDescriptiva"/>
      </w:pPr>
      <w:r>
        <w:t>Inadmite a trámite el recurso de amparo 1930-2005, promovido por don José María de Pablos Martín en contencioso por sanción disciplinaria.</w:t>
      </w:r>
    </w:p>
    <w:p w:rsidR="008B3772" w:rsidRDefault="008B3772" w:rsidP="008B3772">
      <w:pPr>
        <w:pStyle w:val="SntesisDescriptiva"/>
      </w:pPr>
    </w:p>
    <w:p w:rsidR="008B3772" w:rsidRDefault="008B3772" w:rsidP="008B3772">
      <w:pPr>
        <w:pStyle w:val="SntesisAnaltica"/>
      </w:pPr>
      <w:r>
        <w:t>Inadmisión de recurso de amparo: carencia de contenido que justifique una decisión sobre el fondo del asunto. Procedimiento administrativo sancionador: acto administrativo original.</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este Tribunal el 17 de marzo de 2005, la Procuradora de los Tribunales doña María Isabel Ramos Cervantes, en nombre y representación de don José María de Pablos Martín, interpuso recurso de amparo contra la resolución administrativa y la Sentencia citadas en el encabezamiento.</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Los hechos de los que trae causa la demanda de amparo son resumidamente los siguientes: </w:t>
      </w:r>
    </w:p>
    <w:p w:rsidR="008B3772" w:rsidRDefault="008B3772" w:rsidP="008B3772">
      <w:pPr>
        <w:pStyle w:val="TextoNormal"/>
      </w:pPr>
      <w:r>
        <w:t xml:space="preserve">a) El Director General de Policía, por resolución de fecha 3 de febrero de 1997, impuso al recurrente en amparo la sanción de suspensión de funciones durante ocho meses como autor de la falta grave prevista en el art. 7.1 ñ) del Reglamento disciplinario de los funcionarios de la Administración del Estado. El siguiente 11 de febrero de 1997 la Administración intentó sin éxito notificar al interesado la citada resolución sancionadora, si bien, al parecer por error, en el acta de notificación los funcionarios actuantes consignaron que habían intentado la notificación personal en el piso 4º izquierda de la calle Andrés Mellado núm. 63 y no, en el correspondiente al núm. 65, que es el correcto. </w:t>
      </w:r>
    </w:p>
    <w:p w:rsidR="008B3772" w:rsidRDefault="008B3772" w:rsidP="008B3772">
      <w:pPr>
        <w:pStyle w:val="TextoNormal"/>
      </w:pPr>
      <w:r>
        <w:t xml:space="preserve">b) Por ese motivo, y una vez publicada en edictos la citada resolución sancionadora e iniciado el cumplimiento de la sanción impuesta, el recurrente en amparo, mediante escrito de 21 de noviembre de 1997, denunció ante la Administración el carácter defectuoso de la notificación intentada y, en su consecuencia, solicitó la nulidad de todas las actuaciones posteriores a la misma y su consiguiente retroacción al momento oportuno para que la Administración procediera a practicar nueva notificación en la debida forma. </w:t>
      </w:r>
    </w:p>
    <w:p w:rsidR="008B3772" w:rsidRDefault="008B3772" w:rsidP="008B3772">
      <w:pPr>
        <w:pStyle w:val="TextoNormal"/>
      </w:pPr>
      <w:r>
        <w:t xml:space="preserve">c) Por Resolución de 26 de enero de 1998, la Dirección General de la Policía, a la vista del contenido del acta complementaria extendida, con fecha 23 de diciembre de 1997, por los funcionarios entonces actuantes, en la que en forma expresa confirman, luego de haberlo comprobado personalmente, que el intento de notificación se practicó efectivamente en el </w:t>
      </w:r>
      <w:r>
        <w:lastRenderedPageBreak/>
        <w:t xml:space="preserve">núm. 65 de la calle Andrés Mellado, si bien por un error involuntario anotaron que lo fue en el núm. 63 de la citada vía, rechazó la petición de nulidad interesada. </w:t>
      </w:r>
    </w:p>
    <w:p w:rsidR="008B3772" w:rsidRDefault="008B3772" w:rsidP="008B3772">
      <w:pPr>
        <w:pStyle w:val="TextoNormal"/>
      </w:pPr>
      <w:r>
        <w:t xml:space="preserve">d) Contra esta resolución administrativa, el demandante de amparo interpuso recurso contencioso-administrativo ante la Audiencia Nacional que, por Sentencia de 9 de febrero de 2005, acordó desestimarlo íntegramente por considerar, en síntesis, que la notificación controvertida se practicó en la debida forma, no obstante el simple error material padecido por los funcionarios actuantes a la hora de consignar el domicilio en que intentaron la oportuna notificación personal. </w:t>
      </w:r>
    </w:p>
    <w:p w:rsidR="008B3772" w:rsidRDefault="008B3772" w:rsidP="008B3772">
      <w:pPr>
        <w:pStyle w:val="TextoNormal"/>
      </w:pPr>
      <w:r>
        <w:t xml:space="preserve">3) En su demanda de amparo, el recurrente, bajo la invocación genérica del art. 24.1 CE, denuncia que la resolución del Director General de la Policía, de 28 de enero de 1998, impugnada en el proceso judicial, ha vulnerado su derecho de defensa habida cuenta que se funda en un acta complementaria que se incorporó al expediente administrativo sin su conocimiento y sin que se le trasladara tampoco para que pudiera formular alegaciones a la misma. Denuncia también que, al no apreciarlo así y, por el contrario, confirmar la legalidad de la resolución administrativa impugnada, la Sentencia recurrida ha vulnerado igualmente su derecho a la tutela judicial efectiva y a un procedimiento con todas las garantías. </w:t>
      </w:r>
    </w:p>
    <w:p w:rsidR="008B3772" w:rsidRDefault="008B3772" w:rsidP="008B3772">
      <w:pPr>
        <w:pStyle w:val="TextoNormal"/>
      </w:pPr>
      <w:r>
        <w:t xml:space="preserve">4. Por providencia de fecha 23 de enero de 2007, la Sección Cuarta de este Tribunal, de conformidad con el art. 50.3 LOTC, acordó conceder al Ministerio Fiscal y al solicitante de amparo plazo común de diez días para que alegaran lo que estimasen pertinente en relación con lo dispuesto en el art. 50.1 LOTC </w:t>
      </w:r>
    </w:p>
    <w:p w:rsidR="008B3772" w:rsidRDefault="008B3772" w:rsidP="008B3772">
      <w:pPr>
        <w:pStyle w:val="TextoNormal"/>
      </w:pPr>
      <w:r>
        <w:t xml:space="preserve">5. El 15 de febrero de 2007, el Ministerio Fiscal presentó su escrito de alegaciones interesando la inamdisión del recurso de amparo en aplicación del art. 50.1 c) LOTC, por considerar que la demanda carece manifiestamente del imprescindible contenido constitucional. En su opinión, la resolución administrativa no ha vulnerado el derecho a la defensa del recurrente, toda vez que la infracción por este motivo del art. 24 CE, de existir realmente, sería imputable en todo caso a la propia resolución sancionadora y no, en cambio, al acto de su comunicación, que añade, además, se practicó en forma regular, no obstante el simple error material advertido en la identificación del domicilio en el que efectivamente se realizó. El Fiscal niega también que la Sentencia impugnada haya vulnerado, por su parte, el derecho a la tutela judicial del art. 24.1 CE que le imputa el recurrente. En síntesis, porque el órgano judicial desestimó la pretensión deducida por el recurrente conforme a un razonamiento que en modo alguno puede calificarse de arbitrario, manifiestamente irrazonable o incurso en error patente; únicos presupuestos que habilitarían, caso de concurrir, el examen del citado motivo de amparo. </w:t>
      </w:r>
    </w:p>
    <w:p w:rsidR="008B3772" w:rsidRDefault="008B3772" w:rsidP="008B3772">
      <w:pPr>
        <w:pStyle w:val="TextoNormal"/>
      </w:pPr>
      <w:r>
        <w:t>6. Por su parte, nada dijo en este trámite el demandante de amparo, que no presentó alegaciones.</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En el presente recurso de amparo el recurrente impugna, de un lado, la resolución del Director General de la Policía, de 28 de enero de 1998, que desestimó su petición de nulidad de la diligencia de notificación de la sanción que le fue impuesta por resolución del mismo órgano, de 3 de febrero de 1997, y, por otro, la Sentencia de la Sala de lo Contencioso-Administrativo de la Audiencia Nacional, de 9 de febrero de 2005, que desestimó el recurso contencioso interpuesto contra la primera de las mencionadas resoluciones administrativas.</w:t>
      </w:r>
    </w:p>
    <w:p w:rsidR="008B3772" w:rsidRDefault="008B3772" w:rsidP="008B3772">
      <w:pPr>
        <w:pStyle w:val="TextoNormal"/>
      </w:pPr>
      <w:r>
        <w:lastRenderedPageBreak/>
        <w:t>Según con más detalle se ha recordado en los antecedentes, el demandante de amparo denuncia, en primer término, que la resolución administrativa impugnada vulneró su derecho a la defensa del art. 24 CE al incorporar al correspondiente expediente, sin su conocimiento y sin darle el oportuno traslado para alegaciones, el acta complementaria que con fecha 23 de diciembre de 1997 suscribieron los funcionarios actuantes, confirmando la regularidad del intento fallido de notificación personal de la sanción impuesta. El recurrente imputa también a la Sentencia recurrida la vulneración del art. 24.1 CE, en la medida en que no acertó a reparar entonces la infracción del derecho a la defensa que, según declara, denunció entonces en el proceso judicial.</w:t>
      </w:r>
    </w:p>
    <w:p w:rsidR="008B3772" w:rsidRDefault="008B3772" w:rsidP="008B3772">
      <w:pPr>
        <w:pStyle w:val="TextoNormal"/>
      </w:pPr>
      <w:r>
        <w:t>El Ministerio Fiscal interesa la inamdisión del recurso en aplicación de lo dispuesto en el art. 50.1 c) LOTC, por carecer manifiestamente la demanda de contenido constitucional que justifique una decisión sobre el fondo.</w:t>
      </w:r>
    </w:p>
    <w:p w:rsidR="008B3772" w:rsidRDefault="008B3772" w:rsidP="008B3772">
      <w:pPr>
        <w:pStyle w:val="TextoNormal"/>
      </w:pPr>
    </w:p>
    <w:p w:rsidR="008B3772" w:rsidRDefault="008B3772" w:rsidP="008B3772">
      <w:pPr>
        <w:pStyle w:val="TextoNormal"/>
      </w:pPr>
      <w:r w:rsidRPr="008B3772">
        <w:rPr>
          <w:rStyle w:val="NumeroAFNegritaCaracter"/>
        </w:rPr>
        <w:t>2</w:t>
      </w:r>
      <w:r>
        <w:t>. Respecto de la infracción del derecho a la defensa que denuncia el recurrente como consecuencia de que la Administración no le trasladara para alegaciones el acta complementaria considerada, importa notar que, según es doctrina consolidada de este Tribunal, las garantías procesales reconocidas en el art. 24 CE sólo resultan de aplicación a los procesos judiciales y a los procedimientos administrativos sancionadores, de modo que el planteamiento del recurrente sólo podría valer si el acto administrativo impugnado tuviera efectivamente carácter sancionador (por todas, últimamente, STC 308/2006, de 23 de octubre; FJ 3). Esta hipótesis es, sin embargo, de imposible comprobación en el presente asunto, toda vez que ni la resolución cuestionada de la Dirección General de la Policía, de 29 de enero de 1998, que rechazó la petición de nulidad de la diligencia de notificación practicada ni, ya antes, el acta complementaria de 23 de noviembre de 1997 que documenta el testimonio aclaratorio prestado por los funcionarios que intentaron la notificación personal de la sanción de suspensión de funciones impuesta, tienen carácter sancionador ni, por consiguiente, son susceptibles de arriesgar el derecho fundamental a la defensa del recurrente. La resolución administrativa impugnada tiene, por el contrario, un contenido propio y distinto, que no es en efecto sancionador, como lo prueba además el hecho, significado en la Sentencia recurrida, de que el recurrente la impugnara autónomamente, sin cuestionar para nada la sanción administrativa. En consecuencia, el presente motivo de amparo carece manifiestamente de contenido constitucional que justifique una decisión sobre el fondo y debe ser, por consiguiente, inadmitido en aplicación del art.  50.1 c) LOTC, según ya anunciáramos en nuestra providencia de 23 de enero de 2007, y ha interesado el Ministerio Fiscal.</w:t>
      </w:r>
    </w:p>
    <w:p w:rsidR="008B3772" w:rsidRDefault="008B3772" w:rsidP="008B3772">
      <w:pPr>
        <w:pStyle w:val="TextoNormal"/>
      </w:pPr>
    </w:p>
    <w:p w:rsidR="008B3772" w:rsidRDefault="008B3772" w:rsidP="008B3772">
      <w:pPr>
        <w:pStyle w:val="TextoNormal"/>
      </w:pPr>
      <w:r w:rsidRPr="008B3772">
        <w:rPr>
          <w:rStyle w:val="NumeroAFNegritaCaracter"/>
        </w:rPr>
        <w:t>3</w:t>
      </w:r>
      <w:r>
        <w:t>. Como también, pero por lo mismo, incluso ahora con mayor razón, carece del imprescindible contenido constitucional la infracción del derecho a la tutela judicial efectiva, sin indefensión del art. 24.1 CE que el recurrente reprocha a la Sentencia recurrida, toda vez que esa infracción constitucional se denuncia por vía indirecta y sólo, por tanto, en la medida en que el órgano judicial no reparó pretendidamente la supuesta lesión del derecho a la defensa que el recurrente de modo directo reprocha a la resolución administrativa impugnada, que antes hemos descartado, y que, por otra parte, el órgano judicial desestimó asimismo conforme a un razonamiento que, como señala el Ministerio Fiscal, satisface plenamente el derecho a la tutela judicial efectiva del demandante de amparo.</w:t>
      </w:r>
    </w:p>
    <w:p w:rsidR="008B3772" w:rsidRDefault="008B3772" w:rsidP="008B3772">
      <w:pPr>
        <w:pStyle w:val="TextoNormal"/>
      </w:pPr>
    </w:p>
    <w:p w:rsidR="008B3772" w:rsidRDefault="008B3772" w:rsidP="008B3772">
      <w:pPr>
        <w:pStyle w:val="TextoNormal"/>
      </w:pPr>
      <w:r>
        <w:t>Por lo expuesto, la Sección</w:t>
      </w:r>
    </w:p>
    <w:p w:rsidR="008B3772" w:rsidRDefault="008B3772" w:rsidP="008B3772">
      <w:pPr>
        <w:pStyle w:val="TextoNormal"/>
      </w:pPr>
    </w:p>
    <w:p w:rsidR="008B3772" w:rsidRDefault="008B3772" w:rsidP="008B3772">
      <w:pPr>
        <w:pStyle w:val="TextoNormalCentrado"/>
      </w:pPr>
      <w:r>
        <w:lastRenderedPageBreak/>
        <w:t>ACUERDA</w:t>
      </w:r>
    </w:p>
    <w:p w:rsidR="008B3772" w:rsidRDefault="008B3772" w:rsidP="008B3772">
      <w:pPr>
        <w:pStyle w:val="TextoNormalCentrado"/>
      </w:pPr>
    </w:p>
    <w:p w:rsidR="008B3772" w:rsidRDefault="008B3772" w:rsidP="008B3772">
      <w:pPr>
        <w:pStyle w:val="TextoNormal"/>
      </w:pPr>
      <w:r>
        <w:t>Inadmitir el presente recurso de amparo núm. 1930-2005 interpuesto por don José María de Pablos Martín.</w:t>
      </w:r>
    </w:p>
    <w:p w:rsidR="008B3772" w:rsidRDefault="008B3772" w:rsidP="008B3772">
      <w:pPr>
        <w:pStyle w:val="TextoNormal"/>
      </w:pPr>
    </w:p>
    <w:p w:rsidR="008B3772" w:rsidRDefault="008B3772" w:rsidP="008B3772">
      <w:pPr>
        <w:pStyle w:val="TextoNormal"/>
      </w:pPr>
      <w:r>
        <w:t>Madrid, a dos de julio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82" w:name="AUTO_2007_318"/>
      <w:r>
        <w:lastRenderedPageBreak/>
        <w:t>AUTO 318/2007, de 2 de julio de 2007</w:t>
      </w:r>
    </w:p>
    <w:bookmarkEnd w:id="182"/>
    <w:p w:rsidR="008B3772" w:rsidRDefault="008B3772" w:rsidP="008B3772">
      <w:pPr>
        <w:pStyle w:val="TtuloResolucin"/>
      </w:pPr>
      <w:r>
        <w:t>Sala Segunda</w:t>
      </w:r>
    </w:p>
    <w:p w:rsidR="008B3772" w:rsidRDefault="008B3772" w:rsidP="008B3772">
      <w:pPr>
        <w:pStyle w:val="TtuloResolucin"/>
      </w:pPr>
    </w:p>
    <w:p w:rsidR="008B3772" w:rsidRDefault="008B3772" w:rsidP="008B3772">
      <w:pPr>
        <w:pStyle w:val="SntesisDescriptiva"/>
      </w:pPr>
      <w:r>
        <w:t>ECLI:ES:TC:2007:318A</w:t>
      </w:r>
    </w:p>
    <w:p w:rsidR="008B3772" w:rsidRDefault="008B3772" w:rsidP="008B3772">
      <w:pPr>
        <w:pStyle w:val="SntesisDescriptiva"/>
      </w:pPr>
    </w:p>
    <w:p w:rsidR="008B3772" w:rsidRDefault="008B3772" w:rsidP="008B3772">
      <w:pPr>
        <w:pStyle w:val="SntesisDescriptiva"/>
      </w:pPr>
      <w:r>
        <w:t>Excms. Srs. don Guillermo Jiménez Sánchez, don Vicente Conde Martín de Hijas, doña Elisa Pérez Vera, don Eugeni Gay Montalvo, don Ramón Rodríguez Arribas y don Pascual Sala Sánchez.</w:t>
      </w:r>
    </w:p>
    <w:p w:rsidR="008B3772" w:rsidRDefault="008B3772" w:rsidP="008B3772">
      <w:pPr>
        <w:pStyle w:val="SntesisDescriptiva"/>
      </w:pPr>
    </w:p>
    <w:p w:rsidR="008B3772" w:rsidRDefault="008B3772" w:rsidP="008B3772">
      <w:pPr>
        <w:pStyle w:val="SntesisDescriptiva"/>
      </w:pPr>
      <w:r>
        <w:t>Inadmite a trámite el recurso de amparo 3679-2005, promovido por Santpedor 2000, S.L., en contencioso por infracción urbanística.</w:t>
      </w:r>
    </w:p>
    <w:p w:rsidR="008B3772" w:rsidRDefault="008B3772" w:rsidP="008B3772">
      <w:pPr>
        <w:pStyle w:val="SntesisDescriptiva"/>
      </w:pPr>
    </w:p>
    <w:p w:rsidR="008B3772" w:rsidRDefault="008B3772" w:rsidP="008B3772">
      <w:pPr>
        <w:pStyle w:val="SntesisAnaltica"/>
      </w:pPr>
      <w:r>
        <w:t>Agotamiento de recursos en la vía judicial: subsidiariedad del amparo.</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este Tribunal el 23 de mayo de 2005 el Procurador de los Tribunales don Antonio Sorribes Calle, en nombre y representación de la mercantil Santpedor 2000, S. L., interpuso recurso de amparo contra las resoluciones judiciales citadas en el encabezamiento.</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Los hechos de los que trae causa la demanda de amparo son, resumidamente, los siguientes: </w:t>
      </w:r>
    </w:p>
    <w:p w:rsidR="008B3772" w:rsidRDefault="008B3772" w:rsidP="008B3772">
      <w:pPr>
        <w:pStyle w:val="TextoNormal"/>
      </w:pPr>
      <w:r>
        <w:t xml:space="preserve">a) La mercantil recurrente fue sancionada por el Ayuntamiento del Santpedor (Barcelona) por la comisión de una infracción urbanística. Contra la correspondiente resolución sancionadora la recurrente interpuso, con fecha 9 de noviembre de 2004, recurso contencioso-administrativo. </w:t>
      </w:r>
    </w:p>
    <w:p w:rsidR="008B3772" w:rsidRDefault="008B3772" w:rsidP="008B3772">
      <w:pPr>
        <w:pStyle w:val="TextoNormal"/>
      </w:pPr>
      <w:r>
        <w:t xml:space="preserve">b) Por diligencia de ordenación, de fecha 15 de noviembre de 2004, el Juzgado de lo Contencioso-Administrativo núm. 7 de Barcelona requirió a la recurrente para que en el plazo de diez días, bajo el apercibimiento de archivo, acreditara la representación procesal, presentara el oportuno modelo de autoliquidación de tasas debidamente cumplimentado y aportara también copia de la resolución recurrida. Dentro del citado plazo, por escrito de 26 de noviembre de 2004, la recurrente acreditó la representación procesal y presentó el modelo de autoliquidación reclamado, pero no, en cambio, copia de la resolución recurrida. Por este motivo y con arreglo a lo dispuesto en el art. 45.3 LJCA, el Juzgado, por Auto de 15 de diciembre de 2004, ordenó el archivo de las actuaciones. Este Auto fue notificado a la recurrente el siguiente día 23 de diciembre de 2004. </w:t>
      </w:r>
    </w:p>
    <w:p w:rsidR="008B3772" w:rsidRDefault="008B3772" w:rsidP="008B3772">
      <w:pPr>
        <w:pStyle w:val="TextoNormal"/>
      </w:pPr>
      <w:r>
        <w:t xml:space="preserve">c) Con esta última fecha la mercantil recurrente presentó ante el Juzgado escrito reclamando, con arreglo al art. 267 LOPJ, la corrección del error en el que habría incurrido el órgano judicial al ignorar la subsanación de los dos primeros defectos advertidos en su requerimiento anterior. También, y de conformidad con lo dispuesto en el art. 128 LJCA, acompañaba la copia de la resolución recurrida, antes omitida, para terminar solicitando del </w:t>
      </w:r>
      <w:r>
        <w:lastRenderedPageBreak/>
        <w:t xml:space="preserve">Juzgado que tuviera por subsanados los defectos considerados y, en su virtud, ordenara continuar la tramitación del recurso </w:t>
      </w:r>
    </w:p>
    <w:p w:rsidR="008B3772" w:rsidRDefault="008B3772" w:rsidP="008B3772">
      <w:pPr>
        <w:pStyle w:val="TextoNormal"/>
      </w:pPr>
      <w:r>
        <w:t>d) Por diligencia de ordenación, de fecha 20 de enero de 2005, el Juzgado acordó no haber lugar a la subsanación interesada. La mercantil recurrente solicitó la revisión de esta resolución, que fue desestimada por nuevo Auto del Juzgado, de 7 de abril de 2005, al considerar, en síntesis, que la regla del art. 128 LJCA no es aplicable al supuesto considerado, toda vez que no se refiere en rigor, como entiende que es imprescindible, un procedimiento judicial ya abierto y en curso.</w:t>
      </w:r>
    </w:p>
    <w:p w:rsidR="008B3772" w:rsidRDefault="008B3772" w:rsidP="008B3772">
      <w:pPr>
        <w:pStyle w:val="TextoNormal"/>
      </w:pPr>
    </w:p>
    <w:p w:rsidR="008B3772" w:rsidRDefault="008B3772" w:rsidP="008B3772">
      <w:pPr>
        <w:pStyle w:val="TextoNormal"/>
      </w:pPr>
      <w:r w:rsidRPr="008B3772">
        <w:rPr>
          <w:rStyle w:val="NumeroAFNegritaCaracter"/>
        </w:rPr>
        <w:t>3</w:t>
      </w:r>
      <w:r>
        <w:t>. En su demanda de amparo la mercantil recurrente denuncia que el citado Auto de 7 de abril de 2005, y las demás resoluciones judiciales que confirma, han vulnerado su derecho a la tutela judicial efectiva del art. 24.1 CE, en su vertiente de derecho de acceso a la jurisdicción, porque la decisión judicial de ordenar el archivo de las actuaciones se funda en una interpretación en exceso rigorista y puramente formalista, tanto de lo dispuesto en el art. 128 LJCA, como de los requisitos procesales que ordenan la admisión del recurso contencioso-administrativo y, en particular, del que previene el art. 45.2 c) LJCA, que obliga a aportar junto con el escrito de interposición copia de la resolución recurrida o, en su caso, indicación del expediente en que se dictó.</w:t>
      </w:r>
    </w:p>
    <w:p w:rsidR="008B3772" w:rsidRDefault="008B3772" w:rsidP="008B3772">
      <w:pPr>
        <w:pStyle w:val="TextoNormal"/>
      </w:pPr>
    </w:p>
    <w:p w:rsidR="008B3772" w:rsidRDefault="008B3772" w:rsidP="008B3772">
      <w:pPr>
        <w:pStyle w:val="TextoNormal"/>
      </w:pPr>
      <w:r w:rsidRPr="008B3772">
        <w:rPr>
          <w:rStyle w:val="NumeroAFNegritaCaracter"/>
        </w:rPr>
        <w:t>4</w:t>
      </w:r>
      <w:r>
        <w:t>. Por providencia de 24 de abril de 2007 la Sección Cuarta de este Tribunal, de conformidad con el art. 50.3 LOTC, acordó conceder a la mercantil demandante de amparo y al Ministerio Fiscal plazo común de diez días para formular las alegaciones que estimasen pertinentes en relación con lo dispuesto en el art. 50.1 LOTC.</w:t>
      </w:r>
    </w:p>
    <w:p w:rsidR="008B3772" w:rsidRDefault="008B3772" w:rsidP="008B3772">
      <w:pPr>
        <w:pStyle w:val="TextoNormal"/>
      </w:pPr>
    </w:p>
    <w:p w:rsidR="008B3772" w:rsidRDefault="008B3772" w:rsidP="008B3772">
      <w:pPr>
        <w:pStyle w:val="TextoNormal"/>
      </w:pPr>
      <w:r w:rsidRPr="008B3772">
        <w:rPr>
          <w:rStyle w:val="NumeroAFNegritaCaracter"/>
        </w:rPr>
        <w:t>5</w:t>
      </w:r>
      <w:r>
        <w:t>. La mercantil recurrente, mediante escrito registrado en este Tribunal el 23 de mayo de 2007, presentó sus alegaciones, reiterando, en esencia, las ya argumentadas en su demanda de amparo, que añade, ahora, coinciden además en lo sustancial con la doctrina constitucional que sienta la STC 335/2006, de 20 de noviembre.</w:t>
      </w:r>
    </w:p>
    <w:p w:rsidR="008B3772" w:rsidRDefault="008B3772" w:rsidP="008B3772">
      <w:pPr>
        <w:pStyle w:val="TextoNormal"/>
      </w:pPr>
    </w:p>
    <w:p w:rsidR="008B3772" w:rsidRDefault="008B3772" w:rsidP="008B3772">
      <w:pPr>
        <w:pStyle w:val="TextoNormal"/>
      </w:pPr>
      <w:r w:rsidRPr="008B3772">
        <w:rPr>
          <w:rStyle w:val="NumeroAFNegritaCaracter"/>
        </w:rPr>
        <w:t>6</w:t>
      </w:r>
      <w:r>
        <w:t>. El 29 de mayo de 2007 el Ministerio Fiscal presentó sus alegaciones, interesando la inadmisión del recurso con arreglo a lo dispuesto en el art. 50.1 a), en relación con el art. 44.1 a) LOTC, por considerar que en el presente asunto la mercantil recurrente no agotó todos los recursos disponibles en la vía judicial antes de acudir en amparo. El Fiscal señala que, frente al Auto de archivo de 15 de diciembre de 2004, la recurrente, en lugar de interponer el recurso de apelación que el órgano judicial le ofreció en el pie de recurso, optó por acudir a la vía del incidente de aclaración del art. 267.1 LOPJ. Una opción que, si bien el Fiscal considera legítima, advierte no obstante que no excusaba a la recurrente, una vez ya resuelto el citado incidente por Auto del Juzgado de 7 de abril de 2005, de interponer el recurso de apelación contra el Auto de archivo, que había quedado pendiente. Al no acudir en apelación, cerrando así la vía de impugnación de que disponía, el Ministerio Fiscal concluye que efectivamente la entidad recurrente no agotó todos los recursos disponibles dentro de la vía judicial previa.</w:t>
      </w:r>
    </w:p>
    <w:p w:rsidR="008B3772" w:rsidRDefault="008B3772" w:rsidP="008B3772">
      <w:pPr>
        <w:pStyle w:val="TextoNormal"/>
      </w:pPr>
    </w:p>
    <w:p w:rsidR="008B3772" w:rsidRDefault="008B3772" w:rsidP="008B3772">
      <w:pPr>
        <w:pStyle w:val="TextoNormalNegritaCentrado"/>
        <w:keepNext/>
      </w:pPr>
      <w:r>
        <w:lastRenderedPageBreak/>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En el presente recurso de amparo la mercantil recurrente denuncia que las resoluciones judiciales impugnadas han vulnerado su derecho a la tutela judicial efectiva del art. 24.1 CE, en su vertiente de derecho de acceso a la jurisdicción, toda vez que, en su opinión, la decisión judicial de archivo del recurso contencioso que interpuso en su día se funda en una interpretación irrazonable, rigorista y desproporcionada de los arts. 45.2 c) y 128 Ley reguladora de la jurisdicción contencioso-administrativa (LJCA).</w:t>
      </w:r>
    </w:p>
    <w:p w:rsidR="008B3772" w:rsidRDefault="008B3772" w:rsidP="008B3772">
      <w:pPr>
        <w:pStyle w:val="TextoNormal"/>
      </w:pPr>
      <w:r>
        <w:t>El Ministerio Fiscal, como también antes se ha recordado, interesa la inadmisión del recurso por considerar que la recurrente no ha agotado todos los recursos utilizables dentro de la vía judicial, según exige el art. 44.1 a) LOTC, como requisito previo a la interposición del recurso de amparo.</w:t>
      </w:r>
    </w:p>
    <w:p w:rsidR="008B3772" w:rsidRDefault="008B3772" w:rsidP="008B3772">
      <w:pPr>
        <w:pStyle w:val="TextoNormal"/>
      </w:pPr>
      <w:r>
        <w:t>Por este motivo, antes de examinar el fondo del asunto, debemos analizar si, en el supuesto que consideramos, realmente concurre la citada causa de inadmisión opuesta por el Fiscal.</w:t>
      </w:r>
    </w:p>
    <w:p w:rsidR="008B3772" w:rsidRDefault="008B3772" w:rsidP="008B3772">
      <w:pPr>
        <w:pStyle w:val="TextoNormal"/>
      </w:pPr>
    </w:p>
    <w:p w:rsidR="008B3772" w:rsidRDefault="008B3772" w:rsidP="008B3772">
      <w:pPr>
        <w:pStyle w:val="TextoNormal"/>
      </w:pPr>
      <w:r w:rsidRPr="008B3772">
        <w:rPr>
          <w:rStyle w:val="NumeroAFNegritaCaracter"/>
        </w:rPr>
        <w:t>2</w:t>
      </w:r>
      <w:r>
        <w:t>. Tal y como se ha recordado en los antecedentes, el Juzgado de lo Contencioso-Administrativo núm. 7 de Barcelona, luego de requerir a la mercantil recurrente para que subsanara los defectos advertidos en la interposición de su recurso contencioso y de comprobar más tarde que no se había producido la subsanación requerida, acordó, por Auto de 15 de diciembre de 2004, declarar terminado el procedimiento, ordenando el archivo de las actuaciones, al tiempo que, en el pie de recurso, ofrecía a la recurrente la posibilidad de interponer contra dicha resolución recurso de apelación por término de quince días. El mismo día de la notificación del Auto de archivo, la recurrente presentó ante el Juzgado un escrito en el que, tras reclamar con arreglo del art.  267.1 Ley Orgánica del Poder Judicial (LOPJ) la corrección del error en el que según su criterio habría incurrido el órgano judicial al desconocer su anterior escrito de subsanación de 26 de noviembre de 2004, y de acompañar copia de la resolución recurrida, de conformidad en este otro caso con lo dispuesto en el art. 128 LJCA, terminaba solicitando del órgano judicial que tuviera por subsanados los defectos advertidos y, en su consecuencia, decidiera continuar con la tramitación del recurso.  Recibido este escrito, el Juzgado, por diligencia de ordenación de 20 de enero de 2005, declaró no haber lugar a la subsanación interesada, disponiendo estar a lo ordenado en el citado Auto de archivo de 15 de diciembre de 2004. Solicitada la revisión de esta diligencia de ordenación, el órgano judicial, por nuevo Auto de 7 de abril de 2005, la desestimó. Una vez notificado este último Auto, la mercantil recurrente interpuso el presente recurso de amparo.</w:t>
      </w:r>
    </w:p>
    <w:p w:rsidR="008B3772" w:rsidRDefault="008B3772" w:rsidP="008B3772">
      <w:pPr>
        <w:pStyle w:val="TextoNormal"/>
      </w:pPr>
      <w:r>
        <w:t xml:space="preserve">Con estos antecedentes forzoso es concluir que en el presente asunto efectivamente concurre la causa de inadmisión que establece el art. 50.1 a), en relación con lo dispuesto en el art. 44.1 a) LOTC. Pues ya se considere, como hace el Ministerio Fiscal, que, frente al Auto de archivo de 15 de diciembre de 2004, la mercantil recurrente promovió incidente de aclaración ex art. 267 LOPJ, ya se estime, como también es posible y parece más probable, que la recurrente simplemente solicitó la revisión de la mencionada diligencia de ordenación de 20 de enero de 2005, según autoriza el art. 79.5 LJCA, no hay duda, en cualquier caso, de que la recurrente no utilizó todos los recursos disponibles en la vía judicial previa. Pues, una vez resuelto definitivamente por Auto de 7 de abril de 2005, bien el incidente de aclaración, en la primera hipótesis, bien el relativo a la revisión de la mencionada diligencia de ordenación, en la otra, lo que la entidad recurrente en todo caso debió hacer es interponer, como señala el Fiscal, el correspondiente recurso de apelación contra el Auto de archivo de 15 de </w:t>
      </w:r>
      <w:r>
        <w:lastRenderedPageBreak/>
        <w:t>diciembre de 2004, que hasta entonces había quedado pendiente y que de modo expreso, además, le ofreció el órgano judicial en el pie de recurso de esta resolución. Al no hacerlo así y, en su lugar, acudir directamente en amparo contra el citado Auto de 7 de abril de 2005, la recurrente no agotó, en efecto, todos los recursos utilizables en la vía judicial, incumpliendo de esta forma el carácter subsidiario del amparo.</w:t>
      </w:r>
    </w:p>
    <w:p w:rsidR="008B3772" w:rsidRDefault="008B3772" w:rsidP="008B3772">
      <w:pPr>
        <w:pStyle w:val="TextoNormal"/>
      </w:pPr>
    </w:p>
    <w:p w:rsidR="008B3772" w:rsidRDefault="008B3772" w:rsidP="008B3772">
      <w:pPr>
        <w:pStyle w:val="TextoNormal"/>
      </w:pPr>
      <w:r>
        <w:t>Por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Inadmitir el presente recurso de amparo núm. 3679-2005 interpuesto por Santpedor 2000, S. L.</w:t>
      </w:r>
    </w:p>
    <w:p w:rsidR="008B3772" w:rsidRDefault="008B3772" w:rsidP="008B3772">
      <w:pPr>
        <w:pStyle w:val="TextoNormal"/>
      </w:pPr>
    </w:p>
    <w:p w:rsidR="008B3772" w:rsidRDefault="008B3772" w:rsidP="008B3772">
      <w:pPr>
        <w:pStyle w:val="TextoNormal"/>
      </w:pPr>
      <w:r>
        <w:t>Madrid, a dos de julio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83" w:name="AUTO_2007_319"/>
      <w:r>
        <w:lastRenderedPageBreak/>
        <w:t>AUTO 319/2007, de 2 de julio de 2007</w:t>
      </w:r>
    </w:p>
    <w:bookmarkEnd w:id="183"/>
    <w:p w:rsidR="008B3772" w:rsidRDefault="008B3772" w:rsidP="008B3772">
      <w:pPr>
        <w:pStyle w:val="TtuloResolucin"/>
      </w:pPr>
      <w:r>
        <w:t>Sección Tercera</w:t>
      </w:r>
    </w:p>
    <w:p w:rsidR="008B3772" w:rsidRDefault="008B3772" w:rsidP="008B3772">
      <w:pPr>
        <w:pStyle w:val="TtuloResolucin"/>
      </w:pPr>
    </w:p>
    <w:p w:rsidR="008B3772" w:rsidRDefault="008B3772" w:rsidP="008B3772">
      <w:pPr>
        <w:pStyle w:val="SntesisDescriptiva"/>
      </w:pPr>
      <w:r>
        <w:t>ECLI:ES:TC:2007:319A</w:t>
      </w:r>
    </w:p>
    <w:p w:rsidR="008B3772" w:rsidRDefault="008B3772" w:rsidP="008B3772">
      <w:pPr>
        <w:pStyle w:val="SntesisDescriptiva"/>
      </w:pPr>
    </w:p>
    <w:p w:rsidR="008B3772" w:rsidRDefault="008B3772" w:rsidP="008B3772">
      <w:pPr>
        <w:pStyle w:val="SntesisDescriptiva"/>
      </w:pPr>
      <w:r>
        <w:t>Excms. Srs. don Guillermo Jiménez Sánchez, don Eugeni Gay Montalvo y don Pascual Sala Sánchez.</w:t>
      </w:r>
    </w:p>
    <w:p w:rsidR="008B3772" w:rsidRDefault="008B3772" w:rsidP="008B3772">
      <w:pPr>
        <w:pStyle w:val="SntesisDescriptiva"/>
      </w:pPr>
    </w:p>
    <w:p w:rsidR="008B3772" w:rsidRDefault="008B3772" w:rsidP="008B3772">
      <w:pPr>
        <w:pStyle w:val="SntesisDescriptiva"/>
      </w:pPr>
      <w:r>
        <w:t>Acuerda el desistimiento en el recurso de amparo 7144-2005, promovido en pleito civil.</w:t>
      </w:r>
    </w:p>
    <w:p w:rsidR="008B3772" w:rsidRDefault="008B3772" w:rsidP="008B3772">
      <w:pPr>
        <w:pStyle w:val="SntesisDescriptiva"/>
      </w:pPr>
    </w:p>
    <w:p w:rsidR="008B3772" w:rsidRDefault="008B3772" w:rsidP="008B3772">
      <w:pPr>
        <w:pStyle w:val="TtuloResolucin"/>
      </w:pPr>
      <w:r>
        <w:t>*Este auto no incorpora doctrina constitucional.</w:t>
      </w:r>
    </w:p>
    <w:p w:rsidR="008B3772" w:rsidRDefault="008B3772">
      <w:pPr>
        <w:spacing w:after="160" w:line="259" w:lineRule="auto"/>
        <w:rPr>
          <w:rFonts w:ascii="Times New Roman" w:eastAsia="Times New Roman" w:hAnsi="Times New Roman" w:cs="Times New Roman"/>
          <w:b/>
          <w:sz w:val="24"/>
          <w:szCs w:val="24"/>
          <w:lang w:eastAsia="es-ES"/>
        </w:rPr>
      </w:pPr>
      <w:r>
        <w:br w:type="page"/>
      </w:r>
    </w:p>
    <w:p w:rsidR="008B3772" w:rsidRDefault="008B3772" w:rsidP="008B3772">
      <w:pPr>
        <w:pStyle w:val="TtuloResolucin"/>
      </w:pPr>
      <w:bookmarkStart w:id="184" w:name="AUTO_2007_320"/>
      <w:r>
        <w:lastRenderedPageBreak/>
        <w:t>AUTO 320/2007, de 2 de julio de 2007</w:t>
      </w:r>
    </w:p>
    <w:bookmarkEnd w:id="184"/>
    <w:p w:rsidR="008B3772" w:rsidRDefault="008B3772" w:rsidP="008B3772">
      <w:pPr>
        <w:pStyle w:val="TtuloResolucin"/>
      </w:pPr>
      <w:r>
        <w:t>Sección Cuarta</w:t>
      </w:r>
    </w:p>
    <w:p w:rsidR="008B3772" w:rsidRDefault="008B3772" w:rsidP="008B3772">
      <w:pPr>
        <w:pStyle w:val="TtuloResolucin"/>
      </w:pPr>
    </w:p>
    <w:p w:rsidR="008B3772" w:rsidRDefault="008B3772" w:rsidP="008B3772">
      <w:pPr>
        <w:pStyle w:val="SntesisDescriptiva"/>
      </w:pPr>
      <w:r>
        <w:t>ECLI:ES:TC:2007:320A</w:t>
      </w:r>
    </w:p>
    <w:p w:rsidR="008B3772" w:rsidRDefault="008B3772" w:rsidP="008B3772">
      <w:pPr>
        <w:pStyle w:val="SntesisDescriptiva"/>
      </w:pPr>
    </w:p>
    <w:p w:rsidR="008B3772" w:rsidRDefault="008B3772" w:rsidP="008B3772">
      <w:pPr>
        <w:pStyle w:val="SntesisDescriptiva"/>
      </w:pPr>
      <w:r>
        <w:t>Excms. Srs. don Vicente Conde Martín de Hijas, doña Elisa Pérez Vera y don Ramón Rodríguez Arribas.</w:t>
      </w:r>
    </w:p>
    <w:p w:rsidR="008B3772" w:rsidRDefault="008B3772" w:rsidP="008B3772">
      <w:pPr>
        <w:pStyle w:val="SntesisDescriptiva"/>
      </w:pPr>
    </w:p>
    <w:p w:rsidR="008B3772" w:rsidRDefault="008B3772" w:rsidP="008B3772">
      <w:pPr>
        <w:pStyle w:val="SntesisDescriptiva"/>
      </w:pPr>
      <w:r>
        <w:t>Acuerda el desistimiento en el recurso de amparo 810-2006, promovido por Rodret AB.</w:t>
      </w:r>
    </w:p>
    <w:p w:rsidR="008B3772" w:rsidRDefault="008B3772" w:rsidP="008B3772">
      <w:pPr>
        <w:pStyle w:val="SntesisDescriptiva"/>
      </w:pPr>
    </w:p>
    <w:p w:rsidR="008B3772" w:rsidRDefault="008B3772" w:rsidP="008B3772">
      <w:pPr>
        <w:pStyle w:val="TtuloResolucin"/>
      </w:pPr>
      <w:r>
        <w:t>*Este auto no incorpora doctrina constitucional.</w:t>
      </w:r>
    </w:p>
    <w:p w:rsidR="008B3772" w:rsidRDefault="008B3772">
      <w:pPr>
        <w:spacing w:after="160" w:line="259" w:lineRule="auto"/>
        <w:rPr>
          <w:rFonts w:ascii="Times New Roman" w:eastAsia="Times New Roman" w:hAnsi="Times New Roman" w:cs="Times New Roman"/>
          <w:b/>
          <w:sz w:val="24"/>
          <w:szCs w:val="24"/>
          <w:lang w:eastAsia="es-ES"/>
        </w:rPr>
      </w:pPr>
      <w:r>
        <w:br w:type="page"/>
      </w:r>
    </w:p>
    <w:p w:rsidR="008B3772" w:rsidRDefault="008B3772" w:rsidP="008B3772">
      <w:pPr>
        <w:pStyle w:val="TtuloResolucin"/>
      </w:pPr>
      <w:bookmarkStart w:id="185" w:name="AUTO_2007_321"/>
      <w:r>
        <w:lastRenderedPageBreak/>
        <w:t>AUTO 321/2007, de 2 de julio de 2007</w:t>
      </w:r>
    </w:p>
    <w:bookmarkEnd w:id="185"/>
    <w:p w:rsidR="008B3772" w:rsidRDefault="008B3772" w:rsidP="008B3772">
      <w:pPr>
        <w:pStyle w:val="TtuloResolucin"/>
      </w:pPr>
      <w:r>
        <w:t>Sección Cuarta</w:t>
      </w:r>
    </w:p>
    <w:p w:rsidR="008B3772" w:rsidRDefault="008B3772" w:rsidP="008B3772">
      <w:pPr>
        <w:pStyle w:val="TtuloResolucin"/>
      </w:pPr>
    </w:p>
    <w:p w:rsidR="008B3772" w:rsidRDefault="008B3772" w:rsidP="008B3772">
      <w:pPr>
        <w:pStyle w:val="SntesisDescriptiva"/>
      </w:pPr>
      <w:r>
        <w:t>ECLI:ES:TC:2007:321A</w:t>
      </w:r>
    </w:p>
    <w:p w:rsidR="008B3772" w:rsidRDefault="008B3772" w:rsidP="008B3772">
      <w:pPr>
        <w:pStyle w:val="SntesisDescriptiva"/>
      </w:pPr>
    </w:p>
    <w:p w:rsidR="008B3772" w:rsidRDefault="008B3772" w:rsidP="008B3772">
      <w:pPr>
        <w:pStyle w:val="SntesisDescriptiva"/>
      </w:pPr>
      <w:r>
        <w:t>Excms. Srs. don Vicente Conde Martín de Hijas, doña Elisa Pérez Vera y don Ramón Rodríguez Arribas.</w:t>
      </w:r>
    </w:p>
    <w:p w:rsidR="008B3772" w:rsidRDefault="008B3772" w:rsidP="008B3772">
      <w:pPr>
        <w:pStyle w:val="SntesisDescriptiva"/>
      </w:pPr>
    </w:p>
    <w:p w:rsidR="008B3772" w:rsidRDefault="008B3772" w:rsidP="008B3772">
      <w:pPr>
        <w:pStyle w:val="SntesisDescriptiva"/>
      </w:pPr>
      <w:r>
        <w:t>Acuerda el desistimiento en el recurso de amparo 11706-2006, promovido en causa penal.</w:t>
      </w:r>
    </w:p>
    <w:p w:rsidR="008B3772" w:rsidRDefault="008B3772" w:rsidP="008B3772">
      <w:pPr>
        <w:pStyle w:val="SntesisDescriptiva"/>
      </w:pPr>
    </w:p>
    <w:p w:rsidR="008B3772" w:rsidRDefault="008B3772" w:rsidP="008B3772">
      <w:pPr>
        <w:pStyle w:val="TtuloResolucin"/>
      </w:pPr>
      <w:r>
        <w:t>*Este auto no incorpora doctrina constitucional.</w:t>
      </w:r>
    </w:p>
    <w:p w:rsidR="008B3772" w:rsidRDefault="008B3772">
      <w:pPr>
        <w:spacing w:after="160" w:line="259" w:lineRule="auto"/>
        <w:rPr>
          <w:rFonts w:ascii="Times New Roman" w:eastAsia="Times New Roman" w:hAnsi="Times New Roman" w:cs="Times New Roman"/>
          <w:b/>
          <w:sz w:val="24"/>
          <w:szCs w:val="24"/>
          <w:lang w:eastAsia="es-ES"/>
        </w:rPr>
      </w:pPr>
      <w:r>
        <w:br w:type="page"/>
      </w:r>
    </w:p>
    <w:p w:rsidR="008B3772" w:rsidRDefault="008B3772" w:rsidP="008B3772">
      <w:pPr>
        <w:pStyle w:val="TtuloResolucin"/>
      </w:pPr>
      <w:bookmarkStart w:id="186" w:name="AUTO_2007_322"/>
      <w:r>
        <w:lastRenderedPageBreak/>
        <w:t>AUTO 322/2007, de 3 de julio de 2007</w:t>
      </w:r>
    </w:p>
    <w:bookmarkEnd w:id="186"/>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ECLI:ES:TC:2007:322A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Inadmite a trámite el conflicto en defensa de la autonomía local 5192-2007, planteado por el Ayuntamiento de Toledo en relación con el artículo 49.1 a) de la Ley de Castilla-La Mancha 13/2005, de 29 de diciembre, de presupuestos generales de la Junta de Comunidades para el año 2006.</w:t>
      </w:r>
    </w:p>
    <w:p w:rsidR="008B3772" w:rsidRDefault="008B3772" w:rsidP="008B3772">
      <w:pPr>
        <w:pStyle w:val="SntesisDescriptiva"/>
      </w:pPr>
    </w:p>
    <w:p w:rsidR="008B3772" w:rsidRDefault="008B3772" w:rsidP="008B3772">
      <w:pPr>
        <w:pStyle w:val="SntesisAnaltica"/>
      </w:pPr>
      <w:r>
        <w:t>Conflictos en defensa de la autonomía local: legitimación activa.</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presentado en el Registro del Tribunal Constitucional el día 7 de junio de 2007 doña Sofía María Álvarez-Buylla Martínez, Procuradora de los Tribunales, en nombre y representación del Ayuntamiento de Toledo, plantea conflicto en defensa de la autonomía local contra el art. 49.1 a) de la Ley 13/2005, de 29 de diciembre, de presupuestos generales de la Junta de Comunidades de Castilla-La Mancha para el año 2006.</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Dicho precepto dispone lo siguiente: </w:t>
      </w:r>
    </w:p>
    <w:p w:rsidR="008B3772" w:rsidRDefault="008B3772" w:rsidP="008B3772">
      <w:pPr>
        <w:pStyle w:val="TextoNormal"/>
      </w:pPr>
      <w:r>
        <w:t xml:space="preserve">“Artículo 49. Tipo de gravamen del canon de aducción y del canon de depuración. </w:t>
      </w:r>
    </w:p>
    <w:p w:rsidR="008B3772" w:rsidRDefault="008B3772" w:rsidP="008B3772">
      <w:pPr>
        <w:pStyle w:val="TextoNormal"/>
      </w:pPr>
      <w:r>
        <w:t xml:space="preserve">1. El tipo de gravamen del canon de aducción regulado en el Capítulo II del Título V de la Ley 12/2002, de 27 de junio (LCLM 2002, 187), reguladora del ciclo integral del agua, se fija, a los efectos y por el plazo de vigencia previstos en el art. 45 de dicha Ley, en la forma siguiente: </w:t>
      </w:r>
    </w:p>
    <w:p w:rsidR="008B3772" w:rsidRDefault="008B3772" w:rsidP="008B3772">
      <w:pPr>
        <w:pStyle w:val="TextoNormal"/>
      </w:pPr>
      <w:r>
        <w:t>a) Tipo de gravamen de 0,24043 euros por metro cúbico de agua determinados en la forma establecida en el art. 43 de la Ley 12/2002, en la prestación del servicio de abastecimiento de agua en alta a los municipios integrados en el Sistema de abastecimiento de Picadas.”</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El conflicto formalizado se justifica en los motivos que a continuación se resumen: </w:t>
      </w:r>
    </w:p>
    <w:p w:rsidR="008B3772" w:rsidRDefault="008B3772" w:rsidP="008B3772">
      <w:pPr>
        <w:pStyle w:val="TextoNormal"/>
      </w:pPr>
      <w:r>
        <w:t xml:space="preserve">a) El precepto cuestionado regula el tipo de gravamen, expresado en euros por metro cúbico, del denominado “canón de aducción”, tasa que han de satisfacer una serie de Ayuntamientos castellano-manchegos que se abastecen de agua desde el embalse de Picadas por las actuaciones que realiza la Comunidad Autónoma en materia de regulación, captación, conducción, potabilización y depósito de almacenamiento, de acuerdo con lo previsto en los </w:t>
      </w:r>
      <w:r>
        <w:lastRenderedPageBreak/>
        <w:t xml:space="preserve">arts. 2 y 40 de la Ley 12/2002, de 27 de junio, por la que se regula el ciclo integral del agua de la Comunidad Autónoma de Castilla-La Mancha, actuaciones todas ellas previas a la distribución mediante redes municipales hasta las acometidas de los consumidores. </w:t>
      </w:r>
    </w:p>
    <w:p w:rsidR="008B3772" w:rsidRDefault="008B3772" w:rsidP="008B3772">
      <w:pPr>
        <w:pStyle w:val="TextoNormal"/>
      </w:pPr>
      <w:r>
        <w:t xml:space="preserve">El tipo de gravamen del citado canon se estableció por vez primera en la Ley 12/2004, de 23 de diciembre, de presupuestos generales de la Junta de Comunidades de Castilla-La Mancha para el año 2005, mientras que en el precepto recurrido se produce una subida sustancial de dicho tipo de gravamen, vulnerando con ello, a juicio de los recurrentes, el art. 134.7 CE así como la autonomía local constitucionalmente garantizada, en especial, en su vertiente financiera. </w:t>
      </w:r>
    </w:p>
    <w:p w:rsidR="008B3772" w:rsidRDefault="008B3772" w:rsidP="008B3772">
      <w:pPr>
        <w:pStyle w:val="TextoNormal"/>
      </w:pPr>
      <w:r>
        <w:t xml:space="preserve">b) En cuanto a la vulneración del art. 134.7 CE, precepto que prohíbe que la Ley de Presupuestos del Estado pueda crear tributos o modificarlos, salvo que una ley tributaria sustantiva así lo prevea, la Corporación recurrente alega que el art. 45 de la Ley castellano-manchega 12/2002, creador del citado canon, establece que éste será fijado, previo el estudio económico justificativo correspondiente y atendiendo a la finalidad del tributo, por la Ley de presupuestos generales de la Comunidad Autónoma del año siguiente a la constitución de la Entidad de Derecho Público Aguas de Castilla-La Mancha, y se prorrogará para los ejercicios sucesivos mientras no sea modificado o derogado expresamente. De esta redacción deduce que el canon ha de ser fijado en una sola Ley, la de Presupuestos para el año 2005, sin que pueda ser susceptible de modificación anual mediante las sucesivas Leyes de Presupuestos de la Comunidad Autónoma, puesto que de la norma que crea el tributo no puede deducirse que habilite para modificarlo. Asimismo entiende que el incremento sufrido por la tasa supone una modificación de carácter sustancial equivalente a una auténtica creación del tributo, al modificar un elemento esencial del mismo, como es el tipo de gravamen. </w:t>
      </w:r>
    </w:p>
    <w:p w:rsidR="008B3772" w:rsidRDefault="008B3772" w:rsidP="008B3772">
      <w:pPr>
        <w:pStyle w:val="TextoNormal"/>
      </w:pPr>
      <w:r>
        <w:t xml:space="preserve">c) En lo relativo a la vulneración del principio constitucional de autonomía local, el escrito de promoción argumenta que el incremento del canon, decidido unilateralmente y sin justificación por la Comunidad Autónoma, va en contra de la buena fe que ha de regir la relación entre las Administraciones públicas, teniendo en cuenta que el denominado Sistema de abastecimiento de Picadas se estableció mediante un Convenio de colaboración suscrito por la Consejería de Obras Públicas de la Junta de Comunidades de Castilla-La Mancha y treinta Ayuntamientos de esa Comunidad Autónoma. Adicionalmente se alega que las consecuencias de este incremento tributario pueden desequilibrar la política financiera de los Municipios afectados, debido a la contraprestación económica que han de abonar a la Comunidad Autónoma por las actuaciones prestadas para asegurar el servicio de abastecimiento de agua a la población, de competencia municipal ex art. 25 LBRL, lo que puede, a su vez, reducir la capacidad efectiva del Ayuntamiento para gestionar el citado servicio con el consiguiente perjuicio para los ciudadanos. </w:t>
      </w:r>
    </w:p>
    <w:p w:rsidR="008B3772" w:rsidRDefault="008B3772" w:rsidP="008B3772">
      <w:pPr>
        <w:pStyle w:val="TextoNormal"/>
      </w:pPr>
      <w:r>
        <w:t>Por todo ello se solicita que se declare la existencia de vulneración de la autonomía local por parte del precepto impugnado.</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xml:space="preserve">. El presente conflicto en defensa de la autonomía local ha sido promovido por la Procuradora de los Tribunales doña Sofía María Álvarez-Buylla Martínez, en nombre y representación del Ayuntamiento de Toledo, tal como resulta del encabezamiento y del suplico de la demanda. El mismo tiene como objeto el art. 49.1 a) de la Ley 13/2005, de 29 de diciembre, de presupuestos generales de la Junta de Comunidades de Castilla-La Mancha </w:t>
      </w:r>
      <w:r>
        <w:lastRenderedPageBreak/>
        <w:t>para el año 2006, que establece el tipo de gravamen del canon de aducción que, por la prestación por la Comunidad Autónoma del servicio de abastecimiento de agua en alta, han de satisfacer los Municipios integrados en el denominado Sistema de abastecimiento de Picadas.</w:t>
      </w:r>
    </w:p>
    <w:p w:rsidR="008B3772" w:rsidRDefault="008B3772" w:rsidP="008B3772">
      <w:pPr>
        <w:pStyle w:val="TextoNormal"/>
      </w:pPr>
      <w:r>
        <w:t>La demanda hace referencia expresa a que aporta el dictamen del Consejo Consultivo de Castilla-La Mancha, emitido el 17 de abril de 2007, así como los acuerdos plenarios de cinco Municipios de la Comunidad Autónoma de Castilla-La Mancha (Toledo, Ugena, Yeles, Cobeja y Añover de Tajo), si bien en realidad en el expediente se adjuntan, entre otra documentación, dos más, los de los Municipios de Olias del Rey y Magán, no citados expresamente en el escrito de promoción. Estos acuerdos resultan del siguiente o similar tenor: “Someter a este Pleno la autorización para realizar los trámites oportunos de acudir al Tribunal Constitucional, si procede, en defensa de los intereses de este Ayuntamiento y de todos los ciudadanos de Toledo por esta subida injustificada y abusiva del agua de Picadas”.</w:t>
      </w:r>
    </w:p>
    <w:p w:rsidR="008B3772" w:rsidRDefault="008B3772" w:rsidP="008B3772">
      <w:pPr>
        <w:pStyle w:val="TextoNormal"/>
      </w:pPr>
    </w:p>
    <w:p w:rsidR="008B3772" w:rsidRDefault="008B3772" w:rsidP="008B3772">
      <w:pPr>
        <w:pStyle w:val="TextoNormal"/>
      </w:pPr>
      <w:r w:rsidRPr="008B3772">
        <w:rPr>
          <w:rStyle w:val="NumeroAFNegritaCaracter"/>
        </w:rPr>
        <w:t>2</w:t>
      </w:r>
      <w:r>
        <w:t>. El precepto impugnado tiene como destinatarios “los municipios integrados en el Sistema de abastecimiento de Picadas”. Al respecto la demanda adjunta el Convenio de colaboración relativo a la prestación del servicio de abastecimiento de agua en alta desde el embalse de Picadas, suscrito el 28 de abril de 2000, entre la Consejería de Obras Públicas de la Junta de Comunidades de Castilla-La Mancha y una serie de Ayuntamientos de esa Comunidad Autónoma. Del citado convenio puede deducirse que los Municipios a los que hace referencia el precepto cuestionado son los treinta firmantes del mismo, los cuales, por tanto, y en la medida en que son los obligados al pago del canon de aducción de acuerdo con el tipo de gravamen establecido en el precepto cuestionado, constituyen el ámbito de aplicación de lo previsto en el art. 49.1 a) de la Ley 13/2005. Por ello, de conformidad con la regla de legitimación establecida en art. 75.ter.1 b) LOTC, el presente conflicto en defensa de la autonomía local ha de ser promovido por un número mínimo de cinco Municipios, por suponer al menos un séptimo de los treinta incluidos en el ámbito de aplicación del precepto cuestionado, y que representen como mínimo un sexto de su población.</w:t>
      </w:r>
    </w:p>
    <w:p w:rsidR="008B3772" w:rsidRDefault="008B3772" w:rsidP="008B3772">
      <w:pPr>
        <w:pStyle w:val="TextoNormal"/>
      </w:pPr>
      <w:r>
        <w:t>Sin embargo el escrito de promoción del conflicto se plantea exclusivamente en representación del Ayuntamiento de Toledo, el cual, por sí solo, carece de legitimación para plantear el conflicto en defensa de la autonomía local, pues no resulta ser el destinatario único de la disposición cuestionada, por lo que, con arreglo a lo dispuesto en el art. 75.quinque.1 LOCT, procede declarar la inadmisión del presente conflicto.</w:t>
      </w:r>
    </w:p>
    <w:p w:rsidR="008B3772" w:rsidRDefault="008B3772" w:rsidP="008B3772">
      <w:pPr>
        <w:pStyle w:val="TextoNormal"/>
      </w:pPr>
      <w:r>
        <w:t>El hecho de que con la demanda se aporten los acuerdos plenarios de otros seis Municipios resulta intranscendente para el control del requisito procesal de la legitimación, pues lo que debe contar es si dichos Municipios recurren o no, y es claro que la mera lectura de la demanda pone en evidencia que el único recurrente es el Ayuntamiento de Toledo.</w:t>
      </w:r>
    </w:p>
    <w:p w:rsidR="008B3772" w:rsidRDefault="008B3772" w:rsidP="008B3772">
      <w:pPr>
        <w:pStyle w:val="TextoNormal"/>
      </w:pPr>
    </w:p>
    <w:p w:rsidR="008B3772" w:rsidRDefault="008B3772" w:rsidP="008B3772">
      <w:pPr>
        <w:pStyle w:val="TextoNormal"/>
      </w:pPr>
      <w:r>
        <w:t>Por lo expuesto, el Pleno</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Inadmitir el presente conflicto en defensa de la autonomía local.</w:t>
      </w:r>
    </w:p>
    <w:p w:rsidR="008B3772" w:rsidRDefault="008B3772" w:rsidP="008B3772">
      <w:pPr>
        <w:pStyle w:val="TextoNormal"/>
      </w:pPr>
    </w:p>
    <w:p w:rsidR="008B3772" w:rsidRDefault="008B3772" w:rsidP="008B3772">
      <w:pPr>
        <w:pStyle w:val="TextoNormal"/>
      </w:pPr>
      <w:r>
        <w:t>Madrid, a tres de julio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87" w:name="AUTO_2007_323"/>
      <w:r>
        <w:lastRenderedPageBreak/>
        <w:t>AUTO 323/2007, de 6 de julio de 2007</w:t>
      </w:r>
    </w:p>
    <w:bookmarkEnd w:id="187"/>
    <w:p w:rsidR="008B3772" w:rsidRDefault="008B3772" w:rsidP="008B3772">
      <w:pPr>
        <w:pStyle w:val="TtuloResolucin"/>
      </w:pPr>
      <w:r>
        <w:t>Sección Primera</w:t>
      </w:r>
    </w:p>
    <w:p w:rsidR="008B3772" w:rsidRDefault="008B3772" w:rsidP="008B3772">
      <w:pPr>
        <w:pStyle w:val="TtuloResolucin"/>
      </w:pPr>
    </w:p>
    <w:p w:rsidR="008B3772" w:rsidRDefault="008B3772" w:rsidP="008B3772">
      <w:pPr>
        <w:pStyle w:val="SntesisDescriptiva"/>
      </w:pPr>
      <w:r>
        <w:t>ECLI:ES:TC:2007:323A</w:t>
      </w:r>
    </w:p>
    <w:p w:rsidR="008B3772" w:rsidRDefault="008B3772" w:rsidP="008B3772">
      <w:pPr>
        <w:pStyle w:val="SntesisDescriptiva"/>
      </w:pPr>
    </w:p>
    <w:p w:rsidR="008B3772" w:rsidRDefault="008B3772" w:rsidP="008B3772">
      <w:pPr>
        <w:pStyle w:val="SntesisDescriptiva"/>
      </w:pPr>
      <w:r>
        <w:t>Excms. Srs. doña María Emilia Casas Baamonde, don Javier Delgado Barrio y don Manuel Aragón Reyes.</w:t>
      </w:r>
    </w:p>
    <w:p w:rsidR="008B3772" w:rsidRDefault="008B3772" w:rsidP="008B3772">
      <w:pPr>
        <w:pStyle w:val="SntesisDescriptiva"/>
      </w:pPr>
    </w:p>
    <w:p w:rsidR="008B3772" w:rsidRDefault="008B3772" w:rsidP="008B3772">
      <w:pPr>
        <w:pStyle w:val="SntesisDescriptiva"/>
      </w:pPr>
      <w:r>
        <w:t>Inadmite a trámite el recurso de amparo 3616-2004, promovido por don Mohamed Hasnaui en causa por delito contra la salud pública.</w:t>
      </w:r>
    </w:p>
    <w:p w:rsidR="008B3772" w:rsidRDefault="008B3772" w:rsidP="008B3772">
      <w:pPr>
        <w:pStyle w:val="SntesisDescriptiva"/>
      </w:pPr>
    </w:p>
    <w:p w:rsidR="008B3772" w:rsidRDefault="008B3772" w:rsidP="008B3772">
      <w:pPr>
        <w:pStyle w:val="SntesisAnaltica"/>
      </w:pPr>
      <w:r>
        <w:t>Principio de legalidad penal: interpretación judicial de los tipos penales, respetado.</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este Tribunal el 4 de junio de 2004, el Procurador de los Tribunales don Alberto Alfaro Matos, en nombre y representación de don Mohamed Hasnaui, interpuso recurso de amparo contra la resolución judicial citada en el encabezamiento, solicitando, por medio de otrosí, la designación de Abogado del turno de oficio.</w:t>
      </w:r>
    </w:p>
    <w:p w:rsidR="008B3772" w:rsidRDefault="008B3772" w:rsidP="008B3772">
      <w:pPr>
        <w:pStyle w:val="TextoNormal"/>
      </w:pPr>
    </w:p>
    <w:p w:rsidR="008B3772" w:rsidRDefault="008B3772" w:rsidP="008B3772">
      <w:pPr>
        <w:pStyle w:val="TextoNormal"/>
      </w:pPr>
      <w:r w:rsidRPr="008B3772">
        <w:rPr>
          <w:rStyle w:val="NumeroAFNegritaCaracter"/>
        </w:rPr>
        <w:t>2</w:t>
      </w:r>
      <w:r>
        <w:t>. La Sección Primera de este Tribunal, por diligencia de ordenación de 15 de junio de 2004, acordó, de conformidad con el art. 50.5 LOTC, conceder al citado Procurador plazo de diez días para que aportara copia de la Sentencia recurrida, acreditando la fecha de su notificación, y comunicara el domicilio o centro penitenciario en el estuviera ingresado el recurrente en amparo. Por escrito registrado en este Tribunal el siguiente 29 de junio de 2004, al que acompaña copia de la Sentencia recurrida, el representante legal del recurrente manifestó que ignoraba su domicilio o centro penitenciario en el que se halle.</w:t>
      </w:r>
    </w:p>
    <w:p w:rsidR="008B3772" w:rsidRDefault="008B3772" w:rsidP="008B3772">
      <w:pPr>
        <w:pStyle w:val="TextoNormal"/>
      </w:pPr>
    </w:p>
    <w:p w:rsidR="008B3772" w:rsidRDefault="008B3772" w:rsidP="008B3772">
      <w:pPr>
        <w:pStyle w:val="TextoNormal"/>
      </w:pPr>
      <w:r w:rsidRPr="008B3772">
        <w:rPr>
          <w:rStyle w:val="NumeroAFNegritaCaracter"/>
        </w:rPr>
        <w:t>3</w:t>
      </w:r>
      <w:r>
        <w:t>. Por nueva diligencia de ordenación de 2 de julio de 2004, la Sección acordó, de conformidad con lo dispuesto en el art. 4º del Acuerdo del Pleno del Tribunal Constitucional de 18 de junio de 1996 y en el art. 85.2 LOTC, conceder plazo de diez días al recurrente, que se hallaba en el Centro Penitenciario de Basauri, para que se ratificara en su petición de designación de Abogado de oficio que le asista en su intención de interponer el presente recurso de amparo, advirtiéndole que, en caso contrario, procedería a decretar su inadmisión, conforme a lo dispuesto en el art. 50.5 LOTC. Por escrito registrado el siguiente día 21 de julio de 2004, el interesado atendió el citado requerimiento, ratificando su intención de interponer el recurso de amparo y su solicitud de designación de Abogado de oficio.</w:t>
      </w:r>
    </w:p>
    <w:p w:rsidR="008B3772" w:rsidRDefault="008B3772" w:rsidP="008B3772">
      <w:pPr>
        <w:pStyle w:val="TextoNormal"/>
      </w:pPr>
    </w:p>
    <w:p w:rsidR="008B3772" w:rsidRDefault="008B3772" w:rsidP="008B3772">
      <w:pPr>
        <w:pStyle w:val="TextoNormal"/>
      </w:pPr>
      <w:r w:rsidRPr="008B3772">
        <w:rPr>
          <w:rStyle w:val="NumeroAFNegritaCaracter"/>
        </w:rPr>
        <w:t>4</w:t>
      </w:r>
      <w:r>
        <w:t xml:space="preserve">. Por diligencia de ordenación de 26 de julio de 2004, la Sección Primera de este Tribunal, de conformidad con lo establecido en el art. 7.3 de la Ley 1/1996, de asistencia jurídica gratuita y el art. 4 del Acuerdo del Pleno del Tribunal Constitucional de 18 de junio de 1996, acordó librar despacho al Colegio de Abogados de Madrid para que se designara al recurrente Letrado del turno de oficio que le defienda en el presente recurso de amparo y, </w:t>
      </w:r>
      <w:r>
        <w:lastRenderedPageBreak/>
        <w:t>con arreglo al art. 88 LOTC, requerir al Tribunal Supremo y a la Audiencia Provincial de Bilbao para que, en el plazo de diez días, remitieran, respectivamente, testimonio del recurso núm. 2017-2003 y del rollo núm. 51-2003.</w:t>
      </w:r>
    </w:p>
    <w:p w:rsidR="008B3772" w:rsidRDefault="008B3772" w:rsidP="008B3772">
      <w:pPr>
        <w:pStyle w:val="TextoNormal"/>
      </w:pPr>
    </w:p>
    <w:p w:rsidR="008B3772" w:rsidRDefault="008B3772" w:rsidP="008B3772">
      <w:pPr>
        <w:pStyle w:val="TextoNormal"/>
      </w:pPr>
      <w:r w:rsidRPr="008B3772">
        <w:rPr>
          <w:rStyle w:val="NumeroAFNegritaCaracter"/>
        </w:rPr>
        <w:t>5</w:t>
      </w:r>
      <w:r>
        <w:t>. Recibido el despacho del Colegio de Abogados de Madrid, por el que se participaba que correspondía la designación en turno de oficio al Letrado don Manuel Valero Yánez para la defensa del recurrente, la Sección Primera, por nueva diligencia de ordenación, de fecha 6 de octubre de 2004, acordó tener por hecha dicha designación y, con traslado de las actuaciones judiciales recibidas y los escritos y documentos presentados por el recurrente, concederle plazo de veinte días para que, bajo la dirección del mencionado Letrado, formulase la correspondiente demanda de amparo; lo que así verificaría mediante escrito registrado en este Tribunal el 8 de noviembre de 2004.</w:t>
      </w:r>
    </w:p>
    <w:p w:rsidR="008B3772" w:rsidRDefault="008B3772" w:rsidP="008B3772">
      <w:pPr>
        <w:pStyle w:val="TextoNormal"/>
      </w:pPr>
    </w:p>
    <w:p w:rsidR="008B3772" w:rsidRDefault="008B3772" w:rsidP="008B3772">
      <w:pPr>
        <w:pStyle w:val="TextoNormal"/>
      </w:pPr>
      <w:r w:rsidRPr="008B3772">
        <w:rPr>
          <w:rStyle w:val="NumeroAFNegritaCaracter"/>
        </w:rPr>
        <w:t>6</w:t>
      </w:r>
      <w:r>
        <w:t xml:space="preserve">. Los hechos de los que trae causa la demanda de amparo son resumidamente los siguientes: </w:t>
      </w:r>
    </w:p>
    <w:p w:rsidR="008B3772" w:rsidRDefault="008B3772" w:rsidP="008B3772">
      <w:pPr>
        <w:pStyle w:val="TextoNormal"/>
      </w:pPr>
      <w:r>
        <w:t xml:space="preserve">a) Con fecha 17 de junio de 2003, la Sección Sexta de la Audiencia Provincial de Vizcaya dictó Sentencia absolviendo al recurrente del delito contra la salud pública por tráfico de drogas del que le acusaba el Ministerio Fiscal por considerar que, pese a que el acusado había vendido a otra persona un envoltorio que contenía 0,176 gramos de heroína con una riqueza del 19,l %, que representaba 0,03 miligramos de sustancia pura, esa conducta no encajaba en el tipo penal del art. 368 CP, según cierta línea jurisprudencial del Tribunal Supremo que niega la existencia de antijuridicidad material cuando la droga intervenida es, dada su cantidad o pureza, insignificante y no permite apreciar una riesgo efectivo para la salud pública. </w:t>
      </w:r>
    </w:p>
    <w:p w:rsidR="008B3772" w:rsidRDefault="008B3772" w:rsidP="008B3772">
      <w:pPr>
        <w:pStyle w:val="TextoNormal"/>
      </w:pPr>
      <w:r>
        <w:t>b) Contra esta Sentencia el Ministerio Fiscal interpuso recurso de casación, que fue estimado por Sentencia de la Sala de lo Penal del Tribunal Supremo de fecha 26 de marzo de 2004, por considerar que la Sentencia de instancia no había justificado que la heroína intervenida no fuera potencialmente nociva para la salud pública. Advierte que el art. 368 CP castiga el tráfico de drogas sin mayores especificaciones y que la heroína es indiscutidamente una sustancia incluida en las listas de la Convención de Ginebra sobre Estupefacientes. Y añade que se considera unánimemente que dicha sustancia causa grave daño a la salud y que la dosis intervenida superaba la dosis mínima psicoactiva de la heroína, según el informe emitido por el Instituto Nacional de Toxicología. Finalmente subraya que las operaciones de tráfico conocidas como de menudeo constituyen la circulación capilar de las drogas, de extraordinaria relevancia social porque sin ellas carecería de razón de ser en buena medida el gran tráfico de drogas, siendo, además, contrario a todo discurso lógico e incluso a la experiencia común el considerar que los traficantes de heroína manejan dosis absolutamente inocuas.</w:t>
      </w:r>
    </w:p>
    <w:p w:rsidR="008B3772" w:rsidRDefault="008B3772" w:rsidP="008B3772">
      <w:pPr>
        <w:pStyle w:val="TextoNormal"/>
      </w:pPr>
    </w:p>
    <w:p w:rsidR="008B3772" w:rsidRDefault="008B3772" w:rsidP="008B3772">
      <w:pPr>
        <w:pStyle w:val="TextoNormal"/>
      </w:pPr>
      <w:r w:rsidRPr="008B3772">
        <w:rPr>
          <w:rStyle w:val="NumeroAFNegritaCaracter"/>
        </w:rPr>
        <w:t>7</w:t>
      </w:r>
      <w:r>
        <w:t xml:space="preserve">. En su demanda de amparo, el recurrente alega que la Sentencia impugnada contradice la mayoritaria línea jurisprudencial del Tribunal Supremo dictada para la concreción del bien jurídico que protege el art. 368 CP y del concepto de insignificancia de la droga intervenida y que, por este motivo, traduce un agravio jurisprudencial comparativo, que ignora, además, su derecho a la aplicación de la interpretación judicial más favorable a la libertad individual. Alega también que la Sentencia que impugna vulnera el derecho a la legalidad penal del art. 25.1 CE, puesto que la interpretación y aplicación que hace del art. 368 CP reconduce el tipo penal a una entidad metafísica que franquea la línea divisoria que separa </w:t>
      </w:r>
      <w:r>
        <w:lastRenderedPageBreak/>
        <w:t>la legítima interpretación de las normas penales de la arbitraria e irrazonable precisión de su verdadero significado y alcance. Por último, el demandante denuncia que la Sentencia recurrida, dada su abierta contradicción con la jurisprudencia del Tribunal Supremo que interpreta el art. 368 CP, no puede considerase una resolución fundada en Derecho ni, por lo mimos, respetuosa con el derecho a la tutela judicial efectiva del art. 24.1 CE.</w:t>
      </w:r>
    </w:p>
    <w:p w:rsidR="008B3772" w:rsidRDefault="008B3772" w:rsidP="008B3772">
      <w:pPr>
        <w:pStyle w:val="TextoNormal"/>
      </w:pPr>
    </w:p>
    <w:p w:rsidR="008B3772" w:rsidRDefault="008B3772" w:rsidP="008B3772">
      <w:pPr>
        <w:pStyle w:val="TextoNormal"/>
      </w:pPr>
      <w:r w:rsidRPr="008B3772">
        <w:rPr>
          <w:rStyle w:val="NumeroAFNegritaCaracter"/>
        </w:rPr>
        <w:t>8</w:t>
      </w:r>
      <w:r>
        <w:t>. Con fecha 11 de enero de 2006, la Sección Primera, de conformidad con el art. 50.3 LOTC, acordó conceder al Ministerio Fiscal y al solicitante de amparo plazo común de diez días para que alegaran lo que estimasen pertinente en relación con la posible existencia del motivo de inadmisión que contempla el art. 50.1 c) LOTC consistente en carecer la demanda manifiestamente de contenido constitucional que justifique una decisión sobre el fondo por parte de este Tribunal.</w:t>
      </w:r>
    </w:p>
    <w:p w:rsidR="008B3772" w:rsidRDefault="008B3772" w:rsidP="008B3772">
      <w:pPr>
        <w:pStyle w:val="TextoNormal"/>
      </w:pPr>
    </w:p>
    <w:p w:rsidR="008B3772" w:rsidRDefault="008B3772" w:rsidP="008B3772">
      <w:pPr>
        <w:pStyle w:val="TextoNormal"/>
      </w:pPr>
      <w:r w:rsidRPr="008B3772">
        <w:rPr>
          <w:rStyle w:val="NumeroAFNegritaCaracter"/>
        </w:rPr>
        <w:t>9</w:t>
      </w:r>
      <w:r>
        <w:t>. Mediante escrito registrado en este Tribunal el 20 de enero de 2006, el recurrente alegó la imprecisión de la causa de inadmisión anunciada y, en su virtud, la dificultad de oponerse a la misma, remitiéndose por tal motivo a los argumentos expuestos en la demanda, a los que añade ahora la cita de un acuerdo del último pleno del Tribunal Supremo interesando del Gobierno la modificación del art. 368 CP al objeto precisamente, al parecer, de impedir interpretaciones judiciales como la cuestionada.</w:t>
      </w:r>
    </w:p>
    <w:p w:rsidR="008B3772" w:rsidRDefault="008B3772" w:rsidP="008B3772">
      <w:pPr>
        <w:pStyle w:val="TextoNormal"/>
      </w:pPr>
    </w:p>
    <w:p w:rsidR="008B3772" w:rsidRDefault="008B3772" w:rsidP="008B3772">
      <w:pPr>
        <w:pStyle w:val="TextoNormal"/>
      </w:pPr>
      <w:r w:rsidRPr="008B3772">
        <w:rPr>
          <w:rStyle w:val="NumeroAFNegritaCaracter"/>
        </w:rPr>
        <w:t>10</w:t>
      </w:r>
      <w:r>
        <w:t xml:space="preserve">. El 31 de enero de 2006 el Ministerio Fiscal presentó sus alegaciones interesando la inadmisión de la demanda con arreglo al art. 50.1 c) LOTC. Argumenta, en primer término, que el agravio comparativo que se denuncia, reclamando la aplicación del derecho a la interpretación del tipo penal más favorable a la libertad, carece manifiestamente, en efecto, de contenido constitucional. Pues, aparte de que ese supuesto derecho no es en cualquier caso susceptible de amparo y de que el recurrente no ha acreditado tampoco en la debida forma el tertium comparationis que es imprescindible para poder comprobar el agravio que denuncia, el criterio que sostiene la Sentencia impugnada no es, frente a lo que se dice en la demanda, el minoritario, sino el mayoritario en la Sala de lo Penal del Tribunal Supremo y, de hecho, ha sido ratificado en los plenos no jurisdiccionales de 23 de enero de 2003 y 3 de febrero de 2005. </w:t>
      </w:r>
    </w:p>
    <w:p w:rsidR="008B3772" w:rsidRDefault="008B3772" w:rsidP="008B3772">
      <w:pPr>
        <w:pStyle w:val="TextoNormal"/>
      </w:pPr>
      <w:r>
        <w:t xml:space="preserve">Tampoco, en segundo lugar, existe a juicio del Fiscal la vulneración del derecho a la legalidad penal que se denuncia. En forma manifiesta, también ahora, porque, frente a lo que se argumenta en la demanda, la interpretación y aplicación del art. 368 CP que hace la Sentencia impugnada, además de justificada en el Informe del Instituto Nacional de Toxicología y en razones de política criminal, y ajustada al tenor literal del citado precepto, que, entre otras conductas, sanciona precisamente la venta de sustancias que causen daños a la salud, no traduce ningún criterio irracional o arbitrario ni, en consecuencia, resulta imprevisible para sus destinatarios. El criterio de la Sentencia recurrida es, por el contrario, el mismo que sostienen otras muchas resoluciones de la propia Sala de lo Penal del Tribunal Supremo que en forma mayoritaria afirman que la psicoactividad de la sustancia es la línea divisoria entre su inocuidad y su nocividad para la salud y, por tanto, el elemento que determina la tipicidad de la conducta. </w:t>
      </w:r>
    </w:p>
    <w:p w:rsidR="008B3772" w:rsidRDefault="008B3772" w:rsidP="008B3772">
      <w:pPr>
        <w:pStyle w:val="TextoNormal"/>
      </w:pPr>
      <w:r>
        <w:t xml:space="preserve">Por último, el Fiscal niega asimismo que la Sentencia impugnada sea una resolución judicial no fundada en Derecho y, en consecuencia, contraria al derecho a la tutela judicial efectiva del art. 24.1 CE. Pues, además de que en la demanda nada se argumenta en forma convincente, no es posible apreciar en modo alguno que el razonamiento en que se funda la </w:t>
      </w:r>
      <w:r>
        <w:lastRenderedPageBreak/>
        <w:t>resolución cuestionada incurra en tal grado de arbitrariedad e irrazonabilidad o error que por su evidencia y contenido sean tan manifiestos y graves que para cualquier observador resulte patente que la misma es mera apariencia de aplicación de la legalidad.</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objeto del presente recurso de amparo estriba en dilucidar si la interpretación y aplicación que en este caso ha hecho la Sala de lo Penal del Tribunal Supremo del art. 368 Código penal (CP) es o no constitucionalmente reprochable. Tal y como se ha señalado en los Antecedentes, el recurrente en amparo considera, en síntesis, que la Sentencia impugnada contradice cierta línea jurisprudencial de la propia Sala de lo Penal del Tribunal Supremo y que, por tal motivo, provoca un agravio comparativo, vulnera el principio de legalidad penal (art. 25.1 CE) y lesiona el derecho a la tutela judicial efectiva (art. 24.1), en su vertiente de derecho a obtener una resolución fundada en Derecho.</w:t>
      </w:r>
    </w:p>
    <w:p w:rsidR="008B3772" w:rsidRDefault="008B3772" w:rsidP="008B3772">
      <w:pPr>
        <w:pStyle w:val="TextoNormal"/>
      </w:pPr>
      <w:r>
        <w:t>Por su parte, el Ministerio Fiscal se pronuncia en contra de la admisión de la demanda por considerar que carece manifiestamente de contenido constitucional que justifique una decisión sobre el fondo por parte de este Tribunal. Principalmente, como también antes se ha dejado anotado, porque en su opinión el criterio de la Sentencia recurrida, lejos de ser minoritario en la jurisprudencia, es el que sostienen otras muchas resoluciones de la propia Sala de lo Penal del Tribunal Supremo, está debidamente razonado y no puede calificarse tampoco de irracional ni arbitrario.</w:t>
      </w:r>
    </w:p>
    <w:p w:rsidR="008B3772" w:rsidRDefault="008B3772" w:rsidP="008B3772">
      <w:pPr>
        <w:pStyle w:val="TextoNormal"/>
      </w:pPr>
    </w:p>
    <w:p w:rsidR="008B3772" w:rsidRDefault="008B3772" w:rsidP="008B3772">
      <w:pPr>
        <w:pStyle w:val="TextoNormal"/>
      </w:pPr>
      <w:r w:rsidRPr="008B3772">
        <w:rPr>
          <w:rStyle w:val="NumeroAFNegritaCaracter"/>
        </w:rPr>
        <w:t>2</w:t>
      </w:r>
      <w:r>
        <w:t>. Respecto del agravio comparativo que el recurrente alega en primer término, es de señalar que la Sentencia de casación impugnada, que abandona la teoría de la “insignificancia” defendida por el Tribunal de instancia y asume en su lugar la tesis de la dosis mínima psicoactiva de la droga intervenida, no constituye ninguna decisión judicial que se haya apartado sin ninguna justificación y en forma aislada de una línea jurisprudencial previa, uniforme y constante. Como pone de relieve el Ministerio Fiscal y luce llanamente en la jurisprudencia del Tribunal Supremo, esa tesis es, por el contrario, la misma que modo expreso sostienen otras muchas resoluciones, tanto anteriores (SSTS de 21 de junio, 13 de octubre y 19 de diciembre de 2003), como coetáneas (SSTS de 19 de enero, 20 de febrero, y 22 de marzo de 2004) a la Sentencia impugnada, y de hecho es hoy la mayoritaria en la Sala de lo Penal del Tribunal Supremo (SSTS de 1 de julio de 2005, 26 de abril de 2006 y 16 de enero de 2007). En consecuencia, el supuesto cambio de criterio que se denuncia no es fruto de un mero voluntarismo selectivo frente a los casos anteriores, sino la solución genérica efectivamente aplicada y mantenida con continuidad por el órgano judicial en supuestos sustancialmente iguales. Esta comprobación obliga, como hemos afirmado en repetidas ocasiones, a descartar la existencia de una desigualad constitucionalmente relevante (últimamente, por todas, STC 2/2007, de 15 de enero). Más aún si, como es también el caso y señala por su parte el Ministerio Fiscal, el agravio denunciado se formula sin aportar el imprescindible término válido de comparación y sin ninguna concreción que permita apreciar que la decisión judicial cuestionada obedece en realidad a la consideración de circunstancias personales o sociales del recurrente.</w:t>
      </w:r>
    </w:p>
    <w:p w:rsidR="008B3772" w:rsidRDefault="008B3772" w:rsidP="008B3772">
      <w:pPr>
        <w:pStyle w:val="TextoNormal"/>
      </w:pPr>
      <w:r>
        <w:t xml:space="preserve">De este modo despunta ya desde este primer momento el que parece ser en rigor el verdadero motivo de la demanda: la discrepancia del recurrente con la decisión de la Sentencia impugnada del Tribunal Supremo que, interpretando los elementos del tipo penal del art. 368 CP, llega a una conclusión distinta de la declarada por el Tribunal de instancia.  Una </w:t>
      </w:r>
      <w:r>
        <w:lastRenderedPageBreak/>
        <w:t>discrepancia sin duda legítima pero incapaz por sí sola de forzar un nuevo enjuiciamiento de lo resuelto definitivamente en la vía judicial. Pues, como este Tribunal ha dicho también en múltiples ocasiones y recuerda el Ministerio Fiscal, la interpretación y aplicación judicial de las normas penales es una cuestión de simple legalidad, sin relevancia constitucional, y, por tanto, de exclusiva competencia de los Jueces y Tribunales ordinarios en el ejercicio de la potestad que les atribuye el art. 117.3 CE, salvo que la correspondiente decisión judicial fuera manifiestamente infundada o arbitraria.</w:t>
      </w:r>
    </w:p>
    <w:p w:rsidR="008B3772" w:rsidRDefault="008B3772" w:rsidP="008B3772">
      <w:pPr>
        <w:pStyle w:val="TextoNormal"/>
      </w:pPr>
    </w:p>
    <w:p w:rsidR="008B3772" w:rsidRDefault="008B3772" w:rsidP="008B3772">
      <w:pPr>
        <w:pStyle w:val="TextoNormal"/>
      </w:pPr>
      <w:r w:rsidRPr="008B3772">
        <w:rPr>
          <w:rStyle w:val="NumeroAFNegritaCaracter"/>
        </w:rPr>
        <w:t>3</w:t>
      </w:r>
      <w:r>
        <w:t>. Visto desde esta última perspectiva y frente a lo que denuncia el recurrente, no hay duda, sin embargo, que la Sentencia impugnada no vulnera el principio de legalidad penal del art.  25.1 CE ni, desde luego, puede considerarse tampoco una resolución no fundada en Derecho y, por tanto, contraria al art. 24.1 CE. Lo primero porque considerar que la dosis mínima psicoactiva de la heroína vendida es la línea divisoria entre su inocuidad y su nocividad para la salud y, por tanto, la que justifica en su caso la aplicación del art. 368 CP, que, entre otras conductas, sanciona la venta de sustancias o productos que causen grave daño a la salud, no puede decirse ciertamente que sea una interpretación extravagante o ajena al significado posible de los términos del citado precepto penal, ni esencialmente opuesta a su orientación material y, por tanto, imprevisible para sus destinatarios (recientemente, por todas, STC 76/2007, de 16 de abril, FJ 4). Y lo segundo, porque ese criterio judicial podrá ser acaso discutible pero no hay duda de que, además de estar debidamente motivado en la Sentencia y fundado en el mencionado criterio de la psicoactividad, no es desde luego irrazonable ni arbitrario, menos aún en el grado que es necesario para poder concluir que la misma no está fundada en Derecho. Ese criterio es, además, como antes se ha señalado, el mismo que en forma igualmente razonable y fundada en Derecho sostienen otras muchas resoluciones del Tribunal Supremo, tanto anteriores y coetáneas, como posteriores a la Sentencia impugnada. En suma, un criterio judicial bien conocido en la jurisprudencia del Tribunal Supremo y que, por motivado y razonable, impide apreciar las lesiones constitucionales denunciadas.</w:t>
      </w:r>
    </w:p>
    <w:p w:rsidR="008B3772" w:rsidRDefault="008B3772" w:rsidP="008B3772">
      <w:pPr>
        <w:pStyle w:val="TextoNormal"/>
      </w:pPr>
      <w:r>
        <w:t>En consecuencia forzoso es concluir, de conformidad con lo interesado por el Ministerio Fiscal, que la presente demanda de amparo carece, en efecto, del imprescindible contenido constitucional y que, por tanto, debe ser inadmitida en aplicación de lo dispuesto en el art. 50.1 c) LOTC.</w:t>
      </w:r>
    </w:p>
    <w:p w:rsidR="008B3772" w:rsidRDefault="008B3772" w:rsidP="008B3772">
      <w:pPr>
        <w:pStyle w:val="TextoNormal"/>
      </w:pPr>
    </w:p>
    <w:p w:rsidR="008B3772" w:rsidRDefault="008B3772" w:rsidP="008B3772">
      <w:pPr>
        <w:pStyle w:val="TextoNormal"/>
      </w:pPr>
      <w:r>
        <w:t>Por lo expuesto, la Sección</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Inadmitir el recurso de amparo interpuesto por don Mohamed Hasnaui.</w:t>
      </w:r>
    </w:p>
    <w:p w:rsidR="008B3772" w:rsidRDefault="008B3772" w:rsidP="008B3772">
      <w:pPr>
        <w:pStyle w:val="TextoNormal"/>
      </w:pPr>
    </w:p>
    <w:p w:rsidR="008B3772" w:rsidRDefault="008B3772" w:rsidP="008B3772">
      <w:pPr>
        <w:pStyle w:val="TextoNormal"/>
      </w:pPr>
      <w:r>
        <w:t>Madrid, a seis de julio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88" w:name="AUTO_2007_324"/>
      <w:r>
        <w:lastRenderedPageBreak/>
        <w:t>AUTO 324/2007, de 6 de julio de 2007</w:t>
      </w:r>
    </w:p>
    <w:bookmarkEnd w:id="188"/>
    <w:p w:rsidR="008B3772" w:rsidRDefault="008B3772" w:rsidP="008B3772">
      <w:pPr>
        <w:pStyle w:val="TtuloResolucin"/>
      </w:pPr>
      <w:r>
        <w:t>Sección Primera</w:t>
      </w:r>
    </w:p>
    <w:p w:rsidR="008B3772" w:rsidRDefault="008B3772" w:rsidP="008B3772">
      <w:pPr>
        <w:pStyle w:val="TtuloResolucin"/>
      </w:pPr>
    </w:p>
    <w:p w:rsidR="008B3772" w:rsidRDefault="008B3772" w:rsidP="008B3772">
      <w:pPr>
        <w:pStyle w:val="SntesisDescriptiva"/>
      </w:pPr>
      <w:r>
        <w:t>ECLI:ES:TC:2007:324A</w:t>
      </w:r>
    </w:p>
    <w:p w:rsidR="008B3772" w:rsidRDefault="008B3772" w:rsidP="008B3772">
      <w:pPr>
        <w:pStyle w:val="SntesisDescriptiva"/>
      </w:pPr>
    </w:p>
    <w:p w:rsidR="008B3772" w:rsidRDefault="008B3772" w:rsidP="008B3772">
      <w:pPr>
        <w:pStyle w:val="SntesisDescriptiva"/>
      </w:pPr>
      <w:r>
        <w:t>Excms. Srs. doña María Emilia Casas Baamonde, don Javier Delgado Barrio y don Manuel Aragón Reyes.</w:t>
      </w:r>
    </w:p>
    <w:p w:rsidR="008B3772" w:rsidRDefault="008B3772" w:rsidP="008B3772">
      <w:pPr>
        <w:pStyle w:val="SntesisDescriptiva"/>
      </w:pPr>
    </w:p>
    <w:p w:rsidR="008B3772" w:rsidRDefault="008B3772" w:rsidP="008B3772">
      <w:pPr>
        <w:pStyle w:val="SntesisDescriptiva"/>
      </w:pPr>
      <w:r>
        <w:t>Acuerda el desistimiento en el recurso de amparo 4792-2006, promovido en proceso contencioso-administrativo.</w:t>
      </w:r>
    </w:p>
    <w:p w:rsidR="008B3772" w:rsidRDefault="008B3772" w:rsidP="008B3772">
      <w:pPr>
        <w:pStyle w:val="SntesisDescriptiva"/>
      </w:pPr>
    </w:p>
    <w:p w:rsidR="008B3772" w:rsidRDefault="008B3772" w:rsidP="008B3772">
      <w:pPr>
        <w:pStyle w:val="TtuloResolucin"/>
      </w:pPr>
      <w:r>
        <w:t>*Este auto no incorpora doctrina constitucional.</w:t>
      </w:r>
    </w:p>
    <w:p w:rsidR="008B3772" w:rsidRDefault="008B3772">
      <w:pPr>
        <w:spacing w:after="160" w:line="259" w:lineRule="auto"/>
        <w:rPr>
          <w:rFonts w:ascii="Times New Roman" w:eastAsia="Times New Roman" w:hAnsi="Times New Roman" w:cs="Times New Roman"/>
          <w:b/>
          <w:sz w:val="24"/>
          <w:szCs w:val="24"/>
          <w:lang w:eastAsia="es-ES"/>
        </w:rPr>
      </w:pPr>
      <w:r>
        <w:br w:type="page"/>
      </w:r>
    </w:p>
    <w:p w:rsidR="008B3772" w:rsidRDefault="008B3772" w:rsidP="008B3772">
      <w:pPr>
        <w:pStyle w:val="TtuloResolucin"/>
      </w:pPr>
      <w:bookmarkStart w:id="189" w:name="AUTO_2007_325"/>
      <w:r>
        <w:lastRenderedPageBreak/>
        <w:t>AUTO 325/2007, de 11 de julio de 2007</w:t>
      </w:r>
    </w:p>
    <w:bookmarkEnd w:id="189"/>
    <w:p w:rsidR="008B3772" w:rsidRDefault="008B3772" w:rsidP="008B3772">
      <w:pPr>
        <w:pStyle w:val="TtuloResolucin"/>
      </w:pPr>
      <w:r>
        <w:t>Sala Segunda</w:t>
      </w:r>
    </w:p>
    <w:p w:rsidR="008B3772" w:rsidRDefault="008B3772" w:rsidP="008B3772">
      <w:pPr>
        <w:pStyle w:val="TtuloResolucin"/>
      </w:pPr>
    </w:p>
    <w:p w:rsidR="008B3772" w:rsidRDefault="008B3772" w:rsidP="008B3772">
      <w:pPr>
        <w:pStyle w:val="SntesisDescriptiva"/>
      </w:pPr>
      <w:r>
        <w:t>ECLI:ES:TC:2007:325A</w:t>
      </w:r>
    </w:p>
    <w:p w:rsidR="008B3772" w:rsidRDefault="008B3772" w:rsidP="008B3772">
      <w:pPr>
        <w:pStyle w:val="SntesisDescriptiva"/>
      </w:pPr>
    </w:p>
    <w:p w:rsidR="008B3772" w:rsidRDefault="008B3772" w:rsidP="008B3772">
      <w:pPr>
        <w:pStyle w:val="SntesisDescriptiva"/>
      </w:pPr>
      <w:r>
        <w:t>Excms. Srs. don Guillermo Jiménez Sánchez, don Vicente Conde Martín de Hijas, doña Elisa Pérez Vera, don Eugeni Gay Montalvo, don Ramón Rodríguez Arribas y don Pascual Sala Sánchez.</w:t>
      </w:r>
    </w:p>
    <w:p w:rsidR="008B3772" w:rsidRDefault="008B3772" w:rsidP="008B3772">
      <w:pPr>
        <w:pStyle w:val="SntesisDescriptiva"/>
      </w:pPr>
    </w:p>
    <w:p w:rsidR="008B3772" w:rsidRDefault="008B3772" w:rsidP="008B3772">
      <w:pPr>
        <w:pStyle w:val="SntesisDescriptiva"/>
      </w:pPr>
      <w:r>
        <w:t>Desestima el recurso de súplica sobre inadmisión del recurso de amparo 5580-2007, promovido por el Grupo Verde Europeo en relación con la proclamación de los candidatos electos en las elecciones municipales de Sant Josep de Sa Talaia.</w:t>
      </w:r>
    </w:p>
    <w:p w:rsidR="008B3772" w:rsidRDefault="008B3772" w:rsidP="008B3772">
      <w:pPr>
        <w:pStyle w:val="SntesisDescriptiva"/>
      </w:pPr>
    </w:p>
    <w:p w:rsidR="008B3772" w:rsidRDefault="008B3772" w:rsidP="008B3772">
      <w:pPr>
        <w:pStyle w:val="SntesisAnaltica"/>
      </w:pPr>
      <w:r>
        <w:t>Candidaturas electorales: incumplimiento de requisitos. Recurso de súplica contra providencias de inadmisión del Tribunal Constitucional: formulado por el Fiscal contra providencia de inadmisión.</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Fiscal ante el Tribunal Constitucional interpone, a través de escrito presentado el 27 de junio de 2007, recurso de súplica contra la providencia de 21 de junio por la que se inadmite a trámite el recurso de amparo 5580-2007, interpuesto por el partido político Grupo Verde Europeo, por considerarlo extemporáneo, interesando que se deje sin efecto dicha providencia.</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Los hechos de los que trae causa el presente recurso de amparo son, sucintamente expuestos, los que siguen: </w:t>
      </w:r>
    </w:p>
    <w:p w:rsidR="008B3772" w:rsidRDefault="008B3772" w:rsidP="008B3772">
      <w:pPr>
        <w:pStyle w:val="TextoNormal"/>
      </w:pPr>
      <w:r>
        <w:t xml:space="preserve">a) En el periodo de presentación de candidaturas, el 27 de abril de 2007, la Junta Electoral de Zona de Eivissa y Formentera confirió un plazo de subsanación a la candidatura presentada por el partido político Grupo Verde Europeo en el municipio de Sant Josep de Sa Talaia (Ibiza), ya que no respetaba lo dispuesto en el art. 44 bis de la Ley Orgánica del régimen electoral general (LOREG), introducido por la Ley Orgánica 3/2007, de 22 de marzo, para la igualdad efectiva de mujeres y hombres, y carecía de determinados documentos respeto de tres de los candidatos propuestos (los núms. 9, 12 y 17). La respuesta del partido político fue declarar que, a su juicio, sí se cumplía la citada normativa. </w:t>
      </w:r>
    </w:p>
    <w:p w:rsidR="008B3772" w:rsidRDefault="008B3772" w:rsidP="008B3772">
      <w:pPr>
        <w:pStyle w:val="TextoNormal"/>
      </w:pPr>
      <w:r>
        <w:t xml:space="preserve">El Acuerdo de la Junta Electoral de Zona de Eivissa y Formentera de 27 de abril de 2007 denegó la proclamación de la candidatura del partido recurrente en el citado municipio por no haber subsanado las deficiencias en su día apreciadas en lo que tañe al art. 44 bis LOREG (en particular, se incluyen a dos mujeres en los números 16 y 17 de la lista de candidatos, y a tres hombres y una mujer en la lista de cuatro suplentes) ni las referidas a la documentación de los candidatos núms. 9, 12 y 17, lo que hace que el número de candidatos que se tienen por presentados es menor al número de puestos a cubrir, sin que se pueda subsanar este defecto con los suplentes propuestos, pues no se cumpliría el principio de igualdad. </w:t>
      </w:r>
    </w:p>
    <w:p w:rsidR="008B3772" w:rsidRDefault="008B3772" w:rsidP="008B3772">
      <w:pPr>
        <w:pStyle w:val="TextoNormal"/>
      </w:pPr>
      <w:r>
        <w:lastRenderedPageBreak/>
        <w:t xml:space="preserve">Dicho acuerdo fue impugnado ante el Juzgado de lo Contencioso-Administrativo 2 de Palma de Mallorca, que lo confirmó, por entender sería discriminatorio que “una vez transcurrido el plazo [de subsanación] se admitiese la subsanación de la candidatura en sede judicial cuando está afecta a requisitos como los mencionados” (FD 2 de la Sentencia de 4 de mayo de 2007). </w:t>
      </w:r>
    </w:p>
    <w:p w:rsidR="008B3772" w:rsidRDefault="008B3772" w:rsidP="008B3772">
      <w:pPr>
        <w:pStyle w:val="TextoNormal"/>
      </w:pPr>
      <w:r>
        <w:t xml:space="preserve">El partido político Grupo Verde Europeo interpuso entonces un recurso de amparo, que fue turnado con el número 3987-2007, y fue finalmente inadmitido a través de la providencia de 9 de mayo de 2007. En la misma se recuerda que “quienes sean propuestos como candidatos habrán de acreditar, en el acto mismo de la presentación, su condición de elegibilidad (STC 73/1987). No lo hizo así el recurrente, que, advertido por la Junta de la necesidad de subsanar el defecto no reparó en tiempo aquella irregularidad, pretendiendo llevar a cabo la subsanación, de forma extemporánea, en el acto de la vista”. Se concluye en la citada providencia que la “entidad recurrente no mostró, pues, la diligencia que el proceso electoral requiere en todos los partícipes, lo que hace imposible alegar supuestas vulneraciones de derechos derivados del art. 23 CE (STC 73/1995)”. </w:t>
      </w:r>
    </w:p>
    <w:p w:rsidR="008B3772" w:rsidRDefault="008B3772" w:rsidP="008B3772">
      <w:pPr>
        <w:pStyle w:val="TextoNormal"/>
      </w:pPr>
      <w:r>
        <w:t xml:space="preserve">b) Tras la celebración de las elecciones municipales el partido político interpuso un nuevo recurso electoral contra el Acuerdo de la Junta Electoral de Zona de Eivissa y Formentera de 1 de junio de 2007 por el que se procedía a proclamar a los candidatos electos en las elecciones municipales de Sant Josep de Sa Talaia, interesando la anulación de las elecciones locales y su repetición una vez que se permita la participación del partido político recurrente, por considerar que la Junta Electoral debió modificar la lista presentada a fin de subsanar, de oficio, las deficiencias apreciadas, lo que hubiera permitido su proclamación y concurrencia en los comicios locales de Sant Josep de Sa Talaia. </w:t>
      </w:r>
    </w:p>
    <w:p w:rsidR="008B3772" w:rsidRDefault="008B3772" w:rsidP="008B3772">
      <w:pPr>
        <w:pStyle w:val="TextoNormal"/>
      </w:pPr>
      <w:r>
        <w:t xml:space="preserve">El recurso contencioso-administrativo fue desestimado por Sentencia de la Sala de lo Contencioso-Administrativo del Tribunal Superior de Justicia de Illes Baleares de 13 de junio de 2007. La Sala considera que la actuación de la Junta Electoral de Zona se ajustó a Derecho, y que no era procedente, ni que confiriera un plazo suplementario de subsanación de errores, ni que alterase, por sí misma, el orden de los candidatos para que la lista se ajustara a lo dispuesto en el art. 44 bis LOREG, introducido por la Ley Orgánica 3/2007, de 22 de marzo, para la igualdad efectiva de mujeres y hombres. Era carga del partido político ajustar su candidatura a la legalidad, contando con un plazo para ello, sobre todo cuando reconoce, en sus escritos, que la lista presentada desconocía la mentada regulación legal. </w:t>
      </w:r>
    </w:p>
    <w:p w:rsidR="008B3772" w:rsidRDefault="008B3772" w:rsidP="008B3772">
      <w:pPr>
        <w:pStyle w:val="TextoNormal"/>
      </w:pPr>
      <w:r>
        <w:t xml:space="preserve">c) La Procuradora de los Tribunales doña Carmen Jiménez Galán, actuando en nombre y representación del partido político Grupo Verde Europeo, asistido por el Letrado don Eduardo Gil Delgado, interpuso ante el Juzgado de Guardia de Madrid demanda de amparo electoral el 18 de junio de 2007, que tuvo su entrada en este Tribunal dos días más tarde. El recurso se dirige contra la Sentencia de la Sala de lo Contencioso-Administrativo del Tribunal Superior de Justicia de Baleares 548-2007, de 13 de junio de 2007, que desestima el recurso contencioso-electoral interpuesto contra el Acuerdo de la Junta Electoral de Zona de Eivissa i Formentera de 1 de junio de 2007 sobre proclamación de candidatos electos del municipio de Sant Josep de Sa Talaia. </w:t>
      </w:r>
    </w:p>
    <w:p w:rsidR="008B3772" w:rsidRDefault="008B3772" w:rsidP="008B3772">
      <w:pPr>
        <w:pStyle w:val="TextoNormal"/>
      </w:pPr>
      <w:r>
        <w:t xml:space="preserve">d) La Sección Tercera del Tribunal Constitucional dictó el 21 de junio de 2007 una providencia de inadmisión “con arreglo a lo previsto en los arts. 49.4 LOREG y 2 del Acuerdo del Pleno del Tribunal Constitucional de 20 de enero de 2000 … toda vez que la demanda ha sido interpuesta extemporáneamente”. Cuatro días más tarde, subsanó el error apreciado en la mentada providencia, “en el sentido de incluir que la inadmisión del presente recurso se acordó con arreglo a lo previsto en el art. 50.1 a) LOTC, en relación con los artículos citados en la misma”. </w:t>
      </w:r>
    </w:p>
    <w:p w:rsidR="008B3772" w:rsidRDefault="008B3772" w:rsidP="008B3772">
      <w:pPr>
        <w:pStyle w:val="TextoNormal"/>
      </w:pPr>
      <w:r>
        <w:lastRenderedPageBreak/>
        <w:t>e) El partido político Grupo Verde Europeo solicitó aclaración, mediante escrito de 25 de junio de 2007, acerca “de los motivos por los que este Tribunal manifiesta que la demanda de amparo ha sido interpuesta extemporáneamente”. La formación política decía no comprender tal apreciación, “ya que dicho recurso se presentó en tiempo y forma dentro del plazo establecido para ello en base al fallo del TSJIB”. En posterior escrito de 29 de junio de 2006 interesó al Ministerio Fiscal que éste interpusiera recurso de súplica contra las providencias dictadas en relación con el presente proceso constitucional, por entender que la demanda de amparo en su día interpuesta no era extemporánea.</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El Fiscal interesa que se deje sin efecto la providencia de inadmisión de 21 de junio de 2005, que consideraba extemporáneo el recurso de amparo 5580-2007, sin perjuicio de adopción de la resolución procedente en orden a la admisión o no del mismo por otras causas. </w:t>
      </w:r>
    </w:p>
    <w:p w:rsidR="008B3772" w:rsidRDefault="008B3772" w:rsidP="008B3772">
      <w:pPr>
        <w:pStyle w:val="TextoNormal"/>
      </w:pPr>
      <w:r>
        <w:t xml:space="preserve">El Fiscal fundamenta tal pretensión en el hecho de que el recurso electoral no se ha tramitado en el marco del art. 49 LOREG (precepto relacionado con la proclamación de candidaturas y que es citado en la providencia de inadmisión), sino en el marco del art. 114 del mismo cuerpo normativo, con ocasión de la proclamación de electos. Dado que el Acuerdo impugnado no atañe a la proclamación de candidaturas, sino a la de electos, no resultan de aplicación ni el art. 49 LOREG ni el art. 2 del Acuerdo del Pleno del Tribunal Constitucional de 20 de enero de 2000, sino los arts. 114.2 LOREG y 3 del citado Acuerdo. No altera este dato el hecho de que este Tribunal ya inadmitiera, por carencia manifiesta de contenido constitucional, la demanda de amparo 3987-2007, en la que se alegan las mismas cuestiones que las suscitadas en el presente proceso constitucional, puesto que lo relevante es que el cauce procesal ahora utilizado es distinto. </w:t>
      </w:r>
    </w:p>
    <w:p w:rsidR="008B3772" w:rsidRDefault="008B3772" w:rsidP="008B3772">
      <w:pPr>
        <w:pStyle w:val="TextoNormal"/>
      </w:pPr>
      <w:r>
        <w:t xml:space="preserve">Partiendo de estos presupuestos el Fiscal estima que la demanda de amparo 5580-2007 no puede ser considerada extemporánea, ya que se ajusta a las previsiones contenidas en los arts. 114.2 LOREG y 3 y 4 del Pleno del Tribunal Constitucional de 20 de enero de 2000. En efecto, la Sentencia impugnada fue notificada al partido político el 15 de junio de 2007, que la impugnó ante este Tribunal el posterior 18 de junio de 2007, dentro del plazo legalmente previsto de tres días, presentando el oportuno amparo electoral ante el Juzgado de Guardia de Madrid. </w:t>
      </w:r>
    </w:p>
    <w:p w:rsidR="008B3772" w:rsidRDefault="008B3772" w:rsidP="008B3772">
      <w:pPr>
        <w:pStyle w:val="TextoNormal"/>
      </w:pPr>
      <w:r>
        <w:t xml:space="preserve">4.Por providencia de dos de julio de 2007 la Sección Tercera acuerda unir a las actuaciones el escrito presentado por el Ministerio Fiscal y, a tenor de lo establecido en el art. 93.2 LOTC, conceder un plazo común de tres días a fin de que las partes aleguen lo que estimen pertinente. </w:t>
      </w:r>
    </w:p>
    <w:p w:rsidR="008B3772" w:rsidRDefault="008B3772" w:rsidP="008B3772">
      <w:pPr>
        <w:pStyle w:val="TextoNormal"/>
      </w:pPr>
      <w:r>
        <w:t>5. El posterior 7 de julio el partido político Grupo Verde Europeo se adhiere al escrito del Ministerio Fiscal cursado el anterior 27 de junio, por considerar que la interposición de la demanda de amparo no fue extemporánea y que la candidatura presentada en el Ayuntamiento de Sant Josep de Sa Talaia no violaba la Ley Orgánica 3/2007.</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Fiscal ante el Tribunal Constitucional interpone recurso de súplica contra la providencia de 21 de junio por la que se inadmite a trámite el recurso de amparo 5580-2007, interpuesto por el partido político Grupo Verde Europeo, por considerarlo extemporáneo, interesando que se deje sin efecto dicha resolución al considerar que dicha tacha procesal no se ha producido.</w:t>
      </w:r>
    </w:p>
    <w:p w:rsidR="008B3772" w:rsidRDefault="008B3772" w:rsidP="008B3772">
      <w:pPr>
        <w:pStyle w:val="TextoNormal"/>
      </w:pPr>
      <w:r>
        <w:lastRenderedPageBreak/>
        <w:t>Antes de pronunciarnos sobre la procedencia de dicho recurso, es oportuno realizar algunas consideraciones previas.</w:t>
      </w:r>
    </w:p>
    <w:p w:rsidR="008B3772" w:rsidRDefault="008B3772" w:rsidP="008B3772">
      <w:pPr>
        <w:pStyle w:val="TextoNormal"/>
      </w:pPr>
      <w:r>
        <w:t>Por un lado, debemos entender que el objeto del presente proceso constitucional no se limita a examinar el contenido de la providencia dictada el 21 de junio de 2007, sino que alcanza, igualmente, a la recaída el posterior 25 de junio, ya que ésta se integra y complementa a la que fuera en su día impugnada por el Ministerio Fiscal.</w:t>
      </w:r>
    </w:p>
    <w:p w:rsidR="008B3772" w:rsidRDefault="008B3772" w:rsidP="008B3772">
      <w:pPr>
        <w:pStyle w:val="TextoNormal"/>
      </w:pPr>
      <w:r>
        <w:t>Por otra parte, este Tribunal no puede admitir a trámite el recurso de aclaración interpuesto por el partido político Grupo Verde Europeo contra la providencia de inadmisión de 21 de junio de 2007. Dicha providencia solamente puede ser recurrida “en súplica por el Ministerio Fiscal en el plazo de tres días” (art. 50.3 LOTC). La propia formación política revela conocer tal dato cuando, en su posterior escrito de 29 de junio de 2007, excita la intervención del Fiscal ante el Tribunal Constitucional, interesando que sea éste quien cuestione, en súplica, las providencias habidas. Idéntica conclusión hemos de adoptar respecto del último escrito del mismo partido político, en el que se adhiere al recurso de súplica instado por el Ministerio Fiscal, porque carece de legitimación para interponer, por vía propia o de adhesión, tal remedio procesal ante una providencia que inadmite a trámite una demanda de amparo.</w:t>
      </w:r>
    </w:p>
    <w:p w:rsidR="008B3772" w:rsidRDefault="008B3772" w:rsidP="008B3772">
      <w:pPr>
        <w:pStyle w:val="TextoNormal"/>
      </w:pPr>
    </w:p>
    <w:p w:rsidR="008B3772" w:rsidRDefault="008B3772" w:rsidP="008B3772">
      <w:pPr>
        <w:pStyle w:val="TextoNormal"/>
      </w:pPr>
      <w:r w:rsidRPr="008B3772">
        <w:rPr>
          <w:rStyle w:val="NumeroAFNegritaCaracter"/>
        </w:rPr>
        <w:t>2</w:t>
      </w:r>
      <w:r>
        <w:t>. En cuanto al fondo del recurso de súplica interpuesto por el Ministerio Fiscal contra la providencia de 21 de junio pasado, corregida con la dictada el 25 del propio mes, ha de destacarse que en el recurso de amparo 5580-2007 se impugna la no proclamación de una candidatura (art. 49 de la Ley Orgánica del régimen electoral general: LOREG) en un momento procesal inidóneo, cual es el de la proclamación de electos mediante el recurso electoral (art. 109 LOREG), proceso este reservado a los candidatos proclamados o no proclamados (pero electos), a los representantes de las candidaturas concurrentes en la circunscripción y a los partidos políticos, asociaciones, federaciones y coaliciones que hayan presentado candidaturas en la circunscripción (art. 110 LOREG).</w:t>
      </w:r>
    </w:p>
    <w:p w:rsidR="008B3772" w:rsidRDefault="008B3772" w:rsidP="008B3772">
      <w:pPr>
        <w:pStyle w:val="TextoNormal"/>
      </w:pPr>
      <w:r>
        <w:t>Si se examinan los precedentes del actual proceso constitucional se advierte fácilmente que no se cuestionan en él tareas relativas al desarrollo del procedimiento electoral y afectantes a candidaturas en su día proclamadas y por tanto concurrentes al mismo en la correspondiente circunscripción, sino si una determinada candidatura —la del partido político Grupo Verde Europeo— cumplía o no las condiciones para poder concurrir a las elecciones locales en el municipio de Sant Josep de Sa Talaia, cuestión esta que, como resulta de los antecedentes, ya fue planteada por el mismo partido político en su oportunidad (mediante recurso contencioso-administrativo formulado contra el Acuerdo de la Junta Electoral de Zona de Eivissa y Formentera de 27 de abril de 2007, que había denegado la proclamación de su candidatura en la citada circunscripción) y resuelta por la Sentencia del Juzgado de lo Contencioso-Administrativo de 4 de mayo de 2007 y por la providencia de este Tribunal de 9 de mayo de 2007 que, a su vez, inadmitió el recurso de amparo interpuesto frente a ésta.</w:t>
      </w:r>
    </w:p>
    <w:p w:rsidR="008B3772" w:rsidRDefault="008B3772" w:rsidP="008B3772">
      <w:pPr>
        <w:pStyle w:val="TextoNormal"/>
      </w:pPr>
      <w:r>
        <w:t>Es claro, por consiguiente, que lo que se pretende con el presente recurso de amparo (5580-2007) no es otra cosa que reabrir en tiempo no hábil una cuestión que ya fue examinada y resuelta por este Tribunal en el momento procesal oportuno (recurso de amparo 3987-2007) y en el proceso adecuado (art. 49 LOREG), para ser nuevamente abordada en un proceso de distinta finalidad y contenido como es el regulado en los arts. 109 a 117, inclusive, LOREG. Es en este sentido en el que este Tribunal apreció la existencia de extemporaneidad en la providencia de 21 de junio de 2007, ulteriormente corregida por la de 25 siguiente.</w:t>
      </w:r>
    </w:p>
    <w:p w:rsidR="008B3772" w:rsidRDefault="008B3772" w:rsidP="008B3772">
      <w:pPr>
        <w:pStyle w:val="TextoNormal"/>
      </w:pPr>
    </w:p>
    <w:p w:rsidR="008B3772" w:rsidRDefault="008B3772" w:rsidP="008B3772">
      <w:pPr>
        <w:pStyle w:val="TextoNormal"/>
      </w:pPr>
      <w:r>
        <w:lastRenderedPageBreak/>
        <w:t>Por todo lo cual, la Sección</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Desestimar el recurso de súplica interpuesto por el Ministerio Fiscal y, en consecuencia, confirmar en su integridad la providencia de 21 de junio de 2007, corregida por la dictada el posterior día 25, mediante la que esta misma Sección acordó la</w:t>
      </w:r>
    </w:p>
    <w:p w:rsidR="008B3772" w:rsidRDefault="008B3772" w:rsidP="008B3772">
      <w:pPr>
        <w:pStyle w:val="TextoNormal"/>
      </w:pPr>
      <w:r>
        <w:t>inadmisión del recurso de amparo electoral núm. 5580-2007.</w:t>
      </w:r>
    </w:p>
    <w:p w:rsidR="008B3772" w:rsidRDefault="008B3772" w:rsidP="008B3772">
      <w:pPr>
        <w:pStyle w:val="TextoNormal"/>
      </w:pPr>
    </w:p>
    <w:p w:rsidR="008B3772" w:rsidRDefault="008B3772" w:rsidP="008B3772">
      <w:pPr>
        <w:pStyle w:val="TextoNormal"/>
      </w:pPr>
      <w:r>
        <w:t>Madrid, a once de julio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90" w:name="AUTO_2007_326"/>
      <w:r>
        <w:lastRenderedPageBreak/>
        <w:t>AUTO 326/2007, de 12 de julio de 2007</w:t>
      </w:r>
    </w:p>
    <w:bookmarkEnd w:id="190"/>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ECLI:ES:TC:2007:326A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Acuerda la extinción del conflicto en defensa de la autonomía local 3640-2001, planteado por 16 municipios respecto de la Ley del Parlamento de las Illes Balears 9/2000, de medidas tributarias, administrativas y de función pública y económicas.</w:t>
      </w:r>
    </w:p>
    <w:p w:rsidR="008B3772" w:rsidRDefault="008B3772" w:rsidP="008B3772">
      <w:pPr>
        <w:pStyle w:val="SntesisDescriptiva"/>
      </w:pPr>
    </w:p>
    <w:p w:rsidR="008B3772" w:rsidRDefault="008B3772" w:rsidP="008B3772">
      <w:pPr>
        <w:pStyle w:val="SntesisAnaltica"/>
      </w:pPr>
      <w:r>
        <w:t>Conflictos en defensa de la autonomía local: pérdida sobrevenida de objeto.</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presentado en el Registro del Tribunal Constitucional el día 28 de junio de 2001, don Alejandro González Salinas, Procurador de los Tribunales, representando a los Municipios de Palma, Llucmayor, Consell, Llortet de Vistalegre, Andrats, Santany, Sa Pobla, Bunyoila, Campos, Selva, Sencelles, Valldemossa, Deiá, Estellencs, Escarca y Muro, formalizó conflicto en defensa de la autonomía local contra el articulo único de la Ley del Parlamento de Illes Balears 9/2000, de 27 de octubre, de modificación de la Ley 12/1999, de medidas tributarias, administrativas y de función pública y económicas.</w:t>
      </w:r>
    </w:p>
    <w:p w:rsidR="008B3772" w:rsidRDefault="008B3772" w:rsidP="008B3772">
      <w:pPr>
        <w:pStyle w:val="TextoNormal"/>
      </w:pPr>
    </w:p>
    <w:p w:rsidR="008B3772" w:rsidRDefault="008B3772" w:rsidP="008B3772">
      <w:pPr>
        <w:pStyle w:val="TextoNormal"/>
      </w:pPr>
      <w:r w:rsidRPr="008B3772">
        <w:rPr>
          <w:rStyle w:val="NumeroAFNegritaCaracter"/>
        </w:rPr>
        <w:t>2</w:t>
      </w:r>
      <w:r>
        <w:t>. Admitido el conflicto a trámite por providencia de la Sección Primera del Tribunal Constitucional de 25 de marzo de 2003, el Abogado del Estado, el Letrado de la Comunidad Autónoma de las Illes Balears y el Presidente del Parlamento de esa Comunidad Autónoma, con fechas 10, 28 y 29 de abril, respectivamente, formularon alegaciones, solicitando en los tres casos que el Tribunal declare que no se ha vulnerado la autonomía local.</w:t>
      </w:r>
    </w:p>
    <w:p w:rsidR="008B3772" w:rsidRDefault="008B3772" w:rsidP="008B3772">
      <w:pPr>
        <w:pStyle w:val="TextoNormal"/>
      </w:pPr>
    </w:p>
    <w:p w:rsidR="008B3772" w:rsidRDefault="008B3772" w:rsidP="008B3772">
      <w:pPr>
        <w:pStyle w:val="TextoNormal"/>
      </w:pPr>
      <w:r w:rsidRPr="008B3772">
        <w:rPr>
          <w:rStyle w:val="NumeroAFNegritaCaracter"/>
        </w:rPr>
        <w:t>3</w:t>
      </w:r>
      <w:r>
        <w:t>. La Sección Primera del Tribunal Constitucional, mediante providencia de 22 de mayo de 2007, acordó, de conformidad con lo dispuesto en el art. 84 LOTC, oír a las partes personadas para que, en un plazo de diez días, expongan lo que consideren conveniente respecto a la pérdida sobrevenida de objeto del presente conflicto a la vista de la entrada en vigor de la Ley Balear 16/2006, de 17 de octubre.</w:t>
      </w:r>
    </w:p>
    <w:p w:rsidR="008B3772" w:rsidRDefault="008B3772" w:rsidP="008B3772">
      <w:pPr>
        <w:pStyle w:val="TextoNormal"/>
      </w:pPr>
    </w:p>
    <w:p w:rsidR="008B3772" w:rsidRDefault="008B3772" w:rsidP="008B3772">
      <w:pPr>
        <w:pStyle w:val="TextoNormal"/>
      </w:pPr>
      <w:r w:rsidRPr="008B3772">
        <w:rPr>
          <w:rStyle w:val="NumeroAFNegritaCaracter"/>
        </w:rPr>
        <w:t>4</w:t>
      </w:r>
      <w:r>
        <w:t xml:space="preserve">. Con fecha 5 de junio de 2007, el Abogado del Estado presenta un escrito en el que considera que la promulgación de la Ley del Parlamento de Illes Balears 16/2006, de 17 de octubre, de régimen jurídico de las licencias integradas de actividad de las Illes Balears ha </w:t>
      </w:r>
      <w:r>
        <w:lastRenderedPageBreak/>
        <w:t>determinado que desaparezca el objeto del conflicto al declarar expresamente derogado el precepto impugnado.</w:t>
      </w:r>
    </w:p>
    <w:p w:rsidR="008B3772" w:rsidRDefault="008B3772" w:rsidP="008B3772">
      <w:pPr>
        <w:pStyle w:val="TextoNormal"/>
      </w:pPr>
    </w:p>
    <w:p w:rsidR="008B3772" w:rsidRDefault="008B3772" w:rsidP="008B3772">
      <w:pPr>
        <w:pStyle w:val="TextoNormal"/>
      </w:pPr>
      <w:r w:rsidRPr="008B3772">
        <w:rPr>
          <w:rStyle w:val="NumeroAFNegritaCaracter"/>
        </w:rPr>
        <w:t>5</w:t>
      </w:r>
      <w:r>
        <w:t>. El día 11 de junio de 2006, don Alejandro González Salinas, Procurador de los Tribunales, en representación de los municipios que han planteado el conflicto manifiesta al Tribunal Constitucional “que esta parte está conforme con la pérdida sobrevenida de objeto apuntada por el Tribunal”.</w:t>
      </w:r>
    </w:p>
    <w:p w:rsidR="008B3772" w:rsidRDefault="008B3772" w:rsidP="008B3772">
      <w:pPr>
        <w:pStyle w:val="TextoNormal"/>
      </w:pPr>
    </w:p>
    <w:p w:rsidR="008B3772" w:rsidRDefault="008B3772" w:rsidP="008B3772">
      <w:pPr>
        <w:pStyle w:val="TextoNormal"/>
      </w:pPr>
      <w:r w:rsidRPr="008B3772">
        <w:rPr>
          <w:rStyle w:val="NumeroAFNegritaCaracter"/>
        </w:rPr>
        <w:t>6</w:t>
      </w:r>
      <w:r>
        <w:t>. El Presidente de la Diputación Permanente del Parlamento de las Illes Balears solicita, mediante escrito registrado en este Tribunal Constitucional el día 19 de junio de 2007, que se acuerde la finalización del conflicto en defensa de la autonomía local por pérdida sobrevenida de su objeto con archivo de las actuaciones. La representación procesal del Gobierno balear no ha formulado alegación alguna.</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objeto de esta resolución es determinar si el presente conflicto en defensa de la autonomía local ha perdido su objeto como consecuencia de la entrada en vigor de la Ley del Parlamento de Illes Balears 16/2006, de 17 de octubre, de régimen jurídico de las licencias integradas de actividad, la cual, de acuerdo con lo que al respecto establece el apartado 5 de su disposición derogatoria única, ha derogado el artículo único de la Ley del Parlamento de Illes Balears 9/2000, de 27 de octubre, de modificación de la Ley 12/1999, de medidas tributarias, administrativas y de función pública y económicas, impugnado en este proceso.</w:t>
      </w:r>
    </w:p>
    <w:p w:rsidR="008B3772" w:rsidRDefault="008B3772" w:rsidP="008B3772">
      <w:pPr>
        <w:pStyle w:val="TextoNormal"/>
      </w:pPr>
    </w:p>
    <w:p w:rsidR="008B3772" w:rsidRDefault="008B3772" w:rsidP="008B3772">
      <w:pPr>
        <w:pStyle w:val="TextoNormal"/>
      </w:pPr>
      <w:r w:rsidRPr="008B3772">
        <w:rPr>
          <w:rStyle w:val="NumeroAFNegritaCaracter"/>
        </w:rPr>
        <w:t>2</w:t>
      </w:r>
      <w:r>
        <w:t>. En el fundamento jurídico 2 del ATC 513/2004, de 20 de diciembre, ya establecimos el criterio en cuya virtud en los conflictos en defensa de la autonomía local “la existencia actual y presente de la controversia competencial debe ser ...  considerada presupuesto constante tanto del planteamiento como del ulterior desarrollo del proceso constitucional, de tal suerte que si la controversia viniera a desaparecer en el curso del proceso, este perdería su objeto (STC 119/1986) (ATC 17/1991, de 15 de enero, FJ 1)”.</w:t>
      </w:r>
    </w:p>
    <w:p w:rsidR="008B3772" w:rsidRDefault="008B3772" w:rsidP="008B3772">
      <w:pPr>
        <w:pStyle w:val="TextoNormal"/>
      </w:pPr>
      <w:r>
        <w:t>Sin embargo también hemos reiterado (por todas STC 17/2003, de 18 de enero, FJ 1 y doctrina allí citada) que para apreciar la desaparición de la controversia y concluir si resulta necesaria una resolución sobre el fondo del asunto, no resulta suficiente con la mera derogación de la disposición impugnada debiendo estar a la persistencia o no de la disputa entre las partes pues “la función de preservar los ámbitos respectivos de competencia no puede quedar enervada por la sola modificación o derogación de las disposiciones cuya adopción dio lugar al litigio, cuando aquella preservación exige aún, porque así lo demandan las partes, o al menos una de ellas, una decisión jurisdiccional” (STC 109/2003, de 5 de junio, FJ2, con cita de otras).</w:t>
      </w:r>
    </w:p>
    <w:p w:rsidR="008B3772" w:rsidRDefault="008B3772" w:rsidP="008B3772">
      <w:pPr>
        <w:pStyle w:val="TextoNormal"/>
      </w:pPr>
      <w:r>
        <w:t xml:space="preserve">De acuerdo con el ya citado ATC 513/2004, esta doctrina resulta también de aplicación a los conflictos en defensa de la autonomía local dada la naturaleza de éstos, por lo que para poder apreciar la desaparición de la controversia entablada no bastará con que la disposición impugnada haya sido derogada, como es efectivamente el caso, sino que también resultará preciso que no se aprecie la subsistencia de la controversia que dio lugar al planteamiento del presente conflicto en defensa de la autonomía local.  Para apreciar tal extremo, una vez consultadas las partes sobre la pérdida de objeto del proceso, resulta necesario partir del </w:t>
      </w:r>
      <w:r>
        <w:lastRenderedPageBreak/>
        <w:t>dato de si la parte actora, habiendo sido expresamente requerida para ello, ha apreciado tal desaparición del objeto del mismo sin que haya mantenido su interés en la obtención de una respuesta a lo planteado en su escrito de planteamiento del conflicto.</w:t>
      </w:r>
    </w:p>
    <w:p w:rsidR="008B3772" w:rsidRDefault="008B3772" w:rsidP="008B3772">
      <w:pPr>
        <w:pStyle w:val="TextoNormal"/>
      </w:pPr>
      <w:r>
        <w:t>Por ello, teniendo en cuenta que la representación procesal de los municipios promotores del presente conflicto en defensa de la autonomía local ha manifestado su conformidad con la pérdida de objeto del proceso, apreciación en la que coincide con los restantes alegatos presentados por el Parlamento de Illes Balears y por el Abogado del Estado, procede declarar extinguido el proceso por desaparición de su objeto, dado que, por otra parte, no se advierte interés constitucional que aconseje la prosecución del conflicto hasta su finalización por Sentencia.</w:t>
      </w:r>
    </w:p>
    <w:p w:rsidR="008B3772" w:rsidRDefault="008B3772" w:rsidP="008B3772">
      <w:pPr>
        <w:pStyle w:val="TextoNormal"/>
      </w:pPr>
    </w:p>
    <w:p w:rsidR="008B3772" w:rsidRDefault="008B3772" w:rsidP="008B3772">
      <w:pPr>
        <w:pStyle w:val="TextoNormal"/>
      </w:pPr>
      <w:r>
        <w:t>Por lo expuesto, el Pleno</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Declarar extinguido por pérdida de objeto el conflicto en defensa de la autonomía local núm. 3640-2001, planteado por dieciséis municipios de la Comunidad Autónoma de las Illes Balears contra el artículo único de la Ley del Parlamento de Illes Balears</w:t>
      </w:r>
    </w:p>
    <w:p w:rsidR="008B3772" w:rsidRDefault="008B3772" w:rsidP="008B3772">
      <w:pPr>
        <w:pStyle w:val="TextoNormal"/>
      </w:pPr>
      <w:r>
        <w:t>9/2000, de 27 de octubre, de modificación de la Ley 12/1999, de medidas tributarias, administrativas y de función pública y económicas.</w:t>
      </w:r>
    </w:p>
    <w:p w:rsidR="008B3772" w:rsidRDefault="008B3772" w:rsidP="008B3772">
      <w:pPr>
        <w:pStyle w:val="TextoNormal"/>
      </w:pPr>
    </w:p>
    <w:p w:rsidR="008B3772" w:rsidRDefault="008B3772" w:rsidP="008B3772">
      <w:pPr>
        <w:pStyle w:val="TextoNormal"/>
      </w:pPr>
      <w:r>
        <w:t>Madrid, a doce de julio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91" w:name="AUTO_2007_327"/>
      <w:r>
        <w:lastRenderedPageBreak/>
        <w:t>AUTO 327/2007, de 12 de julio de 2007</w:t>
      </w:r>
    </w:p>
    <w:bookmarkEnd w:id="191"/>
    <w:p w:rsidR="008B3772" w:rsidRDefault="008B3772" w:rsidP="008B3772">
      <w:pPr>
        <w:pStyle w:val="TtuloResolucin"/>
      </w:pPr>
      <w:r>
        <w:t>Sección Tercera</w:t>
      </w:r>
    </w:p>
    <w:p w:rsidR="008B3772" w:rsidRDefault="008B3772" w:rsidP="008B3772">
      <w:pPr>
        <w:pStyle w:val="TtuloResolucin"/>
      </w:pPr>
    </w:p>
    <w:p w:rsidR="008B3772" w:rsidRDefault="008B3772" w:rsidP="008B3772">
      <w:pPr>
        <w:pStyle w:val="SntesisDescriptiva"/>
      </w:pPr>
      <w:r>
        <w:t>ECLI:ES:TC:2007:327A</w:t>
      </w:r>
    </w:p>
    <w:p w:rsidR="008B3772" w:rsidRDefault="008B3772" w:rsidP="008B3772">
      <w:pPr>
        <w:pStyle w:val="SntesisDescriptiva"/>
      </w:pPr>
    </w:p>
    <w:p w:rsidR="008B3772" w:rsidRDefault="008B3772" w:rsidP="008B3772">
      <w:pPr>
        <w:pStyle w:val="SntesisDescriptiva"/>
      </w:pPr>
      <w:r>
        <w:t>Excms. Srs. don Guillermo Jiménez Sánchez, don Eugeni Gay Montalvo y don Pascual Sala Sánchez.</w:t>
      </w:r>
    </w:p>
    <w:p w:rsidR="008B3772" w:rsidRDefault="008B3772" w:rsidP="008B3772">
      <w:pPr>
        <w:pStyle w:val="SntesisDescriptiva"/>
      </w:pPr>
    </w:p>
    <w:p w:rsidR="008B3772" w:rsidRDefault="008B3772" w:rsidP="008B3772">
      <w:pPr>
        <w:pStyle w:val="SntesisDescriptiva"/>
      </w:pPr>
      <w:r>
        <w:t>Inadmite el recurso de súplica sobre audiencia previa a la inadmisión del recurso de amparo 4319-2005, promovido por don Roberto Yuste Escobar en litigio social.</w:t>
      </w:r>
    </w:p>
    <w:p w:rsidR="008B3772" w:rsidRDefault="008B3772" w:rsidP="008B3772">
      <w:pPr>
        <w:pStyle w:val="SntesisDescriptiva"/>
      </w:pPr>
    </w:p>
    <w:p w:rsidR="008B3772" w:rsidRDefault="008B3772" w:rsidP="008B3772">
      <w:pPr>
        <w:pStyle w:val="SntesisAnaltica"/>
      </w:pPr>
      <w:r>
        <w:t>Recurso de súplica contra providencias de inadmisión del Tribunal Constitucional: desestimación.</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10 de junio de 2005 la Procuradora doña Teresa Castro Rodríguez, en nombre y representación de don Roberto Yuste Escobar, interpuso recurso de amparo, turnado a la Sala Segunda de este Tribunal con el núm. 4319-2005, contra la Sentencia de la Sala de lo Social de Sevilla del Tribunal Superior de Justicia de Andalucía de 28 de abril de 2005 que estimaba parcialmente los recursos de suplicación interpuestos por las codemandadas contra la Sentencia de instancia.</w:t>
      </w:r>
    </w:p>
    <w:p w:rsidR="008B3772" w:rsidRDefault="008B3772" w:rsidP="008B3772">
      <w:pPr>
        <w:pStyle w:val="TextoNormal"/>
      </w:pPr>
    </w:p>
    <w:p w:rsidR="008B3772" w:rsidRDefault="008B3772" w:rsidP="008B3772">
      <w:pPr>
        <w:pStyle w:val="TextoNormal"/>
      </w:pPr>
      <w:r w:rsidRPr="008B3772">
        <w:rPr>
          <w:rStyle w:val="NumeroAFNegritaCaracter"/>
        </w:rPr>
        <w:t>2</w:t>
      </w:r>
      <w:r>
        <w:t>. Mediante providencia de 21 de junio de 2005, dictada por la Sección Tercera de la Sala Segunda del Tribunal Constitucional, al amparo de lo previsto en el art. 50.5 LOTC, se le concedió un plazo de 10 días para que acreditase la fecha de notificación de la Sentencia cuestionada, la invocación ante la jurisdicción ordinaria del derecho constitucional que estimaba vulnerado y aportase copia de la Sentencia de instancia, con apercibimiento de que de no verificarlo se procedería al archivo de las actuaciones.</w:t>
      </w:r>
    </w:p>
    <w:p w:rsidR="008B3772" w:rsidRDefault="008B3772" w:rsidP="008B3772">
      <w:pPr>
        <w:pStyle w:val="TextoNormal"/>
      </w:pPr>
    </w:p>
    <w:p w:rsidR="008B3772" w:rsidRDefault="008B3772" w:rsidP="008B3772">
      <w:pPr>
        <w:pStyle w:val="TextoNormal"/>
      </w:pPr>
      <w:r w:rsidRPr="008B3772">
        <w:rPr>
          <w:rStyle w:val="NumeroAFNegritaCaracter"/>
        </w:rPr>
        <w:t>3</w:t>
      </w:r>
      <w:r>
        <w:t>. Dicho requerimiento fue atendido por el demandante mediante escrito de 28 de junio de 2005, al que acompañó la documentación pertinente para acreditar lo requerido por la providencia anterior.</w:t>
      </w:r>
    </w:p>
    <w:p w:rsidR="008B3772" w:rsidRDefault="008B3772" w:rsidP="008B3772">
      <w:pPr>
        <w:pStyle w:val="TextoNormal"/>
      </w:pPr>
    </w:p>
    <w:p w:rsidR="008B3772" w:rsidRDefault="008B3772" w:rsidP="008B3772">
      <w:pPr>
        <w:pStyle w:val="TextoNormal"/>
      </w:pPr>
      <w:r w:rsidRPr="008B3772">
        <w:rPr>
          <w:rStyle w:val="NumeroAFNegritaCaracter"/>
        </w:rPr>
        <w:t>4</w:t>
      </w:r>
      <w:r>
        <w:t>. Por providencia de 8 de mayo de 2007 la Sección Tercera acordó, de conformidad con lo dispuesto en el art. 50.3 LOTC, conceder a la parte demandante de amparo y al Ministerio Fiscal un plazo común de diez días para que formularan, con las aportaciones documentales procedentes, las alegaciones que estimasen pertinentes "en relación con lo dispuesto en el art. 50.1 LOTC”.</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5</w:t>
      </w:r>
      <w:r>
        <w:t>. El 18 de mayo de 2007 doña Teresa Castro Rodríguez, en nombre del recurrente en amparo, interpuso recurso de súplica contra la providencia de 8 de mayo de 2007, por entender infringidos el art. 24 CE y el art. 50.2 LOTC. Se sustenta la vulneración en la concesión de plazo de alegaciones en relación con una causa de inadmisibilidad del recurso de amparo sin especificar cuál es la concreta causa de inadmisibilidad advertida, causando indefensión a la parte no poder formular las alegaciones pertinentes o aportar documento alguno, al desconocer cuál es la posible causa de inadmisibilidad advertida, extremo que debe contener la providencia de inadmisión de conformidad con el art. 50.2 LOTC.</w:t>
      </w:r>
    </w:p>
    <w:p w:rsidR="008B3772" w:rsidRDefault="008B3772" w:rsidP="008B3772">
      <w:pPr>
        <w:pStyle w:val="TextoNormal"/>
      </w:pPr>
    </w:p>
    <w:p w:rsidR="008B3772" w:rsidRDefault="008B3772" w:rsidP="008B3772">
      <w:pPr>
        <w:pStyle w:val="TextoNormal"/>
      </w:pPr>
      <w:r w:rsidRPr="008B3772">
        <w:rPr>
          <w:rStyle w:val="NumeroAFNegritaCaracter"/>
        </w:rPr>
        <w:t>6</w:t>
      </w:r>
      <w:r>
        <w:t>. El 29 de mayo de 2007 doña Teresa Castro Rodríguez, en nombre del recurrente de amparo, presentó escrito de alegaciones, en el que se afirma que desconoce cuál es la causa de inadmisibilidad advertida y que por ello no tiene más remedio que referirse de modo genérico a cada una de las reguladas en el art. 50.1 LOTC. Considera que no incurre en la causa señalada en el primer párrafo, al cumplir con los requisitos exigidos por los arts. 41 a 46 LOTC y en el plazo de interposición de la demanda de amparo. Señala que concurren los presupuestos de jurisdicción y competencia y que el demandante ostenta capacidad y legitimación activa. Manifiesta que está agotada la vía judicial previa, habida cuenta de que la única posibilidad era interponer un recurso de casación unificación de doctrina, recurso que resulta inviable al no existir sentencias contradictorias con la impugnada. Entiende que tampoco concurre la causa de inadmisión del segundo párrafo, pues la demanda se deduce respecto a derechos de libertad sindical y tutela judicial efectiva susceptible ambos de amparo constitucional. En cuanto la causa de inadmisión del art. 50.1 c) LOTC remite el contenido constitucional de la demanda a los argumentos expuestos en el recurso de amparo interpuesto. Finalmente considera que tampoco es posible que concurra la causa de inadmisibilidad del art. 50.1 d) LOTC, habida cuenta de que la providencia notificada no alude a la existencia de resoluciones desestimatorias en el fondo dictadas en supuestos sustancialmente iguales.</w:t>
      </w:r>
    </w:p>
    <w:p w:rsidR="008B3772" w:rsidRDefault="008B3772" w:rsidP="008B3772">
      <w:pPr>
        <w:pStyle w:val="TextoNormal"/>
      </w:pPr>
    </w:p>
    <w:p w:rsidR="008B3772" w:rsidRDefault="008B3772" w:rsidP="008B3772">
      <w:pPr>
        <w:pStyle w:val="TextoNormal"/>
      </w:pPr>
      <w:r w:rsidRPr="008B3772">
        <w:rPr>
          <w:rStyle w:val="NumeroAFNegritaCaracter"/>
        </w:rPr>
        <w:t>7</w:t>
      </w:r>
      <w:r>
        <w:t>. El 8 de junio de 2007 se registró en este Tribunal escrito del Ministerio Fiscal considerando que la demanda no incurre en ninguna causa de inadmisión.</w:t>
      </w:r>
    </w:p>
    <w:p w:rsidR="008B3772" w:rsidRDefault="008B3772" w:rsidP="008B3772">
      <w:pPr>
        <w:pStyle w:val="TextoNormal"/>
      </w:pPr>
    </w:p>
    <w:p w:rsidR="008B3772" w:rsidRDefault="008B3772" w:rsidP="008B3772">
      <w:pPr>
        <w:pStyle w:val="TextoNormal"/>
      </w:pPr>
      <w:r w:rsidRPr="008B3772">
        <w:rPr>
          <w:rStyle w:val="NumeroAFNegritaCaracter"/>
        </w:rPr>
        <w:t>8</w:t>
      </w:r>
      <w:r>
        <w:t xml:space="preserve">. El 2 de julio de 2007 el Ministerio Fiscal registra en este Tribunal Constitucional escrito evacuando el trámite previsto en el art. 93.2 LOTC, interesando la desestimación del recurso de súplica interpuesto. En particular señala que decae la argumentación del recurrente en relación con la vulneración del derecho a la defensa desde el momento en que ha cumplimentado el trámite conferido sin objeción alguna. Frente a la imputación de indefensión porque, a juicio del recurrente, al no especificarse la causa de inadmisión se le impide aportación probatoria, vulnerando el art. 24 CE y el 50.2 LOTC, señala el Ministerio Fiscal que el precepto de la LOTC se refiere a un supuesto distinto al presente, en tanto que no se ha acordado la inadmisión del recurso y que, además, la norma citada es tajante en su afirmación de que en dichos supuestos sólo puede recurrir en súplica el Ministerio Fiscal. </w:t>
      </w:r>
    </w:p>
    <w:p w:rsidR="008B3772" w:rsidRDefault="008B3772" w:rsidP="008B3772">
      <w:pPr>
        <w:pStyle w:val="TextoNormal"/>
      </w:pPr>
      <w:r>
        <w:t xml:space="preserve">Por otro lado considera que la argumentación del recurso es puramente formal, sin especificar en el trámite de alegación qué falta de aportación probatoria se impide realizar al recurrente. En todo caso destaca que las causas de inadmisión previstas en el art. 50.1 LOTC, salvo la de su párrafo tercero, son perfectamente verificables y constatables de manera reglada; de este modo el agotamiento de los recursos, la previa invocación o la temporánea interposición de la demanda constituyen elementos que han de justificarse desde el </w:t>
      </w:r>
      <w:r>
        <w:lastRenderedPageBreak/>
        <w:t>momento inicial en la demandada de amparo, momento en el que precisamente el incumplimiento del ahora recurrente obligó a este Tribunal a requerirle la subsanación de dichos requisitos con apercibimiento de archivo, lo que fue cumplimentado por el recurrente sin que, por ello mismo, se procediera al archivo. Situación fáctica de la que no cabe más que inferir que la causa inadmisión susceptible de concurrir es la prevista en el art. 50.1 c) LOTC, que es la que normalmente ocasiona el trámite de la audiencia dispuesto en el art. 50.3 LOTC, permitiendo que la parte aporte argumentos adicionales que puedan llevar al Tribunal a la convicción de la relevancia constitucional del tema debatido. Trámite de audiencia que, adicionalmente, la propia LOTC permite obviar cuando las causas de inadmisión se aprecian en un momento posterior, en el de dictar Sentencia en virtud de alegación por alguna de las partes procesales o de oficio por el Tribunal. Sin que en ningún caso exista indefensión, porque la acreditación del cumplimiento de la mayor parte de ellas es sencilla, el trámite abierto, tan sólo confiere una nueva oportunidad de reexaminar lo ya previamente aportado y, en todo caso, en el supuesto ahora enjuiciado todo lo que al respecto quiso aportar el recurrente lo hizo o pudo hacerlo en el trámite de subsanación ya concedido.</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recurrente denuncia dos infracciones cometidas por la providencia en la que se le notifica la apertura del trámite del art. 50.3 LOTC. La primera, la vulneración del art. 50.2 LOTC. La segunda, la vulneración del derecho a una tutela judicial efectiva sin indefensión del art. 24 CE. El recurso de súplica debe ser inadmitido, pues, de un lado, el art. 50.2 LOTC no ha podido ser vulnerado, al regular de un supuesto distinto del ahora traído a nuestro enjuiciamiento y, en todo caso, no consta la vulneración del art. 24 CE, al no acreditarse la indefensión sufrida.</w:t>
      </w:r>
    </w:p>
    <w:p w:rsidR="008B3772" w:rsidRDefault="008B3772" w:rsidP="008B3772">
      <w:pPr>
        <w:pStyle w:val="TextoNormal"/>
      </w:pPr>
    </w:p>
    <w:p w:rsidR="008B3772" w:rsidRDefault="008B3772" w:rsidP="008B3772">
      <w:pPr>
        <w:pStyle w:val="TextoNormal"/>
      </w:pPr>
      <w:r w:rsidRPr="008B3772">
        <w:rPr>
          <w:rStyle w:val="NumeroAFNegritaCaracter"/>
        </w:rPr>
        <w:t>2</w:t>
      </w:r>
      <w:r>
        <w:t>. En efecto, de un lado, el art. 50.2 LOTC —en la redacción previa a la reforma operada por la Ley Orgánica 6/2007, de 24 de mayo, de conformidad con lo previsto en su disposición transitoria tercera— contempla la posibilidad de recurso contra la providencia de “inadmisión” de la demanda de amparo expresando que contra ella “solamente” podrá recurrir el Ministerio Fiscal en súplica. En el presente caso, por el contrario, la providencia que ahora se ha impugnado es la que abre el supuesto contemplado en el art. 50.3 LOTC, “antes” de su inadmisión y, precisamente, con el objeto de tomar una decisión definitiva en esta fase de admisión. Difícilmente entonces se ha podido vulnerar el art. 50.2 LOTC señalado por el recurrente en su escrito de súplica.</w:t>
      </w:r>
    </w:p>
    <w:p w:rsidR="008B3772" w:rsidRDefault="008B3772" w:rsidP="008B3772">
      <w:pPr>
        <w:pStyle w:val="TextoNormal"/>
      </w:pPr>
    </w:p>
    <w:p w:rsidR="008B3772" w:rsidRDefault="008B3772" w:rsidP="008B3772">
      <w:pPr>
        <w:pStyle w:val="TextoNormal"/>
      </w:pPr>
      <w:r w:rsidRPr="008B3772">
        <w:rPr>
          <w:rStyle w:val="NumeroAFNegritaCaracter"/>
        </w:rPr>
        <w:t>3</w:t>
      </w:r>
      <w:r>
        <w:t>. Pero tampoco se aprecia la vulneración de la tutela judicial efectiva sin indefensión del art. 24.1 CE que se denuncia.</w:t>
      </w:r>
    </w:p>
    <w:p w:rsidR="008B3772" w:rsidRDefault="008B3772" w:rsidP="008B3772">
      <w:pPr>
        <w:pStyle w:val="TextoNormal"/>
      </w:pPr>
      <w:r>
        <w:t xml:space="preserve">En primer término porque, tal y como acertadamente expone el Ministerio Fiscal, la argumentación contenida en el recurso de súplica resulta puramente formal y se formula con carácter abstracto, sin especificar qué falta de aportación probatoria se le está impidiendo realizar al recurrente, con lo que bastaría aquí recordar la constante doctrina de este Tribunal en relación a que es al recurrente a quien le corresponde proporcionar la fundamentación que razonablemente es de esperar, habida cuenta de que al Tribunal Constitucional no le corresponde reconstruir de oficio las demandas, ni suplir las razones de la parte cuando éstas no se aportan en su recurso (por todas, STC 196/2006, de 3 de julio, FJ 3, y 16/2007, de 12 </w:t>
      </w:r>
      <w:r>
        <w:lastRenderedPageBreak/>
        <w:t>de febrero, FJ 1); doctrina plenamente extrapolable al recurso de súplica que ahora nos ocupa y que bastaría para inadmitir de plano el interpuesto.</w:t>
      </w:r>
    </w:p>
    <w:p w:rsidR="008B3772" w:rsidRDefault="008B3772" w:rsidP="008B3772">
      <w:pPr>
        <w:pStyle w:val="TextoNormal"/>
      </w:pPr>
      <w:r>
        <w:t>Y, en segundo término, porque, en todo caso, la indefensión no sería real y efectiva, habida cuenta de que, en tiempo y forma, quien ahora recurre cumplimentó todos los requisitos requeridos, entendiendo correctamente que la referencia directa al art.  50.1 LOTC sin mayores precisiones exigía argumentar sobre todas ellas. Argumentada la inexistencia de las causas de inadmisión en el escrito presentado por el recurrente con fecha de 18 de mayo de 2007 se desvanece toda sombra de indefensión en sentido constitucional, es decir, no como cualquier infracción o vulneración de normas procesales que los órganos jurisdiccionales puedan cometer (STC 59/1998, de 16 de marzo), sino como real privación del derecho de alegación y defensa, con el consiguiente perjuicio real y efectivo para los intereses del afectado (STC 91/2000, de 30 de marzo), lo que en el presente caso no ocurre y, como hemos dicho, ni siquiera se concreta en el escrito de súplica.</w:t>
      </w:r>
    </w:p>
    <w:p w:rsidR="008B3772" w:rsidRDefault="008B3772" w:rsidP="008B3772">
      <w:pPr>
        <w:pStyle w:val="TextoNormal"/>
      </w:pPr>
    </w:p>
    <w:p w:rsidR="008B3772" w:rsidRDefault="008B3772" w:rsidP="008B3772">
      <w:pPr>
        <w:pStyle w:val="TextoNormal"/>
      </w:pPr>
      <w:r>
        <w:t>Por todo lo cual,</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Inadmitir el recurso de súplica interpuesto.</w:t>
      </w:r>
    </w:p>
    <w:p w:rsidR="008B3772" w:rsidRDefault="008B3772" w:rsidP="008B3772">
      <w:pPr>
        <w:pStyle w:val="TextoNormal"/>
      </w:pPr>
    </w:p>
    <w:p w:rsidR="008B3772" w:rsidRDefault="008B3772" w:rsidP="008B3772">
      <w:pPr>
        <w:pStyle w:val="TextoNormal"/>
      </w:pPr>
      <w:r>
        <w:t>Madrid, doce de julio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92" w:name="AUTO_2007_328"/>
      <w:r>
        <w:lastRenderedPageBreak/>
        <w:t>AUTO 328/2007, de 12 de julio de 2007</w:t>
      </w:r>
    </w:p>
    <w:bookmarkEnd w:id="192"/>
    <w:p w:rsidR="008B3772" w:rsidRDefault="008B3772" w:rsidP="008B3772">
      <w:pPr>
        <w:pStyle w:val="TtuloResolucin"/>
      </w:pPr>
      <w:r>
        <w:t>Pleno</w:t>
      </w:r>
    </w:p>
    <w:p w:rsidR="008B3772" w:rsidRDefault="008B3772" w:rsidP="008B3772">
      <w:pPr>
        <w:pStyle w:val="TtuloResolucin"/>
      </w:pPr>
    </w:p>
    <w:p w:rsidR="008B3772" w:rsidRDefault="008B3772" w:rsidP="008B3772">
      <w:pPr>
        <w:pStyle w:val="TtuloBOE"/>
      </w:pPr>
      <w:r>
        <w:t>("BOE" núm. 261, de 31 de octubre de 2007)</w:t>
      </w:r>
    </w:p>
    <w:p w:rsidR="008B3772" w:rsidRDefault="008B3772" w:rsidP="008B3772">
      <w:pPr>
        <w:pStyle w:val="TtuloBOE"/>
      </w:pPr>
    </w:p>
    <w:p w:rsidR="008B3772" w:rsidRDefault="008B3772" w:rsidP="008B3772">
      <w:pPr>
        <w:pStyle w:val="SntesisDescriptiva"/>
      </w:pPr>
      <w:r>
        <w:t>ECLI:ES:TC:2007:328A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Inadmite a trámite por infundada la cuestión de inconstitucionalidad 11182-2006, planteada por el Juzgado de lo Social núm. 1 de Tarragona en relación con el artículo 174.2 del Real Decreto Legislativo 1/1994, de 20 de junio, que aprueba el texto refundido de la Ley general de la Seguridad Social, en la redacción dada por la disposición adicional decimotercera de la Ley 66/1997, de 30 de diciembre, de medidas fiscales, administrativas y del orden social.</w:t>
      </w:r>
    </w:p>
    <w:p w:rsidR="008B3772" w:rsidRDefault="008B3772" w:rsidP="008B3772">
      <w:pPr>
        <w:pStyle w:val="SntesisDescriptiva"/>
      </w:pPr>
    </w:p>
    <w:p w:rsidR="008B3772" w:rsidRDefault="008B3772" w:rsidP="008B3772">
      <w:pPr>
        <w:pStyle w:val="SntesisAnaltica"/>
      </w:pPr>
      <w:r>
        <w:t>Pensión de viudedad: principio de igualdad. Principio de igualdad: doctrina constitucional.</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día 14 de diciembre de 2006 tuvo entrada en el Registro General de este Tribunal un escrito del Magistrado-Juez del Juzgado de lo Social núm. 1 de Tarragona al que se acompaña, junto con el testimonio del correspondiente procedimiento, el Auto de fecha 2 de noviembre de 2006 por el que se acuerda plantear cuestión de inconstitucionalidad en relación con el art. 174.2 del Real Decreto Legislativo 1/1994, de 20 de junio, por el que se aprueba el texto refundido de la Ley general de la Seguridad Social, en la redacción dada por la disposición adicional decimotercera de la Ley 66/1997, de 30 de diciembre, de medidas fiscales, administrativas y del orden social, por su posible contradicción con el art. 14 CE.</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La cuestión trae causa de los autos núm. 421-2006, iniciados por la demanda interpuesta por doña Clara Armengol Llort contra el Instituto Nacional de la Seguridad Social y la Tesorería de la Seguridad Social en reclamación de pensión de viudedad, solicitando que a efectos del porcentaje de la pensión se computase el tiempo de convivencia con el causante posterior a la separación del matrimonio contraído entre ambos. </w:t>
      </w:r>
    </w:p>
    <w:p w:rsidR="008B3772" w:rsidRDefault="008B3772" w:rsidP="008B3772">
      <w:pPr>
        <w:pStyle w:val="TextoNormal"/>
      </w:pPr>
      <w:r>
        <w:t xml:space="preserve">Concluso el procedimiento, con suspensión del término para dictar Sentencia, el Juzgado de lo Social núm. 1 de Tarragona, por Auto de 29 de septiembre de 2006, acordó dar traslado del mismo a las partes y al Ministerio Fiscal para que, a la vista de su contenido, alegasen </w:t>
      </w:r>
      <w:r>
        <w:lastRenderedPageBreak/>
        <w:t xml:space="preserve">lo que tuvieran por conveniente sobre la pertinencia de plantear cuestión de inconstitucionalidad en relación con el art. 174.2 LGSS. </w:t>
      </w:r>
    </w:p>
    <w:p w:rsidR="008B3772" w:rsidRDefault="008B3772" w:rsidP="008B3772">
      <w:pPr>
        <w:pStyle w:val="TextoNormal"/>
      </w:pPr>
      <w:r>
        <w:t>Evacuaron el trámite de alegaciones conferido la representación procesal de la demandante, que estimó pertinente el planteamiento de la cuestión de inconstitucionalidad, el Letrado de la Administración de la Seguridad Social, que se opuso al mismo, y el Ministerio Fiscal, que, sin entrar en el tema de fondo planteado, no se opuso a dicho planteamiento.</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el Auto de planteamiento de la cuestión de inconstitucionalidad el órgano judicial proponente realiza, en síntesis, las siguientes consideraciones: </w:t>
      </w:r>
    </w:p>
    <w:p w:rsidR="008B3772" w:rsidRDefault="008B3772" w:rsidP="008B3772">
      <w:pPr>
        <w:pStyle w:val="TextoNormal"/>
      </w:pPr>
      <w:r>
        <w:t xml:space="preserve">a) Tras reproducir el art. 174.2 LGSS, afirma que el precepto tiene su origen en la disposición adicional décima de la Ley 30/1981, de 7 de julio, que modifica la regulación del matrimonio en el Código civil y determina el procedimiento a seguir en las causas de nulidad, separación y divorcio, que por su imprecisión y oscuridad ha dado lugar a múltiples interpretaciones encontradas. La actual redacción no ayuda a clarificar el supuesto de hecho regulado, que está referido a la situación en la que el fallecido o causante tiene un cónyuge supérstite y uno o varios ex-cónyuges supérstites procedentes de una separación anterior o de uno o de varios divorcios. El problema que se plantea es el de la distribución de la pensión de viudedad entre el cónyuge supérstite y el ex-cónyuge supérstite o ex-cónyuges supérstites, respecto a la cual el precepto da dos reglas orientativas: la primera, que el ex-cónyuge o ex-cónyuges no hayan contraído nuevas nupcias; la segunda, que la distribución se realice en cuantía proporcional al tiempo vivido con el causante de la prestación. </w:t>
      </w:r>
    </w:p>
    <w:p w:rsidR="008B3772" w:rsidRDefault="008B3772" w:rsidP="008B3772">
      <w:pPr>
        <w:pStyle w:val="TextoNormal"/>
      </w:pPr>
      <w:r>
        <w:t xml:space="preserve">b) El órgano judicial se refiere a continuación a las reglas que el Tribunal Supremo ha precisado en la interpretación de dicho precepto sobre el reparto de la pensión entre los diversos cónyuges supérstites. En relación con el supuesto objeto de enjuiciamiento en el proceso a quo, esto es, ex-cónyuge separada judicialmente que con posterioridad vuelve a convivir con el causante hasta la fecha del fallecimiento, el Tribunal Supremo en doctrina unificada (SSTS 15-12-2004; 2-2-2005 y 23-2-2005) ha declarado que la cuantía de la pensión de viudedad en caso de separación decretada por el Juzgado de lo Civil se establezca en proporción al tiempo de convivencia legal, sin que surta efecto y tenga ninguna virtualidad la reanudación de la convivencia simplemente acordada por los ex-cónyuges, pero no ratificada o comunicada la conciliación al Juzgado correspondiente. En el mismo sentido el Tribunal Supremo ha declarado (STS 9-12- 2004) que la situación de los cónyuges judicialmente separados, que no han comunicado la reconciliación ante el Juzgado que los separó, resulta plenamente asimilable a la unión de mero hecho o unión more uxorio, y, en consecuencia, no puede tener virtualidad jurídica dicha convivencia. </w:t>
      </w:r>
    </w:p>
    <w:p w:rsidR="008B3772" w:rsidRDefault="008B3772" w:rsidP="008B3772">
      <w:pPr>
        <w:pStyle w:val="TextoNormal"/>
      </w:pPr>
      <w:r>
        <w:t xml:space="preserve">Por su parte el órgano judicial considera sin embargo que, cuando existe un único beneficiario la pensión que se le otorgue ha de ser íntegra, sin aplicación del prorrateo en función del tiempo convivido. A su juicio la actual redacción del art. 174.2 LGSS no indica que el INSS pueda ahorrarse parte del importe de la prestación y satisfacer tan sólo la otra parte. Para admitir tal posibilidad es necesario que la norma lo reconozca con absoluta claridad. </w:t>
      </w:r>
    </w:p>
    <w:p w:rsidR="008B3772" w:rsidRDefault="008B3772" w:rsidP="008B3772">
      <w:pPr>
        <w:pStyle w:val="TextoNormal"/>
      </w:pPr>
      <w:r>
        <w:t xml:space="preserve">Entiende el Juzgador que es posible que la redacción del art. 174.2 LGSS sea inconstitucional si se adopta la interpretación literal de que el art. 174.2 LGSS autoriza la reducción proporcional de la pensión de viudedad de las personas separadas en función del tiempo que haya durado la separación conyugal, pues entonces el precepto cuestionado esta introduciendo una factor de distinción entre el cónyuge separado y el no separado que carece de una justificación objetiva, razonable y proporcionada, como exige el art. 14 CE. Esta diferenciación es resultado de la propia equiparación que el precepto efectúa entre la separación </w:t>
      </w:r>
      <w:r>
        <w:lastRenderedPageBreak/>
        <w:t xml:space="preserve">y el divorcio, que tampoco es aceptable, porque conduce a la mencionada distinción separado/no separado, que no resulta justificada por las razones que, en cambio, sí pudiesen justificar la distinción entre divorciado/no divorciado. </w:t>
      </w:r>
    </w:p>
    <w:p w:rsidR="008B3772" w:rsidRDefault="008B3772" w:rsidP="008B3772">
      <w:pPr>
        <w:pStyle w:val="TextoNormal"/>
      </w:pPr>
      <w:r>
        <w:t xml:space="preserve">c) La situación del cónyuge separado es notoriamente distinta a la del divorciado por varias razones. </w:t>
      </w:r>
    </w:p>
    <w:p w:rsidR="008B3772" w:rsidRDefault="008B3772" w:rsidP="008B3772">
      <w:pPr>
        <w:pStyle w:val="TextoNormal"/>
      </w:pPr>
      <w:r>
        <w:t xml:space="preserve">En el caso del divorcio la reducción de la pensión de viudedad en proporción al tiempo de convivencia se corresponde y se podría justificar con la mera posibilidad de sucesivos matrimonios del causante, posibilidad que la ley tiene que reservar, con independencia de que se verifique o no en la realidad. Es dicha posibilidad la que jurídicamente ampara la reducción, y no la realidad de la existencia efectiva de cónyuge sucesivo. Además dicha reducción se fundamentaría también, de acuerdo con la doctrina del Tribunal Constitucional, en la propia eficacia jurídica que, en orden al derecho en sí a la pensión de viudedad, el legislador ha optado por atribuir al matrimonio frente a la mera convivencia en unión de hecho, de forma que, si por la mera convivencia no hay derecho a la pensión de viudedad, porque lo relevante es el vínculo matrimonial y no la convivencia, por matrimonio disuelto hay derecho sólo en proporción al tiempo en que haya existido dicho matrimonio. </w:t>
      </w:r>
    </w:p>
    <w:p w:rsidR="008B3772" w:rsidRDefault="008B3772" w:rsidP="008B3772">
      <w:pPr>
        <w:pStyle w:val="TextoNormal"/>
      </w:pPr>
      <w:r>
        <w:t xml:space="preserve">En el caso de la separación el planteamiento no puede ser el mismo, ya que el matrimonio existe, frente a la unión de hecho, y sigue existiendo, a diferencia del divorcio, hasta el fallecimiento del causante. Por lo tanto no hay posibilidad de nuevo matrimonio al que la ley deba jurídicamente reservar espacio alguno. Además, como quiera que el vínculo matrimonial existe y sigue existiendo, sin disolución, el derecho a la pensión, de acuerdo con la doctrina del Tribunal Constitucional, no sufre ni tiene por qué sufrir merma alguna, máxime teniendo en cuenta que esos efectos jurídicos los establece la ley precisamente por razón del matrimonio y no por razón de la convivencia. De atribuir relevancia a ésta, se quedaría sin fundamentación la propia negación que el Tribunal Constitucional sostiene para el derecho a la pensión de viudedad del mero conviviente no casado. Si lo relevante es el vínculo matrimonial y no la convivencia, la falta de ésta no puede tener efecto jurídico limitativo alguno y, mucho menos, amparar la distinción en la ley que supone la reducción. </w:t>
      </w:r>
    </w:p>
    <w:p w:rsidR="008B3772" w:rsidRDefault="008B3772" w:rsidP="008B3772">
      <w:pPr>
        <w:pStyle w:val="TextoNormal"/>
      </w:pPr>
      <w:r>
        <w:t xml:space="preserve">En consecuencia se trata de una equiparación entre divorcio y separación que en sí misma puede ser contraria al principio de igualdad, que no sólo se vulnera cuando “el legislador establece distinciones artificiosas o arbitrarias entre situaciones de hecho cuyas diferencias reales, si existen, carecen de relevancia desde el punto de vista de la razón de ser discernible en la norma”, sino también al “anudar consecuencias jurídicas arbitrarias o irrazonables a los supuestos de hecho legítimamente diferenciados” (STC 83/1984, de 24 de julio, FJ 3). </w:t>
      </w:r>
    </w:p>
    <w:p w:rsidR="008B3772" w:rsidRDefault="008B3772" w:rsidP="008B3772">
      <w:pPr>
        <w:pStyle w:val="TextoNormal"/>
      </w:pPr>
      <w:r>
        <w:t xml:space="preserve">Tratándose de supuestos de hecho —separación y divorcio— por completo diferentes, y estando supuestamente fundamentada la reducción de la pensión en uno de ellos, en el caso del divorcio, para reservar espacio para la pensión al cónyuge sucesivo, se ha anudado la misma consecuencia al otro supuesto, al de separación, carente de toda justificación. </w:t>
      </w:r>
    </w:p>
    <w:p w:rsidR="008B3772" w:rsidRDefault="008B3772" w:rsidP="008B3772">
      <w:pPr>
        <w:pStyle w:val="TextoNormal"/>
      </w:pPr>
      <w:r>
        <w:t xml:space="preserve">d) Como efecto perverso, esa equiparación conduce asimismo a una distinción entre el cónyuge no separado, que percibe la pensión íntegra, y el cónyuge separado, que la percibe reducida, carente igualmente de justificación. Se trata de situaciones de hecho cuya única diferencia real es la existencia o falta de convivencia, respectivamente, siendo así que ésta “carece de relevancia desde el punto de vista de la razón de ser discernible en la norma”. </w:t>
      </w:r>
    </w:p>
    <w:p w:rsidR="008B3772" w:rsidRDefault="008B3772" w:rsidP="008B3772">
      <w:pPr>
        <w:pStyle w:val="TextoNormal"/>
      </w:pPr>
      <w:r>
        <w:t xml:space="preserve">Esta distinción entre cónyuge separado y no separado tampoco se puede justificar desde el equilibrio financiero del sistema de la Seguridad Social, pues éste depende en todo caso de un cálculo actuarial en el que no entra ni puede entrar una circunstancia tan íntima y personal como es la separación conyugal, fruto generalmente del azar. </w:t>
      </w:r>
    </w:p>
    <w:p w:rsidR="008B3772" w:rsidRDefault="008B3772" w:rsidP="008B3772">
      <w:pPr>
        <w:pStyle w:val="TextoNormal"/>
      </w:pPr>
      <w:r>
        <w:lastRenderedPageBreak/>
        <w:t xml:space="preserve">e) Se puede tratar también de una discriminación legal por razón de una circunstancia personal que penaliza a quien, simplemente con su separación, puede estar haciendo ejercicio de otros derechos constitucionalmente protegidos, empezando por el más importante del derecho a la vida y a la integridad física (piénsese, sobre todo, en las separaciones motivadas en la violencia conyugal y en los malos tratos). </w:t>
      </w:r>
    </w:p>
    <w:p w:rsidR="008B3772" w:rsidRDefault="008B3772" w:rsidP="008B3772">
      <w:pPr>
        <w:pStyle w:val="TextoNormal"/>
      </w:pPr>
      <w:r>
        <w:t xml:space="preserve">En este sentido la ley podría haber discriminado, como hace el párrafo segundo del art. 174.2 LGSS para los supuestos de nulidad matrimonial, las causas de separación y no haber dado a todas el mismo tratamiento, en contra, incluso, del art. 32.2 CE, que dispone que “la ley regulará las causas de separación (no sin más la separación) y sus efectos”, de manera que para unas causas estarían justificados y serían atendibles unos efectos (acaso la aludida reducción) y para otras otros efectos (la no reducción). </w:t>
      </w:r>
    </w:p>
    <w:p w:rsidR="008B3772" w:rsidRDefault="008B3772" w:rsidP="008B3772">
      <w:pPr>
        <w:pStyle w:val="TextoNormal"/>
      </w:pPr>
      <w:r>
        <w:t>Es destacable además que con la reforma introducida por la Ley 15/2005, de 8 de julio, ese trato igualitario resulta aún más discriminatorio. En efecto, a partir de la modificación del Código civil para divorciarse no será necesario pasar por la separación, de forma que quien elija tal situación —separado— está eligiendo expresamente la no disolución del vínculo matrimonial. La norma acorta los tiempos para obtener el divorcio sin necesidad de pasar por la situación de separación judicial, pero sin suprimirla, con lo cual la diferencia entre una y otra situación queda claramente definida y, consecuentemente, se les debería dar un trato diferente.</w:t>
      </w:r>
    </w:p>
    <w:p w:rsidR="008B3772" w:rsidRDefault="008B3772" w:rsidP="008B3772">
      <w:pPr>
        <w:pStyle w:val="TextoNormal"/>
      </w:pPr>
    </w:p>
    <w:p w:rsidR="008B3772" w:rsidRDefault="008B3772" w:rsidP="008B3772">
      <w:pPr>
        <w:pStyle w:val="TextoNormal"/>
      </w:pPr>
      <w:r w:rsidRPr="008B3772">
        <w:rPr>
          <w:rStyle w:val="NumeroAFNegritaCaracter"/>
        </w:rPr>
        <w:t>4</w:t>
      </w:r>
      <w:r>
        <w:t>. La Sección Cuarta del Tribunal Constitucional, por providencia de 27 de marzo de 2007, a los efectos que determina el art. 37.1 LOTC, acordó oír al Fiscal General del Estado para que, en plazo de diez días, alegara lo que considerase conveniente acerca de la admisibilidad de la presente cuestión de inconstitucionalidad, por si fuera notoriamente infundada.</w:t>
      </w:r>
    </w:p>
    <w:p w:rsidR="008B3772" w:rsidRDefault="008B3772" w:rsidP="008B3772">
      <w:pPr>
        <w:pStyle w:val="TextoNormal"/>
      </w:pPr>
    </w:p>
    <w:p w:rsidR="008B3772" w:rsidRDefault="008B3772" w:rsidP="008B3772">
      <w:pPr>
        <w:pStyle w:val="TextoNormal"/>
      </w:pPr>
      <w:r w:rsidRPr="008B3772">
        <w:rPr>
          <w:rStyle w:val="NumeroAFNegritaCaracter"/>
        </w:rPr>
        <w:t>5</w:t>
      </w:r>
      <w:r>
        <w:t xml:space="preserve">. El Fiscal General del Estado evacuó el trámite de alegaciones conferido mediante escrito registrado en fecha 27 de abril de 2007, que, en lo sustancial, a continuación se resume: </w:t>
      </w:r>
    </w:p>
    <w:p w:rsidR="008B3772" w:rsidRDefault="008B3772" w:rsidP="008B3772">
      <w:pPr>
        <w:pStyle w:val="TextoNormal"/>
      </w:pPr>
      <w:r>
        <w:t xml:space="preserve">a) Comienza por señalar que tanto el Auto dando audiencia a las partes como el Auto de planteamiento de la cuestión de inconstitucionalidad traslucen una reseñable imprecisión acerca de cuáles sean exactamente la norma o normas cuestionadas, pues el Juzgado de lo Social, más que argumentar en relación con un específico mandato normativo relativo a la atribución proporcional de la cuantía de la pensión de viudedad y su distribución entre los cónyuges, lo que hace es proponer una particular interpretación integradora del precepto, que le lleva a la conclusión de aplicarlo en sentido distinto al que ha sido establecido por la jurisprudencia de la Sala Cuarta del Tribunal Supremo en doctrina unificada. Si ésta es la conclusión que alcanza el órgano a quo, no se comprende entonces el motivo del planteamiento de la cuestión, pues en su labor interpretativa ha entendido aplicable al caso sometido a su examen un criterio que, aun siendo distinto al sostenido por el Tribunal Supremo, nada impide que lo pueda adoptar para resolver el caso concreto. </w:t>
      </w:r>
    </w:p>
    <w:p w:rsidR="008B3772" w:rsidRDefault="008B3772" w:rsidP="008B3772">
      <w:pPr>
        <w:pStyle w:val="TextoNormal"/>
      </w:pPr>
      <w:r>
        <w:t xml:space="preserve">Este planteamiento, a juicio del Fiscal General del Estado, arroja dudas sobre la concurrencia de la relevancia del precepto cuya constitucionalidad se cuestiona, pues para que puedan entenderse debidamente formulados los denominados juicios de aplicabilidad y relevancia no basta con invocar la inconstitucionalidad del precepto que se cuestiona, sino que además ha de exponerse en qué concreto sentido aquél condiciona el fallo y no sólo si una determinada interpretación lo condiciona. En definitiva, lo que el órgano judicial plantea en el presente caso no es la duda de constitucionalidad del precepto, sino la de su particular entendimiento por la Sala de lo Social del Tribunal Supremo, lo que podría determinar </w:t>
      </w:r>
      <w:r>
        <w:lastRenderedPageBreak/>
        <w:t xml:space="preserve">la falta de correcta formulación del denominado juicio de relevancia y, por ende, la posibilidad de inadmitir a tramite la presente cuestión de inconstitucionalidad por este particular motivo. </w:t>
      </w:r>
    </w:p>
    <w:p w:rsidR="008B3772" w:rsidRDefault="008B3772" w:rsidP="008B3772">
      <w:pPr>
        <w:pStyle w:val="TextoNormal"/>
      </w:pPr>
      <w:r>
        <w:t xml:space="preserve">b) En cuanto al tema de fondo planteado el Fiscal General del Estado señala que el órgano judicial inicialmente parece identificar las situaciones de convivencia matrimonial y convivencia de hecho, habiendo reiterado este Tribunal la constitucionalidad de la legislación en orden a exigir para el devengo de la pensión de viudedad la existencia de un vínculo matrimonial entre el causante y el beneficiario, exonerando de tal exigencia únicamente a quienes no pudieron contraer matrimonio por impedírselo la legislación anterior a la Ley 30/1981, de 7 de julio, siempre que el causante falleciera con anterioridad a la vigencia de dicha Ley. A tal efecto se ha argumentado que ello no pugna con el art. 14 CE, ni tampoco las medidas de los poderes públicos que otorgan un trato distinto y más favorable a la unidad familiar basada en el matrimonio que a otras unidades convencionales, pues no existe un derecho constitucional a su establecimiento. Todo lo contrario de lo que sucede con el matrimonio, que es un derecho constitucional (art. 32.1 CE) que genera una pluralidad de derechos y deberes, siendo perfectamente constitucional que los poderes públicos otorguen en este momento un trato de privilegio a la unión familiar sobre las relaciones de hecho, sin que ello excluya que por el legislador se pueda establecer un sistema de equiparación en el que estas situaciones puedan llegar a beneficiarse de los plenos derechos y beneficios del matrimonio. </w:t>
      </w:r>
    </w:p>
    <w:p w:rsidR="008B3772" w:rsidRDefault="008B3772" w:rsidP="008B3772">
      <w:pPr>
        <w:pStyle w:val="TextoNormal"/>
      </w:pPr>
      <w:r>
        <w:t xml:space="preserve">c) El órgano promotor de la cuestión compara la situación en la que se hallaría el cónyuge separado cuando el causante no vuelve a contraer un subsiguiente matrimonio con aquella otra en la que se situaría el segundo cónyuge del causante cuando éste falleciera constante el segundo matrimonio. La diferencia de la adición o no en uno y otro caso de los correspondientes periodos en blanco o neutros constituye el elemento decisivo para el juzgador en orden a establecer la pretendida contradicción con el art. 14 CE. </w:t>
      </w:r>
    </w:p>
    <w:p w:rsidR="008B3772" w:rsidRDefault="008B3772" w:rsidP="008B3772">
      <w:pPr>
        <w:pStyle w:val="TextoNormal"/>
      </w:pPr>
      <w:r>
        <w:t xml:space="preserve">Tras reproducir la doctrina constitucional en relación con el principio de igualdad, el Fiscal General del Estado señala que su aplicación al caso permite afirmar que los supuestos contemplados no son iguales, en cuanto el elemento de la igualación no introducido por el legislador (inconstitucionalidad por omisión) no carece en absoluto de relevancia y fundamento racional, pues existe una justificación objetiva y razonable, cual es la de que al tiempo del fallecimiento del causante el cónyuge convive con éste y la pensión de viudedad se concibe entonces como remedio de reparación de un daño. En este sentido el Tribunal Constitucional ha conceptuado la pensión de viudedad como un medio compensatorio frente a un daño, y no tanto su finalidad de amparo frente a una situación de necesidad (SSTC 184/1990; 214/2000). </w:t>
      </w:r>
    </w:p>
    <w:p w:rsidR="008B3772" w:rsidRDefault="008B3772" w:rsidP="008B3772">
      <w:pPr>
        <w:pStyle w:val="TextoNormal"/>
      </w:pPr>
      <w:r>
        <w:t xml:space="preserve">En definitiva esta configuración de la pensión de viudedad obedece a una particular opción del legislador, que resulta razonable y proporcionada, sobre todo si se tiene en cuenta que existe un engañoso planteamiento argumental en la tesis sostenida por el órgano promotor de la cuestión de inconstitucionalidad, que hace pivotar la comparación de las dos situaciones en la pretendida existencia de un denominado periodo blanco o neutro, que en el primer caso atribuiría presuntamente su cuantía a la Seguridad Social y en el otro se reconocería al segundo cónyuge. Sin embargo ese periodo como tal es una mera creación artificiosa del Juez, pues no es un periodo al que se reconozca relevancia jurídica o sustantividad alguna ni por la norma ni por la jurisprudencia del Tribunal Supremo, ya que simplemente se trata de un periodo de tiempo en el que el causante se mantiene sin contraer matrimonio, y que a estos efectos es tan irrelevante como el tiempo que transcurre desde que se alcanza la mayoría de edad hasta que se establece el posterior vínculo matrimonial. En este supuesto, una vez cotizado el periodo correspondiente, el cónyuge supérstite, con </w:t>
      </w:r>
      <w:r>
        <w:lastRenderedPageBreak/>
        <w:t xml:space="preserve">independencia del mayor o menor tiempo que lo hubiere sido de su causante, devengaría la totalidad de la pensión sin especialidad ni regla proporcional alguna. </w:t>
      </w:r>
    </w:p>
    <w:p w:rsidR="008B3772" w:rsidRDefault="008B3772" w:rsidP="008B3772">
      <w:pPr>
        <w:pStyle w:val="TextoNormal"/>
      </w:pPr>
      <w:r>
        <w:t xml:space="preserve">Por tanto no se trata de que el legislador reconozca unos determinados efectos al periodo neutro en un caso y otros distintos en el otro, sino simplemente de que el legislador no lo contempla y, en consecuencia, no establece distinción alguna. Al no existir el proceso relacional que pretende establecer el Juzgador, difícilmente puede afirmarse la existencia de discriminación. </w:t>
      </w:r>
    </w:p>
    <w:p w:rsidR="008B3772" w:rsidRDefault="008B3772" w:rsidP="008B3772">
      <w:pPr>
        <w:pStyle w:val="TextoNormal"/>
      </w:pPr>
      <w:r>
        <w:t xml:space="preserve">d) Finalmente en el Auto se alude a la supuesta lesión del principio de igualdad (art. 14 CE), aduciendo la necesidad de un tratamiento legal diverso para los cónyuges separados y para los divorciados cuando en ambos casos percibieren la pensión de viudedad. Se argumenta que la falta de disolución del vínculo matrimonial en el primer caso debiera acarrear consecuencias diferentes a las del segundo supuesto. En definitiva, se invoca una pretendida discriminación por indiferenciación, siendo reiterada doctrina constitucional que el art. 14 CE reconoce el derecho a no sufrir discriminaciones o diferenciaciones carentes de justificación objetiva y razonable, pero no ampara el hipotético derecho a imponer o exigir diferencias de trato, resultando ajena al ámbito del mencionado derecho fundamental la discriminación por indiferenciación. </w:t>
      </w:r>
    </w:p>
    <w:p w:rsidR="008B3772" w:rsidRDefault="008B3772" w:rsidP="008B3772">
      <w:pPr>
        <w:pStyle w:val="TextoNormal"/>
      </w:pPr>
      <w:r>
        <w:t>El Fiscal General del Estado concluye su escrito de alegaciones interesando que se estime que la presente cuestión de inconstitucionalidad es notoriamente infundada, por lo que procede acordar su inadmisión a trámite.</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Juzgado de lo Social núm. 1 de Tarragona plantea cuestión de inconstitucionalidad en relación con el primer inciso del art. 174.2 del Real Decreto Legislativo 1/1994, de 20 de junio, por el que se aprueba el texto refundido de la Ley general de la Seguridad Social (LGSS), en la redacción dada por la disposición adicional decimotercera de la Ley 66/1997, de 30 de diciembre, de medidas fiscales, administrativas y del orden social. El inciso cuestionado resulta del siguiente tenor:</w:t>
      </w:r>
    </w:p>
    <w:p w:rsidR="008B3772" w:rsidRDefault="008B3772" w:rsidP="008B3772">
      <w:pPr>
        <w:pStyle w:val="TextoNormal"/>
      </w:pPr>
      <w:r>
        <w:t>“En los supuestos de separación o divorcio, el derecho a la pensión de viudedad corresponderá a quien sea o haya sido cónyuge legítimo, en este último caso siempre que no hubiese contraído nuevas nupcias, en cuantía proporcional al tiempo vivido con el cónyuge fallecido, con independencia de las causas que hubieran determinado la separación o el divorcio”.</w:t>
      </w:r>
    </w:p>
    <w:p w:rsidR="008B3772" w:rsidRDefault="008B3772" w:rsidP="008B3772">
      <w:pPr>
        <w:pStyle w:val="TextoNormal"/>
      </w:pPr>
      <w:r>
        <w:t>El órgano judicial considera, en síntesis, que la previsión legal de que la cuantía de la pensión de viudedad en los supuestos de separación judicial sea proporcional al tiempo vivido con el cónyuge fallecido es contraria al principio de igualdad (art.  14 CE), por establecer un trato diferenciado entre el cónyuge judicialmente separado y el cónyuge no separado carente de justificación, y un trato no diferenciado entre el cónyuge judicialmente separado y el divorciado, cuando se trata de situaciones notoriamente distintas, pudiendo incluso constituir una discriminación legal por razón de una circunstancia personal.</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El Fiscal General del Estado, aunque en el escrito de alegaciones presentado en el trámite de audiencia abierto por providencia de 27 de marzo de 2007 interesa la inadmisión de la presente cuestión de inconstitucionalidad por resultar notoriamente infundada (art. 37.1 LOTC), argumenta también sobre su viabilidad procesal, al entender que el órgano </w:t>
      </w:r>
      <w:r>
        <w:lastRenderedPageBreak/>
        <w:t>judicial no plantea en este caso una duda de constitucionalidad sobre el precepto legal cuestionado, sino sobre la interpretación que la Sala de lo Social del Tribunal Supremo efectúa del mismo, de la que el órgano judicial promotor de la cuestión discrepa, lo que, en opinión del Fiscal General del Estado, podría determinar la falta de la correcta formulación del juicio de relevancia y, por ende, la posibilidad de inadmitir la cuestión de inconstitucionalidad por esta particular causa.</w:t>
      </w:r>
    </w:p>
    <w:p w:rsidR="008B3772" w:rsidRDefault="008B3772" w:rsidP="008B3772">
      <w:pPr>
        <w:pStyle w:val="TextoNormal"/>
      </w:pPr>
      <w:r>
        <w:t>Ante este planteamiento ha de recordarse, de acuerdo con una reiterada doctrina constitucional, que la finalidad de la cuestión de inconstitucionalidad no es en modo alguno resolver controversias interpretativas sobre la legalidad surgidas entre órganos jurisdiccionales o dudas sobre el alcance de determinado precepto legal, para lo cual el Ordenamiento jurídico dispone de otros cauces. Su función se reduce así al enjuiciamiento de conformidad a la Constitución de una norma con rango de Ley que sea aplicable al caso y de cuya validez dependa el fallo (SSTC 157/1990, de 18 de octubre, FJ 2; 114/1994, de 14 de abril, FJ 2; 273/2005, de 27 de octubre, FJ 2; ATC 62/1997, de 26 de febrero, FJ 2). Pues bien, en este caso hay que entender que la presente cuestión de inconstitucionalidad resulta procesalmente viable, porque el órgano judicial duda efectivamente de la constitucionalidad de un precepto legal aplicable al caso, de cuya validez depende la decisión del proceso a quo y a cuyo tenor literal, que estima que puede ser contrario a la Constitución, se considera sujeto, sin que este Tribunal deba rectificar el entendimiento que muestra sobre su sujeción al enunciado legal de cuya constitucionalidad duda, ya que es claro que la interpretación conforme a la Constitución de los preceptos legales tiene también sus límites, entre los que se encuentra el propio tenor literal de aquéllos (SSTC 222/1992, de 11 de diciembre, FJ 2; 138/2005, de 26 de junio, FJ 5; 273/2005, de 27 de octubre, FJ 2).</w:t>
      </w:r>
    </w:p>
    <w:p w:rsidR="008B3772" w:rsidRDefault="008B3772" w:rsidP="008B3772">
      <w:pPr>
        <w:pStyle w:val="TextoNormal"/>
      </w:pPr>
      <w:r>
        <w:t>De otra parte este Tribunal ya ha tenido ocasión de declarar que el hecho de que sea posible una interpretación de la norma cuestionada que sea conforme a la Constitución no permite considerar la cuestión en sí misma como mal fundada, pues lo cierto es que el art. 163 CE y el art. 35 LOTC se limitan a exigir como único requisito de fondo el que una norma con rango de ley aplicable al caso y de cuya validez dependa el fallo pueda ser contraria a la Constitución, sin condicionar el planteamiento de la cuestión a la imposibilidad de la interpretación conforme a la Constitución. Y, si bien el art.  5.3 de la Ley Orgánica del Poder Judicial (LOPJ) dice textualmente que “procederá el planteamiento de la cuestión de inconstitucionalidad, cuando por vía interpretativa no sea posible la acomodación de la norma al ordenamiento constitucional”, tal regla no puede entenderse como limitativa de los términos sobre el planteamiento de la cuestión contenidos en el art. 37 LOTC y ofrece únicamente a los Jueces y Tribunales la alternativa entre llevar a cabo la interpretación conforme a la Constitución o plantear la cuestión de inconstitucionalidad [SSTC 105/1988, de 8 de junio, FJ 1 c); 273/2005, de 27 de octubre, FJ 2, por todas].</w:t>
      </w:r>
    </w:p>
    <w:p w:rsidR="008B3772" w:rsidRDefault="008B3772" w:rsidP="008B3772">
      <w:pPr>
        <w:pStyle w:val="TextoNormal"/>
      </w:pPr>
    </w:p>
    <w:p w:rsidR="008B3772" w:rsidRDefault="008B3772" w:rsidP="008B3772">
      <w:pPr>
        <w:pStyle w:val="TextoNormal"/>
      </w:pPr>
      <w:r w:rsidRPr="008B3772">
        <w:rPr>
          <w:rStyle w:val="NumeroAFNegritaCaracter"/>
        </w:rPr>
        <w:t>3</w:t>
      </w:r>
      <w:r>
        <w:t>. En cuanto a la duda de constitucionalidad, el órgano promotor de la cuestión considera que el precepto legal cuestionado puede ser contrario al principio de igualdad (art. 14 CE), al conceder al cónyuge judicialmente separado el derecho a la pensión de viudedad en “cuantía proporcional al tiempo vivido con el cónyuge fallecido”. Argumenta al respecto que tal previsión introduce un factor de distinción entre el cónyuge separado y el no separado que carece de una justificación objetiva, razonable y proporcionada, ya que éste percibe la pensión íntegra, en tanto que la de aquél se reduce en proporción al tiempo de convivencia con el causante, tratándose de situaciones de hecho cuya única diferencia real es la existencia o falta de convivencia, respectivamente, sin que se pueda conferir relevancia a la convi</w:t>
      </w:r>
      <w:r>
        <w:lastRenderedPageBreak/>
        <w:t>vencia de los cónyuges, ya que de lo contrario se privaría de fundamento a la doctrina constitucional que niega el derecho a la pensión de viudedad en las uniones de hecho al conviviente no casado. A su vez esta diferenciación es resultado de la equiparación, contraria también al principio de igualdad, que se efectúa en el precepto entre el cónyuge judicialmente separado y el divorciado, cuando sus situaciones son notoriamente distintas, pues en los supuestos de separación, a diferencia de los de divorcio, el vínculo matrimonial sigue existiendo hasta el fallecimiento del causante. Finalmente el precepto también pudiera ser contrario al art. 14 CE, al introducir una discriminación legal por razón de una circunstancia personal, ya que se penaliza a quien con su separación puede estar ejerciendo otros derechos constitucionales protegidos, como el derecho a la vida o a la integridad física.</w:t>
      </w:r>
    </w:p>
    <w:p w:rsidR="008B3772" w:rsidRDefault="008B3772" w:rsidP="008B3772">
      <w:pPr>
        <w:pStyle w:val="TextoNormal"/>
      </w:pPr>
      <w:r>
        <w:t>La cuestión de inconstitucionalidad, en cuanto a los temas de fondo planteados, resulta notoriamente infundada (art. 37.1 LOTC), por las razones que a continuación se exponen y de acuerdo con una reiterada doctrina constitucional, según la cual el concepto de cuestión “notoriamente infundada” del art. 37.1 LOTC encierra un grado de indefinición que se traduce procesalmente en otorgar a este Tribunal un margen de apreciación a la hora de controlar la solidez de la fundamentación de las cuestiones de inconstitucionalidad. A este respecto, desde sus primeras decisiones, el Tribunal ha mantenido una línea interpretativa muy flexible, cuya finalidad fundamental ha sido, además de contribuir a la consolidación de la institución procesal, fomentar la colaboración entre órganos judiciales y jurisdicción constitucional en orden a cumplir el mandato de asegurar la supremacía de la Constitución mediante la depuración del Ordenamiento jurídico a través de la expulsión de éste de las normas con fuerza de ley contrarias a la Constitución (STC 17/1981, de 1 de junio). Sin embargo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Esto es precisamente lo que sucede en el presente caso, en el que en esta fase procesal, sin excesivo esfuerzo argumental, es posible concluir que la norma cuestionada no resulta inconstitucional (AATC 307/1990, de 17 de julio, 47/2004, de 10 de febrero, 200/2007, de 27 de marzo, por todos).</w:t>
      </w:r>
    </w:p>
    <w:p w:rsidR="008B3772" w:rsidRDefault="008B3772" w:rsidP="008B3772">
      <w:pPr>
        <w:pStyle w:val="TextoNormal"/>
      </w:pPr>
    </w:p>
    <w:p w:rsidR="008B3772" w:rsidRDefault="008B3772" w:rsidP="008B3772">
      <w:pPr>
        <w:pStyle w:val="TextoNormal"/>
      </w:pPr>
      <w:r w:rsidRPr="008B3772">
        <w:rPr>
          <w:rStyle w:val="NumeroAFNegritaCaracter"/>
        </w:rPr>
        <w:t>4</w:t>
      </w:r>
      <w:r>
        <w:t>. En la determinación de la viabilidad de la presente cuestión de inconstitucionalidad en cuanto a los temas de fondo suscitados es necesario traer a colación la reiterada doctrina de este Tribunal sobre el principio de igualdad, en los aspectos que aquí y ahora interesan:</w:t>
      </w:r>
    </w:p>
    <w:p w:rsidR="008B3772" w:rsidRDefault="008B3772" w:rsidP="008B3772">
      <w:pPr>
        <w:pStyle w:val="TextoNormal"/>
      </w:pPr>
      <w:r>
        <w:t>a) El art. 14 CE contiene en su primer inciso una cláusula general de igualdad de todos los españoles ante la Ley, habiendo sido configurado este principio general de igualdad, por una conocida doctrina constitucional,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w:t>
      </w:r>
    </w:p>
    <w:p w:rsidR="008B3772" w:rsidRDefault="008B3772" w:rsidP="008B3772">
      <w:pPr>
        <w:pStyle w:val="TextoNormal"/>
      </w:pPr>
      <w:r>
        <w:t xml:space="preserve">Como tiene declarado este Tribunal desde la STC 22/1981, de 2 de julio, recogiendo al respecto la doctrina del Tribunal Europeo de Derecho Humanos en relación con el art. 14 del Convenio europeo para la protección de los derechos humanos y de las libertades fundamentales (CEDH), el principio de igualdad no implica en todos los casos un tratamiento legal igual, con abstracción de cualquier elemento diferenciador de relevancia jurídica, de </w:t>
      </w:r>
      <w:r>
        <w:lastRenderedPageBreak/>
        <w:t>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concurra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resulten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200/2001, de 4 de octubre, FJ 4 por todas).</w:t>
      </w:r>
    </w:p>
    <w:p w:rsidR="008B3772" w:rsidRDefault="008B3772" w:rsidP="008B3772">
      <w:pPr>
        <w:pStyle w:val="TextoNormal"/>
      </w:pPr>
      <w:r>
        <w:t>b) La virtualidad del art. 14 CE no se agota, sin embargo, en la cláusula general de igualdad con la que se inicia su contenido, sino que a continuación el precepto constitucional se refiere a la prohibición de una serie de motivos o razones concretos de discriminación. Esta referencia expresa a tales motivos o razones de discriminación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(SSTC 128/1987, de 16 de julio, FJ 5; 166/1988, de 26 de septiembre, FJ 2; 145/1991, de 1 de julio, FJ 2; 200/2001, de 4 de octubre, FJ 4).</w:t>
      </w:r>
    </w:p>
    <w:p w:rsidR="008B3772" w:rsidRDefault="008B3772" w:rsidP="008B3772">
      <w:pPr>
        <w:pStyle w:val="TextoNormal"/>
      </w:pPr>
    </w:p>
    <w:p w:rsidR="008B3772" w:rsidRDefault="008B3772" w:rsidP="008B3772">
      <w:pPr>
        <w:pStyle w:val="TextoNormal"/>
      </w:pPr>
      <w:r w:rsidRPr="008B3772">
        <w:rPr>
          <w:rStyle w:val="NumeroAFNegritaCaracter"/>
        </w:rPr>
        <w:t>5</w:t>
      </w:r>
      <w:r>
        <w:t>. La primera de las razones en las que el órgano judicial funda su duda de constitucionalidad es el trato diferenciado que resulta del precepto legal cuestionado entre el cónyuge judicialmente separado y el no separado, carente, en su opinión, de justificación.</w:t>
      </w:r>
    </w:p>
    <w:p w:rsidR="008B3772" w:rsidRDefault="008B3772" w:rsidP="008B3772">
      <w:pPr>
        <w:pStyle w:val="TextoNormal"/>
      </w:pPr>
      <w:r>
        <w:t>Como resulta de la doctrina que se ha reseñado en el fundamento jurídico precedente, la primera premisa que requiere un posible juicio de igualdad es la existencia de situaciones o supuestos de hecho que, desde todos los puntos de vista legalmente adoptables, sean iguales, esto es, es precisa la “identidad de los supuestos fácticos que se pretenden comparar, puesto que lo que deriva de dicho precepto [art. 14 CE] es el derecho a que supuestos de hecho sustancialmente iguales sean tratados idénticamente en sus consecuencias jurídicas” (STC 212/1993, de 28 de junio, FJ 6), de modo que para poder apreciar una vulneración del art. 14 “es conditio sine qua non que los términos de comparación que se aportan para ilustrar la desigualdad denunciada sean homogéneos” (STC 1/2001, de 15 de enero, FJ 3).</w:t>
      </w:r>
    </w:p>
    <w:p w:rsidR="008B3772" w:rsidRDefault="008B3772" w:rsidP="008B3772">
      <w:pPr>
        <w:pStyle w:val="TextoNormal"/>
      </w:pPr>
      <w:r>
        <w:t xml:space="preserve">Pues bien, la heterogeneidad de las situaciones que se pretende comparar impide la apreciación de la denunciada quiebra del principio de igualdad, ya que no pueden considerarse supuestos fácticos sustancialmente idénticos el del cónyuge no separado a la muerte del </w:t>
      </w:r>
      <w:r>
        <w:lastRenderedPageBreak/>
        <w:t>causante y el del cónyuge que al fallecimiento de éste se encuentra legalmente separado, dado que, en tanto que el primero convive con el causante en el momento de su fallecimiento, no habiéndose interrumpido la convivencia matrimonial, el segundo, como consecuencia de la separación judicial, no convive con el causante, pues uno de los efectos esenciales de la separación matrimonial es el cese de la convivencia conyugal (art. 83 del Código civil: CC).</w:t>
      </w:r>
    </w:p>
    <w:p w:rsidR="008B3772" w:rsidRDefault="008B3772" w:rsidP="008B3772">
      <w:pPr>
        <w:pStyle w:val="TextoNormal"/>
      </w:pPr>
      <w:r>
        <w:t>El órgano judicial promotor de la cuestión de inconstitucionalidad pretende superar este importante elemento diferencial entre el cónyuge judicialmente no separado a la muerte del causante y el separado judicialmente, argumentando que la convivencia no es un factor que pueda tenerse en cuenta, de acuerdo con la reiterada doctrina de este Tribunal que ha venido declarando la constitucionalidad de la exigencia del requisito del vínculo matrimonial para tener derecho a la pensión de viudedad, de modo que no es contraria a la Constitución la exclusión de quienes conviven de hecho sin que nada les impida contraer matrimonio (STC 184/1990, de 15 de noviembre; ATC 203/2005, de 10 de mayo), para concluir afirmando que son idénticas las situaciones que se pretenden comparar, pues en el supuesto de la separación matrimonial continúa existiendo el vínculo matrimonial. Sin embargo, tal razonamiento parte de la confusión entre el establecimiento de un requisito como presupuesto para acceder al derecho a la pensión de viudedad —la exigencia del vínculo matrimonial— y el criterio o los criterios de fijación de la cuantía de la pensión en razón de las posibles vicisitudes matrimoniales que puedan darse, fruto de la personal autonomía y libertad de quienes han contraído matrimonio. En otras palabras, no cabe apreciar contradicción alguna entre la doctrina de este Tribunal, que ha estimado que no es contraria a la Constitución la exigencia del vínculo matrimonial para tener derecho a acceder a la pensión de viudedad, y la circunstancia de que el legislador utilice como criterio la continuidad o la interrupción de la convivencia con el causante para determinar la cuantía de la pensión de viudedad.</w:t>
      </w:r>
    </w:p>
    <w:p w:rsidR="008B3772" w:rsidRDefault="008B3772" w:rsidP="008B3772">
      <w:pPr>
        <w:pStyle w:val="TextoNormal"/>
      </w:pPr>
      <w:r>
        <w:t>En cualquier caso, con independencia de las dudas que pudieran surgir en cuanto a la idoneidad de los términos que se pretende comparar, lo cierto es que la diferencia que pudiera resultar respecto a la cuantía de la pensión del cónyuge no separado del causante, en el caso de que percibiese la pensión en su integridad, y del cónyuge judicialmente separado, al que le correspondería una pensión en cuantía proporcional al tiempo vivido con el cónyuge fallecido, no carece de una justificación objetiva, razonable y proporcionada en atención a la finalidad de la pensión de viudedad, cual es, como hemos declarado con reiteración y el Fiscal General del Estado recuerda en sus alegaciones, no la de “atender a una situación de necesidad o dependencia económica, asegurando un mínimo de renta, sino más bien compensar frente a un daño, cual es la falta o minoración de unos ingresos en los que participaba el cónyuge supérstite, y, en general, afrontar las repercusiones económicas causadas por la actualización de una contingencia, siendo irrelevante que el fallecimiento cree o no un estado de necesidad” (AATC 77/2004, de 9 de marzo; 174/2004, de 11 de mayo; 393/2004, de 19 de octubre).</w:t>
      </w:r>
    </w:p>
    <w:p w:rsidR="008B3772" w:rsidRDefault="008B3772" w:rsidP="008B3772">
      <w:pPr>
        <w:pStyle w:val="TextoNormal"/>
      </w:pPr>
      <w:r>
        <w:t xml:space="preserve">Por lo demás este Tribunal ya ha tenido ocasión de declarar que el reconocimiento del derecho a pensión de viudedad en proporción al tiempo de convivencia del cónyuge separado y del divorciado, aunque no es la única opción posible, es “una opción legítima y de carácter neutro que perseguía y persigue establecer reglas de carácter general que pueden servir de guía a la hora de resolver las muy numerosas situaciones matrimoniales que pudieran acaecer en la compleja y siempre rica realidad derivada del respeto al libre desarrollo de la personalidad, teniendo en cuenta la opción legislativa adoptada, la existencia concurrente de varios intereses y derechos constitucionalmente protegidos [de modo que dicha] opción legislativa ... no responde en consecuencia a un criterio arbitrario, ni a la apreciación </w:t>
      </w:r>
      <w:r>
        <w:lastRenderedPageBreak/>
        <w:t>de circunstancias personales o sociales proscritas por el art. 14 CE”, sin que por otra parte ofrezca dudas de proporcionalidad la solución adoptada, “pues ésta enlaza directamente con el tiempo de convivencia con el causante” (STC 186/2004, de 2 de noviembre, FJ 4; AATC 64/2004 y 65/2004, de 26 de febrero).</w:t>
      </w:r>
    </w:p>
    <w:p w:rsidR="008B3772" w:rsidRDefault="008B3772" w:rsidP="008B3772">
      <w:pPr>
        <w:pStyle w:val="TextoNormal"/>
      </w:pPr>
    </w:p>
    <w:p w:rsidR="008B3772" w:rsidRDefault="008B3772" w:rsidP="008B3772">
      <w:pPr>
        <w:pStyle w:val="TextoNormal"/>
      </w:pPr>
      <w:r w:rsidRPr="008B3772">
        <w:rPr>
          <w:rStyle w:val="NumeroAFNegritaCaracter"/>
        </w:rPr>
        <w:t>6</w:t>
      </w:r>
      <w:r>
        <w:t>. La segunda de las razones en las que el órgano judicial promotor de la cuestión de inconstitucionalidad sustenta la denunciada vulneración del principio de igualdad (art. 14 CE) estriba en la falta de diferenciación entre el cónyuge judicialmente separado y el divorciado.</w:t>
      </w:r>
    </w:p>
    <w:p w:rsidR="008B3772" w:rsidRDefault="008B3772" w:rsidP="008B3772">
      <w:pPr>
        <w:pStyle w:val="TextoNormal"/>
      </w:pPr>
      <w:r>
        <w:t>El órgano judicial lo que plantea es una “discriminación por indiferenciación”, como consecuencia de aplicar el mismo criterio en orden a determinar la cuantía de la pensión de viudedad del cónyuge judicialmente separado del causante y del cónyuge que se ha divorciado de éste. Para desestimar en este extremo la duda de constitucionalidad es suficiente con poner de manifiesto, de acuerdo con la doctrina constitucional antes reseñada, que el principio constitucional de igualdad reconocido en el art. 14 CE garantiza el derecho a no padecer discriminaciones o diferencias carentes de justificación objetiva y razonable, pero no ampara la falta de distinción entre supuestos iguales, esto es, el hipotético derecho a imponer o exigir diferencias de trato (SSTC 52/1987, de 7 de mayo, FJ 3; 48/1989, de 21 de febrero, FJ 5; 308/1994, de 21 de noviembre, FJ 5; 36/1999, de 22 de marzo, FJ 4; 88/2001, de 2 de abril, FJ 3). En suma, siendo ajena al ámbito del mencionado precepto constitucional la llamada “discriminación por indiferenciación” ha de ser desestimada la supuesta quiebra del principio de igualdad que suscita el órgano judicial.</w:t>
      </w:r>
    </w:p>
    <w:p w:rsidR="008B3772" w:rsidRDefault="008B3772" w:rsidP="008B3772">
      <w:pPr>
        <w:pStyle w:val="TextoNormal"/>
      </w:pPr>
      <w:r>
        <w:t>A lo que ha de añadirse que el trato en este caso igual que el legislador otorga al cónyuge judicialmente separado del causante y al cónyuge divorciado de éste al fijar la cuantía de la pensión de viudedad halla su fundamento en la opción por parte del legislador de tomar en ambos casos como criterio el tiempo de convivencia conyugal con el causante, en cuyo periodo de tiempo se ha realizado la pertinente cotización a la Seguridad Social a los efectos de la pensión. En definitiva, aquel trato igual que le suscita dudas de constitucionalidad al órgano judicial encuentra su razón de ser en la idéntica situación en la que se hallan el cónyuge judicialmente separado y el cónyuge divorciado del causante respecto al elemento tomado en consideración por el legislador para fijar la cuantía de la pensión de viudedad.</w:t>
      </w:r>
    </w:p>
    <w:p w:rsidR="008B3772" w:rsidRDefault="008B3772" w:rsidP="008B3772">
      <w:pPr>
        <w:pStyle w:val="TextoNormal"/>
      </w:pPr>
    </w:p>
    <w:p w:rsidR="008B3772" w:rsidRDefault="008B3772" w:rsidP="008B3772">
      <w:pPr>
        <w:pStyle w:val="TextoNormal"/>
      </w:pPr>
      <w:r w:rsidRPr="008B3772">
        <w:rPr>
          <w:rStyle w:val="NumeroAFNegritaCaracter"/>
        </w:rPr>
        <w:t>7</w:t>
      </w:r>
      <w:r>
        <w:t>. Por último, carece de todo fundamento la discriminación contraria al art. 14 CE que se le imputa al precepto cuestionado por introducir supuestamente una discriminación en razón de una circunstancia personal, pues el principio de igualdad y la proscripción de discriminación que el establece el art. 14 CE en modo alguno vedan que el legislador tenga en cuenta la situación matrimonial existente o que hubiese existido entre el cónyuge supérstite y el causante en orden a determinar el criterio de fijación de la cuantía de la pensión de viudedad.</w:t>
      </w:r>
    </w:p>
    <w:p w:rsidR="008B3772" w:rsidRDefault="008B3772" w:rsidP="008B3772">
      <w:pPr>
        <w:pStyle w:val="TextoNormal"/>
      </w:pPr>
    </w:p>
    <w:p w:rsidR="008B3772" w:rsidRDefault="008B3772" w:rsidP="008B3772">
      <w:pPr>
        <w:pStyle w:val="TextoNormal"/>
      </w:pPr>
      <w:r>
        <w:t>Por lo expuesto, el Pleno</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Inadmitir a trámite la presente cuestión de inconstitucionalidad.</w:t>
      </w:r>
    </w:p>
    <w:p w:rsidR="008B3772" w:rsidRDefault="008B3772" w:rsidP="008B3772">
      <w:pPr>
        <w:pStyle w:val="TextoNormal"/>
      </w:pPr>
    </w:p>
    <w:p w:rsidR="008B3772" w:rsidRDefault="008B3772" w:rsidP="008B3772">
      <w:pPr>
        <w:pStyle w:val="TextoNormal"/>
      </w:pPr>
      <w:r>
        <w:t>Publíquese el presente Auto en el “Boletín Oficial del Estado”.</w:t>
      </w:r>
    </w:p>
    <w:p w:rsidR="008B3772" w:rsidRDefault="008B3772" w:rsidP="008B3772">
      <w:pPr>
        <w:pStyle w:val="TextoNormal"/>
      </w:pPr>
      <w:r>
        <w:lastRenderedPageBreak/>
        <w:t>Madrid, a doce de julio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93" w:name="AUTO_2007_329"/>
      <w:r>
        <w:lastRenderedPageBreak/>
        <w:t>AUTO 329/2007, de 12 de julio de 2007</w:t>
      </w:r>
    </w:p>
    <w:bookmarkEnd w:id="193"/>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ECLI:ES:TC:2007:329A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Inadmite a trámite el recurso de inconstitucionalidad 5579-2007, planteado por el Consell de la Generalitat Valenciana en relación con la Ley Orgánica 2/2007, de 19 de marzo, de reforma del Estatuto de Autonomía de Andalucía.</w:t>
      </w:r>
    </w:p>
    <w:p w:rsidR="008B3772" w:rsidRDefault="008B3772" w:rsidP="008B3772">
      <w:pPr>
        <w:pStyle w:val="SntesisDescriptiva"/>
      </w:pPr>
    </w:p>
    <w:p w:rsidR="008B3772" w:rsidRDefault="008B3772" w:rsidP="008B3772">
      <w:pPr>
        <w:pStyle w:val="SntesisAnaltica"/>
      </w:pPr>
      <w:r>
        <w:t>Declaración de inconstitucionalidad: fallo interpretativo.</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xml:space="preserve">. Mediante escrito registrado en este Tribunal el día 20 de junio de 2007, la Abogada General de la Generalitat Valenciana, en representación del Consell de dicha Comunidad, interpone recurso de inconstitucionalidad contra el apartado segundo de la disposición adicional tercera de la Ley Orgánica 2/2007, de 19 de marzo, de reforma del Estatuto de Autonomía de Andalucía. </w:t>
      </w:r>
    </w:p>
    <w:p w:rsidR="008B3772" w:rsidRDefault="008B3772" w:rsidP="008B3772">
      <w:pPr>
        <w:pStyle w:val="TextoNormal"/>
      </w:pPr>
      <w:r>
        <w:t>La Ley Orgánica 2/2007 se ha publicado en el Boletín Oficial del Estado del día 20 de marzo de 2007.</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La disposición adicional tercera, apartado 2, de la Ley Orgánica 2/2007, objeto del recurso de inconstitucionalidad, dispone lo siguiente: “La inversión destinada a Andalucía será equivalente al peso de la población andaluza sobre el conjunto del Estado para un período de siete años”. </w:t>
      </w:r>
    </w:p>
    <w:p w:rsidR="008B3772" w:rsidRDefault="008B3772" w:rsidP="008B3772">
      <w:pPr>
        <w:pStyle w:val="TextoNormal"/>
      </w:pPr>
      <w:r>
        <w:t xml:space="preserve">El escrito de interposición del recurso de inconstitucionalidad justifica, en primer lugar, la legitimación del Consell de la Generalitat Valenciana para recurrir la Ley Orgánica 2/2007, ex art. 32.2 LOTC, aduciendo en tal sentido la doctrina constitucional contenida, entre otras resoluciones, en las SSTC 84/1982, 26/1987, 74/1987 o 199/1987, de manera que aquél puede interponer el recurso en defensa de la depuración objetiva del ordenamiento en la medida en que las funciones que corresponden a la Generalitat Valenciana pueden verse afectadas. </w:t>
      </w:r>
    </w:p>
    <w:p w:rsidR="008B3772" w:rsidRDefault="008B3772" w:rsidP="008B3772">
      <w:pPr>
        <w:pStyle w:val="TextoNormal"/>
      </w:pPr>
      <w:r>
        <w:t xml:space="preserve">En cuanto al fondo del asunto, la demanda, en sus tres páginas de fundamentación jurídica sustantiva contiene un planteamiento que no cuestiona la inconstitucionalidad del precepto estatutario recurrido, sino su “incongruencia” respecto de lo establecido en la disposición adicional tercera del Estatuto de Cataluña, reclamando del Tribunal que salve la indicada incongruencia entre ambos preceptos estatutarios a través de su labor interpretativa. </w:t>
      </w:r>
      <w:r>
        <w:lastRenderedPageBreak/>
        <w:t xml:space="preserve">En este sentido, el fundamento primero de la demanda explicita lo siguiente: “El Consell de la Generalitat, tras el análisis jurídico de todo el texto de la Ley Orgánica 2/2007, de 19 de marzo, de reforma del Estatuto de Autonomía para Andalucía, considera que este texto estatutario es plenamente constitucional, si bien se plantean dudas respecto a un muy concreto precepto del mismo, notando (sic; debe decir “no tanto”) en sí mismo considerado sino por su incongruencia con otra norma ya vigente y pendiente de decisión del Tribunal Constitucional por estar ya recurrida: el apartado primero de la disposición adicional tercera del Estatuto de Autonomía de Cataluña”. </w:t>
      </w:r>
    </w:p>
    <w:p w:rsidR="008B3772" w:rsidRDefault="008B3772" w:rsidP="008B3772">
      <w:pPr>
        <w:pStyle w:val="TextoNormal"/>
      </w:pPr>
      <w:r>
        <w:t xml:space="preserve">En su fundamento jurídico segundo, como se ha indicado, la demanda sostiene que “el elemento esencial en el que esta representación procesal considera que debe pronunciarse el Tribunal Constitucional es la contradicción entre el apartado primero de la disposición adicional tercera del Estatuto de Autonomía de Cataluña y el apartado segundo de la disposición adicional tercera del Estatuto de Autonomía para Andalucía”. La aludida contradicción entre ambas normas estatutarias también se concreta en la demanda señalando que el precepto recurrido acoge “la opción por la población como elemento definidor del quantum de las inversiones en Andalucía, frente a la opción por el PIB que adopta el estatuto catalán”. </w:t>
      </w:r>
    </w:p>
    <w:p w:rsidR="008B3772" w:rsidRDefault="008B3772" w:rsidP="008B3772">
      <w:pPr>
        <w:pStyle w:val="TextoNormal"/>
      </w:pPr>
      <w:r>
        <w:t xml:space="preserve">En definitiva, el escrito de interposición realiza dos precisiones que determinan su planteamiento de fondo. La primera precisión se concreta en que “en términos de vinculación al principio de solidaridad, esta representación considera mucho más adecuado acudir a la variable población que a la variable producto interior bruto. Es más, la variable población es sobre la que se construye el vigente modelo de financiación autonómica, derivado de la LOFCA, norma que es asumida plenamente y con todas sus consecuencia por el Estatuto andaluz”. La segunda precisión indicada se refiere a que “es claro que se adopte la variable que se adopte, ésta debe ser la misma en todos los Estatutos, so pena de que éstos caigan en una contradicción que les haga irracionales y, por ende, arbitrarios”. </w:t>
      </w:r>
    </w:p>
    <w:p w:rsidR="008B3772" w:rsidRDefault="008B3772" w:rsidP="008B3772">
      <w:pPr>
        <w:pStyle w:val="TextoNormal"/>
      </w:pPr>
      <w:r>
        <w:t>Por último, de acuerdo con el planteamiento reproducido, el Suplico de la demanda solicita del Tribunal que “determine la interpretación constitucional el (sic; debe decir “del”) apartado segundo de la disposición adicional tercera de la Ley Orgánica 2/2007, de 19 de marzo, de reforma del Estatuto de Autonomía de Andalucía, con todos los pronunciamientos legalmente procedentes”.</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objeto de la presente resolución es determinar si el recurso de inconstitucionalidad interpuesto por el Consell de la Generalitat Valenciana contra el apartado segundo de la disposición adicional tercera de la Ley Orgánica 2/2007, de 19 de marzo, de reforma del Estatuto de Autonomía de Andalucía, satisface los requisitos exigidos para su admisión a trámite.</w:t>
      </w:r>
    </w:p>
    <w:p w:rsidR="008B3772" w:rsidRDefault="008B3772" w:rsidP="008B3772">
      <w:pPr>
        <w:pStyle w:val="TextoNormal"/>
      </w:pPr>
    </w:p>
    <w:p w:rsidR="008B3772" w:rsidRDefault="008B3772" w:rsidP="008B3772">
      <w:pPr>
        <w:pStyle w:val="TextoNormal"/>
      </w:pPr>
      <w:r w:rsidRPr="008B3772">
        <w:rPr>
          <w:rStyle w:val="NumeroAFNegritaCaracter"/>
        </w:rPr>
        <w:t>2</w:t>
      </w:r>
      <w:r>
        <w:t>. A tal fin, hemos de partir de que, de acuerdo con nuestra doctrina, el Tribunal puede examinar a través de un trámite específico el cumplimiento por los recursos de inconstitucionalidad de los requisitos de procedibilidad que les son exigibles.</w:t>
      </w:r>
    </w:p>
    <w:p w:rsidR="008B3772" w:rsidRDefault="008B3772" w:rsidP="008B3772">
      <w:pPr>
        <w:pStyle w:val="TextoNormal"/>
      </w:pPr>
      <w:r>
        <w:t xml:space="preserve">En relación con ello, hemos declarado, efectivamente, que “ha de sostenerse la pertinencia, en los recursos de inconstitucionalidad, de los incidentes previos sobre admisibilidad, ya que aunque la Ley Orgánica del Tribunal no contenga una mención expresa a los mismos —a diferencia de lo que ocurre con las cuestiones de inconstitucionalidad o con los recursos de amparo— no los excluye. Así, en cuanto el art. 34.1, al supeditar el traslado a las demás </w:t>
      </w:r>
      <w:r>
        <w:lastRenderedPageBreak/>
        <w:t>partes de las demandas a su previa admisión a trámite, presupone la verificación por el Tribunal de la concurrencia de los requisitos necesarios para ello y la eventual tramitación de incidentes previos —de hecho frecuentes en la práctica procesal del Tribunal— tendentes a subsanar determinados defectos detectados en las demandas, bien por falta de documentación imprescindible o por no acreditarse fehacientemente la voluntad concreta de recurrir en supuestos de grupos de Diputados o Senadores recurrentes, u otros similares. El art. 86.1 LOTC, por su parte señala, como se indica en el ATC 886/1988 ‘entre otros extremos, y con alcance general para todos los procesos constitucionales que las decisiones de inadmisión inicial tomadas por el Tribunal adoptarán la forma de Auto, salvo que la presente Ley disponga expresamente otra forma’”. (ATC 620/1989, de 19 de diciembre, FJ 2).</w:t>
      </w:r>
    </w:p>
    <w:p w:rsidR="008B3772" w:rsidRDefault="008B3772" w:rsidP="008B3772">
      <w:pPr>
        <w:pStyle w:val="TextoNormal"/>
      </w:pPr>
      <w:r>
        <w:t>Debemos, por tanto, verificar el cumplimiento de los requisitos de procedibilidad que son propios de este tipo de procesos.</w:t>
      </w:r>
    </w:p>
    <w:p w:rsidR="008B3772" w:rsidRDefault="008B3772" w:rsidP="008B3772">
      <w:pPr>
        <w:pStyle w:val="TextoNormal"/>
      </w:pPr>
    </w:p>
    <w:p w:rsidR="008B3772" w:rsidRDefault="008B3772" w:rsidP="008B3772">
      <w:pPr>
        <w:pStyle w:val="TextoNormal"/>
      </w:pPr>
      <w:r w:rsidRPr="008B3772">
        <w:rPr>
          <w:rStyle w:val="NumeroAFNegritaCaracter"/>
        </w:rPr>
        <w:t>3</w:t>
      </w:r>
      <w:r>
        <w:t>. En este caso, tomando en consideración el contenido del escrito de interposición y el suplico del mismo que se han sintetizado en los antecedentes, se aprecia que el presente recurso no puede ser admitido a trámite.</w:t>
      </w:r>
    </w:p>
    <w:p w:rsidR="008B3772" w:rsidRDefault="008B3772" w:rsidP="008B3772">
      <w:pPr>
        <w:pStyle w:val="TextoNormal"/>
      </w:pPr>
      <w:r>
        <w:t>En efecto, en primer lugar, la demanda no satisface todos los requisitos de admisibilidad regulados en el art. 33.1 LOTC. Este precepto dispone que la demanda en un recurso de inconstitucionalidad debe, entre otros aspectos, “concretar la Ley, disposición o acto impugnado, en todo o en parte, y precisar el precepto constitucional que se entiende infringido”. Pues bien, aunque el escrito de interposición satisface la primera de esas exigencias al precisar el precepto objeto del recurso, no hace lo propio respecto de la segunda exigencia, esto es, no precisa el precepto constitucional que se considera infringido. La no satisfacción de esta exigencia es consecuencia lógica del planteamiento que realiza la demanda, pues la misma considera que el precepto impugnado se acomoda a la Constitución.</w:t>
      </w:r>
    </w:p>
    <w:p w:rsidR="008B3772" w:rsidRDefault="008B3772" w:rsidP="008B3772">
      <w:pPr>
        <w:pStyle w:val="TextoNormal"/>
      </w:pPr>
      <w:r>
        <w:t>En segundo lugar, y como consecuencia de lo anterior, también se constata que el pronunciamiento que se solicita del Tribunal no es el propio de un procedimiento de inconstitucionalidad. En efecto, el Suplico de la demanda, en coherencia con la fundamentación jurídica de la misma, no solicita al Tribunal que declare la inconstitucionalidad del precepto recurrido, sino que “determine la interpretación constitucional del apartado segundo de la disposición adicional tercera de la Ley Orgánica 2/2007”. Es claro que esta petición no se aviene con la función jurisdiccional del Tribunal, toda vez que el recurso de inconstitucionalidad no está concebido para impugnar normas consideradas constitucionales y pedir al Tribunal que confirme tal criterio. En suma, este Tribunal Constitucional sólo podría declarar la adecuación del precepto recurrido a la Constitución en el seno de un proceso en el que se solicite su inconstitucionalidad y se desestime esa pretensión (art. 27.1 LOTC).</w:t>
      </w:r>
    </w:p>
    <w:p w:rsidR="008B3772" w:rsidRDefault="008B3772" w:rsidP="008B3772">
      <w:pPr>
        <w:pStyle w:val="TextoNormal"/>
      </w:pPr>
      <w:r>
        <w:t>En definitiva, no puede olvidarse que el Tribunal Constitucional sólo adopta resoluciones jurisdiccionales, toda vez que hemos declarado que la emanación de una Sentencia de este género, [interpretativa], no puede ser objeto de una pretensión de los recurrentes. El Tribunal Constitucional es intérprete supremo de la Constitución, no legislador, y sólo cabe solicitar de él un pronunciamiento sobre adecuación o inadecuación de los preceptos a la Constitución” (STC 5/1981, de 13 de febrero, FJ 6).</w:t>
      </w:r>
    </w:p>
    <w:p w:rsidR="008B3772" w:rsidRDefault="008B3772" w:rsidP="008B3772">
      <w:pPr>
        <w:pStyle w:val="TextoNormal"/>
      </w:pPr>
      <w:r>
        <w:t>En tercer lugar, el escrito de interposición, según se ha reproducido en los antecedentes, explícitamente considera que el precepto estatutario impugnado es plenamente constitucional, si bien plantea su incongruencia con lo regulado en el apartado primero de la disposición adicional tercera del Estatuto de Autonomía de Cataluña, de manera que la parte demandante considera que este Tribunal debe pronunciarse sobre “la contradicción entre el apar</w:t>
      </w:r>
      <w:r>
        <w:lastRenderedPageBreak/>
        <w:t>tado primero de la disposición adicional tercera del Estatuto de Cataluña y el apartado segundo de la disposición adicional tercera del Estatuto de Autonomía para Andalucía”. Por tanto, a la vista de este planteamiento y de cuanto antes se ha dejado expuesto, se desprende que el Consell recurrente no cuestiona ante este Tribunal el precepto recurrido, sino lo dispuesto en el mencionado precepto del Estatuto de Autonomía de Cataluña.</w:t>
      </w:r>
    </w:p>
    <w:p w:rsidR="008B3772" w:rsidRDefault="008B3772" w:rsidP="008B3772">
      <w:pPr>
        <w:pStyle w:val="TextoNormal"/>
      </w:pPr>
      <w:r>
        <w:t>En conclusión, la petición de que se incluya como requerimiento en el suplico de la demanda que este Tribunal realice una “interpretación constitucional” de un precepto de la Ley Orgánica 2/2007, que el propio recurrente, como se ha dicho, considera conforme con la Constitución, resulta extravagante y ajena a la jurisdicción constitucional, pues no sólo no se compadece con el objeto propio de un recurso de inconstitucionalidad en la medida en que la propia demanda lo considera ajustado a la Constitución, sino que se endereza a lograr “otra interpretación”, esta vez de inconstitucionalidad, de un precepto diferente de otro Estatuto de Autonomía (Ley Orgánica 6/2006) que ya fue recurrido en tiempo y forma (R.I. 9501-2006).</w:t>
      </w:r>
    </w:p>
    <w:p w:rsidR="008B3772" w:rsidRDefault="008B3772" w:rsidP="008B3772">
      <w:pPr>
        <w:pStyle w:val="TextoNormal"/>
      </w:pPr>
    </w:p>
    <w:p w:rsidR="008B3772" w:rsidRDefault="008B3772" w:rsidP="008B3772">
      <w:pPr>
        <w:pStyle w:val="TextoNormal"/>
      </w:pPr>
      <w:r>
        <w:t>Por todo lo expuesto, el Pleno del Tribunal Constitucional</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Inadmitir a trámite el recurso de inconstitucionalidad interpuesto por el Consell de la Generalitat Valenciana contra el apartado segundo de la disposición adicional tercera de la Ley Orgánica 2/2007, de 19 de marzo, de reforma del Estatuto de Autonomía</w:t>
      </w:r>
    </w:p>
    <w:p w:rsidR="008B3772" w:rsidRDefault="008B3772" w:rsidP="008B3772">
      <w:pPr>
        <w:pStyle w:val="TextoNormal"/>
      </w:pPr>
      <w:r>
        <w:t>de Andalucía.</w:t>
      </w:r>
    </w:p>
    <w:p w:rsidR="008B3772" w:rsidRDefault="008B3772" w:rsidP="008B3772">
      <w:pPr>
        <w:pStyle w:val="TextoNormal"/>
      </w:pPr>
    </w:p>
    <w:p w:rsidR="008B3772" w:rsidRDefault="008B3772" w:rsidP="008B3772">
      <w:pPr>
        <w:pStyle w:val="TextoNormal"/>
      </w:pPr>
      <w:r>
        <w:t>Madrid, a doce de julio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94" w:name="AUTO_2007_330"/>
      <w:r>
        <w:lastRenderedPageBreak/>
        <w:t>AUTO 330/2007, de 13 de julio de 2007</w:t>
      </w:r>
    </w:p>
    <w:bookmarkEnd w:id="194"/>
    <w:p w:rsidR="008B3772" w:rsidRDefault="008B3772" w:rsidP="008B3772">
      <w:pPr>
        <w:pStyle w:val="TtuloResolucin"/>
      </w:pPr>
      <w:r>
        <w:t>Sección Primera</w:t>
      </w:r>
    </w:p>
    <w:p w:rsidR="008B3772" w:rsidRDefault="008B3772" w:rsidP="008B3772">
      <w:pPr>
        <w:pStyle w:val="TtuloResolucin"/>
      </w:pPr>
    </w:p>
    <w:p w:rsidR="008B3772" w:rsidRDefault="008B3772" w:rsidP="008B3772">
      <w:pPr>
        <w:pStyle w:val="SntesisDescriptiva"/>
      </w:pPr>
      <w:r>
        <w:t>ECLI:ES:TC:2007:330A</w:t>
      </w:r>
    </w:p>
    <w:p w:rsidR="008B3772" w:rsidRDefault="008B3772" w:rsidP="008B3772">
      <w:pPr>
        <w:pStyle w:val="SntesisDescriptiva"/>
      </w:pPr>
    </w:p>
    <w:p w:rsidR="008B3772" w:rsidRDefault="008B3772" w:rsidP="008B3772">
      <w:pPr>
        <w:pStyle w:val="SntesisDescriptiva"/>
      </w:pPr>
      <w:r>
        <w:t>Excms. Srs. doña María Emilia Casas Baamonde, don Javier Delgado Barrio y don Manuel Aragón Reyes.</w:t>
      </w:r>
    </w:p>
    <w:p w:rsidR="008B3772" w:rsidRDefault="008B3772" w:rsidP="008B3772">
      <w:pPr>
        <w:pStyle w:val="SntesisDescriptiva"/>
      </w:pPr>
    </w:p>
    <w:p w:rsidR="008B3772" w:rsidRDefault="008B3772" w:rsidP="008B3772">
      <w:pPr>
        <w:pStyle w:val="SntesisDescriptiva"/>
      </w:pPr>
      <w:r>
        <w:t>Acuerda el desistimiento en el recurso de amparo 4878-2006, promovido por el Colegio Oficial de Pilotos de Aviación Comercial.</w:t>
      </w:r>
    </w:p>
    <w:p w:rsidR="008B3772" w:rsidRDefault="008B3772" w:rsidP="008B3772">
      <w:pPr>
        <w:pStyle w:val="SntesisDescriptiva"/>
      </w:pPr>
    </w:p>
    <w:p w:rsidR="008B3772" w:rsidRDefault="008B3772" w:rsidP="008B3772">
      <w:pPr>
        <w:pStyle w:val="TtuloResolucin"/>
      </w:pPr>
      <w:r>
        <w:t>*Este auto no incorpora doctrina constitucional.</w:t>
      </w:r>
    </w:p>
    <w:p w:rsidR="008B3772" w:rsidRDefault="008B3772">
      <w:pPr>
        <w:spacing w:after="160" w:line="259" w:lineRule="auto"/>
        <w:rPr>
          <w:rFonts w:ascii="Times New Roman" w:eastAsia="Times New Roman" w:hAnsi="Times New Roman" w:cs="Times New Roman"/>
          <w:b/>
          <w:sz w:val="24"/>
          <w:szCs w:val="24"/>
          <w:lang w:eastAsia="es-ES"/>
        </w:rPr>
      </w:pPr>
      <w:r>
        <w:br w:type="page"/>
      </w:r>
    </w:p>
    <w:p w:rsidR="008B3772" w:rsidRDefault="008B3772" w:rsidP="008B3772">
      <w:pPr>
        <w:pStyle w:val="TtuloResolucin"/>
      </w:pPr>
      <w:bookmarkStart w:id="195" w:name="AUTO_2007_331"/>
      <w:r>
        <w:lastRenderedPageBreak/>
        <w:t>AUTO 331/2007, de 13 de julio de 2007</w:t>
      </w:r>
    </w:p>
    <w:bookmarkEnd w:id="195"/>
    <w:p w:rsidR="008B3772" w:rsidRDefault="008B3772" w:rsidP="008B3772">
      <w:pPr>
        <w:pStyle w:val="TtuloResolucin"/>
      </w:pPr>
      <w:r>
        <w:t>Sección Primera</w:t>
      </w:r>
    </w:p>
    <w:p w:rsidR="008B3772" w:rsidRDefault="008B3772" w:rsidP="008B3772">
      <w:pPr>
        <w:pStyle w:val="TtuloResolucin"/>
      </w:pPr>
    </w:p>
    <w:p w:rsidR="008B3772" w:rsidRDefault="008B3772" w:rsidP="008B3772">
      <w:pPr>
        <w:pStyle w:val="SntesisDescriptiva"/>
      </w:pPr>
      <w:r>
        <w:t>ECLI:ES:TC:2007:331A</w:t>
      </w:r>
    </w:p>
    <w:p w:rsidR="008B3772" w:rsidRDefault="008B3772" w:rsidP="008B3772">
      <w:pPr>
        <w:pStyle w:val="SntesisDescriptiva"/>
      </w:pPr>
    </w:p>
    <w:p w:rsidR="008B3772" w:rsidRDefault="008B3772" w:rsidP="008B3772">
      <w:pPr>
        <w:pStyle w:val="SntesisDescriptiva"/>
      </w:pPr>
      <w:r>
        <w:t>Excms. Srs. doña María Emilia Casas Baamonde, don Javier Delgado Barrio y don Manuel Aragón Reyes.</w:t>
      </w:r>
    </w:p>
    <w:p w:rsidR="008B3772" w:rsidRDefault="008B3772" w:rsidP="008B3772">
      <w:pPr>
        <w:pStyle w:val="SntesisDescriptiva"/>
      </w:pPr>
    </w:p>
    <w:p w:rsidR="008B3772" w:rsidRDefault="008B3772" w:rsidP="008B3772">
      <w:pPr>
        <w:pStyle w:val="SntesisDescriptiva"/>
      </w:pPr>
      <w:r>
        <w:t>Acuerda el desistimiento en el recurso de amparo 10189-2006, promovido en causa penal.</w:t>
      </w:r>
    </w:p>
    <w:p w:rsidR="008B3772" w:rsidRDefault="008B3772" w:rsidP="008B3772">
      <w:pPr>
        <w:pStyle w:val="SntesisDescriptiva"/>
      </w:pPr>
    </w:p>
    <w:p w:rsidR="008B3772" w:rsidRDefault="008B3772" w:rsidP="008B3772">
      <w:pPr>
        <w:pStyle w:val="TtuloResolucin"/>
      </w:pPr>
      <w:r>
        <w:t>*Este auto no incorpora doctrina constitucional.</w:t>
      </w:r>
    </w:p>
    <w:p w:rsidR="008B3772" w:rsidRDefault="008B3772">
      <w:pPr>
        <w:spacing w:after="160" w:line="259" w:lineRule="auto"/>
        <w:rPr>
          <w:rFonts w:ascii="Times New Roman" w:eastAsia="Times New Roman" w:hAnsi="Times New Roman" w:cs="Times New Roman"/>
          <w:b/>
          <w:sz w:val="24"/>
          <w:szCs w:val="24"/>
          <w:lang w:eastAsia="es-ES"/>
        </w:rPr>
      </w:pPr>
      <w:r>
        <w:br w:type="page"/>
      </w:r>
    </w:p>
    <w:p w:rsidR="008B3772" w:rsidRDefault="008B3772" w:rsidP="008B3772">
      <w:pPr>
        <w:pStyle w:val="TtuloResolucin"/>
      </w:pPr>
      <w:bookmarkStart w:id="196" w:name="AUTO_2007_332"/>
      <w:r>
        <w:lastRenderedPageBreak/>
        <w:t>AUTO 332/2007, de 16 de julio de 2007</w:t>
      </w:r>
    </w:p>
    <w:bookmarkEnd w:id="196"/>
    <w:p w:rsidR="008B3772" w:rsidRDefault="008B3772" w:rsidP="008B3772">
      <w:pPr>
        <w:pStyle w:val="TtuloResolucin"/>
      </w:pPr>
      <w:r>
        <w:t>Sección Cuarta</w:t>
      </w:r>
    </w:p>
    <w:p w:rsidR="008B3772" w:rsidRDefault="008B3772" w:rsidP="008B3772">
      <w:pPr>
        <w:pStyle w:val="TtuloResolucin"/>
      </w:pPr>
    </w:p>
    <w:p w:rsidR="008B3772" w:rsidRDefault="008B3772" w:rsidP="008B3772">
      <w:pPr>
        <w:pStyle w:val="SntesisDescriptiva"/>
      </w:pPr>
      <w:r>
        <w:t>ECLI:ES:TC:2007:332A</w:t>
      </w:r>
    </w:p>
    <w:p w:rsidR="008B3772" w:rsidRDefault="008B3772" w:rsidP="008B3772">
      <w:pPr>
        <w:pStyle w:val="SntesisDescriptiva"/>
      </w:pPr>
    </w:p>
    <w:p w:rsidR="008B3772" w:rsidRDefault="008B3772" w:rsidP="008B3772">
      <w:pPr>
        <w:pStyle w:val="SntesisDescriptiva"/>
      </w:pPr>
      <w:r>
        <w:t>Excms. Srs. don Vicente Conde Martín de Hijas, doña Elisa Pérez Vera y don Ramón Rodríguez Arribas.</w:t>
      </w:r>
    </w:p>
    <w:p w:rsidR="008B3772" w:rsidRDefault="008B3772" w:rsidP="008B3772">
      <w:pPr>
        <w:pStyle w:val="SntesisDescriptiva"/>
      </w:pPr>
    </w:p>
    <w:p w:rsidR="008B3772" w:rsidRDefault="008B3772" w:rsidP="008B3772">
      <w:pPr>
        <w:pStyle w:val="SntesisDescriptiva"/>
      </w:pPr>
      <w:r>
        <w:t>Acuerda el desistimiento en el recurso de amparo 2015-2007, promovido por Editorial Prensa Alicantina, S.A.</w:t>
      </w:r>
    </w:p>
    <w:p w:rsidR="008B3772" w:rsidRDefault="008B3772" w:rsidP="008B3772">
      <w:pPr>
        <w:pStyle w:val="SntesisDescriptiva"/>
      </w:pPr>
    </w:p>
    <w:p w:rsidR="008B3772" w:rsidRDefault="008B3772" w:rsidP="008B3772">
      <w:pPr>
        <w:pStyle w:val="TtuloResolucin"/>
      </w:pPr>
      <w:r>
        <w:t>*Este auto no incorpora doctrina constitucional.</w:t>
      </w:r>
    </w:p>
    <w:p w:rsidR="008B3772" w:rsidRDefault="008B3772">
      <w:pPr>
        <w:spacing w:after="160" w:line="259" w:lineRule="auto"/>
        <w:rPr>
          <w:rFonts w:ascii="Times New Roman" w:eastAsia="Times New Roman" w:hAnsi="Times New Roman" w:cs="Times New Roman"/>
          <w:b/>
          <w:sz w:val="24"/>
          <w:szCs w:val="24"/>
          <w:lang w:eastAsia="es-ES"/>
        </w:rPr>
      </w:pPr>
      <w:r>
        <w:br w:type="page"/>
      </w:r>
    </w:p>
    <w:p w:rsidR="008B3772" w:rsidRDefault="008B3772" w:rsidP="008B3772">
      <w:pPr>
        <w:pStyle w:val="TtuloResolucin"/>
      </w:pPr>
      <w:bookmarkStart w:id="197" w:name="AUTO_2007_333"/>
      <w:r>
        <w:lastRenderedPageBreak/>
        <w:t>AUTO 333/2007, de 18 de julio de 2007</w:t>
      </w:r>
    </w:p>
    <w:bookmarkEnd w:id="197"/>
    <w:p w:rsidR="008B3772" w:rsidRDefault="008B3772" w:rsidP="008B3772">
      <w:pPr>
        <w:pStyle w:val="TtuloResolucin"/>
      </w:pPr>
      <w:r>
        <w:t>Sala Segunda</w:t>
      </w:r>
    </w:p>
    <w:p w:rsidR="008B3772" w:rsidRDefault="008B3772" w:rsidP="008B3772">
      <w:pPr>
        <w:pStyle w:val="TtuloResolucin"/>
      </w:pPr>
    </w:p>
    <w:p w:rsidR="008B3772" w:rsidRDefault="008B3772" w:rsidP="008B3772">
      <w:pPr>
        <w:pStyle w:val="SntesisDescriptiva"/>
      </w:pPr>
      <w:r>
        <w:t>ECLI:ES:TC:2007:333A</w:t>
      </w:r>
    </w:p>
    <w:p w:rsidR="008B3772" w:rsidRDefault="008B3772" w:rsidP="008B3772">
      <w:pPr>
        <w:pStyle w:val="SntesisDescriptiva"/>
      </w:pPr>
    </w:p>
    <w:p w:rsidR="008B3772" w:rsidRDefault="008B3772" w:rsidP="008B3772">
      <w:pPr>
        <w:pStyle w:val="SntesisDescriptiva"/>
      </w:pPr>
      <w:r>
        <w:t>Excms. Srs. don Guillermo Jiménez Sánchez, don Vicente Conde Martín de Hijas, doña Elisa Pérez Vera, don Eugeni Gay Montalvo, don Ramón Rodríguez Arribas y don Pascual Sala Sánchez.</w:t>
      </w:r>
    </w:p>
    <w:p w:rsidR="008B3772" w:rsidRDefault="008B3772" w:rsidP="008B3772">
      <w:pPr>
        <w:pStyle w:val="SntesisDescriptiva"/>
      </w:pPr>
    </w:p>
    <w:p w:rsidR="008B3772" w:rsidRDefault="008B3772" w:rsidP="008B3772">
      <w:pPr>
        <w:pStyle w:val="SntesisDescriptiva"/>
      </w:pPr>
      <w:r>
        <w:t>Extinción del incidente de suspensión en el recurso de amparo 5899-2003, promovido por don Abdelhakim Issaoun en causa penal.</w:t>
      </w:r>
    </w:p>
    <w:p w:rsidR="008B3772" w:rsidRDefault="008B3772" w:rsidP="008B3772">
      <w:pPr>
        <w:pStyle w:val="SntesisDescriptiva"/>
      </w:pPr>
    </w:p>
    <w:p w:rsidR="008B3772" w:rsidRDefault="008B3772" w:rsidP="008B3772">
      <w:pPr>
        <w:pStyle w:val="SntesisAnaltica"/>
      </w:pPr>
      <w:r>
        <w:t>Desistimiento: instando por condenado en proceso penal. Suspensión de la ejecución del acto que origina el amparo: pérdida sobrevenida de objeto.</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xml:space="preserve">. Mediante escrito registrado en este Tribunal el día 1 de octubre de 2003 la Procuradora de los Tribunales doña Carmen Marrero García, en nombre y representación de don Abdelhakim Issaoun, manifestó la intención de éste de interponer recurso de amparo contra las resoluciones judiciales que se citan en el encabezamiento, solicitando el nombramiento de Procurador del turno de oficio. Efectuado tal nombramiento, la Procuradora de los Tribunales doña María Dolores Martínez Tripiana interpuso formalmente la demanda de amparo el día 10 de diciembre de 2003. </w:t>
      </w:r>
    </w:p>
    <w:p w:rsidR="008B3772" w:rsidRDefault="008B3772" w:rsidP="008B3772">
      <w:pPr>
        <w:pStyle w:val="TextoNormal"/>
      </w:pPr>
      <w:r>
        <w:t>En ella, por otrosí, de acuerdo con lo previsto en el art. 56.1 LOTC, se solicita la suspensión de la ejecución de la sentencia condenatoria de la que trae causa el recurso, por entender que de computársele los seis meses en cuestión podría ya acceder al tercer grado e incluso obtener la libertad condicional.</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Por providencia de 16 de mayo de 2007 la Sala Segunda de este Tribunal acordó la admisión a trámite de la demanda. </w:t>
      </w:r>
    </w:p>
    <w:p w:rsidR="008B3772" w:rsidRDefault="008B3772" w:rsidP="008B3772">
      <w:pPr>
        <w:pStyle w:val="TextoNormal"/>
      </w:pPr>
      <w:r>
        <w:t>Mediante otra providencia de la misma fecha se acordó formar la correspondiente pieza separada de suspensión y, de conformidad con lo previsto en el art. 56 LOTC, conceder un plazo común de tres días al Ministerio Fiscal y a los recurrentes en amparo para que alegaran lo que estimasen pertinente en relación con la petición de suspensión interesada.</w:t>
      </w:r>
    </w:p>
    <w:p w:rsidR="008B3772" w:rsidRDefault="008B3772" w:rsidP="008B3772">
      <w:pPr>
        <w:pStyle w:val="TextoNormal"/>
      </w:pPr>
    </w:p>
    <w:p w:rsidR="008B3772" w:rsidRDefault="008B3772" w:rsidP="008B3772">
      <w:pPr>
        <w:pStyle w:val="TextoNormal"/>
      </w:pPr>
      <w:r w:rsidRPr="008B3772">
        <w:rPr>
          <w:rStyle w:val="NumeroAFNegritaCaracter"/>
        </w:rPr>
        <w:t>3</w:t>
      </w:r>
      <w:r>
        <w:t>. El día 25 de mayo de 2007 tuvo entrada en este Tribunal el escrito de alegaciones de la representación procesal del demandante de amparo, en el que pone de manifiesto que su representado ya ha cumplido íntegramente las penas impuestas, por lo que, si bien manifiesta su voluntad de continuar con los trámites del recurso de amparo, solicita que no se tramite en incidente de suspensión, al no haber acto alguno que suspender en este momento.</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4</w:t>
      </w:r>
      <w:r>
        <w:t>. El día 31 de mayo de 2007 se registró el escrito de alegaciones del Ministerio Fiscal, quien interesa que se deniegue la suspensión solicitada porque no es posible acceder a lo solicitado, ya que el objeto del recurso de amparo no es la ejecución de la Sentencia condenatoria, sino los Autos que deniegan el abono de la prisión provisional, y son esos Autos los únicos cuya ejecución es susceptible de ser suspendida durante la tramitación del presente recurso de amparo. Y tampoco procede la suspensión de la ejecución de los mismos, pues ello no determinaría el abono de la prisión provisional, decisión que sólo puede ser adoptada por los órganos judiciales previa resolución del recurso de amparo, instando a que la misma sea urgente.</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Con posterioridad a la apertura de la presente pieza separada de suspensión, la representación del demandante de amparo ha manifestado expresamente su voluntad de desistir de la suspensión solicitada, al entender que la misma carece ya de</w:t>
      </w:r>
    </w:p>
    <w:p w:rsidR="008B3772" w:rsidRDefault="008B3772" w:rsidP="008B3772">
      <w:pPr>
        <w:pStyle w:val="TextoNormal"/>
      </w:pPr>
      <w:r>
        <w:t>contenido, dado que las penas impuestas han sido cumplidas en su totalidad. Aunque la justicia constitucional sea rogada, no rige en ella sin más el principio dispositivo, como hemos dicho en reiteradas ocasiones (por todas, SSTC 362/1993, de 13 de</w:t>
      </w:r>
    </w:p>
    <w:p w:rsidR="008B3772" w:rsidRDefault="008B3772" w:rsidP="008B3772">
      <w:pPr>
        <w:pStyle w:val="TextoNormal"/>
      </w:pPr>
      <w:r>
        <w:t>diciembre; 167/2000, de 26 de junio, y AATC 105/2000, 263/2000, 211/2001, 411/2003); no obstante, la pérdida sobrevenida de objeto y consiguiente pérdida de finalidad del incidente de suspensión es de suyo suficiente para que se acceda a lo solicitado,</w:t>
      </w:r>
    </w:p>
    <w:p w:rsidR="008B3772" w:rsidRDefault="008B3772" w:rsidP="008B3772">
      <w:pPr>
        <w:pStyle w:val="TextoNormal"/>
      </w:pPr>
      <w:r>
        <w:t>por no existir tampoco un interés público que pudiera resultar lesionado como consecuencia de ello (AATC 366/2004, 411/2003).</w:t>
      </w:r>
    </w:p>
    <w:p w:rsidR="008B3772" w:rsidRDefault="008B3772" w:rsidP="008B3772">
      <w:pPr>
        <w:pStyle w:val="TextoNormal"/>
      </w:pPr>
    </w:p>
    <w:p w:rsidR="008B3772" w:rsidRDefault="008B3772" w:rsidP="008B3772">
      <w:pPr>
        <w:pStyle w:val="TextoNormal"/>
      </w:pPr>
      <w:r>
        <w:t>En virtud de todo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Tener por desistido al demandante de amparo de la solicitud de suspensión de los efectos de las resoluciones recurridas.</w:t>
      </w:r>
    </w:p>
    <w:p w:rsidR="008B3772" w:rsidRDefault="008B3772" w:rsidP="008B3772">
      <w:pPr>
        <w:pStyle w:val="TextoNormal"/>
      </w:pPr>
    </w:p>
    <w:p w:rsidR="008B3772" w:rsidRDefault="008B3772" w:rsidP="008B3772">
      <w:pPr>
        <w:pStyle w:val="TextoNormal"/>
      </w:pPr>
      <w:r>
        <w:t>Madrid, a dieciocho de julio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98" w:name="AUTO_2007_334"/>
      <w:r>
        <w:lastRenderedPageBreak/>
        <w:t>AUTO 334/2007, de 18 de julio de 2007</w:t>
      </w:r>
    </w:p>
    <w:bookmarkEnd w:id="198"/>
    <w:p w:rsidR="008B3772" w:rsidRDefault="008B3772" w:rsidP="008B3772">
      <w:pPr>
        <w:pStyle w:val="TtuloResolucin"/>
      </w:pPr>
      <w:r>
        <w:t>Sala Segunda</w:t>
      </w:r>
    </w:p>
    <w:p w:rsidR="008B3772" w:rsidRDefault="008B3772" w:rsidP="008B3772">
      <w:pPr>
        <w:pStyle w:val="TtuloResolucin"/>
      </w:pPr>
    </w:p>
    <w:p w:rsidR="008B3772" w:rsidRDefault="008B3772" w:rsidP="008B3772">
      <w:pPr>
        <w:pStyle w:val="SntesisDescriptiva"/>
      </w:pPr>
      <w:r>
        <w:t>ECLI:ES:TC:2007:334A</w:t>
      </w:r>
    </w:p>
    <w:p w:rsidR="008B3772" w:rsidRDefault="008B3772" w:rsidP="008B3772">
      <w:pPr>
        <w:pStyle w:val="SntesisDescriptiva"/>
      </w:pPr>
    </w:p>
    <w:p w:rsidR="008B3772" w:rsidRDefault="008B3772" w:rsidP="008B3772">
      <w:pPr>
        <w:pStyle w:val="SntesisDescriptiva"/>
      </w:pPr>
      <w:r>
        <w:t>Excms. Srs. don Vicente Conde Martín de Hijas, doña Elisa Pérez Vera, don Eugeni Gay Montalvo, don Ramón Rodríguez Arribas y don Pascual Sala Sánchez.</w:t>
      </w:r>
    </w:p>
    <w:p w:rsidR="008B3772" w:rsidRDefault="008B3772" w:rsidP="008B3772">
      <w:pPr>
        <w:pStyle w:val="SntesisDescriptiva"/>
      </w:pPr>
    </w:p>
    <w:p w:rsidR="008B3772" w:rsidRDefault="008B3772" w:rsidP="008B3772">
      <w:pPr>
        <w:pStyle w:val="SntesisDescriptiva"/>
      </w:pPr>
      <w:r>
        <w:t>Acepta una abstención en el recurso de amparo 9563-2005, promovido por don Benedicto Vadillo Ortiz.</w:t>
      </w:r>
    </w:p>
    <w:p w:rsidR="008B3772" w:rsidRDefault="008B3772" w:rsidP="008B3772">
      <w:pPr>
        <w:pStyle w:val="SntesisDescriptiva"/>
      </w:pPr>
    </w:p>
    <w:p w:rsidR="008B3772" w:rsidRDefault="008B3772" w:rsidP="008B3772">
      <w:pPr>
        <w:pStyle w:val="SntesisAnaltica"/>
      </w:pPr>
      <w:r>
        <w:t>Abstención de magistrados del Tribunal Constitucional, acepta.</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En el recurso de amparo núm. 9563-2005, promovido por don Benedicto Vadillo Ortiz, representado por el Procurador de los Tribunales don Enrique de Antonio Viscor, se recurre la Sentencia de fecha 31 de octubre de 2005 dictada por la Sala Tercera del Tribunal Supremo en el recurso contencioso-administrativo núm. 276-2002. </w:t>
      </w:r>
    </w:p>
    <w:p w:rsidR="008B3772" w:rsidRDefault="008B3772" w:rsidP="008B3772">
      <w:pPr>
        <w:pStyle w:val="TextoNormal"/>
      </w:pPr>
      <w:r>
        <w:t>Mediante escrito de fecha 10 de julio de 2007 el Magistrado don Guillermo Jiménez Sánchez comunicó, a los efectos oportunos, que se abstenía de intervenir en la tramitación y resolución del indicado recurso, de conformidad con el art. art. 80 LOTC, en relación con el art. 219, 8ª, 10ª, 13ª y 16ª LOPJ.</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Vista la comunicación efectuada por don Guillermo Jiménez Sánchez, en virtud de lo previsto en los arts. 80 LOTC y 221.4 de la Ley Orgánica del Poder Judicial (LOPJ), se estima justificada la abstención formulada, al concurrir en el Magistrado don</w:t>
      </w:r>
    </w:p>
    <w:p w:rsidR="008B3772" w:rsidRDefault="008B3772" w:rsidP="008B3772">
      <w:pPr>
        <w:pStyle w:val="TextoNormal"/>
      </w:pPr>
      <w:r>
        <w:t>Guillermo Jiménez Sánchez las causas de abstención aducidas en su comunicación.</w:t>
      </w:r>
    </w:p>
    <w:p w:rsidR="008B3772" w:rsidRDefault="008B3772" w:rsidP="008B3772">
      <w:pPr>
        <w:pStyle w:val="TextoNormal"/>
      </w:pPr>
    </w:p>
    <w:p w:rsidR="008B3772" w:rsidRDefault="008B3772" w:rsidP="008B3772">
      <w:pPr>
        <w:pStyle w:val="TextoNormal"/>
      </w:pPr>
      <w:r>
        <w:t>Por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Estimar justificada la abstención formulada por don Guillermo Jiménez Sánchez en el recurso de amparo núm. 9563-2005, apartándole definitivamente del referido procedimiento.</w:t>
      </w:r>
    </w:p>
    <w:p w:rsidR="008B3772" w:rsidRDefault="008B3772" w:rsidP="008B3772">
      <w:pPr>
        <w:pStyle w:val="TextoNormal"/>
      </w:pPr>
    </w:p>
    <w:p w:rsidR="008B3772" w:rsidRDefault="008B3772" w:rsidP="008B3772">
      <w:pPr>
        <w:pStyle w:val="TextoNormal"/>
      </w:pPr>
      <w:r>
        <w:t>Madrid, a dieciocho de julio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199" w:name="AUTO_2007_335"/>
      <w:r>
        <w:lastRenderedPageBreak/>
        <w:t>AUTO 335/2007, de 18 de julio de 2007</w:t>
      </w:r>
    </w:p>
    <w:bookmarkEnd w:id="199"/>
    <w:p w:rsidR="008B3772" w:rsidRDefault="008B3772" w:rsidP="008B3772">
      <w:pPr>
        <w:pStyle w:val="TtuloResolucin"/>
      </w:pPr>
      <w:r>
        <w:t>Sala Segunda</w:t>
      </w:r>
    </w:p>
    <w:p w:rsidR="008B3772" w:rsidRDefault="008B3772" w:rsidP="008B3772">
      <w:pPr>
        <w:pStyle w:val="TtuloResolucin"/>
      </w:pPr>
    </w:p>
    <w:p w:rsidR="008B3772" w:rsidRDefault="008B3772" w:rsidP="008B3772">
      <w:pPr>
        <w:pStyle w:val="SntesisDescriptiva"/>
      </w:pPr>
      <w:r>
        <w:t>ECLI:ES:TC:2007:335A</w:t>
      </w:r>
    </w:p>
    <w:p w:rsidR="008B3772" w:rsidRDefault="008B3772" w:rsidP="008B3772">
      <w:pPr>
        <w:pStyle w:val="SntesisDescriptiva"/>
      </w:pPr>
    </w:p>
    <w:p w:rsidR="008B3772" w:rsidRDefault="008B3772" w:rsidP="008B3772">
      <w:pPr>
        <w:pStyle w:val="SntesisDescriptiva"/>
      </w:pPr>
      <w:r>
        <w:t>Excms. Srs. don Guillermo Jiménez Sánchez, don Vicente Conde Martín de Hijas, doña Elisa Pérez Vera, don Eugeni Gay Montalvo, don Ramón Rodríguez Arribas y don Pascual Sala Sánchez.</w:t>
      </w:r>
    </w:p>
    <w:p w:rsidR="008B3772" w:rsidRDefault="008B3772" w:rsidP="008B3772">
      <w:pPr>
        <w:pStyle w:val="SntesisDescriptiva"/>
      </w:pPr>
    </w:p>
    <w:p w:rsidR="008B3772" w:rsidRDefault="008B3772" w:rsidP="008B3772">
      <w:pPr>
        <w:pStyle w:val="SntesisDescriptiva"/>
      </w:pPr>
      <w:r>
        <w:t>Deniega la suspensión en el recurso de amparo 6130-2006, promovido por Proiliberis, S.L., en contencioso sobre liquidación del impuesto sobre transmisiones patrimoniales y actos jurídicos documentados.</w:t>
      </w:r>
    </w:p>
    <w:p w:rsidR="008B3772" w:rsidRDefault="008B3772" w:rsidP="008B3772">
      <w:pPr>
        <w:pStyle w:val="SntesisDescriptiva"/>
      </w:pPr>
    </w:p>
    <w:p w:rsidR="008B3772" w:rsidRDefault="008B3772" w:rsidP="008B3772">
      <w:pPr>
        <w:pStyle w:val="SntesisAnaltica"/>
      </w:pPr>
      <w:r>
        <w:t>Suspensión cautelar de resoluciones contencioso-administrativas: liquidación tributaria, no suspende.</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5 de junio de 2006 tuvo entrada en el Juzgado de Guardia escrito firmado por la Procuradora de los Tribunales doña África Martín Rico, en representación de la mercantil Proiliberis, S.L., en virtud del cual interponía recurso de amparo contra el acto administrativo de notificación de la liquidación provisional núm. T5-1917, por importe de 1.189.846 pesetas, practicada en el expediente núm. 31503-1995 por la Delegación en Granada de la Consejería de Economía y Hacienda de la Junta de Andalucía por el concepto Impuesto sobre transmisiones patrimoniales y actos jurídicos documentados, y contra la Sentencia de la Sección Segunda de la Sala de lo Contencioso-Administrativo del Tribunal Superior de Justicia de Andalucía, de 8 de mayo de 2006, que desestima el recurso núm. 907-1999, interpuesto contra Resolución del Tribunal Económico-Administrativo Regional de Andalucía, Sala de Granada, de 25 de enero de 1999, que desestimó la reclamación económico-administrativa promovida contra la providencia de apremio relativa a la mencionada liquidación.</w:t>
      </w:r>
    </w:p>
    <w:p w:rsidR="008B3772" w:rsidRDefault="008B3772" w:rsidP="008B3772">
      <w:pPr>
        <w:pStyle w:val="TextoNormal"/>
      </w:pPr>
    </w:p>
    <w:p w:rsidR="008B3772" w:rsidRDefault="008B3772" w:rsidP="008B3772">
      <w:pPr>
        <w:pStyle w:val="TextoNormal"/>
      </w:pPr>
      <w:r w:rsidRPr="008B3772">
        <w:rPr>
          <w:rStyle w:val="NumeroAFNegritaCaracter"/>
        </w:rPr>
        <w:t>2</w:t>
      </w:r>
      <w:r>
        <w:t>. La demanda denuncia la vulneración del derecho a la tutela judicial efectiva de la demandante (art. 24.1 CE) como consecuencia de haberse notificado los actos de gestión del Impuesto sobre transmisiones patrimoniales y actos jurídicos documentados a persona distinta del sujeto pasivo, lo que ha supuesto para éste un obstáculo insalvable en orden al acceso a la jurisdicción en defensa de sus derechos. Por medio de Otrosí interesa la suspensión de la ejecución de los dos Autos recurridos “toda vez que la ejecución podría ocasionar un perjuicio a mi mandante que haría perder al amparo su finalidad”, sin que se produzca ningún perjuicio al interés público ni lesiones a los derechos y libertades públicas de un tercero. Señala, además, que la suspensión está garantizada con el aval bancario constituido en la vía económico-administrativa y mantenido en la vía judicial, que se encuentra depositado en la Tesorería General de la Junta de Andalucía.</w:t>
      </w:r>
    </w:p>
    <w:p w:rsidR="008B3772" w:rsidRDefault="008B3772" w:rsidP="008B3772">
      <w:pPr>
        <w:pStyle w:val="TextoNormal"/>
      </w:pPr>
    </w:p>
    <w:p w:rsidR="008B3772" w:rsidRDefault="008B3772" w:rsidP="008B3772">
      <w:pPr>
        <w:pStyle w:val="TextoNormal"/>
      </w:pPr>
      <w:r w:rsidRPr="008B3772">
        <w:rPr>
          <w:rStyle w:val="NumeroAFNegritaCaracter"/>
        </w:rPr>
        <w:t>3</w:t>
      </w:r>
      <w:r>
        <w:t>. Mediante providencias de 12 de junio de 2007 la Sala Segunda decidió admitir a trámite el presente recurso de amparo, y, asimismo, acordó que se formara pieza separada para tramitar la suspensión interesada por la actora, concediendo, conforme a lo dispuesto en el art. 56 LOTC, un plazo común de tres días a la parte recurrente y al Ministerio Fiscal para que alegasen lo que estimaran pertinente sobre dicha suspensión.</w:t>
      </w:r>
    </w:p>
    <w:p w:rsidR="008B3772" w:rsidRDefault="008B3772" w:rsidP="008B3772">
      <w:pPr>
        <w:pStyle w:val="TextoNormal"/>
      </w:pPr>
    </w:p>
    <w:p w:rsidR="008B3772" w:rsidRDefault="008B3772" w:rsidP="008B3772">
      <w:pPr>
        <w:pStyle w:val="TextoNormal"/>
      </w:pPr>
      <w:r w:rsidRPr="008B3772">
        <w:rPr>
          <w:rStyle w:val="NumeroAFNegritaCaracter"/>
        </w:rPr>
        <w:t>4</w:t>
      </w:r>
      <w:r>
        <w:t>. En escrito registrado en este Tribunal el 25 de junio de 2007, la recurrente reiteró los argumentos expuestos en su escrito de demanda.</w:t>
      </w:r>
    </w:p>
    <w:p w:rsidR="008B3772" w:rsidRDefault="008B3772" w:rsidP="008B3772">
      <w:pPr>
        <w:pStyle w:val="TextoNormal"/>
      </w:pPr>
    </w:p>
    <w:p w:rsidR="008B3772" w:rsidRDefault="008B3772" w:rsidP="008B3772">
      <w:pPr>
        <w:pStyle w:val="TextoNormal"/>
      </w:pPr>
      <w:r w:rsidRPr="008B3772">
        <w:rPr>
          <w:rStyle w:val="NumeroAFNegritaCaracter"/>
        </w:rPr>
        <w:t>5</w:t>
      </w:r>
      <w:r>
        <w:t>. El Ministerio Fiscal, en escrito presentado el 28 de junio de 2007, tras recordar la doctrina constitucional al respecto, considera que debe denegarse la suspensión, pues, al tratarse de una condena de contenido económico (el pago en vía de apremio de 7.151,12 euros), los perjuicios anejos a su ejecución son perfectamente reparables en caso de otorgarse el amparo. Este criterio se ve confirmado por el dato añadido de que la empresa recurrente no subviene a la carga que le asiste de acreditar los graves quebrantos que, según dice, le causa el cumplimiento de lo resuelto, sino que, al contrario, se limita a pedir la suspensión, sin añadir ninguna razón que la justifique.</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Aunque el art. 56 LOTC (en la redacción dada por la Ley Orgánica 6/2007, de 24 de mayo), en su apartado 1, establezca que la interposición del recurso de amparo no suspenderá los efectos del acto o sentencia impugnados, añade en su apartado 2 la previsión de que puede disponerse la suspensión total o parcial de sus efectos, cuando su ejecución produzca un perjuicio al recurrente que pudiera hacer perder al amparo su finalidad, y “siempre y cuando la suspensión no ocasione perturbación grave a un interés constitucionalmente protegido, ni a los derechos fundamentales o libertades de otra persona”.</w:t>
      </w:r>
    </w:p>
    <w:p w:rsidR="008B3772" w:rsidRDefault="008B3772" w:rsidP="008B3772">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AATC 2/2001, de 15 de enero; 64/2001, de 26 de marzo, y 4/2006, de 16 de enero).  Consecuentemente, la regla general —tal como aparece recogida actualmente en el art. 56.1 LOTC— debe ser la improcedencia de la suspensión, por la perturbación de la función jurisdiccional que la misma supone, excepto que el recurrente acredite suficientemente la irreparabilidad que para sus derechos fundamentales pudiera tener la ejecución, privando al amparo de su finalidad, y siempre que la suspensión no produzca las perturbaciones graves a las que se refiere el art. 56.2 LOTC. En este sentido, por perjuicio irreparable se ha de entender aquel que provoque que el restablecimiento del recurrente en el derecho constitucional vulnerado sea tardío y convierta el amparo en meramente ilusorio y nominal (por todos AATC 251/2000, de 30 de octubre; 63/2001, de 26 de marzo; 170/2001, de 22 de junio; 9/2003, de 20 de enero, y 338/2005, de 26 de septiembre).</w:t>
      </w:r>
    </w:p>
    <w:p w:rsidR="008B3772" w:rsidRDefault="008B3772" w:rsidP="008B3772">
      <w:pPr>
        <w:pStyle w:val="TextoNormal"/>
      </w:pPr>
      <w:r>
        <w:t xml:space="preserve">Más concretamente, este Tribunal, entre otros, en los AATC 293/2001, de 26 de noviembre, FJ 1; 211/2004, de 2 junio, FJ 2, y 149/2006, de 8 de mayo, FJ 1, ha establecido como </w:t>
      </w:r>
      <w:r>
        <w:lastRenderedPageBreak/>
        <w:t>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008B3772" w:rsidRDefault="008B3772" w:rsidP="008B3772">
      <w:pPr>
        <w:pStyle w:val="TextoNormal"/>
      </w:pPr>
    </w:p>
    <w:p w:rsidR="008B3772" w:rsidRDefault="008B3772" w:rsidP="008B3772">
      <w:pPr>
        <w:pStyle w:val="TextoNormal"/>
      </w:pPr>
      <w:r w:rsidRPr="008B3772">
        <w:rPr>
          <w:rStyle w:val="NumeroAFNegritaCaracter"/>
        </w:rPr>
        <w:t>2</w:t>
      </w:r>
      <w:r>
        <w:t>. Descendiendo ya al análisis del concreto supuesto a que se refiere la presente petición de suspensión, se puede señalar que, en su demanda, la recurrente se limita a alegar, en síntesis, que la ejecución puede ocasionarle un perjuicio que haría perder al amparo su finalidad, pero ni concreta en qué consistiría ese perjuicio ni acredita específicamente que la cantidad que está obligada, en principio, a pagar sea una cantidad que, por su importancia cuantitativa, le pueda causar graves quebrantos o perjuicios que no pudiera reparar el eventual otorgamiento del amparo; acreditación que este Tribunal viene exigiendo de manera constante para exceptuar la aplicación de la regla general de no suspensión de la ejecución de los efectos meramente económicos de las resoluciones judiciales. Por lo demás, el montante de la cantidad cuyo pago se le reclama (7.151,12 euros) no permite augurar que su eventual ejecución derive en un efectivo perjuicio irreparable para la entidad demandante.  Por tanto, versando todo el litigio sobre una liquidación tributaria, de estricto contenido económico, resulta aplicable la doctrina recogida en el último párrafo del fundamento jurídico anterior, debiendo entenderse que los perjuicios anejos a su ejecución serían perfectamente reparables, si se otorgase el amparo, al tiempo que se ha de reafirmar el interés público en el cumplimiento de las resoluciones judiciales, lo que nos lleva a concluir que no procede la suspensión de las resoluciones impugnadas. Esta conclusión no resulta alterada por el hecho de que la obligación tributaria de la actora se encuentre garantizada mediante aval depositado ante la Tesorería General de la Junta de Andalucía, que no es un dato que permita por sí solo, y de acuerdo con las previsiones del art. 56 LOTC, obtener la suspensión interesada.</w:t>
      </w:r>
    </w:p>
    <w:p w:rsidR="008B3772" w:rsidRDefault="008B3772" w:rsidP="008B3772">
      <w:pPr>
        <w:pStyle w:val="TextoNormal"/>
      </w:pPr>
    </w:p>
    <w:p w:rsidR="008B3772" w:rsidRDefault="008B3772" w:rsidP="008B3772">
      <w:pPr>
        <w:pStyle w:val="TextoNormal"/>
      </w:pPr>
      <w:r>
        <w:t>Por todo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Denegar la suspensión solicitada en el recurso de amparo núm. 6130-2006, promovido por Proiliberis, S.L.</w:t>
      </w:r>
    </w:p>
    <w:p w:rsidR="008B3772" w:rsidRDefault="008B3772" w:rsidP="008B3772">
      <w:pPr>
        <w:pStyle w:val="TextoNormal"/>
      </w:pPr>
    </w:p>
    <w:p w:rsidR="008B3772" w:rsidRDefault="008B3772" w:rsidP="008B3772">
      <w:pPr>
        <w:pStyle w:val="TextoNormal"/>
      </w:pPr>
      <w:r>
        <w:t>Madrid, a dieciocho de julio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200" w:name="AUTO_2007_336"/>
      <w:r>
        <w:lastRenderedPageBreak/>
        <w:t>AUTO 336/2007, de 18 de julio de 2007</w:t>
      </w:r>
    </w:p>
    <w:bookmarkEnd w:id="200"/>
    <w:p w:rsidR="008B3772" w:rsidRDefault="008B3772" w:rsidP="008B3772">
      <w:pPr>
        <w:pStyle w:val="TtuloResolucin"/>
      </w:pPr>
      <w:r>
        <w:t>Sala Segunda</w:t>
      </w:r>
    </w:p>
    <w:p w:rsidR="008B3772" w:rsidRDefault="008B3772" w:rsidP="008B3772">
      <w:pPr>
        <w:pStyle w:val="TtuloResolucin"/>
      </w:pPr>
    </w:p>
    <w:p w:rsidR="008B3772" w:rsidRDefault="008B3772" w:rsidP="008B3772">
      <w:pPr>
        <w:pStyle w:val="SntesisDescriptiva"/>
      </w:pPr>
      <w:r>
        <w:t>ECLI:ES:TC:2007:336A</w:t>
      </w:r>
    </w:p>
    <w:p w:rsidR="008B3772" w:rsidRDefault="008B3772" w:rsidP="008B3772">
      <w:pPr>
        <w:pStyle w:val="SntesisDescriptiva"/>
      </w:pPr>
    </w:p>
    <w:p w:rsidR="008B3772" w:rsidRDefault="008B3772" w:rsidP="008B3772">
      <w:pPr>
        <w:pStyle w:val="SntesisDescriptiva"/>
      </w:pPr>
      <w:r>
        <w:t>Excms. Srs. don Guillermo Jiménez Sánchez, don Vicente Conde Martín de Hijas, doña Elisa Pérez Vera, don Eugeni Gay Montalvo, don Ramón Rodríguez Arribas y don Pascual Sala Sánchez.</w:t>
      </w:r>
    </w:p>
    <w:p w:rsidR="008B3772" w:rsidRDefault="008B3772" w:rsidP="008B3772">
      <w:pPr>
        <w:pStyle w:val="SntesisDescriptiva"/>
      </w:pPr>
    </w:p>
    <w:p w:rsidR="008B3772" w:rsidRDefault="008B3772" w:rsidP="008B3772">
      <w:pPr>
        <w:pStyle w:val="SntesisDescriptiva"/>
      </w:pPr>
      <w:r>
        <w:t>Acuerda la suspensión  en el recurso de amparo 10383-2006, promovido por doña Cristina Moriñigo Martín en pleito por guarda y custodia de menores.</w:t>
      </w:r>
    </w:p>
    <w:p w:rsidR="008B3772" w:rsidRDefault="008B3772" w:rsidP="008B3772">
      <w:pPr>
        <w:pStyle w:val="SntesisDescriptiva"/>
      </w:pPr>
    </w:p>
    <w:p w:rsidR="008B3772" w:rsidRDefault="008B3772" w:rsidP="008B3772">
      <w:pPr>
        <w:pStyle w:val="SntesisAnaltica"/>
      </w:pPr>
      <w:r>
        <w:t>Suspensión cautelar de sentencias civiles: guarda y custodia, suspende.</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presentado en el Juzgado de Guardia con fecha 15 de noviembre de 2006, registrado en este Tribunal el día 17 de noviembre siguiente, la Procuradora de los Tribunales doña Carmen Ortiz Cornago interpuso demanda de amparo constitucional, en representación de doña Cristina Moriñigo Martín, contra la Sentencia dictada por la Sección Vigésimo Segunda de la Audiencia Provincial de Madrid de fecha 29 de septiembre de 2006, recaída en el rollo de apelación núm. 472-2006, que confirmó en su integridad la dictada el 22 de julio de 2005 por el Juzgado de Primera Instancia núm. 29 de Madrid en autos de modificación de medidas de divorcio núm. 1231-2004, que acordó establecer la guarda y custodia compartida de las hijas menores, así como el correspondiente régimen de alimentos y visitas a las menores, al entender la recurrente que vulneran el derecho a la integridad física y moral (art. 15 CE) y el derecho a la tutela judicial efectiva (art. 24.1 CE).</w:t>
      </w:r>
    </w:p>
    <w:p w:rsidR="008B3772" w:rsidRDefault="008B3772" w:rsidP="008B3772">
      <w:pPr>
        <w:pStyle w:val="TextoNormal"/>
      </w:pPr>
    </w:p>
    <w:p w:rsidR="008B3772" w:rsidRDefault="008B3772" w:rsidP="008B3772">
      <w:pPr>
        <w:pStyle w:val="TextoNormal"/>
      </w:pPr>
      <w:r w:rsidRPr="008B3772">
        <w:rPr>
          <w:rStyle w:val="NumeroAFNegritaCaracter"/>
        </w:rPr>
        <w:t>2</w:t>
      </w:r>
      <w:r>
        <w:t>. En sendas providencias de 22 de mayo de 2007 la Sala Segunda de este Tribunal Constitucional acordó la admisión a trámite de la demanda de amparo y ordenar la formación de la oportuna pieza separada para la tramitación del incidente de suspensión de la resolución recurrida, solicitada de conformidad con el art. 56 LOTC, otorgando un plazo común de tres días a la parte recurrente y al Ministerio Fiscal para que alegaran lo que estimasen pertinente sobre dicha suspensión.</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A través de escrito registrado el 1 de junio de 2007 la representación de la recurrente evacuó el trámite de alegaciones conferido, solicitando de esta Sala que acuerde la suspensión solicitada. Aduce la recurrente en su escrito de alegaciones las particulares circunstancias del caso enjuiciado, entre las que señala la existencia de malos tratos a las menores por parte del padre, así como la relevancia de los intereses comprometidos en el procedimiento del que trae causa la demanda de amparo, en el cual se ha acordado un régimen de custodia compartida de las menores (de 11 y 9 años de edad) que perjudica gravemente sus intereses sin haber sido oídas en ambas instancias judiciales, conculcando, de este modo, sus derechos </w:t>
      </w:r>
      <w:r>
        <w:lastRenderedPageBreak/>
        <w:t>fundamentales. Ello acredita sobradamente la apariencia de buen derecho y el peligro de la mora procesal en el presente caso y justifica, conforme a lo establecido en el art. 56 LOTC, la suspensión cautelar de lo acordado en las Sentencias impugnadas mientras se resuelve sobre el fondo del amparo interesado.</w:t>
      </w:r>
    </w:p>
    <w:p w:rsidR="008B3772" w:rsidRDefault="008B3772" w:rsidP="008B3772">
      <w:pPr>
        <w:pStyle w:val="TextoNormal"/>
      </w:pPr>
    </w:p>
    <w:p w:rsidR="008B3772" w:rsidRDefault="008B3772" w:rsidP="008B3772">
      <w:pPr>
        <w:pStyle w:val="TextoNormal"/>
      </w:pPr>
      <w:r w:rsidRPr="008B3772">
        <w:rPr>
          <w:rStyle w:val="NumeroAFNegritaCaracter"/>
        </w:rPr>
        <w:t>4</w:t>
      </w:r>
      <w:r>
        <w:t>. Por su parte el Ministerio Fiscal evacuó el trámite de alegaciones mediante escrito registrado el 8 de junio de 2007, por el que interesa la denegación de la suspensión, atendiendo, de un lado, a la doctrina constitucional establecida por este Tribunal respecto de la solicitud de suspensión en procedimientos de amparo en los que se halla en juego la situación de guarda y custodia de menores, en la que se ha optado por no alterar la situación de guarda y custodia en cuanto la misma pudiera afectar a la estabilidad emocional y síquica de los mismos (con cita de los AATC 21/2002; 148/2002; 198/2004, y 108/2005), y, de otro lado, por no precisar debidamente la recurrente, a tenor de lo dispuesto en el núm. 2 del art. 56 LOTC, en qué consistiría la suspensión para la demandante de amparo y la manera en que resulta perjudicada la finalidad del amparo, puesto que un eventual otorgamiento del amparo sólo alcanzaría al derecho de audiencia de las menores.</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Establece el art. 56.1 LOTC que la Sala que conozca de un recurso de amparo suspenderá de oficio o a instancia del recurrente la ejecución del acto o resolución impugnados “cuando la ejecución hubiere de ocasionar un perjuicio que haría perder al amparo su finalidad”. Esta regla ha sido interpretada reiteradamente por este Tribunal en el sentido de que, para que proceda la suspensión, es necesario que se cumpla el requisito de que, si ésta no se acordara, la eventual estimación del recurso de amparo sería ya “tardía” y el restablecimiento en el derecho constitucional vulnerado no podría ser efectivo sino “meramente ilusorio y nominal” (AATC 61/2000, de 28 de febrero, FJ 1; 18/2001, de 29 de enero, FJ 3; 161/2001, de 18 de junio, FJ 1; entre otros). Por ese motivo no accede este Tribunal, por regla general,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entre otros muchos).</w:t>
      </w:r>
    </w:p>
    <w:p w:rsidR="008B3772" w:rsidRDefault="008B3772" w:rsidP="008B3772">
      <w:pPr>
        <w:pStyle w:val="TextoNormal"/>
      </w:pPr>
      <w:r>
        <w:t xml:space="preserve">Sin embargo no basta con que se cumpla con esa regla de que la falta de la suspensión haría perder al recurso de amparo su finalidad para que aquélla deba adoptarse necesariamente. El mismo art. 56.1 LOTC, después de establecer esta regla, remite a un juicio motivado de ponderación, en el cual hay que confrontar, de un lado, el perjuicio que se causaría al recurrente como consecuencia de la eficacia de la resolución recurrida, y, de otro, el perjuicio que causaría al interés público o a terceros la suspensión de la ejecución de aquélla. Por consiguiente, con relación a los casos en que puedan resultar afectados los intereses de un menor, con arreglo a la doctrina de este Tribunal, “la ponderación de intereses en juego para decidir acerca del otorgamiento o denegación de la suspensión instada debe ser extremadamente cuidadosa y subordinada en todo caso a la protección jurídica de la persona y de los derechos de personalidad de los menores afectados”, resultando “que la protección de los derechos e intereses de los menores queda de momento mejor garantizada por el mantenimiento y la no alteración de su ámbito afectivo y de convivencia actual durante la tramitación del recurso de amparo”, ya que los sucesivos cambios de su entorno afectivo y </w:t>
      </w:r>
      <w:r>
        <w:lastRenderedPageBreak/>
        <w:t>de convivencia podrían causarles graves perjuicios en su personalidad en formación (AATC 21/2002, de 25 de febrero, FJ 3; 148/2002, de 23 de julio, FJ 3; 273/2003, de 22 de julio, FJ 3, 198/2004, de 26 de mayo, FJ 1; 108/2005, de 14 de marzo, FJ 1).</w:t>
      </w:r>
    </w:p>
    <w:p w:rsidR="008B3772" w:rsidRDefault="008B3772" w:rsidP="008B3772">
      <w:pPr>
        <w:pStyle w:val="TextoNormal"/>
      </w:pPr>
    </w:p>
    <w:p w:rsidR="008B3772" w:rsidRDefault="008B3772" w:rsidP="008B3772">
      <w:pPr>
        <w:pStyle w:val="TextoNormal"/>
      </w:pPr>
      <w:r w:rsidRPr="008B3772">
        <w:rPr>
          <w:rStyle w:val="NumeroAFNegritaCaracter"/>
        </w:rPr>
        <w:t>2</w:t>
      </w:r>
      <w:r>
        <w:t>. Teniendo en cuenta lo dicho, y a los solos efectos del presente incidente de suspensión, hemos de observar en el caso que nos ocupa que la Sentencia dictada por el Juzgado de Primera Instancia núm. 29 de Madrid, confirmada por la Audiencia Provincial, acordó la modificación del régimen de guarda y custodia de las menores por la madre establecido por la Sentencia de separación (27 de mayo de 1999) y por la posterior de divorcio (15 de febrero de 2001), mediante su sustitución por un sistema de custodia compartida (rectius: alterna) de las menores a cargo de ambos progenitores, uno residente en Madrid (el padre) y el otro en Barcelona (la madre, ahora recurrente), ordenado por años o cursos escolares alternos, atribuyendo al padre el primer período de guarda y custodia alterna de las menores correspondiente al año escolar 2005-2006. De donde resulta que actualmente (curso 2006-2007) se hallan bajo la guarda y custodia de su madre, a quien correspondía con anterioridad al pronunciamiento de la resolución que acuerda la modificación de las medidas de divorcio que está en la base de la queja planteada en el presente recurso de amparo en relación con la denegación de exploración judicial de las menores. Dicha situación fáctica, existente en el momento en el que debemos pronunciarnos sobre la medida de suspensión interesada, conduce a la aplicación de la doctrina reseñada, que debe ser mantenida, dado que la salvaguarda de los derechos e intereses de las menores queda de momento mejor garantizada por el mantenimiento y la no alteración de su ámbito afectivo y de convivencia actual durante la tramitación del recurso de amparo a la espera de lo que pueda decidirse sobre el fondo de la queja formulada y las consecuencias que de dicha decisión puedan derivarse para la situación de las menores.</w:t>
      </w:r>
    </w:p>
    <w:p w:rsidR="008B3772" w:rsidRDefault="008B3772" w:rsidP="008B3772">
      <w:pPr>
        <w:pStyle w:val="TextoNormal"/>
      </w:pPr>
    </w:p>
    <w:p w:rsidR="008B3772" w:rsidRDefault="008B3772" w:rsidP="008B3772">
      <w:pPr>
        <w:pStyle w:val="TextoNormal"/>
      </w:pPr>
      <w:r w:rsidRPr="008B3772">
        <w:rPr>
          <w:rStyle w:val="NumeroAFNegritaCaracter"/>
        </w:rPr>
        <w:t>3</w:t>
      </w:r>
      <w:r>
        <w:t>. Procede, en consecuencia, acceder a la petición de suspensión en lo referido al régimen de guarda y custodia de las menores establecido en el procedimiento del que trae causa la demanda de amparo, al tiempo que, en atención a la importancia de los valores e intereses en juego, anteponer la resolución del presente recurso de amparo en el orden de señalamientos, una vez concluida su tramitación, para dictar resolución sobre el fondo de la cuestión planteada en el plazo más breve posible.</w:t>
      </w:r>
    </w:p>
    <w:p w:rsidR="008B3772" w:rsidRDefault="008B3772" w:rsidP="008B3772">
      <w:pPr>
        <w:pStyle w:val="TextoNormal"/>
      </w:pPr>
    </w:p>
    <w:p w:rsidR="008B3772" w:rsidRDefault="008B3772" w:rsidP="008B3772">
      <w:pPr>
        <w:pStyle w:val="TextoNormal"/>
      </w:pPr>
      <w:r>
        <w:t>En virtud de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1º Suspender la ejecución de la Sentencia del Juzgado de Primera Instancia núm. 29 de Madrid, de 22 de julio de 2005, y de la dictada en apelación de la anterior por la Sección Vigésimo Segunda de la Audiencia Provincial de Madrid con fecha 29 de</w:t>
      </w:r>
    </w:p>
    <w:p w:rsidR="008B3772" w:rsidRDefault="008B3772" w:rsidP="008B3772">
      <w:pPr>
        <w:pStyle w:val="TextoNormal"/>
      </w:pPr>
      <w:r>
        <w:t>septiembre de 2006, únicamente en lo relativo al acordado régimen de guarda y custodia de las menores y a las medidas de orden económico que se anudan al mismo.</w:t>
      </w:r>
    </w:p>
    <w:p w:rsidR="008B3772" w:rsidRDefault="008B3772" w:rsidP="008B3772">
      <w:pPr>
        <w:pStyle w:val="TextoNormal"/>
      </w:pPr>
      <w:r>
        <w:t>2º Acordar el señalamiento preferente del presente recurso de amparo por las circunstancias que concurren en él.</w:t>
      </w:r>
    </w:p>
    <w:p w:rsidR="008B3772" w:rsidRDefault="008B3772" w:rsidP="008B3772">
      <w:pPr>
        <w:pStyle w:val="TextoNormal"/>
      </w:pPr>
    </w:p>
    <w:p w:rsidR="008B3772" w:rsidRDefault="008B3772" w:rsidP="008B3772">
      <w:pPr>
        <w:pStyle w:val="TextoNormal"/>
      </w:pPr>
      <w:r>
        <w:t>Madrid, a dieciocho de julio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201" w:name="AUTO_2007_337"/>
      <w:r>
        <w:lastRenderedPageBreak/>
        <w:t>AUTO 337/2007, de 18 de julio de 2007</w:t>
      </w:r>
    </w:p>
    <w:bookmarkEnd w:id="201"/>
    <w:p w:rsidR="008B3772" w:rsidRDefault="008B3772" w:rsidP="008B3772">
      <w:pPr>
        <w:pStyle w:val="TtuloResolucin"/>
      </w:pPr>
      <w:r>
        <w:t>Sección Primera</w:t>
      </w:r>
    </w:p>
    <w:p w:rsidR="008B3772" w:rsidRDefault="008B3772" w:rsidP="008B3772">
      <w:pPr>
        <w:pStyle w:val="TtuloResolucin"/>
      </w:pPr>
    </w:p>
    <w:p w:rsidR="008B3772" w:rsidRDefault="008B3772" w:rsidP="008B3772">
      <w:pPr>
        <w:pStyle w:val="SntesisDescriptiva"/>
      </w:pPr>
      <w:r>
        <w:t>ECLI:ES:TC:2007:337A</w:t>
      </w:r>
    </w:p>
    <w:p w:rsidR="008B3772" w:rsidRDefault="008B3772" w:rsidP="008B3772">
      <w:pPr>
        <w:pStyle w:val="SntesisDescriptiva"/>
      </w:pPr>
    </w:p>
    <w:p w:rsidR="008B3772" w:rsidRDefault="008B3772" w:rsidP="008B3772">
      <w:pPr>
        <w:pStyle w:val="SntesisDescriptiva"/>
      </w:pPr>
      <w:r>
        <w:t>Excms. Srs. doña María Emilia Casas Baamonde, don Javier Delgado Barrio y don Manuel Aragón Reyes.</w:t>
      </w:r>
    </w:p>
    <w:p w:rsidR="008B3772" w:rsidRDefault="008B3772" w:rsidP="008B3772">
      <w:pPr>
        <w:pStyle w:val="SntesisDescriptiva"/>
      </w:pPr>
    </w:p>
    <w:p w:rsidR="008B3772" w:rsidRDefault="008B3772" w:rsidP="008B3772">
      <w:pPr>
        <w:pStyle w:val="SntesisDescriptiva"/>
      </w:pPr>
      <w:r>
        <w:t>Acuerda el desistimiento en el recurso de amparo 11347-2006, promovido en proceso de vigilancia penitenciaria.</w:t>
      </w:r>
    </w:p>
    <w:p w:rsidR="008B3772" w:rsidRDefault="008B3772" w:rsidP="008B3772">
      <w:pPr>
        <w:pStyle w:val="SntesisDescriptiva"/>
      </w:pPr>
    </w:p>
    <w:p w:rsidR="008B3772" w:rsidRDefault="008B3772" w:rsidP="008B3772">
      <w:pPr>
        <w:pStyle w:val="TtuloResolucin"/>
      </w:pPr>
      <w:r>
        <w:t>*Este auto no incorpora doctrina constitucional.</w:t>
      </w:r>
    </w:p>
    <w:p w:rsidR="008B3772" w:rsidRDefault="008B3772">
      <w:pPr>
        <w:spacing w:after="160" w:line="259" w:lineRule="auto"/>
        <w:rPr>
          <w:rFonts w:ascii="Times New Roman" w:eastAsia="Times New Roman" w:hAnsi="Times New Roman" w:cs="Times New Roman"/>
          <w:b/>
          <w:sz w:val="24"/>
          <w:szCs w:val="24"/>
          <w:lang w:eastAsia="es-ES"/>
        </w:rPr>
      </w:pPr>
      <w:r>
        <w:br w:type="page"/>
      </w:r>
    </w:p>
    <w:p w:rsidR="008B3772" w:rsidRDefault="008B3772" w:rsidP="008B3772">
      <w:pPr>
        <w:pStyle w:val="TtuloResolucin"/>
      </w:pPr>
      <w:bookmarkStart w:id="202" w:name="AUTO_2007_338"/>
      <w:r>
        <w:lastRenderedPageBreak/>
        <w:t>AUTO 338/2007, de 18 de julio de 2007</w:t>
      </w:r>
    </w:p>
    <w:bookmarkEnd w:id="202"/>
    <w:p w:rsidR="008B3772" w:rsidRDefault="008B3772" w:rsidP="008B3772">
      <w:pPr>
        <w:pStyle w:val="TtuloResolucin"/>
      </w:pPr>
      <w:r>
        <w:t>Sala Segunda</w:t>
      </w:r>
    </w:p>
    <w:p w:rsidR="008B3772" w:rsidRDefault="008B3772" w:rsidP="008B3772">
      <w:pPr>
        <w:pStyle w:val="TtuloResolucin"/>
      </w:pPr>
    </w:p>
    <w:p w:rsidR="008B3772" w:rsidRDefault="008B3772" w:rsidP="008B3772">
      <w:pPr>
        <w:pStyle w:val="SntesisDescriptiva"/>
      </w:pPr>
      <w:r>
        <w:t>ECLI:ES:TC:2007:338A</w:t>
      </w:r>
    </w:p>
    <w:p w:rsidR="008B3772" w:rsidRDefault="008B3772" w:rsidP="008B3772">
      <w:pPr>
        <w:pStyle w:val="SntesisDescriptiva"/>
      </w:pPr>
    </w:p>
    <w:p w:rsidR="008B3772" w:rsidRDefault="008B3772" w:rsidP="008B3772">
      <w:pPr>
        <w:pStyle w:val="SntesisDescriptiva"/>
      </w:pPr>
      <w:r>
        <w:t>Excms. Srs. don Guillermo Jiménez Sánchez, don Vicente Conde Martín de Hijas, doña Elisa Pérez Vera, don Eugeni Gay Montalvo, don Ramón Rodríguez Arribas y don Pascual Sala Sánchez.</w:t>
      </w:r>
    </w:p>
    <w:p w:rsidR="008B3772" w:rsidRDefault="008B3772" w:rsidP="008B3772">
      <w:pPr>
        <w:pStyle w:val="SntesisDescriptiva"/>
      </w:pPr>
    </w:p>
    <w:p w:rsidR="008B3772" w:rsidRDefault="008B3772" w:rsidP="008B3772">
      <w:pPr>
        <w:pStyle w:val="SntesisDescriptiva"/>
      </w:pPr>
      <w:r>
        <w:t>Acuerda la extinción del recurso de amparo 5716-2007, promovido por el Partido Socialista Obrero Español en contencioso-electoral por proclamación de electos en el municipio de Casas de Fernando Alonso.</w:t>
      </w:r>
    </w:p>
    <w:p w:rsidR="008B3772" w:rsidRDefault="008B3772" w:rsidP="008B3772">
      <w:pPr>
        <w:pStyle w:val="SntesisDescriptiva"/>
      </w:pPr>
    </w:p>
    <w:p w:rsidR="008B3772" w:rsidRDefault="008B3772" w:rsidP="008B3772">
      <w:pPr>
        <w:pStyle w:val="SntesisAnaltica"/>
      </w:pPr>
      <w:r>
        <w:t>Corporaciones locales: cómputo de los votos válidos. Recurso de amparo: pérdida sobrevenida de objeto por satisfacción extraprocesal.</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presentado por fax en la Sala de lo Contencioso-Administrativo del Tribunal Superior de Justicia de Castilla-La Mancha y en el Juzgado de Guardia el 25 de junio de 2007 (con entrada en este Tribunal al día siguiente), la Procuradora de los Tribunales doña María Mercedes Pérez García, actuando en representación de doña Manuela Galiano López, representante, a su vez, de las candidaturas del PSOE en el distrito de la Junta Electoral de San Clemente (Cuenca), interpuso recurso de amparo contra Sentencia de la Sala de lo Contencioso-Administrativo del Tribunal Superior de Justicia de Castilla-La Mancha, de 21 de junio de 2007, que estimó parcialmente el recurso contencioso-electoral núm. 609-2007, interpuesto por la representación de las candidaturas del Partido Popular en la provincia de Cuenca contra Acuerdo de la Junta Electoral Central de 7 de junio de 2007, relativo a la proclamación de electos de la Junta Electoral de Zona de San Clemente en el Municipio de Casas de Fernando Alonso. En la demanda se alega que la resolución impugnada, al revocar la decisión de la Junta Electoral Central y, con ello, el acto de proclamación de concejales, dando validez a dos papeletas de forma contraria a lo dispuesto en el art. 96.2 LOREG, ha lesionado el derecho de representación del art. 23.2 CE, privando de la mayor representación al grupo de concejales proclamados y relegando injustamente al quinto concejal del PSOE en el citado Municipio.</w:t>
      </w:r>
    </w:p>
    <w:p w:rsidR="008B3772" w:rsidRDefault="008B3772" w:rsidP="008B3772">
      <w:pPr>
        <w:pStyle w:val="TextoNormal"/>
      </w:pPr>
    </w:p>
    <w:p w:rsidR="008B3772" w:rsidRDefault="008B3772" w:rsidP="008B3772">
      <w:pPr>
        <w:pStyle w:val="TextoNormal"/>
      </w:pPr>
      <w:r w:rsidRPr="008B3772">
        <w:rPr>
          <w:rStyle w:val="NumeroAFNegritaCaracter"/>
        </w:rPr>
        <w:t>2</w:t>
      </w:r>
      <w:r>
        <w:t>. Por resolución de 3 de julio de 2007, la Sala Segunda acordó admitir a trámite el recurso de amparo, de conformidad con lo previsto en el art. 50.1 LOTC, por no apreciar en su examen liminar que la demanda incumpla lo dispuesto en los arts. 41 a 46 y 49 de la misma Ley, y por estimar que la especial trascendencia de su contenido justifica una decisión sobre el fondo por parte del Tribunal Constitucional. Asimismo, y constando remitidas ya por la Sala de lo Contencioso-Administrativo del Tribunal Superior de Justicia de Casti</w:t>
      </w:r>
      <w:r>
        <w:lastRenderedPageBreak/>
        <w:t>lla-La Mancha las actuaciones correspondientes, incluido el expediente electoral y el informe de la Junta Electoral, conforme a lo dispuesto en el art. 112.3 LOREG y en el Acuerdo de este Tribunal de 20 de enero de 2000, se acordó emplazar a las partes, excepto a la recurrente en amparo, para que en el plazo de tres días pudieran personarse ante este Tribunal mediante Procurador de Madrid con poder al efecto y asistidas de Abogado, formulando las alegaciones que estimasen pertinentes. Igualmente, se acordó dar vista al Ministerio Fiscal de la demanda presentada para que en el plazo de cinco días pudiera efectuar las alegaciones procedentes.</w:t>
      </w:r>
    </w:p>
    <w:p w:rsidR="008B3772" w:rsidRDefault="008B3772" w:rsidP="008B3772">
      <w:pPr>
        <w:pStyle w:val="TextoNormal"/>
      </w:pPr>
    </w:p>
    <w:p w:rsidR="008B3772" w:rsidRDefault="008B3772" w:rsidP="008B3772">
      <w:pPr>
        <w:pStyle w:val="TextoNormal"/>
      </w:pPr>
      <w:r w:rsidRPr="008B3772">
        <w:rPr>
          <w:rStyle w:val="NumeroAFNegritaCaracter"/>
        </w:rPr>
        <w:t>3</w:t>
      </w:r>
      <w:r>
        <w:t>. Por escrito presentado el 6 de julio de 2007, el Procurador de los Tribunales don Argimiro Vázquez Guillén en representación del Partido Popular, compareció en el presente recurso de amparo y formuló alegaciones solicitando la denegación del amparo y la confirmación de la Sentencia impugnada, por entender que existía causa de inadmisión por falta de invocación formal del derecho fundamental que se alega como vulnerado, y porque no se ha producido lesión de éste, siendo la cuestión planteada de estricta legalidad electoral en cuanto referida a la aplicación de lo dispuesto en el art. 96.2 LOREG.</w:t>
      </w:r>
    </w:p>
    <w:p w:rsidR="008B3772" w:rsidRDefault="008B3772" w:rsidP="008B3772">
      <w:pPr>
        <w:pStyle w:val="TextoNormal"/>
      </w:pPr>
    </w:p>
    <w:p w:rsidR="008B3772" w:rsidRDefault="008B3772" w:rsidP="008B3772">
      <w:pPr>
        <w:pStyle w:val="TextoNormal"/>
      </w:pPr>
      <w:r w:rsidRPr="008B3772">
        <w:rPr>
          <w:rStyle w:val="NumeroAFNegritaCaracter"/>
        </w:rPr>
        <w:t>4</w:t>
      </w:r>
      <w:r>
        <w:t>. El Ministerio Fiscal presentó sus alegaciones el 10 de julio de 2007, instando la desestimación del recurso de amparo por considerar que no se había vulnerado el derecho consagrado en el art. 23.2 CE, argumentando que no puede afirmarse que carezca de racionalidad la interpretación del art. 96.2 LOREG realizada por el órgano judicial.</w:t>
      </w:r>
    </w:p>
    <w:p w:rsidR="008B3772" w:rsidRDefault="008B3772" w:rsidP="008B3772">
      <w:pPr>
        <w:pStyle w:val="TextoNormal"/>
      </w:pPr>
    </w:p>
    <w:p w:rsidR="008B3772" w:rsidRDefault="008B3772" w:rsidP="008B3772">
      <w:pPr>
        <w:pStyle w:val="TextoNormal"/>
      </w:pPr>
      <w:r w:rsidRPr="008B3772">
        <w:rPr>
          <w:rStyle w:val="NumeroAFNegritaCaracter"/>
        </w:rPr>
        <w:t>5</w:t>
      </w:r>
      <w:r>
        <w:t>. La representación de la demandante de amparo presentó escrito el 10 de julio de 2007, comunicando la existencia de satisfacción extraprocesal de su interés, pues, como consecuencia del sorteo celebrado de conformidad con lo dispuesto en el art. 163 LOREG para deshacer el empate electoral resultante en el Municipio de Casas de Fernando Alonso, el noveno concejal ha sido adjudicado a la candidatura del PSOE en dicho Municipio. En consecuencia, afirma la actora que el mantenimiento del presente recurso ha dejado de tener interés para ella, por lo que interesa que se acuerde el archivo del procedimiento.</w:t>
      </w:r>
    </w:p>
    <w:p w:rsidR="008B3772" w:rsidRDefault="008B3772" w:rsidP="008B3772">
      <w:pPr>
        <w:pStyle w:val="TextoNormal"/>
      </w:pPr>
    </w:p>
    <w:p w:rsidR="008B3772" w:rsidRDefault="008B3772" w:rsidP="008B3772">
      <w:pPr>
        <w:pStyle w:val="TextoNormal"/>
      </w:pPr>
      <w:r w:rsidRPr="008B3772">
        <w:rPr>
          <w:rStyle w:val="NumeroAFNegritaCaracter"/>
        </w:rPr>
        <w:t>6</w:t>
      </w:r>
      <w:r>
        <w:t>. Mediante diligencia de ordenación de 10 de julio de 2007, y a la vista de las alegaciones formuladas por la Procuradora de los Tribunales doña Mercedes Pérez García, se acordó dar traslado al Ministerio Fiscal y a las partes personadas, por término de un día, para que alegaran lo que tuvieran por conveniente.</w:t>
      </w:r>
    </w:p>
    <w:p w:rsidR="008B3772" w:rsidRDefault="008B3772" w:rsidP="008B3772">
      <w:pPr>
        <w:pStyle w:val="TextoNormal"/>
      </w:pPr>
    </w:p>
    <w:p w:rsidR="008B3772" w:rsidRDefault="008B3772" w:rsidP="008B3772">
      <w:pPr>
        <w:pStyle w:val="TextoNormal"/>
      </w:pPr>
      <w:r w:rsidRPr="008B3772">
        <w:rPr>
          <w:rStyle w:val="NumeroAFNegritaCaracter"/>
        </w:rPr>
        <w:t>7</w:t>
      </w:r>
      <w:r>
        <w:t>. En la representación que tiene acreditada del Partido Popular, el Procurador don Argimiro Vázquez Guillén, mediante escrito registrado el 11 de julio de 2007, se opuso a que se apreciara la existencia de satisfacción extraprocesal, porque no ha habido un reconocimiento por la parte contraria de las pretensiones interesadas por la recurrente, sosteniendo que lo que existe es un desistimiento o renuncia del PSOE a seguir adelante con su recurso. Asimismo, solicitó la imposición de las costas procesales a la demandante, en aplicación de lo dispuesto en el art. 95.2 LOTC.</w:t>
      </w:r>
    </w:p>
    <w:p w:rsidR="008B3772" w:rsidRDefault="008B3772" w:rsidP="008B3772">
      <w:pPr>
        <w:pStyle w:val="TextoNormal"/>
      </w:pPr>
    </w:p>
    <w:p w:rsidR="008B3772" w:rsidRDefault="008B3772" w:rsidP="008B3772">
      <w:pPr>
        <w:pStyle w:val="TextoNormal"/>
      </w:pPr>
      <w:r w:rsidRPr="008B3772">
        <w:rPr>
          <w:rStyle w:val="NumeroAFNegritaCaracter"/>
        </w:rPr>
        <w:t>8</w:t>
      </w:r>
      <w:r>
        <w:t>. El Ministerio Fiscal, en escrito registrado el 12 de julio de 2007, manifestó que no se oponía a la solicitud de la parte actora, al no concurrir interés público que justifique la continuación del procedimiento ni constar oposición de tercero.</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presente recurso de amparo se dirige contra la Sentencia de la Sala de lo Contencioso-Administrativo del Tribunal Superior de Justicia de Castilla-La Mancha, de 21 de junio de 2007, que estimó parcialmente el recurso contencioso-electoral núm.  609-2007, interpuesto por la representación de las candidaturas del Partido Popular en la provincia de Cuenca contra Acuerdo de la Junta Electoral Central de 7 de junio de 2007, relativo a la proclamación de electos de la Junta Electoral de Zona de San Clemente en el Municipio de Casas de Fernando Alonso. En la demanda de amparo se denuncia que dicha resolución judicial dio validez a dos votos a favor de la candidatura del Partido Popular que incumplían de forma manifiesta lo dispuesto en el art.  96.2 de la Ley Orgánica del régimen electoral general (LOREG), lo que ha producido la lesión del derecho de representación del art. 23.2 CE, ya que, ante la situación de empate a votos entre las candidaturas del PSOE y del PP en el Municipio de Casas de Fernando Alonso, un solo voto decide quién gobierna en dicho Municipio. Por tanto, al considerarse válidos los votos cuestionados, se ha privado de la mayor representación al grupo de concejales proclamados y se ha relegado injustamente al quinto concejal del PSOE.</w:t>
      </w:r>
    </w:p>
    <w:p w:rsidR="008B3772" w:rsidRDefault="008B3772" w:rsidP="008B3772">
      <w:pPr>
        <w:pStyle w:val="TextoNormal"/>
      </w:pPr>
      <w:r>
        <w:t>Una vez formalizado el recurso de amparo, la representación de la parte actora ha presentado escrito manifestando que, en el sorteo realizado para resolver el empate [art. 163.1 d) LOREG], ha correspondido a la candidatura del PSOE el noveno concejal del Municipio, por lo que entiende producida la satisfacción extraprocesal de su pretensión, interesando que se archive el procedimiento.</w:t>
      </w:r>
    </w:p>
    <w:p w:rsidR="008B3772" w:rsidRDefault="008B3772" w:rsidP="008B3772">
      <w:pPr>
        <w:pStyle w:val="TextoNormal"/>
      </w:pPr>
    </w:p>
    <w:p w:rsidR="008B3772" w:rsidRDefault="008B3772" w:rsidP="008B3772">
      <w:pPr>
        <w:pStyle w:val="TextoNormal"/>
      </w:pPr>
      <w:r w:rsidRPr="008B3772">
        <w:rPr>
          <w:rStyle w:val="NumeroAFNegritaCaracter"/>
        </w:rPr>
        <w:t>2</w:t>
      </w:r>
      <w:r>
        <w:t>. Según reiterada doctrina de este Tribunal, la desaparición sobrevenida del objeto es una de las formas de terminación de los distintos procesos constitucionales, entre ellos el recurso de amparo, puesto que circunstancias acaecidas con posterioridad a la presentación de la demanda pueden hacer innecesario un pronunciamiento del Tribunal Constitucional (STC 305/2000, de 11 de diciembre, FJ 9, y AATC 43/1985, de 23 de enero; 189/1997, de 3 de junio, y 139/1998, de 16 de junio), debiendo ser distinguida de la propia inexistencia originaria del objeto (SSTC 300/1993, de 20 de octubre, FJ 3, y 305/2000, citada, FJ 9).</w:t>
      </w:r>
    </w:p>
    <w:p w:rsidR="008B3772" w:rsidRDefault="008B3772" w:rsidP="008B3772">
      <w:pPr>
        <w:pStyle w:val="TextoNormal"/>
      </w:pPr>
      <w:r>
        <w:t>Pues bien, una de las modalidades de pérdida del objeto del recurso de amparo se produce por la satisfacción extraprocesal de la pretensión (SSTC 203/2000, de 24 de julio, FJ 2 y 84/2006, de 27 de marzo, FJ 2) que, según se dispone en el art. 22.1 de la Ley de enjuiciamiento civil (LEC) se produce cuando, por circunstancias sobrevenidas, dejare de haber interés legítimo en obtener la tutela judicial pretendida “porque se hayan satisfecho, fuera del proceso, las pretensiones del actor… o por cualquier otra causa”. Pues bien, aunque la parte demandante ponga de manifiesto la existencia de una satisfacción extraprocesal de su pretensión como consecuencia de la adjudicación a su candidatura del noveno concejal del Municipio de Casas de Fernando Alonso, en virtud del sorteo legalmente previsto para resolver el empate existente entre las dos candidaturas concurrentes, lo cierto es que este hecho no equivale, en el presente caso, a una satisfacción extraprocesal, porque para que esta situación se hubiese producido habría sido preciso que se hubiesen declarado nulos los dos votos cuya validez discutía la recurrente, al ser este extremo el que, a juicio de la demandante, producía la lesión del derecho fundamental invocado en la demanda de amparo.</w:t>
      </w:r>
    </w:p>
    <w:p w:rsidR="008B3772" w:rsidRDefault="008B3772" w:rsidP="008B3772">
      <w:pPr>
        <w:pStyle w:val="TextoNormal"/>
      </w:pPr>
      <w:r>
        <w:t xml:space="preserve">Ahora bien, esta circunstancia no nos impide apreciar la pérdida sobrevenida de objeto del presente recurso de amparo, porque es lo cierto que el resultado producido en el sorteo </w:t>
      </w:r>
      <w:r>
        <w:lastRenderedPageBreak/>
        <w:t>celebrado de conformidad con lo dispuesto en el art. 163.1 d) LOREG tiene una notoria incidencia en la cuestión debatida. En efecto, la finalidad pretendida con la formulación de la demanda de amparo, dirigida en primer término a la declaración de invalidez de los votos objeto de reclamación y a la realización de una nueva proclamación de candidatos, era, en definitiva, la obtención de noveno concejal del Municipio de Casas de Fernando Alonso, fin que se ha logrado sustancialmente con la adjudicación de dicho concejal a través del reiterado sorteo. En suma, esta nueva situación producida en desarrollo del proceso electoral hasta sus últimas consecuencias ha determinado la desaparición sobrevenida de la supuesta lesión del derecho fundamental invocado, a cuyos efectos ya no resulta esencial la apreciación de la validez o invalidez de los votos discutidos. En consecuencia, la pretensión de la actora ya no tiene virtualidad práctica alguna, por lo que procede declarar la pérdida de objeto del presente recurso y el archivo de las actuaciones.</w:t>
      </w:r>
    </w:p>
    <w:p w:rsidR="008B3772" w:rsidRDefault="008B3772" w:rsidP="008B3772">
      <w:pPr>
        <w:pStyle w:val="TextoNormal"/>
      </w:pPr>
    </w:p>
    <w:p w:rsidR="008B3772" w:rsidRDefault="008B3772" w:rsidP="008B3772">
      <w:pPr>
        <w:pStyle w:val="TextoNormal"/>
      </w:pPr>
      <w:r>
        <w:t>En virtud de todo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Declarar la extinción del presente proceso de amparo y, consecuentemente, ordenar el archivo de las actuaciones.</w:t>
      </w:r>
    </w:p>
    <w:p w:rsidR="008B3772" w:rsidRDefault="008B3772" w:rsidP="008B3772">
      <w:pPr>
        <w:pStyle w:val="TextoNormal"/>
      </w:pPr>
    </w:p>
    <w:p w:rsidR="008B3772" w:rsidRDefault="008B3772" w:rsidP="008B3772">
      <w:pPr>
        <w:pStyle w:val="TextoNormal"/>
      </w:pPr>
      <w:r>
        <w:t>Madrid, a dieciocho de julio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203" w:name="AUTO_2007_339"/>
      <w:r>
        <w:lastRenderedPageBreak/>
        <w:t>AUTO 339/2007, de 19 de julio de 2007</w:t>
      </w:r>
    </w:p>
    <w:bookmarkEnd w:id="203"/>
    <w:p w:rsidR="008B3772" w:rsidRDefault="008B3772" w:rsidP="008B3772">
      <w:pPr>
        <w:pStyle w:val="TtuloResolucin"/>
      </w:pPr>
      <w:r>
        <w:t>Sección Segunda</w:t>
      </w:r>
    </w:p>
    <w:p w:rsidR="008B3772" w:rsidRDefault="008B3772" w:rsidP="008B3772">
      <w:pPr>
        <w:pStyle w:val="TtuloResolucin"/>
      </w:pPr>
    </w:p>
    <w:p w:rsidR="008B3772" w:rsidRDefault="008B3772" w:rsidP="008B3772">
      <w:pPr>
        <w:pStyle w:val="SntesisDescriptiva"/>
      </w:pPr>
      <w:r>
        <w:t>ECLI:ES:TC:2007:339A</w:t>
      </w:r>
    </w:p>
    <w:p w:rsidR="008B3772" w:rsidRDefault="008B3772" w:rsidP="008B3772">
      <w:pPr>
        <w:pStyle w:val="SntesisDescriptiva"/>
      </w:pPr>
    </w:p>
    <w:p w:rsidR="008B3772" w:rsidRDefault="008B3772" w:rsidP="008B3772">
      <w:pPr>
        <w:pStyle w:val="SntesisDescriptiva"/>
      </w:pPr>
      <w:r>
        <w:t>Excms. Srs. don Jorge Rodríguez-Zapata Pérez, don Roberto García-Calvo y Montiel y don Pablo Pérez Tremps.</w:t>
      </w:r>
    </w:p>
    <w:p w:rsidR="008B3772" w:rsidRDefault="008B3772" w:rsidP="008B3772">
      <w:pPr>
        <w:pStyle w:val="SntesisDescriptiva"/>
      </w:pPr>
    </w:p>
    <w:p w:rsidR="008B3772" w:rsidRDefault="008B3772" w:rsidP="008B3772">
      <w:pPr>
        <w:pStyle w:val="SntesisDescriptiva"/>
      </w:pPr>
      <w:r>
        <w:t>Acuerda el desistimiento en el recurso de amparo 1491-2006, promovido en proceso contencioso-administrativo.</w:t>
      </w:r>
    </w:p>
    <w:p w:rsidR="008B3772" w:rsidRDefault="008B3772" w:rsidP="008B3772">
      <w:pPr>
        <w:pStyle w:val="SntesisDescriptiva"/>
      </w:pPr>
    </w:p>
    <w:p w:rsidR="008B3772" w:rsidRDefault="008B3772" w:rsidP="008B3772">
      <w:pPr>
        <w:pStyle w:val="TtuloResolucin"/>
      </w:pPr>
      <w:r>
        <w:t>*Este auto no incorpora doctrina constitucional.</w:t>
      </w:r>
    </w:p>
    <w:p w:rsidR="008B3772" w:rsidRDefault="008B3772">
      <w:pPr>
        <w:spacing w:after="160" w:line="259" w:lineRule="auto"/>
        <w:rPr>
          <w:rFonts w:ascii="Times New Roman" w:eastAsia="Times New Roman" w:hAnsi="Times New Roman" w:cs="Times New Roman"/>
          <w:b/>
          <w:sz w:val="24"/>
          <w:szCs w:val="24"/>
          <w:lang w:eastAsia="es-ES"/>
        </w:rPr>
      </w:pPr>
      <w:r>
        <w:br w:type="page"/>
      </w:r>
    </w:p>
    <w:p w:rsidR="008B3772" w:rsidRDefault="008B3772" w:rsidP="008B3772">
      <w:pPr>
        <w:pStyle w:val="TtuloResolucin"/>
      </w:pPr>
      <w:bookmarkStart w:id="204" w:name="AUTO_2007_340"/>
      <w:r>
        <w:lastRenderedPageBreak/>
        <w:t>AUTO 340/2007, de 19 de julio de 2007</w:t>
      </w:r>
    </w:p>
    <w:bookmarkEnd w:id="204"/>
    <w:p w:rsidR="008B3772" w:rsidRDefault="008B3772" w:rsidP="008B3772">
      <w:pPr>
        <w:pStyle w:val="TtuloResolucin"/>
      </w:pPr>
      <w:r>
        <w:t>Sección Segunda</w:t>
      </w:r>
    </w:p>
    <w:p w:rsidR="008B3772" w:rsidRDefault="008B3772" w:rsidP="008B3772">
      <w:pPr>
        <w:pStyle w:val="TtuloResolucin"/>
      </w:pPr>
    </w:p>
    <w:p w:rsidR="008B3772" w:rsidRDefault="008B3772" w:rsidP="008B3772">
      <w:pPr>
        <w:pStyle w:val="SntesisDescriptiva"/>
      </w:pPr>
      <w:r>
        <w:t>ECLI:ES:TC:2007:340A</w:t>
      </w:r>
    </w:p>
    <w:p w:rsidR="008B3772" w:rsidRDefault="008B3772" w:rsidP="008B3772">
      <w:pPr>
        <w:pStyle w:val="SntesisDescriptiva"/>
      </w:pPr>
    </w:p>
    <w:p w:rsidR="008B3772" w:rsidRDefault="008B3772" w:rsidP="008B3772">
      <w:pPr>
        <w:pStyle w:val="SntesisDescriptiva"/>
      </w:pPr>
      <w:r>
        <w:t>Excms. Srs. don Jorge Rodríguez-Zapata Pérez, don Roberto García-Calvo y Montiel y don Pablo Pérez Tremps.</w:t>
      </w:r>
    </w:p>
    <w:p w:rsidR="008B3772" w:rsidRDefault="008B3772" w:rsidP="008B3772">
      <w:pPr>
        <w:pStyle w:val="SntesisDescriptiva"/>
      </w:pPr>
    </w:p>
    <w:p w:rsidR="008B3772" w:rsidRDefault="008B3772" w:rsidP="008B3772">
      <w:pPr>
        <w:pStyle w:val="SntesisDescriptiva"/>
      </w:pPr>
      <w:r>
        <w:t>Acuerda el desistimiento en el recurso de amparo 2300-2006, promovido en recurso contencioso-administrativo.</w:t>
      </w:r>
    </w:p>
    <w:p w:rsidR="008B3772" w:rsidRDefault="008B3772" w:rsidP="008B3772">
      <w:pPr>
        <w:pStyle w:val="SntesisDescriptiva"/>
      </w:pPr>
    </w:p>
    <w:p w:rsidR="008B3772" w:rsidRDefault="008B3772" w:rsidP="008B3772">
      <w:pPr>
        <w:pStyle w:val="TtuloResolucin"/>
      </w:pPr>
      <w:r>
        <w:t>*Este auto no incorpora doctrina constitucional.</w:t>
      </w:r>
    </w:p>
    <w:p w:rsidR="008B3772" w:rsidRDefault="008B3772">
      <w:pPr>
        <w:spacing w:after="160" w:line="259" w:lineRule="auto"/>
        <w:rPr>
          <w:rFonts w:ascii="Times New Roman" w:eastAsia="Times New Roman" w:hAnsi="Times New Roman" w:cs="Times New Roman"/>
          <w:b/>
          <w:sz w:val="24"/>
          <w:szCs w:val="24"/>
          <w:lang w:eastAsia="es-ES"/>
        </w:rPr>
      </w:pPr>
      <w:r>
        <w:br w:type="page"/>
      </w:r>
    </w:p>
    <w:p w:rsidR="008B3772" w:rsidRDefault="008B3772" w:rsidP="008B3772">
      <w:pPr>
        <w:pStyle w:val="TtuloResolucin"/>
      </w:pPr>
      <w:bookmarkStart w:id="205" w:name="AUTO_2007_341"/>
      <w:r>
        <w:lastRenderedPageBreak/>
        <w:t>AUTO 341/2007, de 19 de julio de 2007</w:t>
      </w:r>
    </w:p>
    <w:bookmarkEnd w:id="205"/>
    <w:p w:rsidR="008B3772" w:rsidRDefault="008B3772" w:rsidP="008B3772">
      <w:pPr>
        <w:pStyle w:val="TtuloResolucin"/>
      </w:pPr>
      <w:r>
        <w:t>Sección Segunda</w:t>
      </w:r>
    </w:p>
    <w:p w:rsidR="008B3772" w:rsidRDefault="008B3772" w:rsidP="008B3772">
      <w:pPr>
        <w:pStyle w:val="TtuloResolucin"/>
      </w:pPr>
    </w:p>
    <w:p w:rsidR="008B3772" w:rsidRDefault="008B3772" w:rsidP="008B3772">
      <w:pPr>
        <w:pStyle w:val="SntesisDescriptiva"/>
      </w:pPr>
      <w:r>
        <w:t>ECLI:ES:TC:2007:341A</w:t>
      </w:r>
    </w:p>
    <w:p w:rsidR="008B3772" w:rsidRDefault="008B3772" w:rsidP="008B3772">
      <w:pPr>
        <w:pStyle w:val="SntesisDescriptiva"/>
      </w:pPr>
    </w:p>
    <w:p w:rsidR="008B3772" w:rsidRDefault="008B3772" w:rsidP="008B3772">
      <w:pPr>
        <w:pStyle w:val="SntesisDescriptiva"/>
      </w:pPr>
      <w:r>
        <w:t>Excms. Srs. don Jorge Rodríguez-Zapata Pérez, don Roberto García-Calvo y Montiel y don Pablo Pérez Tremps.</w:t>
      </w:r>
    </w:p>
    <w:p w:rsidR="008B3772" w:rsidRDefault="008B3772" w:rsidP="008B3772">
      <w:pPr>
        <w:pStyle w:val="SntesisDescriptiva"/>
      </w:pPr>
    </w:p>
    <w:p w:rsidR="008B3772" w:rsidRDefault="008B3772" w:rsidP="008B3772">
      <w:pPr>
        <w:pStyle w:val="SntesisDescriptiva"/>
      </w:pPr>
      <w:r>
        <w:t>Acuerda el desistimiento en el recurso de amparo 10362-2006, promovido en pleito civil.</w:t>
      </w:r>
    </w:p>
    <w:p w:rsidR="008B3772" w:rsidRDefault="008B3772" w:rsidP="008B3772">
      <w:pPr>
        <w:pStyle w:val="SntesisDescriptiva"/>
      </w:pPr>
    </w:p>
    <w:p w:rsidR="008B3772" w:rsidRDefault="008B3772" w:rsidP="008B3772">
      <w:pPr>
        <w:pStyle w:val="TtuloResolucin"/>
      </w:pPr>
      <w:r>
        <w:t>*Este auto no incorpora doctrina constitucional.</w:t>
      </w:r>
    </w:p>
    <w:p w:rsidR="008B3772" w:rsidRDefault="008B3772">
      <w:pPr>
        <w:spacing w:after="160" w:line="259" w:lineRule="auto"/>
        <w:rPr>
          <w:rFonts w:ascii="Times New Roman" w:eastAsia="Times New Roman" w:hAnsi="Times New Roman" w:cs="Times New Roman"/>
          <w:b/>
          <w:sz w:val="24"/>
          <w:szCs w:val="24"/>
          <w:lang w:eastAsia="es-ES"/>
        </w:rPr>
      </w:pPr>
      <w:r>
        <w:br w:type="page"/>
      </w:r>
    </w:p>
    <w:p w:rsidR="008B3772" w:rsidRDefault="008B3772" w:rsidP="008B3772">
      <w:pPr>
        <w:pStyle w:val="TtuloResolucin"/>
      </w:pPr>
      <w:bookmarkStart w:id="206" w:name="AUTO_2007_342"/>
      <w:r>
        <w:lastRenderedPageBreak/>
        <w:t>AUTO 342/2007, de 19 de julio de 2007</w:t>
      </w:r>
    </w:p>
    <w:bookmarkEnd w:id="206"/>
    <w:p w:rsidR="008B3772" w:rsidRDefault="008B3772" w:rsidP="008B3772">
      <w:pPr>
        <w:pStyle w:val="TtuloResolucin"/>
      </w:pPr>
      <w:r>
        <w:t>Sección Segunda</w:t>
      </w:r>
    </w:p>
    <w:p w:rsidR="008B3772" w:rsidRDefault="008B3772" w:rsidP="008B3772">
      <w:pPr>
        <w:pStyle w:val="TtuloResolucin"/>
      </w:pPr>
    </w:p>
    <w:p w:rsidR="008B3772" w:rsidRDefault="008B3772" w:rsidP="008B3772">
      <w:pPr>
        <w:pStyle w:val="SntesisDescriptiva"/>
      </w:pPr>
      <w:r>
        <w:t>ECLI:ES:TC:2007:342A</w:t>
      </w:r>
    </w:p>
    <w:p w:rsidR="008B3772" w:rsidRDefault="008B3772" w:rsidP="008B3772">
      <w:pPr>
        <w:pStyle w:val="SntesisDescriptiva"/>
      </w:pPr>
    </w:p>
    <w:p w:rsidR="008B3772" w:rsidRDefault="008B3772" w:rsidP="008B3772">
      <w:pPr>
        <w:pStyle w:val="SntesisDescriptiva"/>
      </w:pPr>
      <w:r>
        <w:t>Excms. Srs. don Jorge Rodríguez-Zapata Pérez, don Roberto García-Calvo y Montiel y don Pablo Pérez Tremps.</w:t>
      </w:r>
    </w:p>
    <w:p w:rsidR="008B3772" w:rsidRDefault="008B3772" w:rsidP="008B3772">
      <w:pPr>
        <w:pStyle w:val="SntesisDescriptiva"/>
      </w:pPr>
    </w:p>
    <w:p w:rsidR="008B3772" w:rsidRDefault="008B3772" w:rsidP="008B3772">
      <w:pPr>
        <w:pStyle w:val="SntesisDescriptiva"/>
      </w:pPr>
      <w:r>
        <w:t>Acuerda el desistimiento en el recurso de amparo 10422-2006, promovido en litigio social.</w:t>
      </w:r>
    </w:p>
    <w:p w:rsidR="008B3772" w:rsidRDefault="008B3772" w:rsidP="008B3772">
      <w:pPr>
        <w:pStyle w:val="SntesisDescriptiva"/>
      </w:pPr>
    </w:p>
    <w:p w:rsidR="008B3772" w:rsidRDefault="008B3772" w:rsidP="008B3772">
      <w:pPr>
        <w:pStyle w:val="TtuloResolucin"/>
      </w:pPr>
      <w:r>
        <w:t>*Este auto no incorpora doctrina constitucional.</w:t>
      </w:r>
    </w:p>
    <w:p w:rsidR="008B3772" w:rsidRDefault="008B3772">
      <w:pPr>
        <w:spacing w:after="160" w:line="259" w:lineRule="auto"/>
        <w:rPr>
          <w:rFonts w:ascii="Times New Roman" w:eastAsia="Times New Roman" w:hAnsi="Times New Roman" w:cs="Times New Roman"/>
          <w:b/>
          <w:sz w:val="24"/>
          <w:szCs w:val="24"/>
          <w:lang w:eastAsia="es-ES"/>
        </w:rPr>
      </w:pPr>
      <w:r>
        <w:br w:type="page"/>
      </w:r>
    </w:p>
    <w:p w:rsidR="008B3772" w:rsidRDefault="008B3772" w:rsidP="008B3772">
      <w:pPr>
        <w:pStyle w:val="TtuloResolucin"/>
      </w:pPr>
      <w:bookmarkStart w:id="207" w:name="AUTO_2007_343"/>
      <w:r>
        <w:lastRenderedPageBreak/>
        <w:t>AUTO 343/2007, de 23 de julio de 2007</w:t>
      </w:r>
    </w:p>
    <w:bookmarkEnd w:id="207"/>
    <w:p w:rsidR="008B3772" w:rsidRDefault="008B3772" w:rsidP="008B3772">
      <w:pPr>
        <w:pStyle w:val="TtuloResolucin"/>
      </w:pPr>
      <w:r>
        <w:t>Sala Primera</w:t>
      </w:r>
    </w:p>
    <w:p w:rsidR="008B3772" w:rsidRDefault="008B3772" w:rsidP="008B3772">
      <w:pPr>
        <w:pStyle w:val="TtuloResolucin"/>
      </w:pPr>
    </w:p>
    <w:p w:rsidR="008B3772" w:rsidRDefault="008B3772" w:rsidP="008B3772">
      <w:pPr>
        <w:pStyle w:val="SntesisDescriptiva"/>
      </w:pPr>
      <w:r>
        <w:t>ECLI:ES:TC:2007:343A</w:t>
      </w:r>
    </w:p>
    <w:p w:rsidR="008B3772" w:rsidRDefault="008B3772" w:rsidP="008B3772">
      <w:pPr>
        <w:pStyle w:val="SntesisDescriptiva"/>
      </w:pPr>
    </w:p>
    <w:p w:rsidR="008B3772" w:rsidRDefault="008B3772" w:rsidP="008B3772">
      <w:pPr>
        <w:pStyle w:val="SntesisDescriptiva"/>
      </w:pPr>
      <w:r>
        <w:t>Excms. Srs. doña María Emilia Casas Baamonde, don Javier Delgado Barrio, don Jorge Rodríguez-Zapata Pérez, don Manuel Aragón Reyes y don Pablo Pérez Tremps.</w:t>
      </w:r>
    </w:p>
    <w:p w:rsidR="008B3772" w:rsidRDefault="008B3772" w:rsidP="008B3772">
      <w:pPr>
        <w:pStyle w:val="SntesisDescriptiva"/>
      </w:pPr>
    </w:p>
    <w:p w:rsidR="008B3772" w:rsidRDefault="008B3772" w:rsidP="008B3772">
      <w:pPr>
        <w:pStyle w:val="SntesisDescriptiva"/>
      </w:pPr>
      <w:r>
        <w:t>Acuerda la acumulación del recurso de amparo 4015-2003 al 4002-2003, promovido por don Alhaji Ceesay y otro.</w:t>
      </w:r>
    </w:p>
    <w:p w:rsidR="008B3772" w:rsidRDefault="008B3772" w:rsidP="008B3772">
      <w:pPr>
        <w:pStyle w:val="SntesisDescriptiva"/>
      </w:pPr>
    </w:p>
    <w:p w:rsidR="008B3772" w:rsidRDefault="008B3772" w:rsidP="008B3772">
      <w:pPr>
        <w:pStyle w:val="TtuloResolucin"/>
      </w:pPr>
      <w:r>
        <w:t>*Este auto no incorpora doctrina constitucional.</w:t>
      </w:r>
    </w:p>
    <w:p w:rsidR="008B3772" w:rsidRDefault="008B3772">
      <w:pPr>
        <w:spacing w:after="160" w:line="259" w:lineRule="auto"/>
        <w:rPr>
          <w:rFonts w:ascii="Times New Roman" w:eastAsia="Times New Roman" w:hAnsi="Times New Roman" w:cs="Times New Roman"/>
          <w:b/>
          <w:sz w:val="24"/>
          <w:szCs w:val="24"/>
          <w:lang w:eastAsia="es-ES"/>
        </w:rPr>
      </w:pPr>
      <w:r>
        <w:br w:type="page"/>
      </w:r>
    </w:p>
    <w:p w:rsidR="008B3772" w:rsidRDefault="008B3772" w:rsidP="008B3772">
      <w:pPr>
        <w:pStyle w:val="TtuloResolucin"/>
      </w:pPr>
      <w:bookmarkStart w:id="208" w:name="AUTO_2007_344"/>
      <w:r>
        <w:lastRenderedPageBreak/>
        <w:t>AUTO 344/2007, de 23 de julio de 2007</w:t>
      </w:r>
    </w:p>
    <w:bookmarkEnd w:id="208"/>
    <w:p w:rsidR="008B3772" w:rsidRDefault="008B3772" w:rsidP="008B3772">
      <w:pPr>
        <w:pStyle w:val="TtuloResolucin"/>
      </w:pPr>
      <w:r>
        <w:t>Sala Primera</w:t>
      </w:r>
    </w:p>
    <w:p w:rsidR="008B3772" w:rsidRDefault="008B3772" w:rsidP="008B3772">
      <w:pPr>
        <w:pStyle w:val="TtuloResolucin"/>
      </w:pPr>
    </w:p>
    <w:p w:rsidR="008B3772" w:rsidRDefault="008B3772" w:rsidP="008B3772">
      <w:pPr>
        <w:pStyle w:val="SntesisDescriptiva"/>
      </w:pPr>
      <w:r>
        <w:t>ECLI:ES:TC:2007:344A</w:t>
      </w:r>
    </w:p>
    <w:p w:rsidR="008B3772" w:rsidRDefault="008B3772" w:rsidP="008B3772">
      <w:pPr>
        <w:pStyle w:val="SntesisDescriptiva"/>
      </w:pPr>
    </w:p>
    <w:p w:rsidR="008B3772" w:rsidRDefault="008B3772" w:rsidP="008B3772">
      <w:pPr>
        <w:pStyle w:val="SntesisDescriptiva"/>
      </w:pPr>
      <w:r>
        <w:t>Excms. Srs. doña María Emilia Casas Baamonde, don Jorge Rodríguez-Zapata Pérez, don Manuel Aragón Reyes y don Pablo Pérez Tremps.</w:t>
      </w:r>
    </w:p>
    <w:p w:rsidR="008B3772" w:rsidRDefault="008B3772" w:rsidP="008B3772">
      <w:pPr>
        <w:pStyle w:val="SntesisDescriptiva"/>
      </w:pPr>
    </w:p>
    <w:p w:rsidR="008B3772" w:rsidRDefault="008B3772" w:rsidP="008B3772">
      <w:pPr>
        <w:pStyle w:val="SntesisDescriptiva"/>
      </w:pPr>
      <w:r>
        <w:t>Acuerda la acumulación del recurso de amparo 3049-2004 al 6452-2002, promovido por don José Marcelino López Peraza.</w:t>
      </w:r>
    </w:p>
    <w:p w:rsidR="008B3772" w:rsidRDefault="008B3772" w:rsidP="008B3772">
      <w:pPr>
        <w:pStyle w:val="SntesisDescriptiva"/>
      </w:pPr>
    </w:p>
    <w:p w:rsidR="008B3772" w:rsidRDefault="008B3772" w:rsidP="008B3772">
      <w:pPr>
        <w:pStyle w:val="TtuloResolucin"/>
      </w:pPr>
      <w:r>
        <w:t>*Este auto no incorpora doctrina constitucional.</w:t>
      </w:r>
    </w:p>
    <w:p w:rsidR="008B3772" w:rsidRDefault="008B3772">
      <w:pPr>
        <w:spacing w:after="160" w:line="259" w:lineRule="auto"/>
        <w:rPr>
          <w:rFonts w:ascii="Times New Roman" w:eastAsia="Times New Roman" w:hAnsi="Times New Roman" w:cs="Times New Roman"/>
          <w:b/>
          <w:sz w:val="24"/>
          <w:szCs w:val="24"/>
          <w:lang w:eastAsia="es-ES"/>
        </w:rPr>
      </w:pPr>
      <w:r>
        <w:br w:type="page"/>
      </w:r>
    </w:p>
    <w:p w:rsidR="008B3772" w:rsidRDefault="008B3772" w:rsidP="008B3772">
      <w:pPr>
        <w:pStyle w:val="TtuloResolucin"/>
      </w:pPr>
      <w:bookmarkStart w:id="209" w:name="AUTO_2007_345"/>
      <w:r>
        <w:lastRenderedPageBreak/>
        <w:t>AUTO 345/2007, de 23 de julio de 2007</w:t>
      </w:r>
    </w:p>
    <w:bookmarkEnd w:id="209"/>
    <w:p w:rsidR="008B3772" w:rsidRDefault="008B3772" w:rsidP="008B3772">
      <w:pPr>
        <w:pStyle w:val="TtuloResolucin"/>
      </w:pPr>
      <w:r>
        <w:t>Sala Primera</w:t>
      </w:r>
    </w:p>
    <w:p w:rsidR="008B3772" w:rsidRDefault="008B3772" w:rsidP="008B3772">
      <w:pPr>
        <w:pStyle w:val="TtuloResolucin"/>
      </w:pPr>
    </w:p>
    <w:p w:rsidR="008B3772" w:rsidRDefault="008B3772" w:rsidP="008B3772">
      <w:pPr>
        <w:pStyle w:val="SntesisDescriptiva"/>
      </w:pPr>
      <w:r>
        <w:t>ECLI:ES:TC:2007:345A</w:t>
      </w:r>
    </w:p>
    <w:p w:rsidR="008B3772" w:rsidRDefault="008B3772" w:rsidP="008B3772">
      <w:pPr>
        <w:pStyle w:val="SntesisDescriptiva"/>
      </w:pPr>
    </w:p>
    <w:p w:rsidR="008B3772" w:rsidRDefault="008B3772" w:rsidP="008B3772">
      <w:pPr>
        <w:pStyle w:val="SntesisDescriptiva"/>
      </w:pPr>
      <w:r>
        <w:t>Excms. Srs. doña María Emilia Casas Baamonde, don Jorge Rodríguez-Zapata Pérez, don Manuel Aragón Reyes y don Pablo Pérez Tremps.</w:t>
      </w:r>
    </w:p>
    <w:p w:rsidR="008B3772" w:rsidRDefault="008B3772" w:rsidP="008B3772">
      <w:pPr>
        <w:pStyle w:val="SntesisDescriptiva"/>
      </w:pPr>
    </w:p>
    <w:p w:rsidR="008B3772" w:rsidRDefault="008B3772" w:rsidP="008B3772">
      <w:pPr>
        <w:pStyle w:val="SntesisDescriptiva"/>
      </w:pPr>
      <w:r>
        <w:t>Acuerda la suspensión en el recurso de amparo 6623-2004, promovido por don Juan Bilbao Moro en procedimiento de vigilancia penitenciaria por sanciones disciplinarias.</w:t>
      </w:r>
    </w:p>
    <w:p w:rsidR="008B3772" w:rsidRDefault="008B3772" w:rsidP="008B3772">
      <w:pPr>
        <w:pStyle w:val="SntesisDescriptiva"/>
      </w:pPr>
    </w:p>
    <w:p w:rsidR="008B3772" w:rsidRDefault="008B3772" w:rsidP="008B3772">
      <w:pPr>
        <w:pStyle w:val="SntesisAnaltica"/>
      </w:pPr>
      <w:r>
        <w:t>Suspensión cautelar de resoluciones penales: privación de paseos y actos recreativos, sanción de aislamiento en celda y sanción penitenciaria, suspende.</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xml:space="preserve">. Mediante escrito presentado en el Centro Penitenciario de Algeciras el 27 de octubre de 2004, recibido en el Registro General de este Tribunal el 10 de noviembre de 2004, don Juan Bilbao Moro, interno en el referido centro, manifestó su voluntad de recurrir en amparo los Autos de 30 de julio y 14 de octubre de 2004 del Juzgado Central de Vigilancia Penitenciaria de la Audiencia Nacional, que desestiman la impugnación del Acuerdo de 18 de marzo de 2004 de la Comisión disciplinaria del Centro Penitenciario de Algeciras recaído en el expediente disciplinario núm. 137-2004, que le impuso sendas sanciones de siete fines de semana de aislamiento en celda y de veinticinco días de privación de paseos y actos recreativos comunes, como responsable de una falta muy grave prevista en el art. 108 a) y de otra grave prevista en el art. 109 b) del Reglamento penitenciario aprobado por Real Decreto 1201/1981, de 8 de mayo. </w:t>
      </w:r>
    </w:p>
    <w:p w:rsidR="008B3772" w:rsidRDefault="008B3772" w:rsidP="008B3772">
      <w:pPr>
        <w:pStyle w:val="TextoNormal"/>
      </w:pPr>
      <w:r>
        <w:t>En el mismo escrito solicitaba el nombramiento de Abogado y Procurador del turno de oficio, para interponer demanda de amparo, siendo designados don Jorge Alonso Cartier como Procurador y don Antonio Romero de Gracia como Abogado. Tras las referidas designaciones, el 3 de marzo de 2005 se presentó la demanda de amparo en la que, de acuerdo con lo previsto en el art. 56.1 LOTC -en la redacción anterior a la reforma operada por la Ley Orgánica 6/2007, de 24 de mayo- el demandante solicita que se deje en suspenso la ejecución de las resoluciones impugnadas, alegando que tal ejecución podría ocasionarle un perjuicio que haría perder al amparo su finalidad.</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Sucintamente expuestos, los hechos relevantes para resolver la pretensión cautelar del demandante son los siguientes: </w:t>
      </w:r>
    </w:p>
    <w:p w:rsidR="008B3772" w:rsidRDefault="008B3772" w:rsidP="008B3772">
      <w:pPr>
        <w:pStyle w:val="TextoNormal"/>
      </w:pPr>
      <w:r>
        <w:t xml:space="preserve">a) Por Acuerdo de 18 de marzo de 2004 de la Comisión disciplinaria del Centro Penitenciario de Algeciras recaído en el expediente disciplinario núm. 137-2004 se impusieron al demandante de amparo sendas sanciones de siete fines de semana de aislamiento en celda y de veinticinco días de privación de paseos y actos recreativos comunes, como responsable </w:t>
      </w:r>
      <w:r>
        <w:lastRenderedPageBreak/>
        <w:t xml:space="preserve">de una falta muy grave prevista en el art. 108 a) y de otra grave del art. 109 b) del Reglamento Penitenciario aprobado por Real Decreto 1201/1981, de 8 de mayo. </w:t>
      </w:r>
    </w:p>
    <w:p w:rsidR="008B3772" w:rsidRDefault="008B3772" w:rsidP="008B3772">
      <w:pPr>
        <w:pStyle w:val="TextoNormal"/>
      </w:pPr>
      <w:r>
        <w:t xml:space="preserve">b) Contra el referido Acuerdo recurrió en alzada ante el Juzgado Central de Vigilancia Penitenciaria de la Audiencia Nacional, que procedió a desestimar el recurso por Auto de 30 de julio de 2004. </w:t>
      </w:r>
    </w:p>
    <w:p w:rsidR="008B3772" w:rsidRDefault="008B3772" w:rsidP="008B3772">
      <w:pPr>
        <w:pStyle w:val="TextoNormal"/>
      </w:pPr>
      <w:r>
        <w:t>c) Contra el anterior Auto interpuso recurso de reforma que, a su vez, fue desestimado por Auto de 14 de octubre de 2004.</w:t>
      </w:r>
    </w:p>
    <w:p w:rsidR="008B3772" w:rsidRDefault="008B3772" w:rsidP="008B3772">
      <w:pPr>
        <w:pStyle w:val="TextoNormal"/>
      </w:pPr>
    </w:p>
    <w:p w:rsidR="008B3772" w:rsidRDefault="008B3772" w:rsidP="008B3772">
      <w:pPr>
        <w:pStyle w:val="TextoNormal"/>
      </w:pPr>
      <w:r w:rsidRPr="008B3772">
        <w:rPr>
          <w:rStyle w:val="NumeroAFNegritaCaracter"/>
        </w:rPr>
        <w:t>3</w:t>
      </w:r>
      <w:r>
        <w:t>. En la demanda de amparo se alega que se ha vulnerado el derecho del recurrente a la tutela judicial efectiva (art. 24.1 CE) como consecuencia de la falta de motivación de las resoluciones judiciales impugnadas. Como ya ha quedado reseñado, en la misma demanda de amparo, de acuerdo con lo previsto en el entonces art. 56.1 LOTC, el demandante solicita que se deje en suspenso la ejecución de las sanciones disciplinarias, alegando que su ejecución podría ocasionarle un perjuicio que haría perder al amparo su finalidad.</w:t>
      </w:r>
    </w:p>
    <w:p w:rsidR="008B3772" w:rsidRDefault="008B3772" w:rsidP="008B3772">
      <w:pPr>
        <w:pStyle w:val="TextoNormal"/>
      </w:pPr>
    </w:p>
    <w:p w:rsidR="008B3772" w:rsidRDefault="008B3772" w:rsidP="008B3772">
      <w:pPr>
        <w:pStyle w:val="TextoNormal"/>
      </w:pPr>
      <w:r w:rsidRPr="008B3772">
        <w:rPr>
          <w:rStyle w:val="NumeroAFNegritaCaracter"/>
        </w:rPr>
        <w:t>4</w:t>
      </w:r>
      <w:r>
        <w:t xml:space="preserve">. Por providencia de 25 de mayo de 2007 la Sección Segunda de este Tribunal acordó la admisión a trámite de la demanda de amparo y, en aplicación del art. 51 LOTC, obrando ya en la Sala copia de las actuaciones seguidas en el Juzgado Central de Vigilancia Penitenciaria de la Audiencia Nacional, se emplazó al Abogado del Estado y se dio traslado a las partes para que en el plazo de veinte días pudieran formular alegaciones, de conformidad con lo dispuesto en el art. 52.1 LOTC. </w:t>
      </w:r>
    </w:p>
    <w:p w:rsidR="008B3772" w:rsidRDefault="008B3772" w:rsidP="008B3772">
      <w:pPr>
        <w:pStyle w:val="TextoNormal"/>
      </w:pPr>
      <w:r>
        <w:t>Mediante otra providencia de la misma fecha se acordó formar la correspondiente pieza separada de suspensión y, de conformidad con lo previsto en el art. 56 LOTC, conceder un plazo común de tres días al Ministerio Fiscal, al recurrente en amparo y al Abogado del Estado para que alegaran lo que estimaran pertinente en relación con la petición de suspensión interesada.</w:t>
      </w:r>
    </w:p>
    <w:p w:rsidR="008B3772" w:rsidRDefault="008B3772" w:rsidP="008B3772">
      <w:pPr>
        <w:pStyle w:val="TextoNormal"/>
      </w:pPr>
    </w:p>
    <w:p w:rsidR="008B3772" w:rsidRDefault="008B3772" w:rsidP="008B3772">
      <w:pPr>
        <w:pStyle w:val="TextoNormal"/>
      </w:pPr>
      <w:r w:rsidRPr="008B3772">
        <w:rPr>
          <w:rStyle w:val="NumeroAFNegritaCaracter"/>
        </w:rPr>
        <w:t>5</w:t>
      </w:r>
      <w:r>
        <w:t>. El Abogado del Estado presentó su escrito de alegaciones el 30 de mayo de 2007, expresando que la disciplina y ejemplaridad de un establecimiento penitenciario quedarían resentidas por la suspensión de la sanción, del mismo modo que quedarían perjudicados los derechos de terceros -en este caso otros internos- que habrían de soportar el humillante trabajo de limpiar las suciedades ajenas.</w:t>
      </w:r>
    </w:p>
    <w:p w:rsidR="008B3772" w:rsidRDefault="008B3772" w:rsidP="008B3772">
      <w:pPr>
        <w:pStyle w:val="TextoNormal"/>
      </w:pPr>
    </w:p>
    <w:p w:rsidR="008B3772" w:rsidRDefault="008B3772" w:rsidP="008B3772">
      <w:pPr>
        <w:pStyle w:val="TextoNormal"/>
      </w:pPr>
      <w:r w:rsidRPr="008B3772">
        <w:rPr>
          <w:rStyle w:val="NumeroAFNegritaCaracter"/>
        </w:rPr>
        <w:t>6</w:t>
      </w:r>
      <w:r>
        <w:t>. En su escrito de alegaciones, presentado el 6 de junio de 2007, el Ministerio Fiscal estima procedente que se acuerde la suspensión de la ejecución de las sanciones disciplinarias impuestas ya que, de cumplirse, el amparo perdería su finalidad, sin que pueda colegirse un inmediato perjuicio del interés general o de los derechos fundamentales o libertades públicas de terceros.</w:t>
      </w:r>
    </w:p>
    <w:p w:rsidR="008B3772" w:rsidRDefault="008B3772" w:rsidP="008B3772">
      <w:pPr>
        <w:pStyle w:val="TextoNormal"/>
      </w:pPr>
    </w:p>
    <w:p w:rsidR="008B3772" w:rsidRDefault="008B3772" w:rsidP="008B3772">
      <w:pPr>
        <w:pStyle w:val="TextoNormal"/>
      </w:pPr>
      <w:r w:rsidRPr="008B3772">
        <w:rPr>
          <w:rStyle w:val="NumeroAFNegritaCaracter"/>
        </w:rPr>
        <w:t>7</w:t>
      </w:r>
      <w:r>
        <w:t>. La representación procesal del recurrente no formuló alegaciones en este trámite.</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xml:space="preserve">. El art. 56.1 LOTC —en la redacción vigente en el momento de presentarse la demanda de amparo que incorpora la solicitud de suspensión ahora examinada, anterior a la reforma operada por la Ley Orgánica 6/2007, de 24 de mayo— establece que la Sala que conozca de </w:t>
      </w:r>
      <w:r>
        <w:lastRenderedPageBreak/>
        <w:t>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públicas de un tercero.</w:t>
      </w:r>
    </w:p>
    <w:p w:rsidR="008B3772" w:rsidRDefault="008B3772" w:rsidP="008B3772">
      <w:pPr>
        <w:pStyle w:val="TextoNormal"/>
      </w:pPr>
      <w:r>
        <w:t>Interpretando la referida norma, este Tribunal viene manteniendo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(por todos, ATC 159/2001, de 18 de junio, FJ 2 y las resoluciones allí citadas), a diferencia de aquellos otros en los que, por afectar a bienes o derechos del recurrente en amparo de imposible o muy difícil restitución a su estado anterior, procede acordarla, lo cual sucede, en principio, en las condenas o sanciones privativas de libertad, y en las privativas o limitativas de ciertos derechos (AATC 270/2002, de 11 de diciembre, FJ 2, y 98/2006, de 27 de marzo, FJ 1).</w:t>
      </w:r>
    </w:p>
    <w:p w:rsidR="008B3772" w:rsidRDefault="008B3772" w:rsidP="008B3772">
      <w:pPr>
        <w:pStyle w:val="TextoNormal"/>
      </w:pPr>
    </w:p>
    <w:p w:rsidR="008B3772" w:rsidRDefault="008B3772" w:rsidP="008B3772">
      <w:pPr>
        <w:pStyle w:val="TextoNormal"/>
      </w:pPr>
      <w:r w:rsidRPr="008B3772">
        <w:rPr>
          <w:rStyle w:val="NumeroAFNegritaCaracter"/>
        </w:rPr>
        <w:t>2</w:t>
      </w:r>
      <w:r>
        <w:t>. En relación con las sanciones penitenciarias tenemos dicho que la posibilidad de que la sanción haya sido cumplida o, incluso, haya podido quedar cancelada, no es obstáculo para acordar la suspensión solicitada, en la medida en que, a pesar del cumplimiento efectivo de la sanción, ésta puede tener efectos negativos en la concesión de beneficios penitenciarios al recurrente (arts. 202 a 206 del Reglamento penitenciario aprobado por Real Decreto 190/1996, de 9 de febrero), sin que, en principio, pueda colegirse un inmediato perjuicio del interés general o de los derechos fundamentales o libertades públicas de tercero. Por tanto, resulta pertinente la suspensión de los efectos que pudieran derivarse de la sanción impuesta, de haber sido ésta ya cumplida (AATC 58/1996, de 11 de marzo, FJ Único; 186/2001, de 2 de julio, FJ 2; 34/2002, de 11 de marzo, FJ 2; 94/2004, de 23 de marzo, FJ 1, y 98/2006, de 27 de marzo, FJ 2).  La aplicación de la doctrina precedente al caso ahora examinado debe llevarnos, a la vista de la naturaleza de las sanciones penitenciarias impuestas -de siete fines de semana de aislamiento en celda y de veinticinco días de privación de paseos y actos recreativos comunes-, a acordar la suspensión de su ejecución o, en su caso, de sus efectos.</w:t>
      </w:r>
    </w:p>
    <w:p w:rsidR="008B3772" w:rsidRDefault="008B3772" w:rsidP="008B3772">
      <w:pPr>
        <w:pStyle w:val="TextoNormal"/>
      </w:pPr>
    </w:p>
    <w:p w:rsidR="008B3772" w:rsidRDefault="008B3772" w:rsidP="008B3772">
      <w:pPr>
        <w:pStyle w:val="TextoNormal"/>
      </w:pPr>
      <w:r>
        <w:t>Por todo lo cual,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Suspender la ejecución o, en su caso, los efectos que pudieran derivarse de las sanciones disciplinarias de siete fines de semana de aislamiento en celda y de veinticinco días de privación de paseos y actos recreativos comunes, que fueron impuestas al</w:t>
      </w:r>
    </w:p>
    <w:p w:rsidR="008B3772" w:rsidRDefault="008B3772" w:rsidP="008B3772">
      <w:pPr>
        <w:pStyle w:val="TextoNormal"/>
      </w:pPr>
      <w:r>
        <w:t>recurrente por Acuerdo de la Comisión disciplinaria del Centro Penitenciario de Algeciras recaído en el expediente disciplinario núm. 137-2004, confirmado por los Autos del Juzgado Central de Vigilancia Penitenciaria de la Audiencia Nacional de 30 de</w:t>
      </w:r>
    </w:p>
    <w:p w:rsidR="008B3772" w:rsidRDefault="008B3772" w:rsidP="008B3772">
      <w:pPr>
        <w:pStyle w:val="TextoNormal"/>
      </w:pPr>
      <w:r>
        <w:t>julio y 14 de octubre de 2004.</w:t>
      </w:r>
    </w:p>
    <w:p w:rsidR="008B3772" w:rsidRDefault="008B3772" w:rsidP="008B3772">
      <w:pPr>
        <w:pStyle w:val="TextoNormal"/>
      </w:pPr>
    </w:p>
    <w:p w:rsidR="008B3772" w:rsidRDefault="008B3772" w:rsidP="008B3772">
      <w:pPr>
        <w:pStyle w:val="TextoNormal"/>
      </w:pPr>
      <w:r>
        <w:t>Madrid, a veintitrés de julio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210" w:name="AUTO_2007_346"/>
      <w:r>
        <w:lastRenderedPageBreak/>
        <w:t>AUTO 346/2007, de 23 de julio de 2007</w:t>
      </w:r>
    </w:p>
    <w:bookmarkEnd w:id="210"/>
    <w:p w:rsidR="008B3772" w:rsidRDefault="008B3772" w:rsidP="008B3772">
      <w:pPr>
        <w:pStyle w:val="TtuloResolucin"/>
      </w:pPr>
      <w:r>
        <w:t>Sala Primera</w:t>
      </w:r>
    </w:p>
    <w:p w:rsidR="008B3772" w:rsidRDefault="008B3772" w:rsidP="008B3772">
      <w:pPr>
        <w:pStyle w:val="TtuloResolucin"/>
      </w:pPr>
    </w:p>
    <w:p w:rsidR="008B3772" w:rsidRDefault="008B3772" w:rsidP="008B3772">
      <w:pPr>
        <w:pStyle w:val="SntesisDescriptiva"/>
      </w:pPr>
      <w:r>
        <w:t>ECLI:ES:TC:2007:346A</w:t>
      </w:r>
    </w:p>
    <w:p w:rsidR="008B3772" w:rsidRDefault="008B3772" w:rsidP="008B3772">
      <w:pPr>
        <w:pStyle w:val="SntesisDescriptiva"/>
      </w:pPr>
    </w:p>
    <w:p w:rsidR="008B3772" w:rsidRDefault="008B3772" w:rsidP="008B3772">
      <w:pPr>
        <w:pStyle w:val="SntesisDescriptiva"/>
      </w:pPr>
      <w:r>
        <w:t>Excms. Srs. doña María Emilia Casas Baamonde, don Jorge Rodríguez-Zapata Pérez, don Manuel Aragón Reyes y don Pablo Pérez Tremps.</w:t>
      </w:r>
    </w:p>
    <w:p w:rsidR="008B3772" w:rsidRDefault="008B3772" w:rsidP="008B3772">
      <w:pPr>
        <w:pStyle w:val="SntesisDescriptiva"/>
      </w:pPr>
    </w:p>
    <w:p w:rsidR="008B3772" w:rsidRDefault="008B3772" w:rsidP="008B3772">
      <w:pPr>
        <w:pStyle w:val="SntesisDescriptiva"/>
      </w:pPr>
      <w:r>
        <w:t>Deniega la suspensión en el recurso de amparo 7482-2004, promovido por Cañete Corchero Abogados, S.L., en contencioso sobre sanciones de tráfico.</w:t>
      </w:r>
    </w:p>
    <w:p w:rsidR="008B3772" w:rsidRDefault="008B3772" w:rsidP="008B3772">
      <w:pPr>
        <w:pStyle w:val="SntesisDescriptiva"/>
      </w:pPr>
    </w:p>
    <w:p w:rsidR="008B3772" w:rsidRDefault="008B3772" w:rsidP="008B3772">
      <w:pPr>
        <w:pStyle w:val="SntesisAnaltica"/>
      </w:pPr>
      <w:r>
        <w:t>Suspensión cautelar de sentencias contencioso-administrativas: pago de una cantidad, no suspende.</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este Tribunal el 13 de diciembre de 2004, el Procurador de los Tribunales don Óscar Gil de Sagrado Garicano, en nombre y representación de la entidad Cañete Corchero Abogados, S.L. y bajo la dirección del Letrado don Santiago Cañete Corchero, interpuso recurso de amparo contra la Sentencia del Juzgado de lo Contencioso-Administrativo núm. 7 de Madrid de 21 de octubre de 2004, dictada en el procedimiento ordinario núm. 7-2004, sobre sanciones de tráfico impuestas por Resolución del Ayuntamiento de Madrid de 3 de octubre de 2003. En la demanda de amparo se solicita por otrosí la suspensión de la ejecución de la resolución impugnada, de la que se deriva la obligación de pago de la cantidad de 3.139 €.</w:t>
      </w:r>
    </w:p>
    <w:p w:rsidR="008B3772" w:rsidRDefault="008B3772" w:rsidP="008B3772">
      <w:pPr>
        <w:pStyle w:val="TextoNormal"/>
      </w:pPr>
    </w:p>
    <w:p w:rsidR="008B3772" w:rsidRDefault="008B3772" w:rsidP="008B3772">
      <w:pPr>
        <w:pStyle w:val="TextoNormal"/>
      </w:pPr>
      <w:r w:rsidRPr="008B3772">
        <w:rPr>
          <w:rStyle w:val="NumeroAFNegritaCaracter"/>
        </w:rPr>
        <w:t>2</w:t>
      </w:r>
      <w:r>
        <w:t>. La Sección Segunda de este Tribunal, por sendas providencias de 22 de mayo de 2007,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8B3772" w:rsidRDefault="008B3772" w:rsidP="008B3772">
      <w:pPr>
        <w:pStyle w:val="TextoNormal"/>
      </w:pPr>
    </w:p>
    <w:p w:rsidR="008B3772" w:rsidRDefault="008B3772" w:rsidP="008B3772">
      <w:pPr>
        <w:pStyle w:val="TextoNormal"/>
      </w:pPr>
      <w:r w:rsidRPr="008B3772">
        <w:rPr>
          <w:rStyle w:val="NumeroAFNegritaCaracter"/>
        </w:rPr>
        <w:t>3</w:t>
      </w:r>
      <w:r>
        <w:t>. El Ministerio Fiscal, por escrito registrado el 1 de julio de 2007, presentó alegaciones en las que interesaba la denegación de la suspensión al tratarse de una condena de exclusivo contenido económico y no acreditarse que puedan derivarse daños irreparables.</w:t>
      </w:r>
    </w:p>
    <w:p w:rsidR="008B3772" w:rsidRDefault="008B3772" w:rsidP="008B3772">
      <w:pPr>
        <w:pStyle w:val="TextoNormal"/>
      </w:pPr>
    </w:p>
    <w:p w:rsidR="008B3772" w:rsidRDefault="008B3772" w:rsidP="008B3772">
      <w:pPr>
        <w:pStyle w:val="TextoNormal"/>
      </w:pPr>
      <w:r w:rsidRPr="008B3772">
        <w:rPr>
          <w:rStyle w:val="NumeroAFNegritaCaracter"/>
        </w:rPr>
        <w:t>4</w:t>
      </w:r>
      <w:r>
        <w:t>. La entidad recurrente no presentó alegaciones.</w:t>
      </w:r>
    </w:p>
    <w:p w:rsidR="008B3772" w:rsidRDefault="008B3772" w:rsidP="008B3772">
      <w:pPr>
        <w:pStyle w:val="TextoNormal"/>
      </w:pPr>
    </w:p>
    <w:p w:rsidR="008B3772" w:rsidRDefault="008B3772" w:rsidP="008B3772">
      <w:pPr>
        <w:pStyle w:val="TextoNormalNegritaCentrado"/>
        <w:keepNext/>
      </w:pPr>
      <w:r>
        <w:lastRenderedPageBreak/>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Este Tribunal ha reiterado que la ejecución de las Sentencias cuyos efectos son patrimoniales o de contenido económico, como son las referidas a multas, responsabilidad civil o costas procesales, ni causan un perjuicio irreparable al obligado al</w:t>
      </w:r>
    </w:p>
    <w:p w:rsidR="008B3772" w:rsidRDefault="008B3772" w:rsidP="008B3772">
      <w:pPr>
        <w:pStyle w:val="TextoNormal"/>
      </w:pPr>
      <w:r>
        <w:t>pago ni la eventual estimación del amparo les haría perder su finalidad, toda vez que es legalmente posible en caso de estimación que se obtenga la devolución de lo pagado en ejecución de la Sentencia. De ahí que se haya insistido en que sólo en aquellos</w:t>
      </w:r>
    </w:p>
    <w:p w:rsidR="008B3772" w:rsidRDefault="008B3772" w:rsidP="008B3772">
      <w:pPr>
        <w:pStyle w:val="TextoNormal"/>
      </w:pPr>
      <w:r>
        <w:t>supuestos en los que con un principio de prueba la ejecución de lo acordado acarree perjuicios patrimoniales difícilmente reparables por su entidad, por la imposibilidad de repercutir su costo o por la irreversibilidad de las situaciones jurídicas que</w:t>
      </w:r>
    </w:p>
    <w:p w:rsidR="008B3772" w:rsidRDefault="008B3772" w:rsidP="008B3772">
      <w:pPr>
        <w:pStyle w:val="TextoNormal"/>
      </w:pPr>
      <w:r>
        <w:t>puedan producirse procede acceder a la suspensión (por todos, ATC 63/2007, de 26 de febrero, FJ 2)</w:t>
      </w:r>
    </w:p>
    <w:p w:rsidR="008B3772" w:rsidRDefault="008B3772" w:rsidP="008B3772">
      <w:pPr>
        <w:pStyle w:val="TextoNormal"/>
      </w:pPr>
      <w:r>
        <w:t>En atención a ello, se ha de denegar la suspensión solicitada, toda vez que la condena es de exclusivo contenido patrimonial y en una cuantía (3.139 €) respecto de la cual la entidad recurrente no sólo no ha ofrecido un principio razonable de la irreparabilidad de los perjuicios que le ocasionaría su pago, sino que ni siquiera ha señalado qué tipo de perjuicios podría causársele su ejecución.</w:t>
      </w:r>
    </w:p>
    <w:p w:rsidR="008B3772" w:rsidRDefault="008B3772" w:rsidP="008B3772">
      <w:pPr>
        <w:pStyle w:val="TextoNormal"/>
      </w:pPr>
    </w:p>
    <w:p w:rsidR="008B3772" w:rsidRDefault="008B3772" w:rsidP="008B3772">
      <w:pPr>
        <w:pStyle w:val="TextoNormal"/>
      </w:pPr>
      <w:r>
        <w:t>Por todo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Denegar la suspensión Sentencia del Juzgado de lo Contencioso-Administrativo núm. 7 de Madrid de 21 de octubre de 2004, dictada en el procedimiento ordinario núm. 7-2004.</w:t>
      </w:r>
    </w:p>
    <w:p w:rsidR="008B3772" w:rsidRDefault="008B3772" w:rsidP="008B3772">
      <w:pPr>
        <w:pStyle w:val="TextoNormal"/>
      </w:pPr>
    </w:p>
    <w:p w:rsidR="008B3772" w:rsidRDefault="008B3772" w:rsidP="008B3772">
      <w:pPr>
        <w:pStyle w:val="TextoNormal"/>
      </w:pPr>
      <w:r>
        <w:t>Madrid, a veintitrés de julio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211" w:name="AUTO_2007_347"/>
      <w:r>
        <w:lastRenderedPageBreak/>
        <w:t>AUTO 347/2007, de 23 de julio de 2007</w:t>
      </w:r>
    </w:p>
    <w:bookmarkEnd w:id="211"/>
    <w:p w:rsidR="008B3772" w:rsidRDefault="008B3772" w:rsidP="008B3772">
      <w:pPr>
        <w:pStyle w:val="TtuloResolucin"/>
      </w:pPr>
      <w:r>
        <w:t>Sala Primera</w:t>
      </w:r>
    </w:p>
    <w:p w:rsidR="008B3772" w:rsidRDefault="008B3772" w:rsidP="008B3772">
      <w:pPr>
        <w:pStyle w:val="TtuloResolucin"/>
      </w:pPr>
    </w:p>
    <w:p w:rsidR="008B3772" w:rsidRDefault="008B3772" w:rsidP="008B3772">
      <w:pPr>
        <w:pStyle w:val="SntesisDescriptiva"/>
      </w:pPr>
      <w:r>
        <w:t>ECLI:ES:TC:2007:347A</w:t>
      </w:r>
    </w:p>
    <w:p w:rsidR="008B3772" w:rsidRDefault="008B3772" w:rsidP="008B3772">
      <w:pPr>
        <w:pStyle w:val="SntesisDescriptiva"/>
      </w:pPr>
    </w:p>
    <w:p w:rsidR="008B3772" w:rsidRDefault="008B3772" w:rsidP="008B3772">
      <w:pPr>
        <w:pStyle w:val="SntesisDescriptiva"/>
      </w:pPr>
      <w:r>
        <w:t>Excms. Srs. doña María Emilia Casas Baamonde, don Jorge Rodríguez-Zapata Pérez, don Manuel Aragón Reyes y don Pablo Pérez Tremps.</w:t>
      </w:r>
    </w:p>
    <w:p w:rsidR="008B3772" w:rsidRDefault="008B3772" w:rsidP="008B3772">
      <w:pPr>
        <w:pStyle w:val="SntesisDescriptiva"/>
      </w:pPr>
    </w:p>
    <w:p w:rsidR="008B3772" w:rsidRDefault="008B3772" w:rsidP="008B3772">
      <w:pPr>
        <w:pStyle w:val="SntesisDescriptiva"/>
      </w:pPr>
      <w:r>
        <w:t>Deniega la suspensión en el recurso de amparo 1292-2005, promovido por don Manuel García Lahoz en contencioso sobre sanción de tráfico.</w:t>
      </w:r>
    </w:p>
    <w:p w:rsidR="008B3772" w:rsidRDefault="008B3772" w:rsidP="008B3772">
      <w:pPr>
        <w:pStyle w:val="SntesisDescriptiva"/>
      </w:pPr>
    </w:p>
    <w:p w:rsidR="008B3772" w:rsidRDefault="008B3772" w:rsidP="008B3772">
      <w:pPr>
        <w:pStyle w:val="SntesisAnaltica"/>
      </w:pPr>
      <w:r>
        <w:t>Suspensión cautelar de sentencias contencioso-administrativas: pago de una cantidad, no suspende.</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registrado en este Tribunal el 24 de febrero de 2005, la Procuradora de los Tribunales doña Miriam Rodríguez Crespo, en nombre y representación de don Manuel García Lahoz y bajo la dirección del Letrado don Pedro García Martos, interpuso recurso de amparo contra la Sentencia del Juzgado de lo Contencioso- Administrativo núm. 2 de Granada de 1 de febrero de 2005, dictada en el procedimiento abreviado núm. 167-2004, desestimando el recurso interpuesto contra la Resolución del Ayuntamiento de Granada de 27 de abril de 2004, por la que se acuerda abrir la vía de apremio derivada de resolución sancionadora en materia de tráfico. En la demanda de amparo se solicita por otrosí la suspensión de la ejecución de la resolución impugnada, en la que se condena al pago de la cantidad de 363,84 € y costas, alegando que es una carga económica grave para el recurrente habida cuenta de su condición de asalariado y que se ha de hacer frente al pago de diversos créditos.</w:t>
      </w:r>
    </w:p>
    <w:p w:rsidR="008B3772" w:rsidRDefault="008B3772" w:rsidP="008B3772">
      <w:pPr>
        <w:pStyle w:val="TextoNormal"/>
      </w:pPr>
    </w:p>
    <w:p w:rsidR="008B3772" w:rsidRDefault="008B3772" w:rsidP="008B3772">
      <w:pPr>
        <w:pStyle w:val="TextoNormal"/>
      </w:pPr>
      <w:r w:rsidRPr="008B3772">
        <w:rPr>
          <w:rStyle w:val="NumeroAFNegritaCaracter"/>
        </w:rPr>
        <w:t>2</w:t>
      </w:r>
      <w:r>
        <w:t>. La Sección Segunda de este Tribunal, por sendas providencias de 26 de abril de 2007,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8B3772" w:rsidRDefault="008B3772" w:rsidP="008B3772">
      <w:pPr>
        <w:pStyle w:val="TextoNormal"/>
      </w:pPr>
    </w:p>
    <w:p w:rsidR="008B3772" w:rsidRDefault="008B3772" w:rsidP="008B3772">
      <w:pPr>
        <w:pStyle w:val="TextoNormal"/>
      </w:pPr>
      <w:r w:rsidRPr="008B3772">
        <w:rPr>
          <w:rStyle w:val="NumeroAFNegritaCaracter"/>
        </w:rPr>
        <w:t>3</w:t>
      </w:r>
      <w:r>
        <w:t>. El Ministerio Fiscal, por escrito registrado el 31 de mayo de 2007, presentó alegaciones en las que interesaba la denegación de la suspensión al tratarse de una condena de exclusivo contenido económico de la que no puede derivarse daños irreparables.</w:t>
      </w:r>
    </w:p>
    <w:p w:rsidR="008B3772" w:rsidRDefault="008B3772" w:rsidP="008B3772">
      <w:pPr>
        <w:pStyle w:val="TextoNormal"/>
      </w:pPr>
    </w:p>
    <w:p w:rsidR="008B3772" w:rsidRDefault="008B3772" w:rsidP="008B3772">
      <w:pPr>
        <w:pStyle w:val="TextoNormal"/>
      </w:pPr>
      <w:r w:rsidRPr="008B3772">
        <w:rPr>
          <w:rStyle w:val="NumeroAFNegritaCaracter"/>
        </w:rPr>
        <w:t>4</w:t>
      </w:r>
      <w:r>
        <w:t>. El recurrente no presentó alegaciones.</w:t>
      </w:r>
    </w:p>
    <w:p w:rsidR="008B3772" w:rsidRDefault="008B3772" w:rsidP="008B3772">
      <w:pPr>
        <w:pStyle w:val="TextoNormal"/>
      </w:pPr>
    </w:p>
    <w:p w:rsidR="008B3772" w:rsidRDefault="008B3772" w:rsidP="008B3772">
      <w:pPr>
        <w:pStyle w:val="TextoNormalNegritaCentrado"/>
        <w:keepNext/>
      </w:pPr>
      <w:r>
        <w:lastRenderedPageBreak/>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Este Tribunal ha reiterado que la ejecución de las Sentencias cuyos efectos son patrimoniales o de contenido económico, como son las referidas a multas, responsabilidad civil o costas procesales, ni causan un perjuicio irreparable al obligado al</w:t>
      </w:r>
    </w:p>
    <w:p w:rsidR="008B3772" w:rsidRDefault="008B3772" w:rsidP="008B3772">
      <w:pPr>
        <w:pStyle w:val="TextoNormal"/>
      </w:pPr>
      <w:r>
        <w:t>pago ni la eventual estimación del amparo les haría perder su finalidad, toda vez que es legalmente posible en caso de estimación que se obtenga la devolución de lo pagado en ejecución de la Sentencia. De ahí que se haya insistido en que sólo en aquellos</w:t>
      </w:r>
    </w:p>
    <w:p w:rsidR="008B3772" w:rsidRDefault="008B3772" w:rsidP="008B3772">
      <w:pPr>
        <w:pStyle w:val="TextoNormal"/>
      </w:pPr>
      <w:r>
        <w:t>supuestos en los que con un principio de prueba la ejecución de lo acordado acarree perjuicios patrimoniales difícilmente reparables por su entidad, por la imposibilidad de repercutir su costo o por la irreversibilidad de las situaciones jurídicas que</w:t>
      </w:r>
    </w:p>
    <w:p w:rsidR="008B3772" w:rsidRDefault="008B3772" w:rsidP="008B3772">
      <w:pPr>
        <w:pStyle w:val="TextoNormal"/>
      </w:pPr>
      <w:r>
        <w:t>puedan producirse procede acceder a la suspensión (por todos, ATC 63/2007, de 26 de febrero, FJ 2)</w:t>
      </w:r>
    </w:p>
    <w:p w:rsidR="008B3772" w:rsidRDefault="008B3772" w:rsidP="008B3772">
      <w:pPr>
        <w:pStyle w:val="TextoNormal"/>
      </w:pPr>
      <w:r>
        <w:t>En atención a ello, se ha de denegar la suspensión solicitada, toda vez que la condena es de exclusivo contenido patrimonial y de una cuantía pequeña (363,84 €) y no se ha ofrecido un principio razonable de la irreparabilidad de los perjuicios que le ocasionaría su ejecución. En efecto, si bien se ha alegado por el recurrente que el abono de esta condena económica le supone una carga grave habida cuenta de su condición de asalariado y de que debe hacer frente al pago de una hipoteca y del crédito del coche, lo cierto es que dicha alegación está ayuna de cualquier acreditación probatoria.</w:t>
      </w:r>
    </w:p>
    <w:p w:rsidR="008B3772" w:rsidRDefault="008B3772" w:rsidP="008B3772">
      <w:pPr>
        <w:pStyle w:val="TextoNormal"/>
      </w:pPr>
    </w:p>
    <w:p w:rsidR="008B3772" w:rsidRDefault="008B3772" w:rsidP="008B3772">
      <w:pPr>
        <w:pStyle w:val="TextoNormal"/>
      </w:pPr>
      <w:r>
        <w:t>Por todo lo expuesto,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Denegar la suspensión Sentencia del Juzgado de lo Contencioso-Administrativo núm. 2 de Granada de 1 de febrero de 2005, dictada en el procedimiento abreviado núm. 167-2004.</w:t>
      </w:r>
    </w:p>
    <w:p w:rsidR="008B3772" w:rsidRDefault="008B3772" w:rsidP="008B3772">
      <w:pPr>
        <w:pStyle w:val="TextoNormal"/>
      </w:pPr>
    </w:p>
    <w:p w:rsidR="008B3772" w:rsidRDefault="008B3772" w:rsidP="008B3772">
      <w:pPr>
        <w:pStyle w:val="TextoNormal"/>
      </w:pPr>
      <w:r>
        <w:t>Madrid, a veintitrés de julio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212" w:name="AUTO_2007_348"/>
      <w:r>
        <w:lastRenderedPageBreak/>
        <w:t>AUTO 348/2007, de 23 de julio de 2007</w:t>
      </w:r>
    </w:p>
    <w:bookmarkEnd w:id="212"/>
    <w:p w:rsidR="008B3772" w:rsidRDefault="008B3772" w:rsidP="008B3772">
      <w:pPr>
        <w:pStyle w:val="TtuloResolucin"/>
      </w:pPr>
      <w:r>
        <w:t>Sala Primera</w:t>
      </w:r>
    </w:p>
    <w:p w:rsidR="008B3772" w:rsidRDefault="008B3772" w:rsidP="008B3772">
      <w:pPr>
        <w:pStyle w:val="TtuloResolucin"/>
      </w:pPr>
    </w:p>
    <w:p w:rsidR="008B3772" w:rsidRDefault="008B3772" w:rsidP="008B3772">
      <w:pPr>
        <w:pStyle w:val="SntesisDescriptiva"/>
      </w:pPr>
      <w:r>
        <w:t>ECLI:ES:TC:2007:348A</w:t>
      </w:r>
    </w:p>
    <w:p w:rsidR="008B3772" w:rsidRDefault="008B3772" w:rsidP="008B3772">
      <w:pPr>
        <w:pStyle w:val="SntesisDescriptiva"/>
      </w:pPr>
    </w:p>
    <w:p w:rsidR="008B3772" w:rsidRDefault="008B3772" w:rsidP="008B3772">
      <w:pPr>
        <w:pStyle w:val="SntesisDescriptiva"/>
      </w:pPr>
      <w:r>
        <w:t>Excms. Srs. doña María Emilia Casas Baamonde, don Jorge Rodríguez-Zapata Pérez, don Manuel Aragón Reyes y don Pablo Pérez Tremps.</w:t>
      </w:r>
    </w:p>
    <w:p w:rsidR="008B3772" w:rsidRDefault="008B3772" w:rsidP="008B3772">
      <w:pPr>
        <w:pStyle w:val="SntesisDescriptiva"/>
      </w:pPr>
    </w:p>
    <w:p w:rsidR="008B3772" w:rsidRDefault="008B3772" w:rsidP="008B3772">
      <w:pPr>
        <w:pStyle w:val="SntesisDescriptiva"/>
      </w:pPr>
      <w:r>
        <w:t>Acuerda la suspensión en el recurso de amparo 3321-2005, promovido por don José María Llorca Albero en litigio de reclamación de cantidad por gastos de comunidad de propietarios.</w:t>
      </w:r>
    </w:p>
    <w:p w:rsidR="008B3772" w:rsidRDefault="008B3772" w:rsidP="008B3772">
      <w:pPr>
        <w:pStyle w:val="SntesisDescriptiva"/>
      </w:pPr>
    </w:p>
    <w:p w:rsidR="008B3772" w:rsidRDefault="008B3772" w:rsidP="008B3772">
      <w:pPr>
        <w:pStyle w:val="SntesisAnaltica"/>
      </w:pPr>
      <w:r>
        <w:t>Suspensión cautelar de resoluciones civiles: subasta de bienes, suspende.</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Mediante escrito presentado en el Registro General de este Tribunal el 10 de mayo de 2005, don José María Llorca Albero, representado por la Procuradora de los Tribunales doña Angeles Rodríguez Martínez-Conde y asistido por el Letrado don Vicente Andreu Andreu, interpuso recurso de amparo contra el Auto dictado el 8 de abril de 2005 por el Juzgado de Primera Instancia núm. 20 de Valencia, que desestimó la petición de nulidad de actuaciones promovida en el procedimiento de ejecución de títulos judiciales núm. 1040-2002, dimanante del proceso monitorio núm. 691-2001 del mismo Juzgado.</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Sucintamente expuestos, los hechos relevantes para resolver la pretensión de que se adopte la medida cautelar solicitada son los siguientes: </w:t>
      </w:r>
    </w:p>
    <w:p w:rsidR="008B3772" w:rsidRDefault="008B3772" w:rsidP="008B3772">
      <w:pPr>
        <w:pStyle w:val="TextoNormal"/>
      </w:pPr>
      <w:r>
        <w:t xml:space="preserve">a) El recurrente en amparo fue demandado por la comunidad de propietarios de la calle Marqués de San Juan núm. 5 de Valencia en reclamación de cantidad, por impago de gastos correspondientes a la plaza de garaje núm. 4 de la finca, designando como domicilio del deudor el propio inmueble, ya que afirmaba desconocer su domicilio real. Tras determinadas gestiones infructuosas, el Juzgado procedió a realizar el emplazamiento mediante edictos en el tablón de anuncios. El 26 de junio de 2002 recayó Auto declarando transcurrido el plazo concedido para proceder al pago de lo reclamado. </w:t>
      </w:r>
    </w:p>
    <w:p w:rsidR="008B3772" w:rsidRDefault="008B3772" w:rsidP="008B3772">
      <w:pPr>
        <w:pStyle w:val="TextoNormal"/>
      </w:pPr>
      <w:r>
        <w:t xml:space="preserve">b) Presentada demanda de ejecución de título judicial, y manifestado nuevamente la comunidad de propietarios reclamante que desconocía el domicilio del deudor, el Juzgado dictó Auto el 18 de febrero de 2003 despachando ejecución por 426’63 euros de principal, mas intereses y costas. Tras ello se procedió al embargo de la plaza de garaje, se designó perito para proceder a su avalúo y se señaló la celebración de subasta para el 18 de noviembre de 2004. </w:t>
      </w:r>
    </w:p>
    <w:p w:rsidR="008B3772" w:rsidRDefault="008B3772" w:rsidP="008B3772">
      <w:pPr>
        <w:pStyle w:val="TextoNormal"/>
      </w:pPr>
      <w:r>
        <w:t>c) Tras nuevas gestiones que permitieron la notificación personal al demandante de amparo del señalamiento de la subasta, presentó escrito solicitando la nulidad de actuaciones, a lo que no se opuso la comunidad de propietarios. No obstante lo cual, el Juzgado denegó la nulidad de actuaciones, por Auto de 8 de abril de 2005.</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En la demanda de amparo se alega la vulneración del derecho a obtener la tutela judicial efectiva sin indefensión (art. 24.1 CE) como consecuencia de que los actos de comunicación realizados en el proceso monitorio 691-2001 y en el posterior procedimiento de ejecución de títulos judiciales núm. 1040-2002 se llevaron a cabo por edictos, pese a que el domicilio real del recurrente no podía resultar desconocido para la comunidad de propietarios reclamante y dicho domicilio constaba en la inscripción registral de la plaza de garaje a la que se refieren las actuaciones judiciales, como resulta de la certificación de dominio y cargas expedida por el Registro de la Propiedad núm. 5 de Valencia y que fue incorporada a las actuaciones judiciales tras el embargo del referido inmueble. </w:t>
      </w:r>
    </w:p>
    <w:p w:rsidR="008B3772" w:rsidRDefault="008B3772" w:rsidP="008B3772">
      <w:pPr>
        <w:pStyle w:val="TextoNormal"/>
      </w:pPr>
      <w:r>
        <w:t>Por otrosí, en la misma demanda, de acuerdo con lo previsto en el art. 56.1 LOTC, el demandante solicita que se deje en suspenso la ejecución del Auto del Juzgado de Primera Instancia núm. 20 de Valencia, de 8 de abril de 2005.</w:t>
      </w:r>
    </w:p>
    <w:p w:rsidR="008B3772" w:rsidRDefault="008B3772" w:rsidP="008B3772">
      <w:pPr>
        <w:pStyle w:val="TextoNormal"/>
      </w:pPr>
    </w:p>
    <w:p w:rsidR="008B3772" w:rsidRDefault="008B3772" w:rsidP="008B3772">
      <w:pPr>
        <w:pStyle w:val="TextoNormal"/>
      </w:pPr>
      <w:r w:rsidRPr="008B3772">
        <w:rPr>
          <w:rStyle w:val="NumeroAFNegritaCaracter"/>
        </w:rPr>
        <w:t>4</w:t>
      </w:r>
      <w:r>
        <w:t>. Por providencia de 25 de mayo de 2007 la Sección Segunda de este Tribunal acordó la admisión a trámite de la demanda de amparo así como, a tenor de lo establecido en el art. 51 LOTC, requerir al Juzgado de Primera Instancia núm. 20 de Valencia para que remitiera testimonio de las actuaciones, interesándose al tiempo que emplazase a quienes fueron parte en el procedimiento, a excepción del demandante de amparo, para que pudieran comparecer en el recurso de amparo.</w:t>
      </w:r>
    </w:p>
    <w:p w:rsidR="008B3772" w:rsidRDefault="008B3772" w:rsidP="008B3772">
      <w:pPr>
        <w:pStyle w:val="TextoNormal"/>
      </w:pPr>
    </w:p>
    <w:p w:rsidR="008B3772" w:rsidRDefault="008B3772" w:rsidP="008B3772">
      <w:pPr>
        <w:pStyle w:val="TextoNormal"/>
      </w:pPr>
      <w:r w:rsidRPr="008B3772">
        <w:rPr>
          <w:rStyle w:val="NumeroAFNegritaCaracter"/>
        </w:rPr>
        <w:t>5</w:t>
      </w:r>
      <w:r>
        <w:t>.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008B3772" w:rsidRDefault="008B3772" w:rsidP="008B3772">
      <w:pPr>
        <w:pStyle w:val="TextoNormal"/>
      </w:pPr>
    </w:p>
    <w:p w:rsidR="008B3772" w:rsidRDefault="008B3772" w:rsidP="008B3772">
      <w:pPr>
        <w:pStyle w:val="TextoNormal"/>
      </w:pPr>
      <w:r w:rsidRPr="008B3772">
        <w:rPr>
          <w:rStyle w:val="NumeroAFNegritaCaracter"/>
        </w:rPr>
        <w:t>6</w:t>
      </w:r>
      <w:r>
        <w:t>. La representación procesal del recurrente presentó un escrito el 14 de junio de 2007, en el que afirma que se ratifica en la petición de suspensión solicitada en su día.</w:t>
      </w:r>
    </w:p>
    <w:p w:rsidR="008B3772" w:rsidRDefault="008B3772" w:rsidP="008B3772">
      <w:pPr>
        <w:pStyle w:val="TextoNormal"/>
      </w:pPr>
    </w:p>
    <w:p w:rsidR="008B3772" w:rsidRDefault="008B3772" w:rsidP="008B3772">
      <w:pPr>
        <w:pStyle w:val="TextoNormal"/>
      </w:pPr>
      <w:r w:rsidRPr="008B3772">
        <w:rPr>
          <w:rStyle w:val="NumeroAFNegritaCaracter"/>
        </w:rPr>
        <w:t>7</w:t>
      </w:r>
      <w:r>
        <w:t>. En su escrito de alegaciones, presentado el 20 de junio de 2007, el Ministerio Fiscal se opone a la suspensión solicitada por entender que el demandante no especifica qué perjuicios causaría la no suspensión de la resolución impugnada; a lo que añade que, en cualquier caso, el pronunciamiento judicial tiene un contenido exclusivamente pecuniario y, por tanto, fácilmente reparable.</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art. 56.1 LOTC -en la redacción vigente en el momento de presentarse la demanda de amparo que incorpora la solicitud de suspensión ahora examinada, anterior a la reforma operada por la Ley Orgánica 6/2007, de 24 de mayo- dispone que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008B3772" w:rsidRDefault="008B3772" w:rsidP="008B3772">
      <w:pPr>
        <w:pStyle w:val="TextoNormal"/>
      </w:pPr>
      <w:r>
        <w:lastRenderedPageBreak/>
        <w:t>En la interpretación de dicho precepto, hemos venido insistiendo en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(AATC 185/1998, de 14 de septiembre, FJ 1; 289/2000, de 11 de diciembre, FJ 2; 171/2002, de 30 de septiembre, FJ 1; 413/2003, de 15 de diciembre, FJ 1. y 530/2004 de 20 de diciembre, FJ 1, entre otros muchos). Por ello la adopción de esta medida cautelar resulta pertinente sólo cuando la ejecución del fallo cause al solicitante de amparo un perjuicio irreparable en los derechos fundamentales invocados en el proceso constitucional (entre otros, AATC 243/2000, de 16 de octubre; 251/2000, de 30 de octubre; 63/2001, de 26 de marzo. y 170/2001, de 22 de junio).</w:t>
      </w:r>
    </w:p>
    <w:p w:rsidR="008B3772" w:rsidRDefault="008B3772" w:rsidP="008B3772">
      <w:pPr>
        <w:pStyle w:val="TextoNormal"/>
      </w:pPr>
    </w:p>
    <w:p w:rsidR="008B3772" w:rsidRDefault="008B3772" w:rsidP="008B3772">
      <w:pPr>
        <w:pStyle w:val="TextoNormal"/>
      </w:pPr>
      <w:r w:rsidRPr="008B3772">
        <w:rPr>
          <w:rStyle w:val="NumeroAFNegritaCaracter"/>
        </w:rPr>
        <w:t>2</w:t>
      </w:r>
      <w:r>
        <w:t>.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de 7 de agosto, FJ Único; 574/1985, de 7 de agosto, FJ Único, ó 275/1990, de 2 de julio, FJ 2). Sólo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de 2 de julio, FJ Único, y 52/1989, de 30 de enero, FJ Único), hemos accedido a la suspensión.</w:t>
      </w:r>
    </w:p>
    <w:p w:rsidR="008B3772" w:rsidRDefault="008B3772" w:rsidP="008B3772">
      <w:pPr>
        <w:pStyle w:val="TextoNormal"/>
      </w:pPr>
      <w:r>
        <w:t>En efecto, si la resolución judicial versa sobre la subasta de una finca, hemos dicho que, de seguirse la ejecución, ello podría producir situaciones irreversibles o de difícil reparación cuando como consecuencia de la continuación de la ejecución se procediera a la subasta de la finca embargada y su posterior transmisión a terceros adquirentes de buena fe. En tales casos, este Tribunal considera procedente la suspensión de los actos de ejecución, supeditándola, en ocasiones, a la previa prestación de una fianza que asegure al ejecutante la indemnización de los daños que pudiera ocasionarle la suspensión de la ejecución (AATC 565/1986, de 2 de julio, FJ Único; 59/1996, de 11 de marzo, FJ 3; 207/2000, de 18 de septiembre, FJ 3, y 45/2001, de 26 de febrero, FJ 1, por todos), lo que en este caso no resulta necesario, pues el hecho de paralizar la subasta del bien inmueble embargado no impide que subsista el embargo practicado o que se sustituya por otra medida cautelar de la que no pudiera derivarse el perjuicio que mediante la presente resolución trata de precaverse.</w:t>
      </w:r>
    </w:p>
    <w:p w:rsidR="008B3772" w:rsidRDefault="008B3772" w:rsidP="008B3772">
      <w:pPr>
        <w:pStyle w:val="TextoNormal"/>
      </w:pPr>
    </w:p>
    <w:p w:rsidR="008B3772" w:rsidRDefault="008B3772" w:rsidP="008B3772">
      <w:pPr>
        <w:pStyle w:val="TextoNormal"/>
      </w:pPr>
      <w:r w:rsidRPr="008B3772">
        <w:rPr>
          <w:rStyle w:val="NumeroAFNegritaCaracter"/>
        </w:rPr>
        <w:t>3</w:t>
      </w:r>
      <w:r>
        <w:t>. Debe por último señalarse que, no siendo completa la documentación aportada por los demandantes, si, una vez recibidos los testimonios recabados al órgano judicial, de su examen resultaran datos que contradijeran lo alegado por el peticionario de la suspensión, podrá este Tribunal, en virtud de lo establecido en el art. 57 LOTC, modificar la medida cautelar ahora adoptada (por todos, AATC 351/2004, de 20 de septiembre, y 369/2004 de 4 de octubre).</w:t>
      </w:r>
    </w:p>
    <w:p w:rsidR="008B3772" w:rsidRDefault="008B3772" w:rsidP="008B3772">
      <w:pPr>
        <w:pStyle w:val="TextoNormal"/>
      </w:pPr>
    </w:p>
    <w:p w:rsidR="008B3772" w:rsidRDefault="008B3772" w:rsidP="008B3772">
      <w:pPr>
        <w:pStyle w:val="TextoNormal"/>
      </w:pPr>
      <w:r>
        <w:t>Por todo lo cual, la Sala</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 xml:space="preserve">Suspender la celebración de subasta de la plaza de garaje núm. 4 del inmueble sito en la calle Marqués de San Juan núm. 5 de Valencia embargada en el procedimiento de ejecución de títulos judiciales núm. 1040-2002 del Juzgado de Primera Instancia núm. </w:t>
      </w:r>
    </w:p>
    <w:p w:rsidR="008B3772" w:rsidRDefault="008B3772" w:rsidP="008B3772">
      <w:pPr>
        <w:pStyle w:val="TextoNormal"/>
      </w:pPr>
      <w:r>
        <w:t>20 de Valencia.</w:t>
      </w:r>
    </w:p>
    <w:p w:rsidR="008B3772" w:rsidRDefault="008B3772" w:rsidP="008B3772">
      <w:pPr>
        <w:pStyle w:val="TextoNormal"/>
      </w:pPr>
    </w:p>
    <w:p w:rsidR="008B3772" w:rsidRDefault="008B3772" w:rsidP="008B3772">
      <w:pPr>
        <w:pStyle w:val="TextoNormal"/>
      </w:pPr>
      <w:r>
        <w:t>Madrid, a veintitrés de julio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213" w:name="AUTO_2007_349"/>
      <w:r>
        <w:lastRenderedPageBreak/>
        <w:t>AUTO 349/2007, de 23 de julio de 2007</w:t>
      </w:r>
    </w:p>
    <w:bookmarkEnd w:id="213"/>
    <w:p w:rsidR="008B3772" w:rsidRDefault="008B3772" w:rsidP="008B3772">
      <w:pPr>
        <w:pStyle w:val="TtuloResolucin"/>
      </w:pPr>
      <w:r>
        <w:t>Sección Cuarta</w:t>
      </w:r>
    </w:p>
    <w:p w:rsidR="008B3772" w:rsidRDefault="008B3772" w:rsidP="008B3772">
      <w:pPr>
        <w:pStyle w:val="TtuloResolucin"/>
      </w:pPr>
    </w:p>
    <w:p w:rsidR="008B3772" w:rsidRDefault="008B3772" w:rsidP="008B3772">
      <w:pPr>
        <w:pStyle w:val="SntesisDescriptiva"/>
      </w:pPr>
      <w:r>
        <w:t>ECLI:ES:TC:2007:349A</w:t>
      </w:r>
    </w:p>
    <w:p w:rsidR="008B3772" w:rsidRDefault="008B3772" w:rsidP="008B3772">
      <w:pPr>
        <w:pStyle w:val="SntesisDescriptiva"/>
      </w:pPr>
    </w:p>
    <w:p w:rsidR="008B3772" w:rsidRDefault="008B3772" w:rsidP="008B3772">
      <w:pPr>
        <w:pStyle w:val="SntesisDescriptiva"/>
      </w:pPr>
      <w:r>
        <w:t>Excms. Srs. don Vicente Conde Martín de Hijas, doña Elisa Pérez Vera y don Ramón Rodríguez Arribas.</w:t>
      </w:r>
    </w:p>
    <w:p w:rsidR="008B3772" w:rsidRDefault="008B3772" w:rsidP="008B3772">
      <w:pPr>
        <w:pStyle w:val="SntesisDescriptiva"/>
      </w:pPr>
    </w:p>
    <w:p w:rsidR="008B3772" w:rsidRDefault="008B3772" w:rsidP="008B3772">
      <w:pPr>
        <w:pStyle w:val="SntesisDescriptiva"/>
      </w:pPr>
      <w:r>
        <w:t>Acuerda el desistimiento en el recurso de amparo 5047-2005, promovido por Floridamar, S.L.</w:t>
      </w:r>
    </w:p>
    <w:p w:rsidR="008B3772" w:rsidRDefault="008B3772" w:rsidP="008B3772">
      <w:pPr>
        <w:pStyle w:val="SntesisDescriptiva"/>
      </w:pPr>
    </w:p>
    <w:p w:rsidR="008B3772" w:rsidRDefault="008B3772" w:rsidP="008B3772">
      <w:pPr>
        <w:pStyle w:val="TtuloResolucin"/>
      </w:pPr>
      <w:r>
        <w:t>*Este auto no incorpora doctrina constitucional.</w:t>
      </w:r>
    </w:p>
    <w:p w:rsidR="008B3772" w:rsidRDefault="008B3772">
      <w:pPr>
        <w:spacing w:after="160" w:line="259" w:lineRule="auto"/>
        <w:rPr>
          <w:rFonts w:ascii="Times New Roman" w:eastAsia="Times New Roman" w:hAnsi="Times New Roman" w:cs="Times New Roman"/>
          <w:b/>
          <w:sz w:val="24"/>
          <w:szCs w:val="24"/>
          <w:lang w:eastAsia="es-ES"/>
        </w:rPr>
      </w:pPr>
      <w:r>
        <w:br w:type="page"/>
      </w:r>
    </w:p>
    <w:p w:rsidR="008B3772" w:rsidRDefault="008B3772" w:rsidP="008B3772">
      <w:pPr>
        <w:pStyle w:val="TtuloResolucin"/>
      </w:pPr>
      <w:bookmarkStart w:id="214" w:name="AUTO_2007_350"/>
      <w:r>
        <w:lastRenderedPageBreak/>
        <w:t>AUTO 350/2007, de 23 de julio de 2007</w:t>
      </w:r>
    </w:p>
    <w:bookmarkEnd w:id="214"/>
    <w:p w:rsidR="008B3772" w:rsidRDefault="008B3772" w:rsidP="008B3772">
      <w:pPr>
        <w:pStyle w:val="TtuloResolucin"/>
      </w:pPr>
      <w:r>
        <w:t>Sala Segunda</w:t>
      </w:r>
    </w:p>
    <w:p w:rsidR="008B3772" w:rsidRDefault="008B3772" w:rsidP="008B3772">
      <w:pPr>
        <w:pStyle w:val="TtuloResolucin"/>
      </w:pPr>
    </w:p>
    <w:p w:rsidR="008B3772" w:rsidRDefault="008B3772" w:rsidP="008B3772">
      <w:pPr>
        <w:pStyle w:val="SntesisDescriptiva"/>
      </w:pPr>
      <w:r>
        <w:t>ECLI:ES:TC:2007:350A</w:t>
      </w:r>
    </w:p>
    <w:p w:rsidR="008B3772" w:rsidRDefault="008B3772" w:rsidP="008B3772">
      <w:pPr>
        <w:pStyle w:val="SntesisDescriptiva"/>
      </w:pPr>
    </w:p>
    <w:p w:rsidR="008B3772" w:rsidRDefault="008B3772" w:rsidP="008B3772">
      <w:pPr>
        <w:pStyle w:val="SntesisDescriptiva"/>
      </w:pPr>
      <w:r>
        <w:t>Excms. Srs. don Guillermo Jiménez Sánchez, don Vicente Conde Martín de Hijas, doña Elisa Pérez Vera, don Ramón Rodríguez Arribas y don Pascual Sala Sánchez.</w:t>
      </w:r>
    </w:p>
    <w:p w:rsidR="008B3772" w:rsidRDefault="008B3772" w:rsidP="008B3772">
      <w:pPr>
        <w:pStyle w:val="SntesisDescriptiva"/>
      </w:pPr>
    </w:p>
    <w:p w:rsidR="008B3772" w:rsidRDefault="008B3772" w:rsidP="008B3772">
      <w:pPr>
        <w:pStyle w:val="SntesisDescriptiva"/>
      </w:pPr>
      <w:r>
        <w:t>Acepta una abstención en el recurso de amparo 3526-2007, promovido por don Pedro García Ros.</w:t>
      </w:r>
    </w:p>
    <w:p w:rsidR="008B3772" w:rsidRDefault="008B3772" w:rsidP="008B3772">
      <w:pPr>
        <w:pStyle w:val="SntesisDescriptiva"/>
      </w:pPr>
    </w:p>
    <w:p w:rsidR="008B3772" w:rsidRDefault="008B3772" w:rsidP="008B3772">
      <w:pPr>
        <w:pStyle w:val="SntesisAnaltica"/>
      </w:pPr>
      <w:r>
        <w:t>Abstención de magistrados del Tribunal Constitucional, acepta.</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rsidRPr="008B3772">
        <w:rPr>
          <w:rStyle w:val="TextoNormalNegritaCaracter"/>
        </w:rPr>
        <w:t xml:space="preserve"> </w:t>
      </w:r>
      <w:r>
        <w:t xml:space="preserve">En el recurso de amparo núm. 3526-2007, promovido por don Pedro García Ros, representado por la Procuradora de los Tribunales doña Rosalía Rosique Samper, se recurre el Auto núm. 60/2007, de 15 de marzo de 2007, dictado por la Sección 18 de la Audiencia Provincial de Barcelona en rollo de apelación núm. 497-2006. </w:t>
      </w:r>
    </w:p>
    <w:p w:rsidR="008B3772" w:rsidRDefault="008B3772" w:rsidP="008B3772">
      <w:pPr>
        <w:pStyle w:val="TextoNormal"/>
      </w:pPr>
      <w:r>
        <w:t>Mediante escrito de fecha 12 de julio de 2007 el Magistrado don Eugenio Gay Montalvo comunicó, a los efectos oportunos, que se abstenía de intervenir en la tramitación y resolución del indicado recurso, de conformidad con el artículo 219.9º LOPJ en relación con el art. 80 LOTC, porque el Letrado de la parte recurrente fue en su día socio del Despacho en el que formaba parte.</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Vista la comunicación efectuada por don Eugenio Gay Montalvo, en virtud de lo previsto en los art.s. 80 LOTC y 221.4 de la Ley Orgánica del Poder Judicial (LOPJ), se estima justificada la causa de abstención formulada al concurrir en el Magistrado</w:t>
      </w:r>
    </w:p>
    <w:p w:rsidR="008B3772" w:rsidRDefault="008B3772" w:rsidP="008B3772">
      <w:pPr>
        <w:pStyle w:val="TextoNormal"/>
      </w:pPr>
      <w:r>
        <w:t>don Eugeni Gay Montalvo la causa de abstención aducida en su comunicación.</w:t>
      </w:r>
    </w:p>
    <w:p w:rsidR="008B3772" w:rsidRDefault="008B3772" w:rsidP="008B3772">
      <w:pPr>
        <w:pStyle w:val="TextoNormal"/>
      </w:pPr>
    </w:p>
    <w:p w:rsidR="008B3772" w:rsidRDefault="008B3772" w:rsidP="008B3772">
      <w:pPr>
        <w:pStyle w:val="TextoNormal"/>
      </w:pPr>
      <w:r>
        <w:t>Por todo lo cual,</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Estimar justificada la abstención formulada por don Eugenio Gay Montalvo en el recurso de amparo 3526-2007, apartándole definitivamente del referido procedimiento</w:t>
      </w:r>
    </w:p>
    <w:p w:rsidR="008B3772" w:rsidRDefault="008B3772" w:rsidP="008B3772">
      <w:pPr>
        <w:pStyle w:val="TextoNormal"/>
      </w:pPr>
    </w:p>
    <w:p w:rsidR="008B3772" w:rsidRDefault="008B3772" w:rsidP="008B3772">
      <w:pPr>
        <w:pStyle w:val="TextoNormal"/>
      </w:pPr>
      <w:r>
        <w:t>Madrid, a veintitrés de julio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215" w:name="AUTO_2007_351"/>
      <w:r>
        <w:lastRenderedPageBreak/>
        <w:t>AUTO 351/2007, de 23 de julio de 2007</w:t>
      </w:r>
    </w:p>
    <w:bookmarkEnd w:id="215"/>
    <w:p w:rsidR="008B3772" w:rsidRDefault="008B3772" w:rsidP="008B3772">
      <w:pPr>
        <w:pStyle w:val="TtuloResolucin"/>
      </w:pPr>
      <w:r>
        <w:t>Sección Tercera</w:t>
      </w:r>
    </w:p>
    <w:p w:rsidR="008B3772" w:rsidRDefault="008B3772" w:rsidP="008B3772">
      <w:pPr>
        <w:pStyle w:val="TtuloResolucin"/>
      </w:pPr>
    </w:p>
    <w:p w:rsidR="008B3772" w:rsidRDefault="008B3772" w:rsidP="008B3772">
      <w:pPr>
        <w:pStyle w:val="SntesisDescriptiva"/>
      </w:pPr>
      <w:r>
        <w:t>ECLI:ES:TC:2007:351A</w:t>
      </w:r>
    </w:p>
    <w:p w:rsidR="008B3772" w:rsidRDefault="008B3772" w:rsidP="008B3772">
      <w:pPr>
        <w:pStyle w:val="SntesisDescriptiva"/>
      </w:pPr>
    </w:p>
    <w:p w:rsidR="008B3772" w:rsidRDefault="008B3772" w:rsidP="008B3772">
      <w:pPr>
        <w:pStyle w:val="SntesisDescriptiva"/>
      </w:pPr>
      <w:r>
        <w:t>Excms. Srs. don Guillermo Jiménez Sánchez, don Eugeni Gay Montalvo y don Pascual Sala Sánchez.</w:t>
      </w:r>
    </w:p>
    <w:p w:rsidR="008B3772" w:rsidRDefault="008B3772" w:rsidP="008B3772">
      <w:pPr>
        <w:pStyle w:val="SntesisDescriptiva"/>
      </w:pPr>
    </w:p>
    <w:p w:rsidR="008B3772" w:rsidRDefault="008B3772" w:rsidP="008B3772">
      <w:pPr>
        <w:pStyle w:val="SntesisDescriptiva"/>
      </w:pPr>
      <w:r>
        <w:t>Acuerda el desistimiento en el recurso de amparo 4301-2007.</w:t>
      </w:r>
    </w:p>
    <w:p w:rsidR="008B3772" w:rsidRDefault="008B3772" w:rsidP="008B3772">
      <w:pPr>
        <w:pStyle w:val="SntesisDescriptiva"/>
      </w:pPr>
    </w:p>
    <w:p w:rsidR="008B3772" w:rsidRDefault="008B3772" w:rsidP="008B3772">
      <w:pPr>
        <w:pStyle w:val="TtuloResolucin"/>
      </w:pPr>
      <w:r>
        <w:t>*Este auto no incorpora doctrina constitucional.</w:t>
      </w:r>
    </w:p>
    <w:p w:rsidR="008B3772" w:rsidRDefault="008B3772">
      <w:pPr>
        <w:spacing w:after="160" w:line="259" w:lineRule="auto"/>
        <w:rPr>
          <w:rFonts w:ascii="Times New Roman" w:eastAsia="Times New Roman" w:hAnsi="Times New Roman" w:cs="Times New Roman"/>
          <w:b/>
          <w:sz w:val="24"/>
          <w:szCs w:val="24"/>
          <w:lang w:eastAsia="es-ES"/>
        </w:rPr>
      </w:pPr>
      <w:r>
        <w:br w:type="page"/>
      </w:r>
    </w:p>
    <w:p w:rsidR="008B3772" w:rsidRDefault="008B3772" w:rsidP="008B3772">
      <w:pPr>
        <w:pStyle w:val="TtuloResolucin"/>
      </w:pPr>
      <w:bookmarkStart w:id="216" w:name="AUTO_2007_352"/>
      <w:r>
        <w:lastRenderedPageBreak/>
        <w:t>AUTO 352/2007, de 24 de julio de 2007</w:t>
      </w:r>
    </w:p>
    <w:bookmarkEnd w:id="216"/>
    <w:p w:rsidR="008B3772" w:rsidRDefault="008B3772" w:rsidP="008B3772">
      <w:pPr>
        <w:pStyle w:val="TtuloResolucin"/>
      </w:pPr>
      <w:r>
        <w:t>Pleno</w:t>
      </w:r>
    </w:p>
    <w:p w:rsidR="008B3772" w:rsidRDefault="008B3772" w:rsidP="008B3772">
      <w:pPr>
        <w:pStyle w:val="TtuloResolucin"/>
      </w:pPr>
    </w:p>
    <w:p w:rsidR="008B3772" w:rsidRDefault="008B3772" w:rsidP="008B3772">
      <w:pPr>
        <w:pStyle w:val="TtuloBOE"/>
      </w:pPr>
      <w:r>
        <w:t>("BOE" núm. 261, de 31 de octubre de 2007)</w:t>
      </w:r>
    </w:p>
    <w:p w:rsidR="008B3772" w:rsidRDefault="008B3772" w:rsidP="008B3772">
      <w:pPr>
        <w:pStyle w:val="TtuloBOE"/>
      </w:pPr>
    </w:p>
    <w:p w:rsidR="008B3772" w:rsidRDefault="008B3772" w:rsidP="008B3772">
      <w:pPr>
        <w:pStyle w:val="SntesisDescriptiva"/>
      </w:pPr>
      <w:r>
        <w:t>ECLI:ES:TC:2007:352A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Inadmite a trámite por infundada la cuestión de inconstitucionalidad 3375-2006, planteada por la Sala de lo Contencioso-Administrativo del Tribunal Superior de Justicia de Cataluña en relación con la Ley 26/1994, de 29 de diciembre, reguladora del pase a la segunda actividad en el Cuerpo Nacional de Policía, redactada por la Ley 24/2001, de 27 de diciembre, de medidas fiscales, administrativas y del orden social.</w:t>
      </w:r>
    </w:p>
    <w:p w:rsidR="008B3772" w:rsidRDefault="008B3772" w:rsidP="008B3772">
      <w:pPr>
        <w:pStyle w:val="SntesisDescriptiva"/>
      </w:pPr>
    </w:p>
    <w:p w:rsidR="008B3772" w:rsidRDefault="008B3772" w:rsidP="008B3772">
      <w:pPr>
        <w:pStyle w:val="SntesisAnaltica"/>
      </w:pPr>
      <w:r>
        <w:t>Discriminación por circunstancias personales o sociales: discriminación por razón de edad. Funcionarios públicos: promoción de funcionarios. Igualdad en la aplicación de la ley: término de comparación inidóneo. Igualdad en la ley: juicio de razonabilidad. Situaciones administrativas: regulación de la segunda actividad en el cuerpo nacional de policía.</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27 de marzo de 2006 tuvo entrada en el Registro de este Tribunal un escrito de la Sección Cuarta de la Sala de lo Contencioso-Administrativo del Tribunal Superior de Justicia de Cataluña, al que se acompaña, junto al testimonio del correspondiente procedimiento, Auto de 1 de marzo de 2006, dictado en el recurso contencioso-administrativo núm. 82-2003, en el que se acuerda promover ante este Tribunal cuestión de inconstitucionalidad respecto del párrafo tercero de la disposición transitoria sexta de la Ley 26/1994, de 29 de septiembre, por la que se regula la situación de segunda actividad en el Cuerpo Nacional de Policía, en la redacción dada por el art. 58 de la Ley 24/2001, de 27 de diciembre, de medidas fiscales, administrativas y del orden social, por posible vulneración del art. 23.2 CE, en relación con el art. 14 CE.</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Los hechos relevantes en este proceso constitucional son los siguientes: </w:t>
      </w:r>
    </w:p>
    <w:p w:rsidR="008B3772" w:rsidRDefault="008B3772" w:rsidP="008B3772">
      <w:pPr>
        <w:pStyle w:val="TextoNormal"/>
      </w:pPr>
      <w:r>
        <w:t xml:space="preserve">a) Un Inspector Jefe del Cuerpo Nacional de Policía interpuso el 24 de enero de 2003 recurso contencioso-administrativo contra la Resolución de la Dirección General de la Policía de 19 de diciembre de 2002, por la que se ratifica en reposición la Resolución de 5 de noviembre de 2002, por la que se acuerda su pase a la situación de segunda actividad por cumplimiento de la edad reglamentaria de 56 años. Dicho recurso dio lugar al procedimiento </w:t>
      </w:r>
      <w:r>
        <w:lastRenderedPageBreak/>
        <w:t xml:space="preserve">núm. 83-2003 tramitado por la Sección Cuarta de la Sala de lo Contencioso-Administrativo del Tribunal Superior de Justicia de Cataluña. </w:t>
      </w:r>
    </w:p>
    <w:p w:rsidR="008B3772" w:rsidRDefault="008B3772" w:rsidP="008B3772">
      <w:pPr>
        <w:pStyle w:val="TextoNormal"/>
      </w:pPr>
      <w:r>
        <w:t xml:space="preserve">b) El recurrente solicitó en la formalización de su demanda que se planteara cuestión de inconstitucionalidad respecto del párrafo tercero de la disposición transitoria sexta de la Ley 26/1994, de 29 de septiembre, en la redacción dada por el art. 58 de la Ley 24/2001, de 27 de diciembre, en el concreto extremo de establecer que, excepcionalmente y en relación con la categoría de Inspectores Jefes, la ampliación de la edad que se contempla en la Ley para el pase a la segunda actividad de los 56 a los 58 años, no empezará a regir hasta el 1 de enero de 2006, por considerar que vulnera el art. 23.2 CE, en relación con el art. 14 CE, ya que ello supone un trato discriminatorio, por un lado, tanto respecto de los integrantes del resto de escalas del Cuerpo como respecto de la categoría de Inspectores, que se integra en la Escala ejecutiva, para los que no se prevé este régimen transitorio, y por otro, respecto de los Inspectores Jefes que cumplen los 56 años de edad con posterioridad al 1 de enero de 2006. </w:t>
      </w:r>
    </w:p>
    <w:p w:rsidR="008B3772" w:rsidRDefault="008B3772" w:rsidP="008B3772">
      <w:pPr>
        <w:pStyle w:val="TextoNormal"/>
      </w:pPr>
      <w:r>
        <w:t xml:space="preserve">c) Habiéndose señalado fecha para votación y fallo, por providencia de 2 de enero de 2006, se acordó conferir traslado a las partes personadas para que alegaran lo que estimaran pertinente sobre el planteamiento de la cuestión de inconstitucionalidad respecto del párrafo tercero de la disposición transitoria sexta de la Ley 26/1994, de 29 de septiembre, en la redacción dada por el art. 58 de la Ley 24/2001, de 27 de diciembre, al considerar que “… constituye una exclusión de los Inspectores Jefes para optar al pase a la segunda actividad a los 58 años, en tanto se les aplica la anterior de 56 y además quedan excluidos —sólo los Inspectores Jefes— de la opción conferida por el Legislador a todos los que integran, entre otras la Escala ejecutiva para acceder al pase de segunda actividad bien a los 56 años, bien a los 58 años, que pudiera ser contraria al principio de igualdad...”. </w:t>
      </w:r>
    </w:p>
    <w:p w:rsidR="008B3772" w:rsidRDefault="008B3772" w:rsidP="008B3772">
      <w:pPr>
        <w:pStyle w:val="TextoNormal"/>
      </w:pPr>
      <w:r>
        <w:t xml:space="preserve">d) El Abogado del Estado, por escrito registrado el 1 de febrero de 2006, sostuvo la improcedencia del planteamiento de la cuestión de inconstitucionalidad, destacando, por un lado, que no implican una vulneración del art. 23.2 CE las variaciones que se puedan experimentar en las situaciones administrativas provocadas por modificaciones legales y, por otro, que no resulta arbitrario establecer una distinción del régimen de pase a segunda actividad en función de la edad de los Inspectores Jefes. </w:t>
      </w:r>
    </w:p>
    <w:p w:rsidR="008B3772" w:rsidRDefault="008B3772" w:rsidP="008B3772">
      <w:pPr>
        <w:pStyle w:val="TextoNormal"/>
      </w:pPr>
      <w:r>
        <w:t xml:space="preserve">Por su parte, el Ministerio Fiscal, por escrito registrado el 10 de febrero de 2006, consideró improcedente el planteamiento de la cuestión de inconstitucionalidad, argumentando que el diferente trato dispensado que se denuncia en función del criterio temporal responde a un cambio normativo y, en relación con el diferente trato con otras Escalas o con otros funcionarios dentro de la misma Escala ejecutiva, existe un elemento objetivo de diferenciación al que expresamente se hace mención en la propia norma cuestionada, que excluye todo atisbo de tratamiento discriminatorio, cual es la existencia de una problemática de promoción interna en la categoría de Inspectores Jefes. </w:t>
      </w:r>
    </w:p>
    <w:p w:rsidR="008B3772" w:rsidRDefault="008B3772" w:rsidP="008B3772">
      <w:pPr>
        <w:pStyle w:val="TextoNormal"/>
      </w:pPr>
      <w:r>
        <w:t>Por último, el recurrente, por escrito registrado el 15 de febrero de 2006, reiteró la pertinencia del planteamiento de la cuestión de inconstitucionalidad.</w:t>
      </w:r>
    </w:p>
    <w:p w:rsidR="008B3772" w:rsidRDefault="008B3772" w:rsidP="008B3772">
      <w:pPr>
        <w:pStyle w:val="TextoNormal"/>
      </w:pPr>
    </w:p>
    <w:p w:rsidR="008B3772" w:rsidRDefault="008B3772" w:rsidP="008B3772">
      <w:pPr>
        <w:pStyle w:val="TextoNormal"/>
      </w:pPr>
      <w:r w:rsidRPr="008B3772">
        <w:rPr>
          <w:rStyle w:val="NumeroAFNegritaCaracter"/>
        </w:rPr>
        <w:t>3</w:t>
      </w:r>
      <w:r>
        <w:t>. Por Auto de 1 de marzo de 2006, la Sección Cuarta de la Sala de lo Contencioso- Administrativo del Tribunal Superior de Justicia de Cataluña acordó “[p]lantear la cuestión de inconstitucionalidad de la excepción contenida en el art. 58 de la Ley 24/2001, de 27 de diciembre, por el cual se modifica la Ley 26/1994, por la que se regula la situación de segunda actividad en el Cuerpo Nacional de Policía, en concreto en una parte del apartado tres que introduce una disposición transitoria —la sexta— en la Ley 26/1994, de 29 de septiem</w:t>
      </w:r>
      <w:r>
        <w:lastRenderedPageBreak/>
        <w:t xml:space="preserve">bre, en cuanto no permite a los Inspectores Jefes del Cuerpo Nacional de Policía que cumplan 56 años antes del 1 de enero de 2006 a optar por permanecer en la situación de primera actividad a diferencia de lo que sucede con los demás funcionarios de la misma Escala ejecutiva o de las dos Escalas inferiores y de los Inspectores Jefes que cumplan la edad de 56 años a partir del 1 de enero de 2006”. </w:t>
      </w:r>
    </w:p>
    <w:p w:rsidR="008B3772" w:rsidRDefault="008B3772" w:rsidP="008B3772">
      <w:pPr>
        <w:pStyle w:val="TextoNormal"/>
      </w:pPr>
      <w:r>
        <w:t>El inciso legal cuestionado establece que “[e]xcepcionalmente y sin perjuicio de que se arbitre una adecuada política de cupos para resolver la problemática de promoción interna en la categoría de Inspectores Jefes, la ampliación de la edad que se contempla en la presente Ley, no empezará a regir para los mismos hasta el 1 de enero de 2006”. En relación con dicha previsión legal se argumenta en el Auto de planteamiento de la cuestión que implica una vulneración del derecho a la igualdad en el ámbito de la función pública (arts. 14 y 23.2 CE), en tanto que dispensa un distinto trato, siquiera temporalmente, a los Inspectores-Jefes que cumplan 56 años antes del 1 de enero de 2006 frente a los que los cumplan con posterioridad, mediante una norma de carácter excepcional que no cuenta con una justificación objetiva y razonable y sin que se establezca una compensación económica. Se sostiene también en el Auto de planteamiento que dicho precepto resulta discriminatorio al establecer que esta excepción se aplique exclusivamente a la categoría de los Inspectores Jefes, lo que supone un distinto trato no sólo en relación con las restantes escalas, sino incluso dentro de la Escala ejecutiva con la categoría de Inspector. Por último, se destaca que este diferente trato carece de una justificación razonable puesto que la mera existencia de cupos derivada de la política llevada a cabo por la Administración en el ámbito de la promoción interna es totalmente ajena a la voluntad de los funcionarios.</w:t>
      </w:r>
    </w:p>
    <w:p w:rsidR="008B3772" w:rsidRDefault="008B3772" w:rsidP="008B3772">
      <w:pPr>
        <w:pStyle w:val="TextoNormal"/>
      </w:pPr>
    </w:p>
    <w:p w:rsidR="008B3772" w:rsidRDefault="008B3772" w:rsidP="008B3772">
      <w:pPr>
        <w:pStyle w:val="TextoNormal"/>
      </w:pPr>
      <w:r w:rsidRPr="008B3772">
        <w:rPr>
          <w:rStyle w:val="NumeroAFNegritaCaracter"/>
        </w:rPr>
        <w:t>4</w:t>
      </w:r>
      <w:r>
        <w:t>. La Sección Segunda de este Tribunal, por providencia de 13 de febrero de 2007, acordó oír al Fiscal General del Estado para que, conforme a lo previsto en el art. 37.1 LOTC, expusiera lo que considerara conveniente acerca de la posible falta de condiciones procesales para su admisión, así como si la misma resultara notoriamente infundada.</w:t>
      </w:r>
    </w:p>
    <w:p w:rsidR="008B3772" w:rsidRDefault="008B3772" w:rsidP="008B3772">
      <w:pPr>
        <w:pStyle w:val="TextoNormal"/>
      </w:pPr>
    </w:p>
    <w:p w:rsidR="008B3772" w:rsidRDefault="008B3772" w:rsidP="008B3772">
      <w:pPr>
        <w:pStyle w:val="TextoNormal"/>
      </w:pPr>
      <w:r w:rsidRPr="008B3772">
        <w:rPr>
          <w:rStyle w:val="NumeroAFNegritaCaracter"/>
        </w:rPr>
        <w:t>5</w:t>
      </w:r>
      <w:r>
        <w:t xml:space="preserve">. El Fiscal General del Estado formuló sus alegaciones por escrito registrado en este Tribunal el 13 de marzo de 2007, interesando su inadmisión por entender que falta el necesario juicio de relevancia y porque carecen manifiestamente de fundamento las dudas suscitadas por el órgano judicial que la ha promovido. </w:t>
      </w:r>
    </w:p>
    <w:p w:rsidR="008B3772" w:rsidRDefault="008B3772" w:rsidP="008B3772">
      <w:pPr>
        <w:pStyle w:val="TextoNormal"/>
      </w:pPr>
      <w:r>
        <w:t xml:space="preserve">En primer lugar, destaca su parecer de que no se cumple el presupuesto del necesario juicio de relevancia, toda vez que lo que se cuestiona realmente es el acto aplicativo de la norma, más que la norma en sí misma considerada, ya que la Ley contemplaba como excepción limitar el pase a la segunda actividad de los Inspectores Jefes que antes del 1 de enero de 2006 cumplieran la edad de 56 años a que la Dirección General de la Policía pudiera establecer unos cupos de promoción interna para esta categoría, de tal modo que, establecidos tales cupos, no tendrían que pasar a segunda actividad todos los Inspectores Jefes, sino únicamente aquellos que quedaran fuera de los cupos establecidos. Por tanto, al ser objeto de enjuiciamiento en el caso de autos el acto administrativo de aplicación de una norma que no contempla automáticamente el pase a la situación de segunda actividad “… se admiten otras interpretaciones que no necesariamente pueden resultar inconstitucionales, ya que la norma contempla en su texto la posibilidad de que la Administración arbitre la existencia de cupos de promoción interna para tales funcionarios que no acarree necesariamente el pase de todos ellos a la segunda actividad”. </w:t>
      </w:r>
    </w:p>
    <w:p w:rsidR="008B3772" w:rsidRDefault="008B3772" w:rsidP="008B3772">
      <w:pPr>
        <w:pStyle w:val="TextoNormal"/>
      </w:pPr>
      <w:r>
        <w:t xml:space="preserve">En segundo lugar, señala que concurre la carencia manifiesta de fundamento, toda vez que, partiendo de la doctrina consolidada del Tribuna Constitucional sobre el particular, no </w:t>
      </w:r>
      <w:r>
        <w:lastRenderedPageBreak/>
        <w:t>cabe duda de que la Administración puede modificar por razones objetivas el status de los funcionarios reduciendo o aumentando los límites de edad. Al margen de ello, el Fiscal General del Estado señala que “realmente no existe la discriminación que se invoca… porque si el Legislador previó la fecha de 1º de enero de 2006 como el límite temporal de aquella situación de excepcionalidad… es porque entendió que, a partir de la indicada fecha, no habría problemas de cupos de promoción interna y los funcionarios afectados podrían prolongar voluntariamente su pase a la segunda actividad hasta el cumplimiento de los 58 años”.</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La Sección Cuarta de la Sala de lo Contencioso-Administrativo del Tribunal Superior de Justicia de Cataluña plantea cuestión de inconstitucionalidad respecto del párrafo tercero de la Disposición Transitoria Sexta de la Ley 26/1994, de 29 de septiembre, por la que se regula la situación de segunda actividad en el Cuerpo Nacional de Policía, en la redacción dada por el art. 58 de la Ley 24/2001, de 27 de diciembre, de medidas fiscales, administrativas y del orden social, por posible vulneración del art. 23.2 CE, en relación con el art. 14 CE.</w:t>
      </w:r>
    </w:p>
    <w:p w:rsidR="008B3772" w:rsidRDefault="008B3772" w:rsidP="008B3772">
      <w:pPr>
        <w:pStyle w:val="TextoNormal"/>
      </w:pPr>
      <w:r>
        <w:t>El art. 58 de la Ley 24/2001, de 27 de diciembre, modificó distintos artículos de la Ley 26/1994, de 29 de noviembre. El apartado segundo dio nueva redacción al punto primero del art. 4 estableciendo las distintas edades a partir de las cuales en cada una de las Escalas se produce el pase a la situación administrativa de segunda actividad. En concreto, en relación con la Escala ejecutiva, frente a la anterior regulación legal que establecía la edad de 56 años, se fijó la edad de 58 años. El apartado tercero del citado art. 58 incluyó una disposición transitoria sexta, en cuyo párrafo tercero —que es el concretamente cuestionado— se establece que “[e]xcepcionalmente y sin perjuicio de que se arbitre una adecuada política de cupos para resolver la problemática de promoción interna en la categoría de Inspectores Jefes, la ampliación de la edad que se contempla en la presente Ley, no empezará a regir para los mismos hasta el 1 de enero de 2006”.</w:t>
      </w:r>
    </w:p>
    <w:p w:rsidR="008B3772" w:rsidRDefault="008B3772" w:rsidP="008B3772">
      <w:pPr>
        <w:pStyle w:val="TextoNormal"/>
      </w:pPr>
      <w:r>
        <w:t>El órgano judicial fundamenta la inconstitucionalidad del citado inciso legal en que, al establecerse que para los Inspectores Jefes no comenzará a regir hasta el 1 de enero de 2006 la ampliación de edad a los 58 años para su pase a la segunda actividad, se vulnera el art. 23.2 CE, en relación con el art. 14 CE, pues supone un trato discriminatorio, por un lado, respecto de los Inspectores Jefes que cumplen los 56 años de edad con posterioridad al 1 de enero de 2006 y, por otro, respecto de los integrantes de las restantes Escalas del Cuerpo Nacional de Policía e, incluso, dentro de la Escala ejecutiva con la categoría de Inspector. Esta diferencia de trato, además, carece de una justificación razonable, puesto que la mera existencia de cupos derivada de la política llevada a cabo por la Administración en el ámbito de la promoción interna es totalmente ajena a la voluntad de los funcionarios y que no lleva aparejada una compensación económica.</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El art. 37.1 LOTC establece que el Tribunal podrá rechazar, en trámite de admisión, mediante Auto y sin otra audiencia que la del Fiscal General del Estado, la cuestión de inconstitucionalidad cuando fuera notoriamente infundada la cuestión suscitada.  A estos efectos, este Tribunal ha reiterado que el concepto de “cuestión notoriamente infundada” encierra un cierto grado de indefinición que se traduce procesalmente en otorgar a este Tribunal un margen de apreciación a la hora de controlar la solidez de la fundamentación de </w:t>
      </w:r>
      <w:r>
        <w:lastRenderedPageBreak/>
        <w:t>las cuestiones de inconstitucionalidad, de tal modo que existen supuestos en los que un examen preliminar de las cuestiones de inconstitucionalidad permiten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(por todos, ATC 136/2006, de 4 de abril, FJ 2). El presente caso, como se argumentará a continuación, es uno de esos supuestos en que, sin excesivo esfuerzo argumental, es posible concluir que las dudas de inconstitucionalidad están manifiestamente infundadas.</w:t>
      </w:r>
    </w:p>
    <w:p w:rsidR="008B3772" w:rsidRDefault="008B3772" w:rsidP="008B3772">
      <w:pPr>
        <w:pStyle w:val="TextoNormal"/>
      </w:pPr>
    </w:p>
    <w:p w:rsidR="008B3772" w:rsidRDefault="008B3772" w:rsidP="008B3772">
      <w:pPr>
        <w:pStyle w:val="TextoNormal"/>
      </w:pPr>
      <w:r w:rsidRPr="008B3772">
        <w:rPr>
          <w:rStyle w:val="NumeroAFNegritaCaracter"/>
        </w:rPr>
        <w:t>3</w:t>
      </w:r>
      <w:r>
        <w:t>. En primer lugar, y como concreción de los preceptos constitucionales que el órgano judicial considera que la normativa cuestionada ha vulnerado, debe ponerse de relieve que es doctrina reiterada de este Tribunal que, al contemplarse en el art. 23.2 CE el derecho a la igualdad en relación con el acceso a la función pública, carece de sustantividad propia la alegación del art. 14 CE, que queda reservada para aquellas desigualdades que afectan a los criterios explícitamente contemplados en este precepto (por todas, SSTC 129/2007, de 4 de junio, FJ 1 y 78/2007, de 16 de abril, FJ 2).</w:t>
      </w:r>
    </w:p>
    <w:p w:rsidR="008B3772" w:rsidRDefault="008B3772" w:rsidP="008B3772">
      <w:pPr>
        <w:pStyle w:val="TextoNormal"/>
      </w:pPr>
      <w:r>
        <w:t>A partir de ello, entrando en las razones alegadas por el órgano judicial cuestionante para considerar que el precepto enjuiciado vulnera el art. 23.2 CE, es de destacar que resultan notoriamente infundadas. En efecto, el supuesto trato discriminatorio entre Inspectores Jefes, que el órgano judicial estima que se derivaría del mero hecho de cumplir los 56 años de edad antes o después del 1 de enero de 2006, trae causa, exclusivamente, en una modificación legislativa en la normativa sobre el pase a la segunda actividad de los funcionarios del Cuerpo Nacional de Policía. Y respecto de ello, este Tribunal ya ha reiterado en diferentes ocasiones que el principio de igualdad ante la Ley no exige que todas las situaciones, con independencia del tiempo en que se originaron o produjeron sus efectos deban recibir un tratamiento igual por parte de la Ley, puesto que con ello se incidirá en el círculo de competencias atribuido constitucionalmente al legislador y, en definitiva, en la natural y necesaria evolución del ordenamiento jurídico. Así, se ha señalado que la diferenciación normativa entre sujetos debida a una sucesión legislativa no puede considerarse, por si sola, generadora de discriminación y que ello permite justificar la conservación pro tempore de regimenes jurídicos derogados o sustituidos por otros (por todas, SSTC 89/1994, de 17 de marzo, FJ 10; 38/1995, de 13 de febrero, FJ 4 y 339/2006, de 11 de diciembre, FJ 3).</w:t>
      </w:r>
    </w:p>
    <w:p w:rsidR="008B3772" w:rsidRDefault="008B3772" w:rsidP="008B3772">
      <w:pPr>
        <w:pStyle w:val="TextoNormal"/>
      </w:pPr>
    </w:p>
    <w:p w:rsidR="008B3772" w:rsidRDefault="008B3772" w:rsidP="008B3772">
      <w:pPr>
        <w:pStyle w:val="TextoNormal"/>
      </w:pPr>
      <w:r w:rsidRPr="008B3772">
        <w:rPr>
          <w:rStyle w:val="NumeroAFNegritaCaracter"/>
        </w:rPr>
        <w:t>4</w:t>
      </w:r>
      <w:r>
        <w:t>. A la misma conclusión sobre su carácter notoriamente infundado debe llegarse respecto del argumentado trato discriminatorio dispensado a los Inspectores Jefes derivado de que ni para los integrantes de las restantes Escalas del Cuerpo Nacional de Policía ni, incluso, dentro de la Escala ejecutiva, para la categoría de Inspector, se establezca un periodo transitorio en la entrada en vigor de la elevación de la edad para el pase a la segunda actividad.</w:t>
      </w:r>
    </w:p>
    <w:p w:rsidR="008B3772" w:rsidRDefault="008B3772" w:rsidP="008B3772">
      <w:pPr>
        <w:pStyle w:val="TextoNormal"/>
      </w:pPr>
      <w:r>
        <w:t xml:space="preserve">Este Tribunal también ha reiterado, en primer lugar, que el principio de igualdad, que vincula al legislador, no impide que éste establezca diferencias de trato, siempre que encuentren una justificación objetiva y razonable, valorada en atención a las finalidades que se persiguen por la ley y a la adecuación de medios a fines entre aquéllas y éstas. Y, en segundo lugar, que esta libertad de implantación de diferencias de trato se aprecia con mayor intensidad aún en relación con estructuras de creación legal, donde la norma, que las crea, puede apreciar diferencias relevantes fundadas en el régimen abstracto diseñado por ella </w:t>
      </w:r>
      <w:r>
        <w:lastRenderedPageBreak/>
        <w:t>misma, de modo que el legislador cuenta con un amplio margen de discrecionalidad a la hora de configurar el status del personal que presta sus servicios en las Administraciones públicas. De todo ello se ha concluido que la discriminación entre estas estructuras que son creación del Derecho y pueden quedar definidas por la presencia de muy diversos factores, de existir, únicamente derivará de la aplicación de criterios de diferenciación que no resulten objetivos ni generales (por todas, STC 110/2004, de 30 de junio, FJ 4).</w:t>
      </w:r>
    </w:p>
    <w:p w:rsidR="008B3772" w:rsidRDefault="008B3772" w:rsidP="008B3772">
      <w:pPr>
        <w:pStyle w:val="TextoNormal"/>
      </w:pPr>
      <w:r>
        <w:t>En el presente caso, el término de comparación propuesto por el órgano judicial cuestionante se refiere a estructuras de creación legal como son las diversas Escalas del Cuerpo Nacional de Policía o, dentro de la Escala ejecutiva, las dos categorías que la componen. En atención a ello, la eventual diferenciación de trato dispensado sólo podría ser calificada como discriminatoria si no existieran razones objetivas que las justificaran. A esos efectos, el órgano cuestionante argumenta que la diferencia de trato carece de una justificación razonable, ya que la mera existencia de cupos derivada de la política llevada a cabo por la Administración en el ámbito de la promoción interna es totalmente ajena a la voluntad de los funcionarios.</w:t>
      </w:r>
    </w:p>
    <w:p w:rsidR="008B3772" w:rsidRDefault="008B3772" w:rsidP="008B3772">
      <w:pPr>
        <w:pStyle w:val="TextoNormal"/>
      </w:pPr>
      <w:r>
        <w:t>Pues bien, partiendo de la base de que es el propio órgano judicial el que determina la existencia de una circunstancia absolutamente objetiva en la categoría de los Inspectores Jefes, que está ausente del resto de escalas y categoría que se aportan como término de comparación, como es la problemática derivada de la promoción interna, y que dicha circunstancia, además, se hace expresa y aparece incorporada a la propia norma cuestionada, sólo cabe concluir que, dentro del amplio margen de discrecionalidad con que cuenta el legislador, el establecer una periodo transitorio para la entrada en vigor del aumento de la edad para el pase a la segunda actividad limitada a los Inspectores Jefe con el fin de superar dicha problemática no implica un tratamiento contrario a las exigencias del art. 23.2 CE. En efecto, sin perjuicio de a quién sea achacable la problemática situación de promoción interna existente en la categoría de Inspectores Jefes, lo cierto es que, asumido que ésa es una circunstancia objetiva y que el propio legislador hace expreso que la finalidad de la norma cuestionada es superar o resolver dicha problemática de carácter general para una categoría funcionarial concreta, es manifiesto que la norma cuestionada cuenta con una justificación objetiva y razonable para dotar de un diferente trato el régimen transitorio de la entrada en vigor de la ampliación de edad para el pase a la segunda actividad de los Inspectores Jefes.</w:t>
      </w:r>
    </w:p>
    <w:p w:rsidR="008B3772" w:rsidRDefault="008B3772" w:rsidP="008B3772">
      <w:pPr>
        <w:pStyle w:val="TextoNormal"/>
      </w:pPr>
    </w:p>
    <w:p w:rsidR="008B3772" w:rsidRDefault="008B3772" w:rsidP="008B3772">
      <w:pPr>
        <w:pStyle w:val="TextoNormal"/>
      </w:pPr>
      <w:r>
        <w:t>Por lo expuesto, el Pleno del Tribunal</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Inadmitir la presente cuestión de inconstitucionalidad.</w:t>
      </w:r>
    </w:p>
    <w:p w:rsidR="008B3772" w:rsidRDefault="008B3772" w:rsidP="008B3772">
      <w:pPr>
        <w:pStyle w:val="TextoNormal"/>
      </w:pPr>
    </w:p>
    <w:p w:rsidR="008B3772" w:rsidRDefault="008B3772" w:rsidP="008B3772">
      <w:pPr>
        <w:pStyle w:val="TextoNormal"/>
      </w:pPr>
      <w:r>
        <w:t>Publíquese el presente Auto en el “Boletín Oficial del Estado”.</w:t>
      </w:r>
    </w:p>
    <w:p w:rsidR="008B3772" w:rsidRDefault="008B3772" w:rsidP="008B3772">
      <w:pPr>
        <w:pStyle w:val="TextoNormal"/>
      </w:pPr>
      <w:r>
        <w:t>Madrid, a veinticuatro de julio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217" w:name="AUTO_2007_353"/>
      <w:r>
        <w:lastRenderedPageBreak/>
        <w:t>AUTO 353/2007, de 24 de julio de 2007</w:t>
      </w:r>
    </w:p>
    <w:bookmarkEnd w:id="217"/>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ECLI:ES:TC:2007:353A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Inadmite a trámite la cuestión de inconstitucionalidad 3837-2006, planteada por la Sala de lo Contencioso-Administrativo del Tribunal Superior de Justicia de Cataluña en relación con la Ley Orgánica 26/1994, de 29 de diciembre, reguladora del pase a la segunda actividad en el Cuerpo Nacional de Policía.</w:t>
      </w:r>
    </w:p>
    <w:p w:rsidR="008B3772" w:rsidRDefault="008B3772" w:rsidP="008B3772">
      <w:pPr>
        <w:pStyle w:val="SntesisDescriptiva"/>
      </w:pPr>
    </w:p>
    <w:p w:rsidR="008B3772" w:rsidRDefault="008B3772" w:rsidP="008B3772">
      <w:pPr>
        <w:pStyle w:val="SntesisAnaltica"/>
      </w:pPr>
      <w:r>
        <w:t>Discriminación por circunstancias personales o sociales: discriminación por razón de edad. Funcionarios públicos: promoción de funcionarios. Igualdad en la ley: juicio de razonabilidad. Situaciones administrativas: regulación de la segunda actividad en el cuerpo nacional de policía.</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5 de abril de 2006 tuvo entrada en el Registro de este Tribunal un escrito de la Sección Cuarta de la Sala de lo Contencioso-Administrativo del Tribunal Superior de Justicia de Cataluña, al que se acompaña, junto al testimonio del correspondiente procedimiento, Auto de 20 de febrero de 2006, dictado en el recurso contencioso-administrativo núm. 367-2002, en el que se acuerda promover ante este Tribunal cuestión de inconstitucionalidad respecto del párrafo tercero de la disposición transitoria sexta de la Ley 26/1994, de 29 de septiembre, por la que se regula la situación de segunda actividad en el Cuerpo Nacional de Policía, en la redacción dada por el art. 58 de la Ley 24/2001, de 27 de diciembre, de medidas fiscales, administrativas y del orden social, por posible vulneración del art. 23.2 CE, en relación con el art. 14 CE.</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Los hechos relevantes en este proceso constitucional son los siguientes: </w:t>
      </w:r>
    </w:p>
    <w:p w:rsidR="008B3772" w:rsidRDefault="008B3772" w:rsidP="008B3772">
      <w:pPr>
        <w:pStyle w:val="TextoNormal"/>
      </w:pPr>
      <w:r>
        <w:t xml:space="preserve">a) Un Inspector Jefe del Cuerpo Nacional de Policía interpuso el 15 de julio de 2002 recurso contencioso-administrativo contra la Resolución de la Dirección General de la Policía de 16 de mayo de 2002, por la que se ratifica en reposición la Resolución de 18 de marzo de 2002, por la que se acuerda su pase a la situación de segunda actividad por cumplimiento de la edad reglamentaria de 56 años. Dicho recurso dio lugar al procedimiento núm. 367-2002 tramitado por la Sección Cuarta de la Sala de lo Contencioso-Administrativo del Tribunal Superior de Justicia de Cataluña. </w:t>
      </w:r>
    </w:p>
    <w:p w:rsidR="008B3772" w:rsidRDefault="008B3772" w:rsidP="008B3772">
      <w:pPr>
        <w:pStyle w:val="TextoNormal"/>
      </w:pPr>
      <w:r>
        <w:t xml:space="preserve">b) El recurrente solicitó en la formalización de su demanda que se planteara cuestión de inconstitucionalidad respecto del párrafo tercero de la disposición transitoria sexta de la Ley </w:t>
      </w:r>
      <w:r>
        <w:lastRenderedPageBreak/>
        <w:t xml:space="preserve">26/1994, de 29 de septiembre, en la redacción dada por el art. 58 de la Ley 24/2001, de 27 de diciembre, en el concreto extremo de establecer que, excepcionalmente y en relación con la categoría de Inspectores Jefes, la ampliación de la edad que se contempla en la Ley para el pase a la segunda actividad de los 56 a los 58 años, no empezará a regir hasta el 1 de enero de 2006, por considerar que vulnera el art. 23.2 CE, en relación con el art. 14 CE, ya que ello supone un trato discriminatorio, por un lado, tanto respecto de los integrantes del resto de escalas del Cuerpo como respecto de la categoría de Inspectores, que se integra en la Escala ejecutiva , para los que no se prevé este régimen transitorio, y por otro, respecto de los Inspectores Jefes que cumplen los 56 años de edad con posterioridad al 1 de enero de 2006. </w:t>
      </w:r>
    </w:p>
    <w:p w:rsidR="008B3772" w:rsidRDefault="008B3772" w:rsidP="008B3772">
      <w:pPr>
        <w:pStyle w:val="TextoNormal"/>
      </w:pPr>
      <w:r>
        <w:t xml:space="preserve">c) Habiéndose señalado fecha para votación y fallo, por providencia de 23 de noviembre de 2005, se acordó conferir traslado a las partes personadas para que alegaran lo que estimaran pertinente sobre el planteamiento de la cuestión de inconstitucionalidad respecto del párrafo tercero de la disposición transitoria sexta de la Ley 26/1994, de 29 de septiembre, en la redacción dada por el art. 58 de la Ley 24/2001, de 27 de diciembre, al considerar que “… constituye una exclusión de los Inspectores Jefes para optar al pase a la segunda actividad a los 58 años, en tanto se les aplica la anterior de 56 y además quedan excluidos —sólo los Inspectores Jefes— de la opción conferida por el Legislador a todos los que integran, entre otras la Escala ejecutiva para acceder al pase de segunda actividad bien a los 56 años, bien a los 58 años, que pudiera ser contraria al principio de igualdad...”. </w:t>
      </w:r>
    </w:p>
    <w:p w:rsidR="008B3772" w:rsidRDefault="008B3772" w:rsidP="008B3772">
      <w:pPr>
        <w:pStyle w:val="TextoNormal"/>
      </w:pPr>
      <w:r>
        <w:t>d) El Ministerio Fiscal, por escrito registrado el 26 de enero de 2005, consideró improcedente el planteamiento de la cuestión de inconstitucionalidad, argumentando que el diferente trato dispensado que se denuncia en función del criterio temporal responde a un cambio normativo y, en relación con el diferente trato con otras Escalas o con otros funcionarios dentro de la misma Escala ejecutiva , existe un elemento objetivo de diferenciación al que expresamente se hace mención en la propia norma cuestionada, que excluye todo atisbo de tratamiento discriminatorio, cual es la existencia de una problemática de promoción interna en la categoría de Inspectores Jefes. Por su parte, el recurrente, por escrito registrado el 28 de diciembre de 2005, reiteró la pertinencia del planteamiento de la cuestión de inconstitucionalidad.</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Por Auto de 20 de febrero de 2006, la Sección Cuarta de la Sala de lo Contencioso-Administrativo del Tribunal Superior de Justicia de Cataluña acordó “[p]lantear la cuestión de inconstitucionalidad de la excepción contenida en el art. 58 de la Ley 24/2001, de 27 de diciembre, por el cual se modifica la Ley 26/1994, por la que se regula la situación de segunda actividad en el Cuerpo Nacional de Policía, en concreto en una parte del apartado tres que introduce una disposición transitoria —la sexta— en la Ley 26/1994, de 29 de septiembre, en cuanto no permite a los Inspectores Jefes del Cuerpo Nacional de Policía que cumplan 56 años antes del 1 de enero de 2006 a optar por permanecer en la situación de primera actividad a diferencia de lo que sucede con los demás funcionarios de la misma Escala ejecutiva o de las dos Escalas inferiores y de los Inspectores Jefes que cumplan la edad de 56 años a partir del 1 de enero de 2006”. </w:t>
      </w:r>
    </w:p>
    <w:p w:rsidR="008B3772" w:rsidRDefault="008B3772" w:rsidP="008B3772">
      <w:pPr>
        <w:pStyle w:val="TextoNormal"/>
      </w:pPr>
      <w:r>
        <w:t xml:space="preserve">El inciso legal cuestionado establece que “[e]xcepcionalmente y sin perjuicio de que se arbitre una adecuada política de cupos para resolver la problemática de promoción interna en la categoría de Inspectores Jefes, la ampliación de la edad que se contempla en la presente Ley, no empezará a regir para los mismos hasta el 1 de enero de 2006”. En relación con dicha previsión legal se argumenta en el Auto de planteamiento de la cuestión que implica una vulneración del derecho a la igualdad en el ámbito de la función pública (arts. 14 y 23.2 </w:t>
      </w:r>
      <w:r>
        <w:lastRenderedPageBreak/>
        <w:t>CE), en tanto que dispensa un distinto trato, siquiera temporalmente, a los Inspectores-Jefes que cumplan 56 años antes del 1 de enero de 2006 frente a los que los cumplan con posterioridad, mediante una norma de carácter excepcional que no cuenta con una justificación objetiva y razonable y sin que se establezca una compensación económica. Se sostiene también en el Auto de planteamiento que dicho precepto resulta discriminatorio al establecer que esta excepción se aplique exclusivamente a la categoría de los Inspectores Jefes, lo que supone un distinto trato no sólo en relación con las restantes escalas, sino incluso dentro de la Escala ejecutiva con la categoría de Inspector. Por último, se destaca que este diferente trato carece de una justificación razonable puesto que la mera existencia de cupos derivada de la política llevada a cabo por la Administración en el ámbito de la promoción interna es totalmente ajena a la voluntad de los funcionarios.</w:t>
      </w:r>
    </w:p>
    <w:p w:rsidR="008B3772" w:rsidRDefault="008B3772" w:rsidP="008B3772">
      <w:pPr>
        <w:pStyle w:val="TextoNormal"/>
      </w:pPr>
    </w:p>
    <w:p w:rsidR="008B3772" w:rsidRDefault="008B3772" w:rsidP="008B3772">
      <w:pPr>
        <w:pStyle w:val="TextoNormal"/>
      </w:pPr>
      <w:r w:rsidRPr="008B3772">
        <w:rPr>
          <w:rStyle w:val="NumeroAFNegritaCaracter"/>
        </w:rPr>
        <w:t>4</w:t>
      </w:r>
      <w:r>
        <w:t>. La Sección Tercera de este Tribunal, por providencia de 13 de febrero de 2007, acordó oír al Fiscal General del Estado para que, conforme a lo previsto en el art. 37.1 LOTC, expusiera lo que considerara conveniente acerca de la posible falta de condiciones procesales para su admisión, así como si la misma resultara notoriamente infundada.</w:t>
      </w:r>
    </w:p>
    <w:p w:rsidR="008B3772" w:rsidRDefault="008B3772" w:rsidP="008B3772">
      <w:pPr>
        <w:pStyle w:val="TextoNormal"/>
      </w:pPr>
    </w:p>
    <w:p w:rsidR="008B3772" w:rsidRDefault="008B3772" w:rsidP="008B3772">
      <w:pPr>
        <w:pStyle w:val="TextoNormal"/>
      </w:pPr>
      <w:r w:rsidRPr="008B3772">
        <w:rPr>
          <w:rStyle w:val="NumeroAFNegritaCaracter"/>
        </w:rPr>
        <w:t>5</w:t>
      </w:r>
      <w:r>
        <w:t xml:space="preserve">. El Fiscal General del Estado formuló sus alegaciones por escrito registrado en este Tribunal el 7 de marzo de 2007, interesando su inadmisión por entender que falta el necesario juicio de relevancia y porque carecen manifiestamente de fundamento las dudas suscitadas por el órgano judicial que la ha promovido. </w:t>
      </w:r>
    </w:p>
    <w:p w:rsidR="008B3772" w:rsidRDefault="008B3772" w:rsidP="008B3772">
      <w:pPr>
        <w:pStyle w:val="TextoNormal"/>
      </w:pPr>
      <w:r>
        <w:t xml:space="preserve">En primer lugar, destaca su parecer de que no se cumple el presupuesto del necesario juicio de relevancia, toda vez que lo que se cuestiona realmente es el acto aplicativo de la norma, más que la norma en sí misma considerada, ya que la Ley contemplaba como excepción limitar el pase a la segunda actividad de los Inspectores Jefes que antes del 1 de enero de 2006 cumplieran la edad de 56 años a que la Dirección General de la Policía pudiera establecer unos cupos de promoción interna para esta categoría, de tal modo que, establecidos tales cupos, no tendrían que pasar a segunda actividad todos los Inspectores Jefes, sino únicamente aquellos que quedaran fuera de los cupos establecidos. Por tanto, al ser objeto de enjuiciamiento en el caso de autos el acto administrativo de aplicación de una norma que no contempla automáticamente el pase a la situación de segunda actividad “… se admiten otras interpretaciones que no necesariamente pueden resultar inconstitucionales, ya que la norma contempla en su texto la posibilidad de que la Administración arbitre la existencia de cupos de promoción interna para tales funcionarios que no acarree necesariamente el pase de todos ellos a la segunda actividad”. </w:t>
      </w:r>
    </w:p>
    <w:p w:rsidR="008B3772" w:rsidRDefault="008B3772" w:rsidP="008B3772">
      <w:pPr>
        <w:pStyle w:val="TextoNormal"/>
      </w:pPr>
      <w:r>
        <w:t>En segundo lugar, señala que concurre la carencia manifiesta de fundamento, toda vez que, partiendo de la doctrina consolidada del Tribuna Constitucional sobre el particular, no cabe duda de que la Administración puede modificar por razones objetivas el status de los funcionarios reduciendo o aumentando los límites de edad. Al margen de ello, el Fiscal General del Estado señala que “realmente no existe la discriminación que se invoca… porque si el Legislador previó la fecha de 1º de enero de 2006 como el límite temporal de aquella situación de excepcionalidad… es porque entendió que, a partir de la indicada fecha, no habría problemas de cupos de promoción interna y los funcionarios afectados podrían prolongar voluntariamente su pase a la segunda actividad hasta el cumplimiento de los 58 años”.</w:t>
      </w:r>
    </w:p>
    <w:p w:rsidR="008B3772" w:rsidRDefault="008B3772" w:rsidP="008B3772">
      <w:pPr>
        <w:pStyle w:val="TextoNormal"/>
      </w:pPr>
    </w:p>
    <w:p w:rsidR="008B3772" w:rsidRDefault="008B3772" w:rsidP="008B3772">
      <w:pPr>
        <w:pStyle w:val="TextoNormalNegritaCentrado"/>
        <w:keepNext/>
      </w:pPr>
      <w:r>
        <w:lastRenderedPageBreak/>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La Sección Cuarta de la Sala de lo Contencioso-Administrativo del Tribunal Superior de Justicia de Cataluña plantea cuestión de inconstitucionalidad respecto del párrafo tercero de la disposición transitoria sexta de la Ley 26/1994, de 29 de</w:t>
      </w:r>
    </w:p>
    <w:p w:rsidR="008B3772" w:rsidRDefault="008B3772" w:rsidP="008B3772">
      <w:pPr>
        <w:pStyle w:val="TextoNormal"/>
      </w:pPr>
      <w:r>
        <w:t>septiembre, por la que se regula la situación de segunda actividad en el Cuerpo Nacional de Policía, en la redacción dada por el art. 58 de la Ley 24/2001, de 27 de diciembre, de medidas fiscales, administrativas y del orden social, por posible</w:t>
      </w:r>
    </w:p>
    <w:p w:rsidR="008B3772" w:rsidRDefault="008B3772" w:rsidP="008B3772">
      <w:pPr>
        <w:pStyle w:val="TextoNormal"/>
      </w:pPr>
      <w:r>
        <w:t>vulneración del art. 23.2 CE, en relación con el art. 14 CE.</w:t>
      </w:r>
    </w:p>
    <w:p w:rsidR="008B3772" w:rsidRDefault="008B3772" w:rsidP="008B3772">
      <w:pPr>
        <w:pStyle w:val="TextoNormal"/>
      </w:pPr>
      <w:r>
        <w:t>Las dudas de constitucionalidad planteadas por el órgano judicial han sido resueltas en el ATC 352/2007, de 24 de julio, dictado como consecuencia de la cuestión de inconstitucionalidad núm. 3375-2006 planteada por la propia Sección Cuarta de la Sala de lo Contencioso-Administrativo del Tribunal Superior de Justicia de Cataluña respecto del mismo precepto, en el que este Tribunal ha considerado que la citada cuestión se encontraba notoriamente infundada. Por tanto, debe considerarse también la presente cuestión de inconstitucionalidad como notoriamente infundada, por las razones expuestas en el citado Auto de 24 de julio de 2007, a cuyos fundamentos jurídicos nos remitimos íntegramente.</w:t>
      </w:r>
    </w:p>
    <w:p w:rsidR="008B3772" w:rsidRDefault="008B3772" w:rsidP="008B3772">
      <w:pPr>
        <w:pStyle w:val="TextoNormal"/>
      </w:pPr>
      <w:r>
        <w:t>Resumidamente, como se destaca en dicho Auto, no cabe apreciar un supuesto trato discriminatorio entre Inspectores Jefes a derivar del momento de cumplimiento de los 56 años, ya que, trayendo causa, exclusivamente, en una modificación legislativa, sin embargo, este Tribunal ha reiterado que el principio de igualdad no impide que, a través de cambios normativos, pueda producirse un trato desigual entre diversas situaciones derivado de la diferencia de fechas en que se originaron. Del mismo modo, también se rechaza el eventual trato discriminatorio dispensado a los Inspectores Jefes a derivar de que ni para los integrantes de las restantes escalas del Cuerpo Nacional de Policía ni, incluso, dentro de la escala ejecutiva, para la categoría de Inspector, se establezca un periodo transitorio en la entrada en vigor de la elevación de la edad para el pase a la segunda actividad, destacando que es manifiesto que la norma cuestionada cuenta con una justificación objetiva y razonable para establecer este diferente trato, como es la problemática situación de promoción interna existente en la categoría de Inspectores Jefes.</w:t>
      </w:r>
    </w:p>
    <w:p w:rsidR="008B3772" w:rsidRDefault="008B3772" w:rsidP="008B3772">
      <w:pPr>
        <w:pStyle w:val="TextoNormal"/>
      </w:pPr>
    </w:p>
    <w:p w:rsidR="008B3772" w:rsidRDefault="008B3772" w:rsidP="008B3772">
      <w:pPr>
        <w:pStyle w:val="TextoNormal"/>
      </w:pPr>
      <w:r>
        <w:t>Por lo expuesto, el Pleno del Tribunal</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Inadmitir la presente cuestión de inconstitucionalidad.</w:t>
      </w:r>
    </w:p>
    <w:p w:rsidR="008B3772" w:rsidRDefault="008B3772" w:rsidP="008B3772">
      <w:pPr>
        <w:pStyle w:val="TextoNormal"/>
      </w:pPr>
    </w:p>
    <w:p w:rsidR="008B3772" w:rsidRDefault="008B3772" w:rsidP="008B3772">
      <w:pPr>
        <w:pStyle w:val="TextoNormal"/>
      </w:pPr>
      <w:r>
        <w:t>Madrid, a veinticuatro de julio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218" w:name="AUTO_2007_354"/>
      <w:r>
        <w:lastRenderedPageBreak/>
        <w:t>AUTO 354/2007, de 24 de julio de 2007</w:t>
      </w:r>
    </w:p>
    <w:bookmarkEnd w:id="218"/>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ECLI:ES:TC:2007:354A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Inadmite a trámite la cuestión de inconstitucionalidad 9764-2006, planteada por la Sala de lo Contencioso-Administrativo del Tribunal Superior de Justicia de Cataluña en relación con la Ley 26/1994, de 29 de diciembre, reguladora del pase a la segunda actividad en el Cuerpo Nacional de Policía.</w:t>
      </w:r>
    </w:p>
    <w:p w:rsidR="008B3772" w:rsidRDefault="008B3772" w:rsidP="008B3772">
      <w:pPr>
        <w:pStyle w:val="SntesisDescriptiva"/>
      </w:pPr>
    </w:p>
    <w:p w:rsidR="008B3772" w:rsidRDefault="008B3772" w:rsidP="008B3772">
      <w:pPr>
        <w:pStyle w:val="SntesisAnaltica"/>
      </w:pPr>
      <w:r>
        <w:t>Cuestión de inconstitucionalidad: ATC 353/2007.</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26 de octubre de 2006 tuvo entrada en el Registro de este Tribunal un escrito de la Sección Cuarta de la Sala de lo Contencioso-Administrativo del Tribunal Superior de Justicia de Cataluña, al que se acompaña, junto al testimonio del correspondiente procedimiento, Auto de 24 de julio de 2006, dictado en el recurso contencioso-administrativo núm. 649-2003, en el que se acuerda promover ante este Tribunal cuestión de inconstitucionalidad respecto del párrafo tercero de la disposición transitoria sexta de la Ley 26/1994, de 29 de septiembre, por la que se regula la situación de segunda actividad en el Cuerpo Nacional de Policía, en la redacción dada por el art. 58 de la Ley 24/2001, de 27 de diciembre, de medidas fiscales, administrativas y del orden social, por posible vulneración del art. 23.2 CE, en relación con el art. 14 CE.</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Los hechos relevantes en este proceso constitucional son los siguientes: </w:t>
      </w:r>
    </w:p>
    <w:p w:rsidR="008B3772" w:rsidRDefault="008B3772" w:rsidP="008B3772">
      <w:pPr>
        <w:pStyle w:val="TextoNormal"/>
      </w:pPr>
      <w:r>
        <w:t xml:space="preserve">a) Un Inspector Jefe del Cuerpo Nacional de Policía interpuso el 9 de mayo de 2003 recurso contencioso-administrativo contra la Resolución de la Dirección General de la Policía de 18 de febrero de 2003, por la que se acuerda su pase a la situación de segunda actividad por cumplimiento de la edad reglamentaria de 56 años. Dicho recurso dio lugar al procedimiento núm. 649-2003 tramitado por la Sección Cuarta de la Sala de lo Contencioso-Administrativo del Tribunal Superior de Justicia de Cataluña. </w:t>
      </w:r>
    </w:p>
    <w:p w:rsidR="008B3772" w:rsidRDefault="008B3772" w:rsidP="008B3772">
      <w:pPr>
        <w:pStyle w:val="TextoNormal"/>
      </w:pPr>
      <w:r>
        <w:t xml:space="preserve">b) El recurrente solicitó en la formalización de su demanda que se planteara cuestión de inconstitucionalidad respecto del párrafo tercero de la disposición transitoria sexta de la Ley 26/1994, de 29 de septiembre, en la redacción dada por el art. 58 de la Ley 24/2001, de 27 de diciembre, en el concreto extremo de establecer que, excepcionalmente y en relación con la categoría de Inspectores Jefes, la ampliación de la edad que se contempla en la Ley para el pase a la segunda actividad de los 56 a los 58 años, no empezará a regir hasta el 1 de </w:t>
      </w:r>
      <w:r>
        <w:lastRenderedPageBreak/>
        <w:t xml:space="preserve">enero de 2006, por considerar que vulnera el art. 23.2 CE, en relación con el art. 14 CE, ya que ello supone un trato discriminatorio, por un lado, tanto respecto de los integrantes del resto de Escalas del Cuerpo como respecto de la categoría de Inspectores, que se integra en la Escala ejecutiva, para los que no se prevé este régimen transitorio, y por otro, respecto de los Inspectores Jefes que cumplen los 56 años de edad con posterioridad al 1 de enero de 2006. </w:t>
      </w:r>
    </w:p>
    <w:p w:rsidR="008B3772" w:rsidRDefault="008B3772" w:rsidP="008B3772">
      <w:pPr>
        <w:pStyle w:val="TextoNormal"/>
      </w:pPr>
      <w:r>
        <w:t xml:space="preserve">c) Habiéndose señalado fecha para votación y fallo, por providencia de 1 de junio de 2006, se acordó conferir traslado a las partes personadas para que alegaran lo que estimaran pertinente sobre el planteamiento de la cuestión de inconstitucionalidad respecto del párrafo tercero de la disposición transitoria sexta de la Ley 26/1994, de 29 de septiembre, en la redacción dada por el art. 58 de la Ley 24/2001, de 27 de diciembre, al considerar que “… constituye una exclusión de los Inspectores Jefes para optar al pase a la segunda actividad a los 58 años, en tanto se les aplica la anterior de 56 y además quedan excluidos —sólo los Inspectores Jefes— de la opción conferida por el Legislador a todos los que integran, entre otras la Escala ejecutiva para acceder al pase de segunda actividad bien a los 56 años, bien a los 58 años, que pudiera ser contraria al principio de igualdad...”. </w:t>
      </w:r>
    </w:p>
    <w:p w:rsidR="008B3772" w:rsidRDefault="008B3772" w:rsidP="008B3772">
      <w:pPr>
        <w:pStyle w:val="TextoNormal"/>
      </w:pPr>
      <w:r>
        <w:t xml:space="preserve">d) El Abogado del Estado, por escrito registrado el 3 de julio de 2006, sostuvo la improcedencia del planteamiento de la cuestión de inconstitucionalidad, destacando, por un lado, que no implica una vulneración del art. 23.2 CE las variaciones que se puedan experimentar en las situaciones administrativas provocadas por modificaciones legales y, por otro, que no resulta arbitrario establecer una distinción del régimen de pase a segunda actividad en función de la edad de los Inspectores Jefes. </w:t>
      </w:r>
    </w:p>
    <w:p w:rsidR="008B3772" w:rsidRDefault="008B3772" w:rsidP="008B3772">
      <w:pPr>
        <w:pStyle w:val="TextoNormal"/>
      </w:pPr>
      <w:r>
        <w:t xml:space="preserve">Por su parte, el Ministerio Fiscal, por escrito registrado el 6 de julio de 2006, consideró improcedente el planteamiento de la cuestión de inconstitucionalidad, argumentando que el diferente trato dispensado que se denuncia en función del criterio temporal responde a un cambio normativo y, en relación con el diferente trato con otras Escalas o con otros funcionarios dentro de la misma Escala ejecutiva, existe un elemento objetivo de diferenciación al que expresamente se hace mención en la propia norma cuestionada, que excluye todo atisbo de tratamiento discriminatorio, cual es la existencia de una problemática de promoción interna en la categoría de Inspectores Jefes. </w:t>
      </w:r>
    </w:p>
    <w:p w:rsidR="008B3772" w:rsidRDefault="008B3772" w:rsidP="008B3772">
      <w:pPr>
        <w:pStyle w:val="TextoNormal"/>
      </w:pPr>
      <w:r>
        <w:t>Por último, el recurrente, por escrito registrado el 30 de junio de 2006, reiteró la pertinencia del planteamiento de la cuestión de inconstitucionalidad.</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Por Auto de 24 de julio de 2006, la Sección Cuarta de la Sala de lo Contencioso-Administrativo del Tribunal Superior de Justicia de Cataluña acordó “[p]lantear la cuestión de inconstitucionalidad de la excepción contenida en el art. 58 de la Ley 24/2001, de 27 de diciembre, por el cual se modifica la Ley 26/1994, por la que se regula la situación de segunda actividad en el Cuerpo Nacional de Policía, en concreto en una parte del apartado Tres que introduce una disposición transitoria —la sexta— en la Ley 26/1994, de 29 de septiembre, en cuanto no permite a los Inspectores Jefes del Cuerpo Nacional de Policía que cumplan 56 años antes del 1 de enero de 2006 a optar por permanecer en la situación de primera actividad a diferencia de lo que sucede con los demás funcionarios de la misma Escala ejecutiva o de las dos Escalas inferiores y de los Inspectores Jefes que cumplan la edad de 56 años a partir del 1 de enero de 2006”. </w:t>
      </w:r>
    </w:p>
    <w:p w:rsidR="008B3772" w:rsidRDefault="008B3772" w:rsidP="008B3772">
      <w:pPr>
        <w:pStyle w:val="TextoNormal"/>
      </w:pPr>
      <w:r>
        <w:t xml:space="preserve">El inciso legal cuestionado establece que “[e]xcepcionalmente y sin perjuicio de que se arbitre una adecuada política de cupos para resolver la problemática de promoción interna en la categoría de Inspectores Jefes, la ampliación de la edad que se contempla en la presente Ley, no empezará a regir para los mismos hasta el 1 de enero de 2006”. En relación con </w:t>
      </w:r>
      <w:r>
        <w:lastRenderedPageBreak/>
        <w:t>dicha previsión legal se argumenta en el Auto de planteamiento de la cuestión que implica una vulneración del derecho a la igualdad en el ámbito de la función pública (arts. 14 y 23.2 CE), en tanto que dispensa un distinto trato, siquiera temporalmente, a los Inspectores-Jefes que cumplan 56 años antes del 1 de enero de 2006 frente a los que los cumplan con posterioridad, mediante una norma de carácter excepcional que no cuenta con una justificación objetiva y razonable y sin que se establezca una compensación económica. Se sostiene también en el Auto de planteamiento que dicho precepto resulta discriminatorio al establecer que esta excepción se aplique exclusivamente a la categoría de los Inspectores Jefes, lo que supone un distinto trato no sólo en relación con las restantes escalas, sino incluso dentro de la Escala ejecutiva con la categoría de Inspector. Por último, se destaca que este diferente trato carece de una justificación razonable puesto que la mera existencia de cupos derivada de la política llevada a cabo por la Administración en el ámbito de la promoción interna es totalmente ajena a la voluntad de los funcionarios.</w:t>
      </w:r>
    </w:p>
    <w:p w:rsidR="008B3772" w:rsidRDefault="008B3772" w:rsidP="008B3772">
      <w:pPr>
        <w:pStyle w:val="TextoNormal"/>
      </w:pPr>
    </w:p>
    <w:p w:rsidR="008B3772" w:rsidRDefault="008B3772" w:rsidP="008B3772">
      <w:pPr>
        <w:pStyle w:val="TextoNormal"/>
      </w:pPr>
      <w:r w:rsidRPr="008B3772">
        <w:rPr>
          <w:rStyle w:val="NumeroAFNegritaCaracter"/>
        </w:rPr>
        <w:t>4</w:t>
      </w:r>
      <w:r>
        <w:t>. La Sección Segunda de este Tribunal, por providencia de 13 de febrero de 2007, acordó oír al Fiscal General del Estado para que, conforme a lo previsto en el art. 37.1 LOTC, expusiera lo que considerara conveniente acerca de la posible falta de condiciones procesales para su admisión, así como si la misma resultara notoriamente infundada.</w:t>
      </w:r>
    </w:p>
    <w:p w:rsidR="008B3772" w:rsidRDefault="008B3772" w:rsidP="008B3772">
      <w:pPr>
        <w:pStyle w:val="TextoNormal"/>
      </w:pPr>
    </w:p>
    <w:p w:rsidR="008B3772" w:rsidRDefault="008B3772" w:rsidP="008B3772">
      <w:pPr>
        <w:pStyle w:val="TextoNormal"/>
      </w:pPr>
      <w:r w:rsidRPr="008B3772">
        <w:rPr>
          <w:rStyle w:val="NumeroAFNegritaCaracter"/>
        </w:rPr>
        <w:t>5</w:t>
      </w:r>
      <w:r>
        <w:t xml:space="preserve">. El Fiscal General del Estado formuló sus alegaciones por escrito registrado en este Tribunal el 7 de marzo de 2007, interesando su inadmisión por entender que falta el necesario juicio de relevancia y porque carecen manifiestamente de fundamento las dudas suscitadas por el órgano judicial que la ha promovido. </w:t>
      </w:r>
    </w:p>
    <w:p w:rsidR="008B3772" w:rsidRDefault="008B3772" w:rsidP="008B3772">
      <w:pPr>
        <w:pStyle w:val="TextoNormal"/>
      </w:pPr>
      <w:r>
        <w:t xml:space="preserve">En primer lugar, destaca su parecer de que no se cumple el presupuesto del necesario juicio de relevancia, toda vez que lo que se cuestiona realmente es el acto aplicativo de la norma, más que la norma en sí misma considerada, ya que la Ley contemplaba como excepción limitar el pase a la segunda actividad de los Inspectores Jefes que antes del 1 de enero de 2006 cumplieran la edad de 56 años a que la Dirección General de la Policía pudiera establecer unos cupos de promoción interna para esta categoría, de tal modo que, establecidos tales cupos, no tendrían que pasar a segunda actividad todos los Inspectores Jefes, sino únicamente aquellos que quedaran fuera de los cupos establecidos. Por tanto, al ser objeto de enjuiciamiento en el caso de autos el acto administrativo de aplicación de una norma que no contempla automáticamente el pase a la situación de segunda actividad “… se admiten otras interpretaciones que no necesariamente pueden resultar inconstitucionales, ya que la norma contempla en su texto la posibilidad de que la Administración arbitre la existencia de cupos de promoción interna para tales funcionarios que no acarree necesariamente el pase de todos ellos a la segunda actividad”. </w:t>
      </w:r>
    </w:p>
    <w:p w:rsidR="008B3772" w:rsidRDefault="008B3772" w:rsidP="008B3772">
      <w:pPr>
        <w:pStyle w:val="TextoNormal"/>
      </w:pPr>
      <w:r>
        <w:t>En segundo lugar, señala que concurre la carencia manifiesta de fundamento, toda vez que, partiendo de la doctrina consolidada del Tribuna Constitucional sobre el particular, no cabe duda de que la Administración puede modificar por razones objetivas el status de los funcionarios reduciendo o aumentando los límites de edad. Al margen de ello, el Fiscal General del Estado señala que “realmente no existe la discriminación que se invoca… porque si el Legislador previó la fecha de 1º de enero de 2006 como el límite temporal de aquella situación de excepcionalidad… es porque entendió que, a partir de la indicada fecha, no habría problemas de cupos de promoción interna y los funcionarios afectados podrían prolongar voluntariamente su pase a la segunda actividad hasta el cumplimiento de los 58 años”.</w:t>
      </w:r>
    </w:p>
    <w:p w:rsidR="008B3772" w:rsidRDefault="008B3772" w:rsidP="008B3772">
      <w:pPr>
        <w:pStyle w:val="TextoNormal"/>
      </w:pPr>
    </w:p>
    <w:p w:rsidR="008B3772" w:rsidRDefault="008B3772" w:rsidP="008B3772">
      <w:pPr>
        <w:pStyle w:val="TextoNormalNegritaCentrado"/>
        <w:keepNext/>
      </w:pPr>
      <w:r>
        <w:lastRenderedPageBreak/>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La Sección Cuarta de la Sala de lo Contencioso-Administrativo del Tribunal Superior de Justicia de Cataluña plantea cuestión de inconstitucionalidad respecto del párrafo tercero de la disposición transitoria sexta de la Ley 26/1994, de 29 de</w:t>
      </w:r>
    </w:p>
    <w:p w:rsidR="008B3772" w:rsidRDefault="008B3772" w:rsidP="008B3772">
      <w:pPr>
        <w:pStyle w:val="TextoNormal"/>
      </w:pPr>
      <w:r>
        <w:t>septiembre, por la que se regula la situación de segunda actividad en el Cuerpo Nacional de Policía, en la redacción dada por el art. 58 de la Ley 24/2001, de 27 de diciembre, de medidas fiscales, administrativas y del orden social, por posible</w:t>
      </w:r>
    </w:p>
    <w:p w:rsidR="008B3772" w:rsidRDefault="008B3772" w:rsidP="008B3772">
      <w:pPr>
        <w:pStyle w:val="TextoNormal"/>
      </w:pPr>
      <w:r>
        <w:t>vulneración del art. 23.2 CE, en relación con el art. 14 CE.</w:t>
      </w:r>
    </w:p>
    <w:p w:rsidR="008B3772" w:rsidRDefault="008B3772" w:rsidP="008B3772">
      <w:pPr>
        <w:pStyle w:val="TextoNormal"/>
      </w:pPr>
      <w:r>
        <w:t>Las dudas de constitucionalidad planteadas por el órgano judicial han sido resueltas en el ATC de 24 de julio de 2007, dictado como consecuencia de la cuestión de inconstitucionalidad núm. 3375-2006 planteada por la propia Sección Cuarta de la Sala de lo Contencioso-Administrativo del Tribunal Superior de Justicia de Cataluña respecto del mismo precepto, en el que este Tribunal ha considerado que la citada cuestión se encontraba notoriamente infundada. Por tanto, debe considerarse también la presente cuestión de inconstitucionalidad como notoriamente infundada, por las razones expuestas en el citado ATC de 24 de julio de 2007, a cuyos fundamentos jurídicos nos remitimos íntegramente.</w:t>
      </w:r>
    </w:p>
    <w:p w:rsidR="008B3772" w:rsidRDefault="008B3772" w:rsidP="008B3772">
      <w:pPr>
        <w:pStyle w:val="TextoNormal"/>
      </w:pPr>
      <w:r>
        <w:t>Resumidamente, como se destaca en dicho Auto, no cabe apreciar un supuesto trato discriminatorio entre Inspectores Jefes a derivar del momento de cumplimiento de los 56 años, ya que, trayendo causa, exclusivamente, en una modificación legislativa, sin embargo, este Tribunal ha reiterado que el principio de igualdad no impide que, a través de cambios normativos, pueda producirse un trato desigual entre diversas situaciones derivado de la diferencia de fechas en que se originaron. Del mismo modo, también se rechaza el eventual trato discriminatorio dispensado a los Inspectores Jefes a derivar de que ni para los integrantes de las restantes Escalas del Cuerpo Nacional de Policía ni, incluso, dentro de la Escala ejecutiva, para la categoría de Inspector, se establezca un periodo transitorio en la entrada en vigor de la elevación de la edad para el pase a la segunda actividad, destacando que es manifiesto que la norma cuestionada cuenta con una justificación objetiva y razonable para establecer este diferente trato, como es la problemática situación de promoción interna existente en la categoría de Inspectores Jefes.</w:t>
      </w:r>
    </w:p>
    <w:p w:rsidR="008B3772" w:rsidRDefault="008B3772" w:rsidP="008B3772">
      <w:pPr>
        <w:pStyle w:val="TextoNormal"/>
      </w:pPr>
    </w:p>
    <w:p w:rsidR="008B3772" w:rsidRDefault="008B3772" w:rsidP="008B3772">
      <w:pPr>
        <w:pStyle w:val="TextoNormal"/>
      </w:pPr>
      <w:r>
        <w:t>Por lo expuesto, el Pleno del Tribunal</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Inadmitir la presente cuestión de inconstitucionalidad.</w:t>
      </w:r>
    </w:p>
    <w:p w:rsidR="008B3772" w:rsidRDefault="008B3772" w:rsidP="008B3772">
      <w:pPr>
        <w:pStyle w:val="TextoNormal"/>
      </w:pPr>
    </w:p>
    <w:p w:rsidR="008B3772" w:rsidRDefault="008B3772" w:rsidP="008B3772">
      <w:pPr>
        <w:pStyle w:val="TextoNormal"/>
      </w:pPr>
      <w:r>
        <w:t>Madrid, a veinticuatro de julio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219" w:name="AUTO_2007_355"/>
      <w:r>
        <w:lastRenderedPageBreak/>
        <w:t>AUTO 355/2007, de 24 de julio de 2007</w:t>
      </w:r>
    </w:p>
    <w:bookmarkEnd w:id="219"/>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ECLI:ES:TC:2007:355A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Mantiene la suspensión en el conflicto positivo de competencias 2790-2007, planteado por el Gobierno de la Nación en relación con la Orden del Director Territorial de territorio y vivienda de la Comunitat Valenciana sobre suspensión cautelar de unas obras de planta desaladora.</w:t>
      </w:r>
    </w:p>
    <w:p w:rsidR="008B3772" w:rsidRDefault="008B3772" w:rsidP="008B3772">
      <w:pPr>
        <w:pStyle w:val="SntesisDescriptiva"/>
      </w:pPr>
    </w:p>
    <w:p w:rsidR="008B3772" w:rsidRDefault="008B3772" w:rsidP="008B3772">
      <w:pPr>
        <w:pStyle w:val="SntesisAnaltica"/>
      </w:pPr>
      <w:r>
        <w:t>Aguas: abastecimiento de agua. Medio ambiente: conservación de los espacios naturales. Protección del medio ambiente: plantas desaladoras; vertidos contaminantes. Suspensión de disposiciones de las Comunidades Autónomas: interés ecológico preferente; intereses generales y particulares; mantenimiento de la suspensión; obras de construcción. Votos particulares: formulado uno.</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xml:space="preserve">. Mediante escrito registrado en este Tribunal con fecha 27 de marzo de 2007 el Abogado del Estado, en la representación que legalmente ostenta, promueve, de modo directo, conflicto positivo de competencias contra el Acuerdo de 21 de marzo de 2007 del Director Territorial de Territorio y Vivienda de la Comunitat Valenciana por el que se ratifica la orden de suspensión cautelar de las obras correspondientes al proyecto “Planta desaladora para garantizar los regadíos del trasvase Tajo-Segura”, obras que se están realizando por la Sociedad Estatal de Aguas de las Cuencas Mediterráneas, SA (Acuamed) en el ámbito territorial del Parque Natural de Las Lagunas de la Mata y Torrevieja (Alicante). </w:t>
      </w:r>
    </w:p>
    <w:p w:rsidR="008B3772" w:rsidRDefault="008B3772" w:rsidP="008B3772">
      <w:pPr>
        <w:pStyle w:val="TextoNormal"/>
      </w:pPr>
      <w:r>
        <w:t>El Abogado del Estado invocó el art. 161.2 CE a fin de que se produjera la suspensión del acuerdo impugnado.</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Por providencia de 17 de abril de 2007 la Sección Cuarta del Tribunal Constitucional acordó admitir a trámite el conflicto positivo de competencias así como dar traslado de la demanda y de los documentos presentados al Gobierno de la Generalidad Valenciana al objeto de que, en el plazo de veinte días, aportara cuantos documentos y alegaciones considerase convenientes. Asimismo se tuvo por invocado el art. 161.2 CE, lo que, a su tenor y conforme dispone el art. 64.2 LOTC, produce la suspensión de la vigencia y aplicación del acuerdo impugnado desde la fecha de interposición del conflicto, y se acordó comunicar la incoación del conflicto al Decano de los Juzgados de lo Contencioso-Administrativo de Valencia y a la Sala de lo Contencioso-Administrativo del Tribunal Superior de Justicia de la </w:t>
      </w:r>
      <w:r>
        <w:lastRenderedPageBreak/>
        <w:t>Comunidad Valenciana por si ante los mismos estuviera impugnado o se impugnare el citado acuerdo, en cuyo caso se suspenderá el curso del proceso hasta la decisión del conflicto, según dispone el art. 61.2 LOTC, y publicar la incoación del conflicto en el Boletín Oficial del Estado y en el Diari Oficial de la Generalitat Valenciana.</w:t>
      </w:r>
    </w:p>
    <w:p w:rsidR="008B3772" w:rsidRDefault="008B3772" w:rsidP="008B3772">
      <w:pPr>
        <w:pStyle w:val="TextoNormal"/>
      </w:pPr>
    </w:p>
    <w:p w:rsidR="008B3772" w:rsidRDefault="008B3772" w:rsidP="008B3772">
      <w:pPr>
        <w:pStyle w:val="TextoNormal"/>
      </w:pPr>
      <w:r w:rsidRPr="008B3772">
        <w:rPr>
          <w:rStyle w:val="NumeroAFNegritaCaracter"/>
        </w:rPr>
        <w:t>3</w:t>
      </w:r>
      <w:r>
        <w:t>. El día 22 de mayo de 2007 la Abogada de la Generalitat Valenciana, en la representación que ostenta, se personó en el proceso y formuló sus alegaciones. En ellas solicita al Tribunal Constitucional su admisión a trámite y defiende la actuación de la Generalitat Valenciana, adjuntando copia del expediente administrativo relativo al acuerdo impugnado.</w:t>
      </w:r>
    </w:p>
    <w:p w:rsidR="008B3772" w:rsidRDefault="008B3772" w:rsidP="008B3772">
      <w:pPr>
        <w:pStyle w:val="TextoNormal"/>
      </w:pPr>
    </w:p>
    <w:p w:rsidR="008B3772" w:rsidRDefault="008B3772" w:rsidP="008B3772">
      <w:pPr>
        <w:pStyle w:val="TextoNormal"/>
      </w:pPr>
      <w:r w:rsidRPr="008B3772">
        <w:rPr>
          <w:rStyle w:val="NumeroAFNegritaCaracter"/>
        </w:rPr>
        <w:t>4</w:t>
      </w:r>
      <w:r>
        <w:t>. Estando próximo a finalizar el plazo de cinco meses que señala el art. 65.2 LOTC desde que se produjo la suspensión del acuerdo impugnado, la Sección Cuarta del Tribunal Constitucional, mediante providencia de 5 de junio de 2007, acordó oír a las partes personadas en el proceso para que, en el plazo de cinco días, expusieran lo que consideraran conveniente acerca del mantenimiento o levantamiento de dicha suspensión.</w:t>
      </w:r>
    </w:p>
    <w:p w:rsidR="008B3772" w:rsidRDefault="008B3772" w:rsidP="008B3772">
      <w:pPr>
        <w:pStyle w:val="TextoNormal"/>
      </w:pPr>
    </w:p>
    <w:p w:rsidR="008B3772" w:rsidRDefault="008B3772" w:rsidP="008B3772">
      <w:pPr>
        <w:pStyle w:val="TextoNormal"/>
      </w:pPr>
      <w:r w:rsidRPr="008B3772">
        <w:rPr>
          <w:rStyle w:val="NumeroAFNegritaCaracter"/>
        </w:rPr>
        <w:t>5</w:t>
      </w:r>
      <w:r>
        <w:t xml:space="preserve">. Con fecha 13 de junio de 2007 el Abogado del Estado evacuó el trámite conferido, formulando las alegaciones que se recogen a continuación. </w:t>
      </w:r>
    </w:p>
    <w:p w:rsidR="008B3772" w:rsidRDefault="008B3772" w:rsidP="008B3772">
      <w:pPr>
        <w:pStyle w:val="TextoNormal"/>
      </w:pPr>
      <w:r>
        <w:t xml:space="preserve">a) 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del levantamiento de la suspensión. Esta valoración debe hacerse mediante el examen de las situaciones de hecho creadas y al margen de la viabilidad de las pretensiones contenidas en 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previsible o probablemente puede provocar la aplicación del acuerdo suspendido, siendo difícil que tal disposición o resolución suspendida pueda haber creado situaciones de hecho perjudiciales, de modo que lo que trata de evitar el mecanismo del art 161.2 CE es que se produzcan esas situaciones de hecho en caso de levantarse la suspensión. </w:t>
      </w:r>
    </w:p>
    <w:p w:rsidR="008B3772" w:rsidRDefault="008B3772" w:rsidP="008B3772">
      <w:pPr>
        <w:pStyle w:val="TextoNormal"/>
      </w:pPr>
      <w:r>
        <w:t xml:space="preserve">b) A continuación expone los antecedentes del caso, indicando que Acuamed es la encargada de promover la planta desaladora proyectada, justificada por la necesidad de garantizar, mediante un aporte complementario, los recursos anuales destinados al abastecimiento y regadío en el trasvase Tajo-Segura en previsión de situaciones de escasez de recursos y calificada como de interés general en el anexo IV apartado 2.1.b de la Ley 11/2005, de 22 de junio, por la que se modificó la Ley 10/2001, de 5 de julio, del Plan Hidrológico Nacional. Elaborado el proyecto informativo y el estudio de impacto ambiental se realizó una fase de consultas previas y se sometió el proyecto a información pública. La Declaración de impacto ambiental (en adelante DIA) del proyecto informativo realizada se aprobó por Resolución de 13 de marzo de 2006 de la Secretaría General para la prevención de la contaminación y el cambio climático, publicada en el Boletín Oficial del Estado de 25 de marzo de 2006 y relativa al proyecto “Planta desaladora para garantizar los regadíos del trasvase Tajo-Segura”. En esta declaración se acepta la localización de la planta en un extremo dentro de la </w:t>
      </w:r>
      <w:r>
        <w:lastRenderedPageBreak/>
        <w:t xml:space="preserve">zona periférica de protección de las Lagunas de la Mata y Torrevieja. Posteriormente, como consecuencia de la solicitud de la Mancomunidad de los Canales del Taibilla, se produce una modificación en los parámetros básicos de la planta, de forma que la capacidad de producción varía desde los 60 hm3 iniciales a 80 hm3, con la finalidad de garantizar el abastecimiento de agua para consumo humano en la zona beneficiaria de los aportes de la desaladora, modificación que, de acuerdo con la Resolución de 23 de junio de 2006 de la Secretaría General para la prevención de la contaminación y el cambio climático, no se somete a evaluación de impacto ambiental. Con fecha 31 de julio de 2006 se firmó el convenio regulador para la financiación y explotación de la planta desaladora entre Acuamed, la Confederación Hidrográfica del Segura y la Mancomunidad de los Canales del Taibilla, adjudicándose posteriormente el contrato relativo a la ejecución de las obras y operación y mantenimiento de la planta y comenzando las obras en febrero de 2007. </w:t>
      </w:r>
    </w:p>
    <w:p w:rsidR="008B3772" w:rsidRDefault="008B3772" w:rsidP="008B3772">
      <w:pPr>
        <w:pStyle w:val="TextoNormal"/>
      </w:pPr>
      <w:r>
        <w:t xml:space="preserve">Señala también que los parajes de las Las Lagunas de la Mata y Torrevieja forman parte de la Red Natura 2000, constituyendo un Parque Natural de la red valenciana de espacios protegidos regido especialmente por el Decreto 60/2003, de 13 de mayo, del Consell de la Generalitat, por el que se aprueba la ordenación de las zonas periféricas de protección del sistema de zonas húmedas del sur de Alicante (Salina de Santa Pola, Lagunas de la Mata y Torrevieja y el Fondó), y por el Acuerdo de 21 de noviembre de 2003, del Consell de la Generalitat, por el que se determina la forma de aplicación de las medidas cautelares previstas en el ámbito territorial afectado por el Plan de Ordenación de los Recursos Naturales del sistema de zonas húmedas del sur de Alicante. Igualmente indica que la práctica totalidad de la zona marina litoral constituye el Lugar de interés comunitario de “Cabo Roig”. </w:t>
      </w:r>
    </w:p>
    <w:p w:rsidR="008B3772" w:rsidRDefault="008B3772" w:rsidP="008B3772">
      <w:pPr>
        <w:pStyle w:val="TextoNormal"/>
      </w:pPr>
      <w:r>
        <w:t xml:space="preserve">Posteriormente la Conselleria de Territori y Habitatge de la Generalitat Valenciana comunica a Acuamed un acuerdo de iniciación de un expediente sancionador, ordenándose la paralización cautelar de las obras. Dicha paralización cautelar fue ratificada por acuerdo de 21 de marzo de 2007 del Director Territorial de Alicante, desestimando las alegaciones formuladas por Acuamed que, en consecuencia, ordenó la paralización de las obras. Finalmente, en cumplimiento del Acuerdo de Consejo de Ministros de 23 de marzo de 2007, se planteó el presente conflicto positivo de competencia contra el último acuerdo citado, con expresa invocación del art. 161.2 CE. </w:t>
      </w:r>
    </w:p>
    <w:p w:rsidR="008B3772" w:rsidRDefault="008B3772" w:rsidP="008B3772">
      <w:pPr>
        <w:pStyle w:val="TextoNormal"/>
      </w:pPr>
      <w:r>
        <w:t xml:space="preserve">c) Centrado el debate en estos términos, el Abogado del Estado indica que el levantamiento de la suspensión inicialmente acordada puede ocasionar graves perjuicios a los intereses generales afectados, pues los mismos se corresponden directamente con la necesidad de ejecución y desarrollo de la planta desaladora, la cual va a venir a corregir una acreditada situación de déficit crónico de la cuenca del Segura, en la que se ubican los municipios y regadíos que de forma directa se beneficiarían del agua desalada en la planta de Torrevieja. En relación con ello señala que las alternativas a la misma, en forma de trasvase Tajo-Segura, explotación de acuíferos o contratos de cesión de derechos de agua celebrados con terceros, resultan insuficientes para cubrir las demandas de abastecimiento de la población y de los regantes de la zona. Asimismo se alega que el interés general obliga igualmente a mantener un suministro de agua suficiente a la población como garantía de salud pública, siendo, precisamente, la necesidad de garantizar el consumo humano en el ámbito territorial de la Mancomunidad de los Canales del Taibilla, en aplicación de lo previsto en la Ley de Aguas, el motivo por el que se llevó a cabo la ampliación del proyecto original para así poder mantener unos niveles de aportación de recursos hídricos suficientes para el abastecimiento al consumo humano y el riego de la zona, puesto que las numerosas obras de emergencia realizadas en la cuenca del río Segura no resultan suficientes para el cumplimiento de tales objetivos. En este sentido se acompaña un informe realizado por Acuamed, en el </w:t>
      </w:r>
      <w:r>
        <w:lastRenderedPageBreak/>
        <w:t xml:space="preserve">que se analizan la escasez de agua en la cuenca del Segura y sus impactos, así como las medidas adoptadas al respecto y los daños causados por la paralización de las obras. Adicionalmente el Abogado del Estado señala que resultan afectados los intereses de los particulares destinatarios de los futuros aportes de agua procedentes de la desaladora y destinados al consumo humano hasta el punto de que en caso de que la misma no entre en servicio en los plazos previstos existe el riesgo cierto, de acuerdo con las estimaciones de la Mancomunidad de los Canales del Taibilla, de imponer restricciones a los suministros de una población de más de 2, 4 millones de habitantes, que se eleva en época estival hasta los 3 millones, dado el déficit de recursos hídricos acumulado desde hace más de una década, déficit para cuya corrección resulta necesaria la puesta en funcionamiento de tres plantas desaladoras, una de las cuales es la de Torrevieja. Junto a los intereses de los residentes en esta zona se verían también perjudicados, en el parecer del Abogado del Estado, los de los regantes de la zona, los cuales constituyen, aproximadamente y sin tener en cuenta a los trabajadores contratados, un número de 65.000, dedicados a una actividad de gran relieve social y económico en la zona afectada y que dependen también del aporte de aguas y presentan una gran vulnerabilidad ante situaciones de desabastecimiento. </w:t>
      </w:r>
    </w:p>
    <w:p w:rsidR="008B3772" w:rsidRDefault="008B3772" w:rsidP="008B3772">
      <w:pPr>
        <w:pStyle w:val="TextoNormal"/>
      </w:pPr>
      <w:r>
        <w:t xml:space="preserve">d) En relación a la adecuada defensa y conservación del equilibrio medioambiental y los valores propios del mismo se alega que el proyecto fue sometido a evaluación de impacto ambiental, concretada en la DIA aprobada por el organismo competente del Ministerio de Medio Ambiente, así como que, tanto la inexcusable ubicación de la planta desaladora, como el vertido de salmuera, no producen un efecto nocivo sobre el medio ambiente. En este sentido se acompaña un informe del Centro de Estudios y Experimentación de Obras Públicas (Cedex), dependiente del Ministerio de Fomento, relativo al sometimiento y adecuación del proyecto a las exigencias y condicionantes de la DIA. En todo caso, en relación con la ubicación de la planta, el Abogado del Estado señala que dentro de la misma zona periférica donde pretende instalarse la desaladora se ubican ya un hospital, una subestación eléctrica y una depuradora; asimismo indica que la propia normativa valenciana permite que en esta zona se ubiquen los equipamientos de interés general cuya instalación en ese ámbito sea inexcusable, circunstancia que estima concurre en el presente caso, aportando un informe al respecto elaborado por la Universidad Politécnica de Valencia. En cuanto al vertido de salmuera se afirma, basándose en otro informe de la Universidad de Alicante, que no producirá efectos ambientales irreversibles sobre la vegetación de la zona, por cuanto en el caso de una de las especies afectadas, praderas de posidonia oceánica, tiene una distribución que hace imposible que sea afectada por el vertido mientras que en el otro, praderas de cymodocea nodosa, no se verá afectado si se cumplen las previsiones de dilución de proyecto. Por último recalca que la puesta en marcha de la desaladora va a producir un efecto beneficioso para el medio ambiente en un doble sentido: remediar el estado de sobreexplotación a que están sometidos los acuíferos de la zona y garantizar un adecuado cumplimiento de las obligaciones consagradas en la Directiva marco del agua en materia de protección de las masas de agua y de los ecosistemas asociados al contar con un aporte regular de agua procedente de plantas desaladoras. </w:t>
      </w:r>
    </w:p>
    <w:p w:rsidR="008B3772" w:rsidRDefault="008B3772" w:rsidP="008B3772">
      <w:pPr>
        <w:pStyle w:val="TextoNormal"/>
      </w:pPr>
      <w:r>
        <w:t>e) Por último el Abogado del Estado entiende que el levantamiento de la suspensión y la consiguiente paralización de las obras producirían evidentes perjuicios para la Administración General del Estado, tanto de naturaleza económica, pues la inversión prevista asciende a 230 millones de euros, habiéndose ya celebrado el contrato para la construcción de la planta, como desde el punto de vista del bloqueo del ejercicio de las competencias estatales atribuidas por el bloque de la constitucionalidad, en particular el art. 149.1.24ª CE.</w:t>
      </w:r>
    </w:p>
    <w:p w:rsidR="008B3772" w:rsidRDefault="008B3772" w:rsidP="008B3772">
      <w:pPr>
        <w:pStyle w:val="TextoNormal"/>
      </w:pPr>
    </w:p>
    <w:p w:rsidR="008B3772" w:rsidRDefault="008B3772" w:rsidP="008B3772">
      <w:pPr>
        <w:pStyle w:val="TextoNormal"/>
      </w:pPr>
      <w:r w:rsidRPr="008B3772">
        <w:rPr>
          <w:rStyle w:val="NumeroAFNegritaCaracter"/>
        </w:rPr>
        <w:lastRenderedPageBreak/>
        <w:t>6</w:t>
      </w:r>
      <w:r>
        <w:t xml:space="preserve">. El día 15 de junio de 2007 la Abogada de la Generalitat Valenciana presenta sus alegaciones relativas al mantenimiento o levantamiento de la suspensión del acuerdo impugnado. Las mismas guardan una evidente similitud con algunas cuestiones ya puestas de manifiesto en el escrito de contestación a la demanda, en especial dos de ellas. La primera es la vulneración del art. 13.2 del Decreto 60/2003, de 13 de mayo, del Consell de la Generalitat, por el que se aprueba la ordenación de las zonas periféricas de protección del sistema de zonas húmedas del sur de Alicante (Salina de Santa Pola, Lagunas de la Mata y Torrevieja y el Fondó), por cuanto no se ha justificado la inexcusable ubicación de la planta desaladora en el ámbito territorial propuesto, ubicación que no se considera compatible con el criterio general de ordenación establecido para el área de amortiguación de impactos del Parque Natural de las Lagunas de la Mata y Torrevieja en el que se encuadra, ni se han propuesto otras alternativas técnica y ambientalmente viables que pudieran ser valoradas por la Generalitat Valenciana. Asimismo se alega, en segundo lugar, que el vertido de salmuera procedente de la planta desaladora propuesta es susceptible de afectar negativamente a los hábitats marinos del Lugar de interés comunitario de “Cabo Roig”, incumpliendo así lo previsto en la Directiva 92/43/CEE, del Consejo, de 21 de mayo, relativa la conservación de los hábitats naturales y de la flora y fauna silvestres. </w:t>
      </w:r>
    </w:p>
    <w:p w:rsidR="008B3772" w:rsidRDefault="008B3772" w:rsidP="008B3772">
      <w:pPr>
        <w:pStyle w:val="TextoNormal"/>
      </w:pPr>
      <w:r>
        <w:t xml:space="preserve">Por último, en relación con la medida de suspensión solicitada al amparo del art. 161.2 CE se señala que la misma vulnera el principio de precaución consagrado en el Derecho comunitario, en cuya virtud, ha de probarse fehacientemente y por adelantado que no va a producirse daño ambiental sin que, a su entender, la DIA lo demuestre, sino que, por el contrario, admite que se pueda producir ese daño sin que se contemple en el protocolo de corrección la supresión o interrupción de vertido ni la reposición del daño causado. </w:t>
      </w:r>
    </w:p>
    <w:p w:rsidR="008B3772" w:rsidRDefault="008B3772" w:rsidP="008B3772">
      <w:pPr>
        <w:pStyle w:val="TextoNormal"/>
      </w:pPr>
      <w:r>
        <w:t>Por todo ello concluye solicitando el levantamiento de la suspensión del acuerdo impugnado.</w:t>
      </w:r>
    </w:p>
    <w:p w:rsidR="008B3772" w:rsidRDefault="008B3772" w:rsidP="008B3772">
      <w:pPr>
        <w:pStyle w:val="TextoNormal"/>
      </w:pPr>
    </w:p>
    <w:p w:rsidR="008B3772" w:rsidRDefault="008B3772" w:rsidP="008B3772">
      <w:pPr>
        <w:pStyle w:val="TextoNormalNegritaCentrado"/>
        <w:keepNext/>
      </w:pPr>
      <w:r>
        <w:t>II. Fundamentos jurídicos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objeto de esta resolución es determinar, de acuerdo con el art. 161.2 CE, si procede mantener o levantar la suspensión de la vigencia del acuerdo de 21 de marzo de 2007 del Director Territorial de Territorio y Vivienda de la Comunitat Valenciana, por el que se ratifica la orden de suspensión cautelar de las obras correspondientes al proyecto “Planta desaladora para garantizar los regadíos del trasvase Tajo-Segura”, resolución que se encuentra suspendida en su aplicación como consecuencia de la invocación por el Presidente del Gobierno del indicado art. 161.2 CE al promover conflicto positivo de competencia.</w:t>
      </w:r>
    </w:p>
    <w:p w:rsidR="008B3772" w:rsidRDefault="008B3772" w:rsidP="008B3772">
      <w:pPr>
        <w:pStyle w:val="TextoNormal"/>
      </w:pPr>
      <w:r>
        <w:t>Lo controvertido es un acuerdo, adoptado en el seno de un procedimiento sancionador ya iniciado, por el que se ratifica una inicial orden de paralización cautelar de las obras de construcción de la citada planta desaladora, obras que se están realizando por la Sociedad Estatal de Aguas de las Cuencas Mediterráneas, SA, (Acuamed) en el ámbito territorial del Parque Natural de Las Lagunas de la Mata y Torrevieja (Alicante). La citada planta desaladora está prevista en la Ley 11/2005, de 22 de junio, por la que se modifica la Ley 10/2001, de 5 de julio, del Plan Hidrológico Nacional, como actuación de interés general, estando declarada, asimismo, como actuación prioritaria y urgente en la Cuenca Hidrográfica del Segura (Anexos III 2 a y IV 2.1 b, respectivamente).</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Sobre este tipo de incidentes de suspensión existe doctrina constitucional, de acuerdo con la cual, para decidir acerca del mantenimiento o levantamiento de la suspensión, es </w:t>
      </w:r>
      <w:r>
        <w:lastRenderedPageBreak/>
        <w:t>necesario ponderar, de un lado, los intereses que se encuentran afectados, tanto el general y público, como, en su caso, el particular o privado de las personas afectadas, y, de otro, los perjuicios de imposible o difícil reparación que puedan derivarse del mantenimiento o levantamiento de la suspensión. Esta valoración ha de efectuarse mediante el estricto examen de las situaciones de hecho creadas y al margen de la viabilidad de las pretensiones que se formulan en la demanda. En este sentido ha de recordarse que el mantenimiento de la suspensión requiere que el Gobierno de la Nación, a quien se debe la iniciativa, aporte y razone con detalle los argumentos que la justifiquen, pues debe partirse en principio de la presunción de constitucionalidad de las normas o actos objeto de conflicto (entre otros muchos AATC 329/1992, de 27 de octubre; 243/1993, de 13 de julio; 46/1994, de 8 de febrero; 39/1995, de 31 de enero; 25/1996, de 17 de septiembre; 231/1997, de 24 de junio; 44/1998, de 19 de febrero; 287/1999, de 30 de noviembre; 199/2000, de 25 de julio; 66/2001, de 27 de marzo; 171/2002, de 1 de octubre; 71/2003, de 26 de febrero; 264/2003, de 15 de julio, y 283/2006, de 18 de julio).</w:t>
      </w:r>
    </w:p>
    <w:p w:rsidR="008B3772" w:rsidRDefault="008B3772" w:rsidP="008B3772">
      <w:pPr>
        <w:pStyle w:val="TextoNormal"/>
      </w:pPr>
    </w:p>
    <w:p w:rsidR="008B3772" w:rsidRDefault="008B3772" w:rsidP="008B3772">
      <w:pPr>
        <w:pStyle w:val="TextoNormal"/>
      </w:pPr>
      <w:r w:rsidRPr="008B3772">
        <w:rPr>
          <w:rStyle w:val="NumeroAFNegritaCaracter"/>
        </w:rPr>
        <w:t>3</w:t>
      </w:r>
      <w:r>
        <w:t>. Según ha quedado expuesto con más detalle en los antecedentes, el Abogado del Estado solicita el mantenimiento de la suspensión en razón a los perjuicios que para el interés general se derivarían del levantamiento de la suspensión de la resolución impugnada, levantamiento que implicaría la paralización de las obras de construcción de la desaladora proyectada, pues cobraría plena vigencia la medida cautelar adoptada por el Director Territorial de Territorio y Vivienda de la Comunitat Valenciana.  A su juicio la ejecución y puesta en funcionamiento de la citada planta desaladora resulta imprescindible para satisfacer el déficit estructural de recursos hídricos que padece la cuenca del Segura, de tal suerte que la paralización de la obra producirá, dada la escasez de agua en la zona y la imposibilidad de paliarla por otros medios, un grave perjuicio, tanto para la seguridad del abastecimiento para el consumo de la población residente en dicha cuenca como para el interés de los regantes de una zona en la que el sector agrícola tiene una gran importancia social y económica. Por otro lado señala que el proyecto de la planta desaladora tiene adecuadamente en cuenta la tutela, defensa y conservación del equilibrio medioambiental, el cual no se verá comprometido por el proyecto, dada la existencia de otras infraestructuras en la misma zona y las previsiones de la declaración de impacto ambiental (DIA) en relación con las medidas a adoptar para evitar la afección a las especies vegetales existentes en el área donde se produciría el vertido de la salmuera resultado del proceso de desalación. Por último alega la existencia de perjuicios de naturaleza económica que se irrogarían a la Administración General del Estado como consecuencia de la no ejecución de unas obras ya contratadas, así como la situación de bloqueo de las competencias estatales ex art. 149.1.24ª CE que se derivaría del levantamiento de la suspensión del acuerdo impugnado.</w:t>
      </w:r>
    </w:p>
    <w:p w:rsidR="008B3772" w:rsidRDefault="008B3772" w:rsidP="008B3772">
      <w:pPr>
        <w:pStyle w:val="TextoNormal"/>
      </w:pPr>
      <w:r>
        <w:t xml:space="preserve">Por el contrario la representación procesal de la Generalitat Valenciana señala que la ubicación propuesta para la planta desaladora, dentro de la zona periférica de protección del Parque Natural de las Lagunas de la Mata y Torrevieja, no resulta compatible con los criterios generales de ordenación de la zona, señaladamente con el art. 13.2 del Decreto 60/2003, de 13 de mayo, del Consell de la Generalitat, por el que se aprueba la ordenación de las zonas periféricas de protección del sistema de zonas húmedas del sur de Alicante (Salina de Santa Pola, Lagunas de la Mata y Torrevieja y el Fondó). Por otro lado argumenta que el vertido de salmuera procedente de la planta desaladora es susceptible de afectar negativamente al Lugar de Interés Comunitario de “Cabo Roig” y, en particular, a dos hábitats de praderas de posidonia oceánica y de cymodocea nodosa, lo que determinaría, en relación a la primera de ellas, que no se haya tenido en cuenta lo dispuesto en la Directiva 92/43/CEE, </w:t>
      </w:r>
      <w:r>
        <w:lastRenderedPageBreak/>
        <w:t>del Consejo, de 21 de mayo, relativa la conservación de los hábitats naturales y de la flora y fauna silvestres así como tampoco el principio comunitario de precaución en materia ambiental a fin de evitar un daño grave o irreversible a ambos hábitats.</w:t>
      </w:r>
    </w:p>
    <w:p w:rsidR="008B3772" w:rsidRDefault="008B3772" w:rsidP="008B3772">
      <w:pPr>
        <w:pStyle w:val="TextoNormal"/>
      </w:pPr>
    </w:p>
    <w:p w:rsidR="008B3772" w:rsidRDefault="008B3772" w:rsidP="008B3772">
      <w:pPr>
        <w:pStyle w:val="TextoNormal"/>
      </w:pPr>
      <w:r w:rsidRPr="008B3772">
        <w:rPr>
          <w:rStyle w:val="NumeroAFNegritaCaracter"/>
        </w:rPr>
        <w:t>4</w:t>
      </w:r>
      <w:r>
        <w:t>. Una vez expuestos los perjuicios a los intereses particulares y generales que cada una de las partes plantea que han de producirse si se mantiene o se alza la suspensión previamente acordada por el Tribunal, procede que realicemos la ponderación que es propia de este incidente cautelar teniendo presente que su resolución está desvinculada de la que en su día haya de adoptarse sobre el debate de fondo.</w:t>
      </w:r>
    </w:p>
    <w:p w:rsidR="008B3772" w:rsidRDefault="008B3772" w:rsidP="008B3772">
      <w:pPr>
        <w:pStyle w:val="TextoNormal"/>
      </w:pPr>
      <w:r>
        <w:t>Existe ya una doctrina muy amplia y reiterada de este Tribunal Constitucional en relación con la decisión a adoptar en los incidentes de levantamiento o mantenimiento de la suspensión previamente acordada cuando, como en este caso, entre los intereses, públicos y privados concernidos se encuentran los específicamente medioambientales. En relación con ello procede recordar aquí lo que ya dijimos en el ATC 252/2001, de 18 de septiembre, cuyo fundamento jurídico 3 señala, recogiendo doctrina anterior, lo siguiente:</w:t>
      </w:r>
    </w:p>
    <w:p w:rsidR="008B3772" w:rsidRDefault="008B3772" w:rsidP="008B3772">
      <w:pPr>
        <w:pStyle w:val="TextoNormal"/>
      </w:pPr>
      <w:r>
        <w:t>“En nuestro ATC 287/1999 manifestamos que “existe ya una doctrina muy amplia y reiterada de este Tribunal en relación con la decisión a adoptar en los incidentes de levantamiento o mantenimiento de la suspensión previamente acordada, cuando, como en este caso, entre los intereses públicos y privados concernidos se encuentran los específicamente medioambientales”, precisando a continuación que, según dicha doctrina, “no cabe derivar de la Constitución la tesis de que toda medida de ordenación legal de los recursos naturales deba atender prioritariamente al criterio de evitar cualquier sacrificio no imprescindible de los derechos e intereses patrimoniales de carácter individual (ATC 101/1993, FJ 2) y concluye pronunciándose de forma jurídicamente generalizada a favor de la primacía de la protección de los recursos biológicos naturales, dada su fragilidad y la irreparabilidad de los perjuicios que se podrían producir en caso de perturbación de los mismos (ATC 674/1984, 1270/1988, 101/1993, 243/1993, 46/1994 y 225/1995, entre otros)” (ATC 287/1999, FJ 3).</w:t>
      </w:r>
    </w:p>
    <w:p w:rsidR="008B3772" w:rsidRDefault="008B3772" w:rsidP="008B3772">
      <w:pPr>
        <w:pStyle w:val="TextoNormal"/>
      </w:pPr>
      <w:r>
        <w:t>Sin embargo, en el mismo Auto también señalamos que “como excepción a esta doctrina, sólo hemos admitido la subordinación de los intereses conservacionistas a otros intereses públicos o privados de carácter patrimonial cuando la lesión de éstos suponga afectar a un sector económico de manera directa e inmediata..., fundamental para la economía de la Nación... con posibles perjuicios económicos de muy difícil reparación (ATC 890/1986, FJ 2), o bien cuando la aplicación de las medidas controvertidas fueran susceptibles de provocar gravísimos efectos perjudiciales (ATC 29/1990, FJ 3, que reitera el anterior)(ATC 287/1999, FJ 4)”.</w:t>
      </w:r>
    </w:p>
    <w:p w:rsidR="008B3772" w:rsidRDefault="008B3772" w:rsidP="008B3772">
      <w:pPr>
        <w:pStyle w:val="TextoNormal"/>
      </w:pPr>
    </w:p>
    <w:p w:rsidR="008B3772" w:rsidRDefault="008B3772" w:rsidP="008B3772">
      <w:pPr>
        <w:pStyle w:val="TextoNormal"/>
      </w:pPr>
      <w:r w:rsidRPr="008B3772">
        <w:rPr>
          <w:rStyle w:val="NumeroAFNegritaCaracter"/>
        </w:rPr>
        <w:t>5</w:t>
      </w:r>
      <w:r>
        <w:t xml:space="preserve">. A la vista de la doctrina expuesta no cabe tampoco ignorar en la ponderación que hemos de realizar la existencia de intereses generales vinculados a la seguridad del abastecimiento de agua para consumo humano y para regadíos, seguridad que, ante la situación de déficit de recursos hídricos que padece la zona de la cuenca del Segura, se ha vinculado por el Abogado del Estado a la efectiva realización y puesta en funcionamiento de la obra cuestionada. Al respecto hemos de recordar que el propio legislador estatal ha reconocido esta situación deficitaria y la necesidad de corregirla, pues, como señala la Exposición de motivos de la Ley 11/2005, de 22 de junio, por la que se modifica la Ley 10/2001, de 5 de junio, del Plan Hidrológico Nacional “la satisfacción de las necesidades hídricas de las cuencas mediterráneas no admite demora y debe procurarse asegurando la estabilidad de un desarrollo más equilibrado, sostenible y concertado en todos los territorios a los que hubiera afectado el trasvase del Ebro”. A tales efectos la propia norma procede a “la aprobación del </w:t>
      </w:r>
      <w:r>
        <w:lastRenderedPageBreak/>
        <w:t>desarrollo de aquellos proyectos urgentes y prioritarios que más directamente pueden incidir en una mejora de la disponibilidad de recursos en las cuencas mediterráneas”, entre los que se justifica el recurso a la utilización de desaladoras para, en términos de la propia Exposición de motivos de la Ley citada, “atender una demanda justificada y legítima, paliar la sobreexplotación y contaminación de acuíferos, y asegurar el mantenimiento de los ecosistemas de interés natural, garantizando un uso más racional y sostenible de los recursos hidráulicos”. De ello podemos colegir que el Estado ha optado por la utilización, entre otras actuaciones ambientalmente posibles del recurso a la técnica de la desalación como modo de garantizar la seguridad en el suministro y hacer frente a las necesidades hídricas, en especial de aguas destinadas a consumo humano y a riegos.</w:t>
      </w:r>
    </w:p>
    <w:p w:rsidR="008B3772" w:rsidRDefault="008B3772" w:rsidP="008B3772">
      <w:pPr>
        <w:pStyle w:val="TextoNormal"/>
      </w:pPr>
      <w:r>
        <w:t>Tales intereses pueden encontrarse comprendidos entre aquellos que, en determinados circunstancias, pueden conllevar el enervamiento de los específicamente medioambientales, especialmente cuando estos últimos no hayan de generarse con carácter inmediato y existan posibilidades de reacción contra su producción, de tal forma que la perturbación de los recursos biológicos naturales no sea irreparable. A estos efectos procede que consideremos, al hilo de las alegaciones formuladas por la representación procesal de la Generalitat Valenciana, los eventuales riesgos para los valores medioambientales que se derivarían directamente de la ubicación prevista para el emplazamiento de la instalación cuestionada, distinguiéndolos de aquellos otros que serían predicables de las consecuencias derivadas de su puesta en funcionamiento, más en concreto, de los relacionados con los efectos del vertido de la salmuera.</w:t>
      </w:r>
    </w:p>
    <w:p w:rsidR="008B3772" w:rsidRDefault="008B3772" w:rsidP="008B3772">
      <w:pPr>
        <w:pStyle w:val="TextoNormal"/>
      </w:pPr>
      <w:r>
        <w:t>En cuanto al emplazamiento previsto para la desaladora proyectada, es evidente que se trata de una cuestión que se proyecta sobre una situación jurídica consolidada, en este caso la existencia previa del Parque Natural de Las Lagunas de la Mata y Torrevieja, declarado como tal por la Generalitat Valenciana en ejercicio de su competencia exclusiva en materia de espacios naturales protegidos y regulado por los Decretos 49/1995, de 22 de marzo, por el que se aprobó definitivamente el Plan Rector de Uso y Gestión del Paraje Natural de la Comunidad Valenciana de las Lagunas de La Mata y Torrevieja, que estableció un perímetro de protección de 500 metros a partir del límite del espacio natural protegido, en aplicación de lo dispuesto en la Ley valenciana 11/1994, de 27 de diciembre, de Espacios Naturales Protegidos de la Comunidad Valenciana; 237/1996, de 10 diciembre, de declaración del Parque Natural de las Lagunas de la Mata y Torrevieja y 60/2003, de 13 de mayo, por el que se aprueba la ordenación de las zonas periféricas de protección del sistema de zonas húmedas del sur de Alicante (Salinas de Santa Pola, Lagunas de la Mata y Torrevieja y el Fondó), cuyo art. 13 tiene el siguiente tenor literal:</w:t>
      </w:r>
    </w:p>
    <w:p w:rsidR="008B3772" w:rsidRDefault="008B3772" w:rsidP="008B3772">
      <w:pPr>
        <w:pStyle w:val="TextoNormal"/>
      </w:pPr>
      <w:r>
        <w:t>Artículo 13. Áreas de Predominio Agrícola “A”.</w:t>
      </w:r>
    </w:p>
    <w:p w:rsidR="008B3772" w:rsidRDefault="008B3772" w:rsidP="008B3772">
      <w:pPr>
        <w:pStyle w:val="TextoNormal"/>
      </w:pPr>
      <w:r>
        <w:t>1. Zonas inmediatas a los parques naturales que albergan en la actualidad cultivos o fragmentos de vegetación natural en estado variable de conservación, y en las que concurren además otras características que les otorgan un papel importante en la preservación de los espacios protegidos. Se consideran usos compatibles el agrícola y el educativo, así como la regeneración asistida de ecosistemas naturales, con las siguientes consideraciones:</w:t>
      </w:r>
    </w:p>
    <w:p w:rsidR="008B3772" w:rsidRDefault="008B3772" w:rsidP="008B3772">
      <w:pPr>
        <w:pStyle w:val="TextoNormal"/>
      </w:pPr>
      <w:r>
        <w:t>a) El uso agrícola será, preferentemente, de secano, salvo en aquellas zonas que ya alberguen cultivos de regadío o, en el caso, que se pretenda implantar cultivo de palmerales.</w:t>
      </w:r>
    </w:p>
    <w:p w:rsidR="008B3772" w:rsidRDefault="008B3772" w:rsidP="008B3772">
      <w:pPr>
        <w:pStyle w:val="TextoNormal"/>
      </w:pPr>
      <w:r>
        <w:t>b) El uso educativo será siempre ligado al parque y promovido directamente por las Administraciones Públicas. Dada su proximidad a éste se deberá atender, en las edificaciones que fueren necesarias, a parámetros de integración con el entorno.</w:t>
      </w:r>
    </w:p>
    <w:p w:rsidR="008B3772" w:rsidRDefault="008B3772" w:rsidP="008B3772">
      <w:pPr>
        <w:pStyle w:val="TextoNormal"/>
      </w:pPr>
      <w:r>
        <w:lastRenderedPageBreak/>
        <w:t>2. Se consideran como autorizables aquellas infraestructuras y equipamientos de interés general cuyo trazado deba discurrir inexcusablemente por el ámbito comprendido por la presente categoría de zonificación.</w:t>
      </w:r>
    </w:p>
    <w:p w:rsidR="008B3772" w:rsidRDefault="008B3772" w:rsidP="008B3772">
      <w:pPr>
        <w:pStyle w:val="TextoNormal"/>
      </w:pPr>
      <w:r>
        <w:t>3. El resto de usos se considera como incompatible, incluyéndose en los mismos las nuevas edificaciones ligadas al uso agrícola, los invernaderos, los movimientos de tierra que no puedan considerarse como labores agrícolas corrientes y el cambio de secano a regadío no ligado al cultivo del palmeral.</w:t>
      </w:r>
    </w:p>
    <w:p w:rsidR="008B3772" w:rsidRDefault="008B3772" w:rsidP="008B3772">
      <w:pPr>
        <w:pStyle w:val="TextoNormal"/>
      </w:pPr>
      <w:r>
        <w:t>4. El régimen de autorización para las actividades consideradas como compatibles será el siguiente: a) En el caso del uso agrícola, no se requiere autorización alguna para las actuaciones corrientes directamente ligadas con este uso, incluyendo entre aquéllas los cambios de cultivo que no representen una transformación de secano a regadío. La implantación de cultivos de palmeral en parcelas en que no exista dicho uso se someterá a informe favorable previo de la Conselleria de Medio Ambiente.  Igualmente, se someterán a informe favorable, cuando no se encuentren sometidas a evaluación de impacto ambiental en función de la legislación sectorial aplicable, otras actuaciones que se consideren directamente vinculadas al uso agrícola, como las actuaciones en caminos, la modernización de cultivos, la implantación de sistemas no permanentes de protección de cultivos o las adecuaciones de sistemas de regadío.</w:t>
      </w:r>
    </w:p>
    <w:p w:rsidR="008B3772" w:rsidRDefault="008B3772" w:rsidP="008B3772">
      <w:pPr>
        <w:pStyle w:val="TextoNormal"/>
      </w:pPr>
      <w:r>
        <w:t>b) En el caso del uso educativo, y sin perjuicio de la administración que promueva la instalación de que se trate, deberá someterse el proyecto al trámite de declaración de impacto ambiental cuando en el mismo se incluyan edificaciones o instalaciones de carácter permanente, siendo necesario en caso contrario informe favorable previo de la Conselleria de Medio Ambiente.</w:t>
      </w:r>
    </w:p>
    <w:p w:rsidR="008B3772" w:rsidRDefault="008B3772" w:rsidP="008B3772">
      <w:pPr>
        <w:pStyle w:val="TextoNormal"/>
      </w:pPr>
      <w:r>
        <w:t>c) Los proyectos de regeneración de ecosistemas naturales deberán contar, en todo caso, con informe favorable previo de la Conselleria de Medi Ambient.</w:t>
      </w:r>
    </w:p>
    <w:p w:rsidR="008B3772" w:rsidRDefault="008B3772" w:rsidP="008B3772">
      <w:pPr>
        <w:pStyle w:val="TextoNormal"/>
      </w:pPr>
      <w:r>
        <w:t>En particular, el concreto emplazamiento sobre el que pretende ubicarse la planta desaladora está situado, según coinciden ambas partes, dentro de la zona periférica de protección del Parque Natural, en un área calificada como de “predominio agrícola A”, en la cual, a la vista de lo dispuesto en el apartado 2 del referido art. 13 del Decreto 60/2003, se admite la ubicación de infraestructuras siempre que las mismas hayan de localizarse inexcusablemente en dicha zona. Así expuesto el régimen aplicable, a los efectos de este incidente debemos ponderar si el emplazamiento proyectado resulta, por sí mismo, susceptible de causar daños irreparables al medio ambiente que, por ello, hayan de prevalecer frente a los perjuicios que produciría un eventual levantamiento de la suspensión de la resolución impugnada.</w:t>
      </w:r>
    </w:p>
    <w:p w:rsidR="008B3772" w:rsidRDefault="008B3772" w:rsidP="008B3772">
      <w:pPr>
        <w:pStyle w:val="TextoNormal"/>
      </w:pPr>
      <w:r>
        <w:t>En tal sentido, debemos descartar ya la alegación relativa a los perjuicios de naturaleza económica que, en opinión del Abogado del Estado, se le irrogarían a la Administración General del Estado por el alzamiento de la suspensión del acuerdo impugnado.</w:t>
      </w:r>
    </w:p>
    <w:p w:rsidR="008B3772" w:rsidRDefault="008B3772" w:rsidP="008B3772">
      <w:pPr>
        <w:pStyle w:val="TextoNormal"/>
      </w:pPr>
      <w:r>
        <w:t xml:space="preserve">Tales perjuicios no pueden prevalecer sobre los intereses generales que se han aducido, es decir, los vinculados a la protección y defensa del medio ambiente, pues no nos encontramos aquí ante alguno de los supuestos en los que, conforme a nuestra doctrina recogida en el fundamento jurídico anterior, los intereses medioambientales hayan de quedar subordinados a intereses públicos de carácter patrimonial. Tampoco resulta decisiva la alegación relativa al bloqueo de las competencias estatales ex art.  149.1.24ª CE, puesto que, en la medida en que pueden anticiparse criterios en una resolución como la presente, la resolución impugnada, sin perjuicio, como es lógico, de lo que proceda resolver en el análisis de fondo en el marco de la distribución competencial entre el Estado y las Comunidades Autónomas, no impide totalmente el ejercicio de competencias reconocidas a la Administración estatal </w:t>
      </w:r>
      <w:r>
        <w:lastRenderedPageBreak/>
        <w:t>por el bloque de constitucionalidad, pues no se discute la competencia estatal para la construcción de la desaladora en cuestión sino más bien específicos aspectos del proyecto relacionados con su emplazamiento y con las consecuencias que su actividad puede producir sobre los recursos naturales de la zona.</w:t>
      </w:r>
    </w:p>
    <w:p w:rsidR="008B3772" w:rsidRDefault="008B3772" w:rsidP="008B3772">
      <w:pPr>
        <w:pStyle w:val="TextoNormal"/>
      </w:pPr>
      <w:r>
        <w:t>En consecuencia procede que centremos nuestra atención en los eventuales perjuicios para los bienes en conflicto, siendo éstos la seguridad en el abastecimiento de agua para las personas y regadíos de la zona, de acuerdo con el objetivo de garantizar un suministro suficiente de agua en buen estado (art. 92 a del Texto refundido de la Ley de Aguas, aprobado por Real Decreto Legislativo 1/2001, de 20 julio) y teniendo también presente que, según alega el Abogado del Estado, el desarrollo del proyecto en los términos en los que fue aprobado no tiene un impacto significativo o irrecuperable sobre el medio ambiente.</w:t>
      </w:r>
    </w:p>
    <w:p w:rsidR="008B3772" w:rsidRDefault="008B3772" w:rsidP="008B3772">
      <w:pPr>
        <w:pStyle w:val="TextoNormal"/>
      </w:pPr>
      <w:r>
        <w:t xml:space="preserve">De acuerdo con ello, atendiendo a las circunstancias que concurren en el presente caso, podemos ya avanzar que de la sola ubicación proyectada para la desaladora no se deriva que la misma conlleve la destrucción de hábitats o espacios de singular valor o deteriore gravemente dicho espacio. En primer lugar, ya hemos apreciado que, en la zona periférica de protección del Parque Natural, la normativa valenciana permite el emplazamiento de determinadas infraestructuras, siempre que tal emplazamiento resulte inexcusable, lo que significa que, junto al interés general encarnado en la protección del medio ambiente, el régimen jurídico de este espacio natural protegido ha querido salvaguardar otros intereses generales permitiendo que su realización sea autorizable, cuestión que, por otra parte, se contempla en la propia Exposición de motivos del Decreto 60/2003 anteriormente citado. En segundo lugar, tanto en la documentación aportada por el Abogado del Estado en la tramitación de este incidente como en la propia DIA del proyecto, se pone de manifiesto que en la selección del emplazamiento de la instalación se tuvieron en cuenta criterios ambientales, urbanísticos, técnicos y sociales, estudiándose diversos emplazamientos alternativos y optándose por la ubicación seleccionada por tratarse de un terreno no cultivado y considerar que no afectaba a valores destacables de flora y fauna, sin que, por otra parte, la Generalitat Valenciana, ni en las alegaciones relativas a este incidente ni tampoco con anterioridad, haya proporcionado criterios que permitieran inferir, por un lado, las razones por las que la ubicación propuesta no se considera compatible con el criterio general de ordenación establecido para la zona periférica de protección del espacio natural o, en su caso, las condiciones que habría de cumplir un eventual emplazamiento alternativo para poder ser considerado adecuado. Por otra parte tampoco ha de obviarse aquí el hecho de que, tal como ha señalado el Abogado del Estado en sus alegaciones, en esa misma zona periférica de protección del Parque Natural se ubican otras instalaciones vinculadas a la prestación de servicios a la población, como un hospital, una subestación eléctrica o, incluso, una depuradora, lo que conlleva, cuando menos, una clara relativización de la afirmación según la cual de la ubicación de la desaladora en el lugar proyectado se derive la puesta en peligro de hábitats o espacios de especial valor medioambiental. Por último, de la documentación aportada tampoco se desprende que de la proximidad de esas otras instalaciones se derive el riesgo de que produzca el denominado “efecto aditivo”, en cuya virtud sería precisamente la acumulación de instalaciones en una misma zona la que podría poner en riesgo los valores ambientales destacables de la parcela en cuestión. Con arreglo a la propia  normativa valenciana (art. 13.2 del Decreto 60/2003), en el área prevista para la ubicación de la desaladora casi cualquier uso resulta potencialmente autorizable previa evaluación favorable de impacto ambiental. Además debe tenerse en cuenta que el Decreto 60/2003 persigue, como objetivo declarado en su Exposición de motivos, “proponer para esta zona una nueva ordenación que, basada en criterios territoriales y de uso sostenible de los recursos naturales, compatibilizara los usos </w:t>
      </w:r>
      <w:r>
        <w:lastRenderedPageBreak/>
        <w:t>antrópicos y la protección de los valores naturales, reduciendo la capacidad de intervención de la administración ambiental a aquellos casos y territorios estrictamente necesarios”. Lo anteriormente expuesto, unido al hecho de que la posibilidad de producción de tal efecto tampoco ha sido alegada por la Generalitat valenciana, permite descartar que debamos tomarlo en consideración.</w:t>
      </w:r>
    </w:p>
    <w:p w:rsidR="008B3772" w:rsidRDefault="008B3772" w:rsidP="008B3772">
      <w:pPr>
        <w:pStyle w:val="TextoNormal"/>
      </w:pPr>
      <w:r>
        <w:t>Todo ello abona que podamos apreciar que no existen afecciones medioambientales de tal entidad que, en relación con la concreta ubicación de la planta, justifiquen su prevalencia sobre los intereses generales vinculados a la seguridad del abastecimiento o sobre las específicas medidas para la preservación del medio ambiente dispuestas en la DIA del proyecto, por lo que, desde esta perspectiva, no procede el levantamiento de la suspensión del acuerdo impugnado.</w:t>
      </w:r>
    </w:p>
    <w:p w:rsidR="008B3772" w:rsidRDefault="008B3772" w:rsidP="008B3772">
      <w:pPr>
        <w:pStyle w:val="TextoNormal"/>
      </w:pPr>
    </w:p>
    <w:p w:rsidR="008B3772" w:rsidRDefault="008B3772" w:rsidP="008B3772">
      <w:pPr>
        <w:pStyle w:val="TextoNormal"/>
      </w:pPr>
      <w:r w:rsidRPr="008B3772">
        <w:rPr>
          <w:rStyle w:val="NumeroAFNegritaCaracter"/>
        </w:rPr>
        <w:t>6</w:t>
      </w:r>
      <w:r>
        <w:t>. Desde otro punto de vista la representación procesal de la Generalitat Valenciana considera que la puesta en funcionamiento de la planta y el inevitable vertido de salmuera que dicho funcionamiento llevará aparejado es susceptible de afectar negativamente a los hábitats marinos del lugar de interés comunitario de “Cabo Roig”, encontrándose en esa situación dos comunidades de fanerógamas marinas, la posidonia oceánica y la cymonocea nodosa, lo que le lleva a considerar que, en relación a la primera especie citada, va a producirse un incumplimiento de la ya citada Directiva 92/43/CEE, del Consejo, de 21 de mayo, norma comunitaria que obliga a los Estados miembros a evitar, salvo fundadas razones, las alteraciones de los hábitats naturales o especies prioritarias. A contrario, el Abogado del Estado entiende que, de acuerdo con la DIA del proyecto y con los informes que aporta, no van a producirse impactos ambientales irreversibles en la zona.</w:t>
      </w:r>
    </w:p>
    <w:p w:rsidR="008B3772" w:rsidRDefault="008B3772" w:rsidP="008B3772">
      <w:pPr>
        <w:pStyle w:val="TextoNormal"/>
      </w:pPr>
      <w:r>
        <w:t>A este respecto, el Real Decreto 1997/1995, de 7 de diciembre, por el que se establecen medidas para contribuir a garantizar la biodiversidad mediante la conservación de los hábitats naturales y de la fauna y flora silvestres en el territorio español es la disposición que traspone al ordenamiento jurídico español la citada Directiva, regulando, entre otras cuestiones, las medidas de conservación que, eventualmente, pueden adoptarse en caso de que un plan o proyecto resulte susceptible de afectar a un lugar que albergue un tipo de hábitat natural proritario, como es el caso aquí planteado en relación con la posidonia oceánica, cuyas praderas son consideradas hábitats prioritarios conforme al Anexo I del ya citado Real Decreto 1997/1995, de 7 de diciembre. En esos casos y de acuerdo con lo establecido en la disposición adicional cuarta del Real Decreto Legislativo 1302/1986, de 28 de junio, de evaluación de impacto ambiental, la valoración de las repercusiones del proyecto sobre el hábitat prioritario y de la procedencia de medidas compensatorias, a las que hace referencia el art. 6 del Real Decreto 1997/1995, se entenderá incluida en el procedimiento previsto para la declaración de impacto ambiental, la cual, por tratarse de un proyecto de la Administración General del Estado, corresponde realizar al Ministerio de Medio Ambiente (art. 5 Real Decreto Legislativo 1302/1986).</w:t>
      </w:r>
    </w:p>
    <w:p w:rsidR="008B3772" w:rsidRDefault="008B3772" w:rsidP="008B3772">
      <w:pPr>
        <w:pStyle w:val="TextoNormal"/>
      </w:pPr>
      <w:r>
        <w:t xml:space="preserve">En relación con ello, el apartado 3 de la DIA del proyecto (“Descripción del medio y valores ambientales destacables”) señala que las praderas de posidonia oceánica se sitúan a unos 500 metros de distancia al noroeste de la ubicación de los difusores de salmuera, que van a ubicarse al pie de la escollera del puerto de Torrevieja. Además, con respecto a la valoración de los intereses medioambientales vinculados a la conservación de la posidonia oceánica y la cymonocea nodosa y a la posibilidad de corrección de los posibles perjuicios, se constata que en la propia DIA del proyecto (apartado 7) ambas circunstancias han sido tenidas en cuenta, anticipándose a las posibles afecciones medioambientales mediante el establecimiento de una serie de condiciones de protección específicas del medio marino con </w:t>
      </w:r>
      <w:r>
        <w:lastRenderedPageBreak/>
        <w:t>el fin de garantizar la conservación de los hábitats de valor ecológico. Tales condiciones consisten fundamentalmente en lo siguiente: fijación de una metodología de vertido de la salmuera que garantice el mantenimiento de los niveles de tolerancia de salinidad de las fanerógamas marinas presentes en la zona; articulación de un programa de vigilancia ambiental del medio marino que fija niveles máximos de salinidad así como mecanismos de control de la evaluación de las praderas de la posidonia oceánica y cymodocea nodosa; determinación de un protocolo de corrección de los eventuales excesos de salinidad y obligación de remisión periódica de información al órgano ambiental competente.</w:t>
      </w:r>
    </w:p>
    <w:p w:rsidR="008B3772" w:rsidRDefault="008B3772" w:rsidP="008B3772">
      <w:pPr>
        <w:pStyle w:val="TextoNormal"/>
      </w:pPr>
      <w:r>
        <w:t>Junto a ello, ha de destacarse la aportación por la representación procesal del Estado de un informe de la Universidad de Alicante, relativo a los posibles impactos de la obra proyectada sobre las comunidades de fanerógamas marinas, en cuyas conclusiones se destaca que “las praderas de posidonia oceánica, única fanerógama marina incluida como hábitat prioritario en la directiva de hábitat, tienen una distribución que hace imposible que sean afectadas por el vertido de la desaladora” y en cuanto a las praderas de cymodocea nodosa señala que “no se verán afectadas si se cumplen las previsiones de dilución del proyecto. Incluso en caso de que dichas previsiones no se cumplieran y la salinidad alcanzara valores lo suficientemente altos como para afectar a dichas praderas dichos impactos serían reversibles y recuperables”.</w:t>
      </w:r>
    </w:p>
    <w:p w:rsidR="008B3772" w:rsidRDefault="008B3772" w:rsidP="008B3772">
      <w:pPr>
        <w:pStyle w:val="TextoNormal"/>
      </w:pPr>
      <w:r>
        <w:t>Por todo ello, podemos considerar que se han aportado elementos de juicio suficientes para que apreciemos que no concurren aquí las notas de certeza e inmediatez de los daños y la imposibilidad de corregir los posibles perjuicios susceptibles de ser considerados como determinantes para acordar el alzamiento de la inicial suspensión del acuerdo impugnado.</w:t>
      </w:r>
    </w:p>
    <w:p w:rsidR="008B3772" w:rsidRDefault="008B3772" w:rsidP="008B3772">
      <w:pPr>
        <w:pStyle w:val="TextoNormal"/>
      </w:pPr>
      <w:r>
        <w:t>En consecuencia, tampoco desde esta segunda perspectiva procede el levantamiento de la suspensión del acuerdo impugnado, sin perjuicio de la posibilidad, siempre abierta, de solicitar, aportando a tal efecto nuevos datos relevantes a éste Tribunal Constitucional, la reconsideración de la decisión adoptada en este incidente.</w:t>
      </w:r>
    </w:p>
    <w:p w:rsidR="008B3772" w:rsidRDefault="008B3772" w:rsidP="008B3772">
      <w:pPr>
        <w:pStyle w:val="TextoNormal"/>
      </w:pPr>
    </w:p>
    <w:p w:rsidR="008B3772" w:rsidRDefault="008B3772" w:rsidP="008B3772">
      <w:pPr>
        <w:pStyle w:val="TextoNormal"/>
      </w:pPr>
      <w:r>
        <w:t>Por todo lo expuesto, el Pleno</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Mantener la suspensión del acuerdo de 21 de marzo de 2007 del Director Territorial de Territorio y Vivienda de la Comunitat Valenciana por el que se ratifica la orden de suspensión cautelar de las obras correspondientes al proyecto “Planta desaladora</w:t>
      </w:r>
    </w:p>
    <w:p w:rsidR="008B3772" w:rsidRDefault="008B3772" w:rsidP="008B3772">
      <w:pPr>
        <w:pStyle w:val="TextoNormal"/>
      </w:pPr>
      <w:r>
        <w:t>para garantizar los regadíos del trasvase Tajo-Segura”.</w:t>
      </w:r>
    </w:p>
    <w:p w:rsidR="008B3772" w:rsidRDefault="008B3772" w:rsidP="008B3772">
      <w:pPr>
        <w:pStyle w:val="TextoNormal"/>
      </w:pPr>
    </w:p>
    <w:p w:rsidR="008B3772" w:rsidRDefault="008B3772" w:rsidP="008B3772">
      <w:pPr>
        <w:pStyle w:val="TextoNormal"/>
      </w:pPr>
      <w:r>
        <w:t>Madrid, a veinticuatro de julio de dos mil siete.</w:t>
      </w:r>
    </w:p>
    <w:p w:rsidR="008B3772" w:rsidRDefault="008B3772" w:rsidP="008B3772">
      <w:pPr>
        <w:pStyle w:val="ParrafoNormal"/>
      </w:pPr>
    </w:p>
    <w:p w:rsidR="008B3772" w:rsidRDefault="008B3772" w:rsidP="008B3772">
      <w:pPr>
        <w:pStyle w:val="TextoNormalNegritaCentrado"/>
        <w:keepNext/>
      </w:pPr>
      <w:r>
        <w:t>Voto particular que formula Don Jorge Rodríguez-Zapata Pérez respecto del auto del pleno de 24 de julio de 2007, sobre conflicto positivo de competencia núm. 2790-2007, relativo a la construcción de una planta desaladora de agua marina en el parque natural de las lagunas de la Mata y Torrevieja (Alicante), con destino a regadios relacionados con el travase Tajo-Segura.</w:t>
      </w:r>
    </w:p>
    <w:p w:rsidR="008B3772" w:rsidRDefault="008B3772" w:rsidP="008B3772">
      <w:pPr>
        <w:pStyle w:val="TextoNormalNegritaCentrado"/>
        <w:keepNext/>
      </w:pPr>
    </w:p>
    <w:p w:rsidR="008B3772" w:rsidRDefault="008B3772" w:rsidP="008B3772">
      <w:pPr>
        <w:pStyle w:val="TextoNormal"/>
      </w:pPr>
      <w:r>
        <w:t xml:space="preserve">1. El Auto aprobado por la mayoría expone la doctrina del Pleno en este tipo de incidentes de suspensión, en general y en medio-ambiente (FFJ 2 y 4). He discrepado con frecuencia de esa doctrina (VVPP a los AATC 30/2003, de 28 de enero; 99/2003, de 6 de marzo; </w:t>
      </w:r>
      <w:r>
        <w:lastRenderedPageBreak/>
        <w:t>264/2003, de 15 de julio; 349/2003, de 29 de octubre; 135/2004, de 20 de abril ó 300/2005, de 5 de julio). Lo hago de nuevo en este caso concreto, que presenta una dimensión de Derecho comunitario europeo —nueva en nuestra doctrina— unido a un problema medioambiental que debió llevar a un resultado contrario al adoptado.</w:t>
      </w:r>
    </w:p>
    <w:p w:rsidR="008B3772" w:rsidRDefault="008B3772" w:rsidP="008B3772">
      <w:pPr>
        <w:pStyle w:val="TextoNormal"/>
      </w:pPr>
      <w:r>
        <w:t>2. En este conflicto positivo de competencia existía una situación procesal inicial de suspensión lograda por la Generalitat valenciana. En efecto, por Acuerdo de su Director Territorial de Territorio y Vivienda de 21 de marzo de 2007 se ratificó la orden de suspender las obras de construcción de una planta desaladora de agua marina, que realiza Acuamed, S.A., motivada por un déficit hídrico estructural en la cuenca del Segura, que afecta a los regadíos de la zona, y por la insuficiencia del trasvase Tajo-Segura. La obra se sitúa en el Parque Natural de las Lagunas de La Mata y Torrevieja, parte de la Red Natura 2000, zona de especial protección de aves y humedal de importancia internacional, conforme al Convenio de Ramsar. Pues bien, dada esa situación procesal inicial de suspensión, la carga de alegar para alterarla —expirado el plazo del art. 161.2 CE— debe recaer sobre el Abogado del Estado (VP mío al ATC 300/2005, FJ 4).</w:t>
      </w:r>
    </w:p>
    <w:p w:rsidR="008B3772" w:rsidRDefault="008B3772" w:rsidP="008B3772">
      <w:pPr>
        <w:pStyle w:val="TextoNormal"/>
      </w:pPr>
      <w:r>
        <w:t>3. Entre las diversas razones medioambientales invocadas por la Generalitat Valenciana para la suspensión inicial se encuentra la del principio comunitario de precaución. Es un principio general de la política ambiental de la Unión Europea, que debió ser decisivo en el caso que nos ocupa.</w:t>
      </w:r>
    </w:p>
    <w:p w:rsidR="008B3772" w:rsidRDefault="008B3772" w:rsidP="008B3772">
      <w:pPr>
        <w:pStyle w:val="TextoNormal"/>
      </w:pPr>
      <w:r>
        <w:t>La protección del medio ambiente puede hacerse desde un Derecho reactivo, que haga frente a los daños que ya se han producido (“quien contamina paga”), pasando por un Derecho que haga frente a riesgos conocidos antes de que se produzcan (“prevención”), hasta un Derecho que prevea y evite amenazas de daños desconocidos o inciertos (“precaución”). El principio de precaución, derivado del principio de previsión del Derecho alemán -“Vorsorgeprinzip”- ha sido incorporado por diversos instrumentos internacionales sobre el medio ambiente (desde la Declaración de Río sobre medio ambiente y desarrollo de 1992), por el Derecho comunitario (así, el art. 174.2 del Tratado constitutivo de la CEE o la Directiva 92/43/CEE, del Consejo, de 21 de mayo, sobre la conservación de los hábitats naturales y de la flora y fauna salvajes) y por la jurisprudencia comunitaria (desde las iniciales Sentencias del TJCE “Reino Unido/Comisión y National Farmers' Union,” de 5 de mayo de 1998).</w:t>
      </w:r>
    </w:p>
    <w:p w:rsidR="008B3772" w:rsidRDefault="008B3772" w:rsidP="008B3772">
      <w:pPr>
        <w:pStyle w:val="TextoNormal"/>
      </w:pPr>
      <w:r>
        <w:t>El principio de precaución, como mínimo, implica que no haga falta demostrar científicamente la certeza del daño medioambiental como condición previa para tomar medidas cautelares de protección (STJCE Armand Mondiet). Más aún, el principio de precaución puede implicar en algunos casos una inversión de la carga de la prueba —si es que en este caso fuera necesaria, tras lo que ya he señalado— para hacerla recaer en quien innova el medio ambiente o ejecuta la obra cuestionada; y es su obligación demostrar que su actividad resulta segura. Son los proponentes de las actividades quienes deben probar que no van a causar daños a los ecosistemas y a la salud humana. La esencia del principio de precaución consiste en que la sociedad no puede esperar hasta que se conozcan todas las consecuencias de una determinada actuación antes de tomar medidas que protejan el medio ambiente de un daño potencial. La reparación del daño medioambiental es difícil y cara, cuando no imposible.</w:t>
      </w:r>
    </w:p>
    <w:p w:rsidR="008B3772" w:rsidRDefault="008B3772" w:rsidP="008B3772">
      <w:pPr>
        <w:pStyle w:val="TextoNormal"/>
      </w:pPr>
      <w:r>
        <w:t>Creo que los alegatos del Abogado del Estado, y los informes que aporta, han sido claramente insuficientes a la luz de este principio de precaución.</w:t>
      </w:r>
    </w:p>
    <w:p w:rsidR="008B3772" w:rsidRDefault="008B3772" w:rsidP="008B3772">
      <w:pPr>
        <w:pStyle w:val="TextoNormal"/>
      </w:pPr>
      <w:r>
        <w:t xml:space="preserve">Una consideración final, desde la perspectiva del “fumus boni iuris” aplicable, para mi, en estos casos, abona la procedencia de confirmar, en este incidente, el criterio de la Generalitat valenciana. Los informes que existen en la pieza indican que los vertidos al mar de la salmuera que produzca la planta desaladora generan una hipersalinidad en las aguas, a las </w:t>
      </w:r>
      <w:r>
        <w:lastRenderedPageBreak/>
        <w:t>que son muy sensibles las fenorógamas marinas del litoral de Torrevieja. Aunque el riesgo de los vertidos de salmuera para las praderas de posidonia se descarta en los informes de la Universidad de Alicante, no se excluye totalmente respecto de las praderas de Cymodocea nodosa, presentes frente al puerto (apartado 3 del informe de la Universidad de Alicante), lo que reconoce el Auto mayoritario en su FJ 6 (párrafo antepenúltimo) aunque le quita relieve por ser reversibles y recuperables. En tal estado de cosas debió mantenerse la situación inicial de suspensión.</w:t>
      </w:r>
    </w:p>
    <w:p w:rsidR="008B3772" w:rsidRDefault="008B3772" w:rsidP="008B3772">
      <w:pPr>
        <w:pStyle w:val="TextoNormal"/>
      </w:pPr>
      <w:r>
        <w:t>Dejo constancia de mi disentimiento en este Voto particular.</w:t>
      </w:r>
    </w:p>
    <w:p w:rsidR="008B3772" w:rsidRDefault="008B3772" w:rsidP="008B3772">
      <w:pPr>
        <w:pStyle w:val="TextoNormal"/>
      </w:pPr>
      <w:r>
        <w:t>Madrid, a veinticuatro de julio de dos mil siete.</w:t>
      </w:r>
    </w:p>
    <w:p w:rsidR="008B3772" w:rsidRDefault="008B3772">
      <w:pPr>
        <w:spacing w:after="160" w:line="259" w:lineRule="auto"/>
        <w:rPr>
          <w:rFonts w:ascii="Times New Roman" w:eastAsia="Times New Roman" w:hAnsi="Times New Roman" w:cs="Times New Roman"/>
          <w:sz w:val="24"/>
          <w:szCs w:val="24"/>
          <w:lang w:eastAsia="es-ES"/>
        </w:rPr>
      </w:pPr>
      <w:r>
        <w:br w:type="page"/>
      </w:r>
    </w:p>
    <w:p w:rsidR="008B3772" w:rsidRDefault="008B3772" w:rsidP="008B3772">
      <w:pPr>
        <w:pStyle w:val="TtuloResolucin"/>
      </w:pPr>
      <w:bookmarkStart w:id="220" w:name="AUTO_2007_356"/>
      <w:r>
        <w:lastRenderedPageBreak/>
        <w:t>AUTO 356/2007, de 24 de julio de 2007</w:t>
      </w:r>
    </w:p>
    <w:bookmarkEnd w:id="220"/>
    <w:p w:rsidR="008B3772" w:rsidRDefault="008B3772" w:rsidP="008B3772">
      <w:pPr>
        <w:pStyle w:val="TtuloResolucin"/>
      </w:pPr>
      <w:r>
        <w:t>Pleno</w:t>
      </w:r>
    </w:p>
    <w:p w:rsidR="008B3772" w:rsidRDefault="008B3772" w:rsidP="008B3772">
      <w:pPr>
        <w:pStyle w:val="TtuloResolucin"/>
      </w:pPr>
    </w:p>
    <w:p w:rsidR="008B3772" w:rsidRDefault="008B3772" w:rsidP="008B3772">
      <w:pPr>
        <w:pStyle w:val="SntesisDescriptiva"/>
      </w:pPr>
      <w:r>
        <w:t>ECLI:ES:TC:2007:356A</w:t>
      </w:r>
    </w:p>
    <w:p w:rsidR="008B3772" w:rsidRDefault="008B3772" w:rsidP="008B3772">
      <w:pPr>
        <w:pStyle w:val="SntesisDescriptiva"/>
      </w:pPr>
    </w:p>
    <w:p w:rsidR="008B3772" w:rsidRDefault="008B3772" w:rsidP="008B3772">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8B3772" w:rsidRDefault="008B3772" w:rsidP="008B3772">
      <w:pPr>
        <w:pStyle w:val="SntesisDescriptiva"/>
      </w:pPr>
    </w:p>
    <w:p w:rsidR="008B3772" w:rsidRDefault="008B3772" w:rsidP="008B3772">
      <w:pPr>
        <w:pStyle w:val="SntesisDescriptiva"/>
      </w:pPr>
      <w:r>
        <w:t>Inadmite a trámite la cuestión de inconstitucionalidad 3491-2007, planteada por la Sala de lo Contencioso-Administrativo del Tribunal Superior de Justicia de Cataluña en relación con la Ley 26/1994, de 29 de diciembre, reguladora del pase a la segunda actividad en el Cuerpo Nacional de Policía.</w:t>
      </w:r>
    </w:p>
    <w:p w:rsidR="008B3772" w:rsidRDefault="008B3772" w:rsidP="008B3772">
      <w:pPr>
        <w:pStyle w:val="SntesisDescriptiva"/>
      </w:pPr>
    </w:p>
    <w:p w:rsidR="008B3772" w:rsidRDefault="008B3772" w:rsidP="008B3772">
      <w:pPr>
        <w:pStyle w:val="SntesisAnaltica"/>
      </w:pPr>
      <w:r>
        <w:t>Cuestión de inconstitucionalidad: ATC 353/2007.</w:t>
      </w:r>
    </w:p>
    <w:p w:rsidR="008B3772" w:rsidRDefault="008B3772" w:rsidP="008B3772">
      <w:pPr>
        <w:pStyle w:val="SntesisAnaltica"/>
      </w:pPr>
    </w:p>
    <w:p w:rsidR="008B3772" w:rsidRDefault="008B3772" w:rsidP="008B3772">
      <w:pPr>
        <w:pStyle w:val="SntesisAnaltica"/>
      </w:pPr>
    </w:p>
    <w:p w:rsidR="008B3772" w:rsidRDefault="008B3772" w:rsidP="008B3772">
      <w:pPr>
        <w:pStyle w:val="SntesisAnaltica"/>
      </w:pPr>
    </w:p>
    <w:p w:rsidR="008B3772" w:rsidRDefault="008B3772" w:rsidP="008B3772">
      <w:pPr>
        <w:pStyle w:val="TextoNormalNegritaCentrado"/>
      </w:pPr>
      <w:r>
        <w:t>AUTO</w:t>
      </w:r>
    </w:p>
    <w:p w:rsidR="008B3772" w:rsidRDefault="008B3772" w:rsidP="008B3772">
      <w:pPr>
        <w:pStyle w:val="TextoNormalNegritaCentrado"/>
      </w:pPr>
    </w:p>
    <w:p w:rsidR="008B3772" w:rsidRDefault="008B3772" w:rsidP="008B3772">
      <w:pPr>
        <w:pStyle w:val="TextoNormalNegritaCentrado"/>
        <w:keepNext/>
      </w:pPr>
      <w:r>
        <w:t>I. Antecedentes</w:t>
      </w:r>
    </w:p>
    <w:p w:rsidR="008B3772" w:rsidRDefault="008B3772" w:rsidP="008B3772">
      <w:pPr>
        <w:pStyle w:val="TextoNormalNegritaCentrado"/>
        <w:keepNext/>
      </w:pPr>
    </w:p>
    <w:p w:rsidR="008B3772" w:rsidRDefault="008B3772" w:rsidP="008B3772">
      <w:pPr>
        <w:pStyle w:val="TextoNormal"/>
      </w:pPr>
      <w:r w:rsidRPr="008B3772">
        <w:rPr>
          <w:rStyle w:val="NumeroAFNegritaCaracter"/>
        </w:rPr>
        <w:t>1</w:t>
      </w:r>
      <w:r>
        <w:t>. El 18 de abril de 2007 tuvo entrada en el Registro de este Tribunal un escrito de la Sección Cuarta de la Sala de lo Contencioso-Administrativo del Tribunal Superior de Justicia de Cataluña, al que se acompaña, junto al testimonio del correspondiente procedimiento, Auto de 12 de febrero de 2007, dictado en el recurso contencioso-administrativo núm. 1166-2003, en el que se acuerda promover ante este Tribunal cuestión de inconstitucionalidad respecto del párrafo tercero de la disposición transitoria sexta de la Ley 26/1994, de 29 de septiembre, por la que se regula la situación de segunda actividad en el Cuerpo Nacional de Policía, en la redacción dada por el art. 58 de la Ley 24/2001, de 27 de diciembre, de medidas fiscales, administrativas y del orden social, por posible vulneración del art. 23.2 CE, en relación con el art. 14 CE.</w:t>
      </w:r>
    </w:p>
    <w:p w:rsidR="008B3772" w:rsidRDefault="008B3772" w:rsidP="008B3772">
      <w:pPr>
        <w:pStyle w:val="TextoNormal"/>
      </w:pPr>
    </w:p>
    <w:p w:rsidR="008B3772" w:rsidRDefault="008B3772" w:rsidP="008B3772">
      <w:pPr>
        <w:pStyle w:val="TextoNormal"/>
      </w:pPr>
      <w:r w:rsidRPr="008B3772">
        <w:rPr>
          <w:rStyle w:val="NumeroAFNegritaCaracter"/>
        </w:rPr>
        <w:t>2</w:t>
      </w:r>
      <w:r>
        <w:t xml:space="preserve">. Los hechos relevantes en este proceso constitucional son los siguientes: </w:t>
      </w:r>
    </w:p>
    <w:p w:rsidR="008B3772" w:rsidRDefault="008B3772" w:rsidP="008B3772">
      <w:pPr>
        <w:pStyle w:val="TextoNormal"/>
      </w:pPr>
      <w:r>
        <w:t xml:space="preserve">a) Un Inspector Jefe del Cuerpo Nacional de Policía interpuso el 4 de septiembre de 2003 recurso contencioso-administrativo contra la Resolución de la Dirección General de la Policía de 21 de julio de 2003, por la que se acuerda su pase a la situación de segunda actividad por cumplimiento de la edad reglamentaria de 56 años. Dicho recurso dio lugar al procedimiento núm. 1166-2003 tramitado por la Sección Cuarta de la Sala de lo Contencioso-Administrativo del Tribunal Superior de Justicia de Cataluña. </w:t>
      </w:r>
    </w:p>
    <w:p w:rsidR="008B3772" w:rsidRDefault="008B3772" w:rsidP="008B3772">
      <w:pPr>
        <w:pStyle w:val="TextoNormal"/>
      </w:pPr>
      <w:r>
        <w:t xml:space="preserve">b) El recurrente solicitó en la formalización de su demanda que se planteara cuestión de inconstitucionalidad respecto del párrafo tercero de la disposición transitoria sexta de la Ley 26/1994, de 29 de septiembre, en la redacción dada por el art. 58 de la Ley 24/2001, de 27 de diciembre, en el concreto extremo de establecer que, excepcionalmente y en relación con la categoría de Inspectores Jefes, la ampliación de la edad que se contempla en la Ley para el pase a la segunda actividad de los 56 a los 58 años, no empezará a regir hasta el 1 de </w:t>
      </w:r>
      <w:r>
        <w:lastRenderedPageBreak/>
        <w:t xml:space="preserve">enero de 2006, por considerar que vulnera el art. 23.2 CE, en relación con el art. 14 CE, ya que ello supone un trato discriminatorio, por un lado, tanto respecto de los integrantes del resto de Escalas del Cuerpo como respecto de la categoría de Inspectores, que se integra en la Escala ejecutiva, para los que no se prevé este régimen transitorio, y por otro, respecto de los Inspectores Jefes que cumplen los 56 años de edad con posterioridad al 1 de enero de 2006. </w:t>
      </w:r>
    </w:p>
    <w:p w:rsidR="008B3772" w:rsidRDefault="008B3772" w:rsidP="008B3772">
      <w:pPr>
        <w:pStyle w:val="TextoNormal"/>
      </w:pPr>
      <w:r>
        <w:t xml:space="preserve">c) Habiéndose señalado fecha para votación y fallo, por providencia de 12 de diciembre de 2006, se acordó conferir traslado a las partes personadas para que alegaran lo que estimaran pertinente sobre el planteamiento de la cuestión de inconstitucionalidad respecto del párrafo tercero de la disposición transitoria sexta de la Ley 26/1994, de 29 de septiembre, en la redacción dada por el art. 58 de la Ley 24/2001, de 27 de diciembre, al considerar que “… constituye una exclusión de los Inspectores Jefes para optar al pase a la segunda actividad a los 58 años, en tanto se les aplica la anterior de 56 y además quedan excluidos —sólo los Inspectores Jefes— de la opción conferida por el Legislador a todos los que integran, entre otras la Escala ejecutiva para acceder al pase de segunda actividad bien a los 56 años, bien a los 58 años, que pudiera ser contraria al principio de igualdad...”. </w:t>
      </w:r>
    </w:p>
    <w:p w:rsidR="008B3772" w:rsidRDefault="008B3772" w:rsidP="008B3772">
      <w:pPr>
        <w:pStyle w:val="TextoNormal"/>
      </w:pPr>
      <w:r>
        <w:t xml:space="preserve">d) El Abogado del Estado, por escrito registrado el 22 de diciembre de 2006, sostuvo la improcedencia del planteamiento de la cuestión de inconstitucionalidad, destacando, por un lado, que no implican una vulneración del art. 23.2 CE las variaciones que se puedan experimentar en las situaciones administrativas provocadas por modificaciones legales y, por otro, que no resulta arbitrario establecer una distinción del régimen de pase a segunda actividad en función de la edad de los Inspectores Jefes. </w:t>
      </w:r>
    </w:p>
    <w:p w:rsidR="008B3772" w:rsidRDefault="008B3772" w:rsidP="008B3772">
      <w:pPr>
        <w:pStyle w:val="TextoNormal"/>
      </w:pPr>
      <w:r>
        <w:t xml:space="preserve">Por su parte, el Ministerio Fiscal, por escrito registrado el 25 de enero de 2007, consideró improcedente el planteamiento de la cuestión de inconstitucionalidad, argumentando que el diferente trato dispensado que se denuncia en función del criterio temporal responde a un cambio normativo y, en relación con el diferente trato con otras Escalas o con otros funcionarios dentro de la misma Escala ejecutiva, existe un elemento objetivo de diferenciación al que expresamente se hace mención en la propia norma cuestionada, que excluye todo atisbo de tratamiento discriminatorio, cual es la existencia de una problemática de promoción interna en la categoría de Inspectores Jefes. </w:t>
      </w:r>
    </w:p>
    <w:p w:rsidR="008B3772" w:rsidRDefault="008B3772" w:rsidP="008B3772">
      <w:pPr>
        <w:pStyle w:val="TextoNormal"/>
      </w:pPr>
      <w:r>
        <w:t>Por último, el recurrente, por escrito registrado el 9 de enero de 2007, reiteró la pertinencia del planteamiento de la cuestión de inconstitucionalidad.</w:t>
      </w:r>
    </w:p>
    <w:p w:rsidR="008B3772" w:rsidRDefault="008B3772" w:rsidP="008B3772">
      <w:pPr>
        <w:pStyle w:val="TextoNormal"/>
      </w:pPr>
    </w:p>
    <w:p w:rsidR="008B3772" w:rsidRDefault="008B3772" w:rsidP="008B3772">
      <w:pPr>
        <w:pStyle w:val="TextoNormal"/>
      </w:pPr>
      <w:r w:rsidRPr="008B3772">
        <w:rPr>
          <w:rStyle w:val="NumeroAFNegritaCaracter"/>
        </w:rPr>
        <w:t>3</w:t>
      </w:r>
      <w:r>
        <w:t xml:space="preserve">. Por Auto de 12 de febrero de 2007, la Sección Cuarta de la Sala de lo Contencioso-Administrativo del Tribunal Superior de Justicia de Cataluña acordó “[p]lantear la cuestión de inconstitucionalidad de la excepción contenida en el art. 58 de la Ley 24/2001, de 27 de diciembre, por el cual se modifica la Ley 26/1994, por la que se regula la situación de segunda actividad en el Cuerpo Nacional de Policía, en concreto en una parte del apartado Tres que introduce una disposición transitoria —la sexta— en la Ley 26/1994, de 29 de septiembre, en cuanto no permite a los Inspectores Jefes del Cuerpo Nacional de Policía que cumplan 56 años antes del 1 de enero de 2006 a optar por permanecer en la situación de primera actividad a diferencia de lo que sucede con los demás funcionarios de la misma Escala ejecutiva o de las dos Escalas inferiores y de los Inspectores Jefes que cumplan la edad de 56 años a partir del 1 de enero de 2006”. </w:t>
      </w:r>
    </w:p>
    <w:p w:rsidR="008B3772" w:rsidRDefault="008B3772" w:rsidP="008B3772">
      <w:pPr>
        <w:pStyle w:val="TextoNormal"/>
      </w:pPr>
      <w:r>
        <w:t xml:space="preserve">El inciso legal cuestionado establece que “[e]xcepcionalmente y sin perjuicio de que se arbitre una adecuada política de cupos para resolver la problemática de promoción interna en la categoría de Inspectores Jefes, la ampliación de la edad que se contempla en la presente Ley, no empezará a regir para los mismos hasta el 1 de enero de 2006”. En relación con </w:t>
      </w:r>
      <w:r>
        <w:lastRenderedPageBreak/>
        <w:t>dicha previsión legal se argumenta en el Auto de planteamiento de la cuestión que implica una vulneración del derecho a la igualdad en el ámbito de la Función pública (arts. 14 y 23.2 CE), en tanto que dispensa un distinto trato, siquiera temporalmente, a los Inspectores-Jefes que cumplan 56 años antes del 1 de enero de 2006 frente a los que los cumplan con posterioridad, mediante una norma de carácter excepcional que no cuenta con una justificación objetiva y razonable y sin que se establezca una compensación económica. Se sostiene también en el Auto de planteamiento que dicho precepto resulta discriminatorio al establecer que esta excepción se aplique exclusivamente a la categoría de los Inspectores Jefes, lo que supone un distinto trato no sólo en relación con las restantes escalas, sino incluso dentro de la Escala ejecutiva con la categoría de Inspector. Por último, se destaca que este diferente trato carece de una justificación razonable puesto que la mera existencia de cupos derivada de la política llevada a cabo por la Administración en el ámbito de la promoción interna es totalmente ajena a la voluntad de los funcionarios.</w:t>
      </w:r>
    </w:p>
    <w:p w:rsidR="008B3772" w:rsidRDefault="008B3772" w:rsidP="008B3772">
      <w:pPr>
        <w:pStyle w:val="TextoNormal"/>
      </w:pPr>
    </w:p>
    <w:p w:rsidR="008B3772" w:rsidRDefault="008B3772" w:rsidP="008B3772">
      <w:pPr>
        <w:pStyle w:val="TextoNormal"/>
      </w:pPr>
      <w:r w:rsidRPr="008B3772">
        <w:rPr>
          <w:rStyle w:val="NumeroAFNegritaCaracter"/>
        </w:rPr>
        <w:t>4</w:t>
      </w:r>
      <w:r>
        <w:t>. La Sección Segunda de este Tribunal, por providencia de 5 de junio de 2007, acordó oír al Fiscal General del Estado para que, conforme a lo previsto en el art. 37.1 LOTC, expusiera lo que considerara conveniente acerca de la posible falta de condiciones procesales para su admisión, así como si la misma resultara notoriamente infundada.</w:t>
      </w:r>
    </w:p>
    <w:p w:rsidR="008B3772" w:rsidRDefault="008B3772" w:rsidP="008B3772">
      <w:pPr>
        <w:pStyle w:val="TextoNormal"/>
      </w:pPr>
    </w:p>
    <w:p w:rsidR="008B3772" w:rsidRDefault="008B3772" w:rsidP="008B3772">
      <w:pPr>
        <w:pStyle w:val="TextoNormal"/>
      </w:pPr>
      <w:r w:rsidRPr="008B3772">
        <w:rPr>
          <w:rStyle w:val="NumeroAFNegritaCaracter"/>
        </w:rPr>
        <w:t>5</w:t>
      </w:r>
      <w:r>
        <w:t xml:space="preserve">. El Fiscal General del Estado formuló sus alegaciones por escrito registrado en este Tribunal el 3 de julio de 2007, interesando su inadmisión por entender que falta el necesario juicio de relevancia y porque carecen manifiestamente de fundamento las dudas suscitadas por el órgano judicial que la ha promovido. </w:t>
      </w:r>
    </w:p>
    <w:p w:rsidR="008B3772" w:rsidRDefault="008B3772" w:rsidP="008B3772">
      <w:pPr>
        <w:pStyle w:val="TextoNormal"/>
      </w:pPr>
      <w:r>
        <w:t xml:space="preserve">En primer lugar, destaca su parecer de que no se cumple el presupuesto del necesario juicio de relevancia, toda vez que lo que se cuestiona realmente es el acto aplicativo de la norma, más que la norma en sí misma considerada, ya que la Ley contemplaba como excepción limitar el pase a la segunda actividad de los Inspectores Jefes que antes del 1 de enero de 2006 cumplieran la edad de 56 años a que la Dirección General de la Policía pudiera establecer unos cupos de promoción interna para esta categoría, de tal modo que, establecidos tales cupos, no tendrían que pasar a segunda actividad todos los Inspectores Jefes, sino únicamente aquellos que quedaran fuera de los cupos establecidos. Por tanto, al ser objeto de enjuiciamiento en el caso de autos el acto administrativo de aplicación de una norma que no contempla automáticamente el pase a la situación de segunda actividad “… se admiten otras interpretaciones que no necesariamente pueden resultar inconstitucionales, ya que la norma contempla en su texto la posibilidad de que la Administración arbitre la existencia de cupos de promoción interna para tales funcionarios que no acarree necesariamente el pase de todos ellos a la segunda actividad”. </w:t>
      </w:r>
    </w:p>
    <w:p w:rsidR="008B3772" w:rsidRDefault="008B3772" w:rsidP="008B3772">
      <w:pPr>
        <w:pStyle w:val="TextoNormal"/>
      </w:pPr>
      <w:r>
        <w:t>En segundo lugar, señala que concurre la carencia manifiesta de fundamento, toda vez que, partiendo de la doctrina consolidada del Tribuna Constitucional sobre el particular, no cabe duda de que la Administración puede modificar por razones objetivas el status de los funcionarios reduciendo o aumentando los límites de edad. Al margen de ello, el Fiscal General del Estado señala que “realmente no existe la discriminación que se invoca… porque si el Legislador previó la fecha de 1º de enero de 2006 como el límite temporal de aquella situación de excepcionalidad… es porque entendió que, a partir de la indicada fecha, no habría problemas de cupos de promoción interna y los funcionarios afectados podrían prolongar voluntariamente su pase a la segunda actividad hasta el cumplimiento de los 58 años”.</w:t>
      </w:r>
    </w:p>
    <w:p w:rsidR="008B3772" w:rsidRDefault="008B3772" w:rsidP="008B3772">
      <w:pPr>
        <w:pStyle w:val="TextoNormal"/>
      </w:pPr>
    </w:p>
    <w:p w:rsidR="008B3772" w:rsidRDefault="008B3772" w:rsidP="008B3772">
      <w:pPr>
        <w:pStyle w:val="TextoNormalNegritaCentrado"/>
        <w:keepNext/>
      </w:pPr>
      <w:r>
        <w:lastRenderedPageBreak/>
        <w:t>II. Fundamentos jurídicos</w:t>
      </w:r>
    </w:p>
    <w:p w:rsidR="008B3772" w:rsidRDefault="008B3772" w:rsidP="008B3772">
      <w:pPr>
        <w:pStyle w:val="TextoNormalNegritaCentrado"/>
        <w:keepNext/>
      </w:pPr>
    </w:p>
    <w:p w:rsidR="008B3772" w:rsidRDefault="008B3772" w:rsidP="008B3772">
      <w:pPr>
        <w:pStyle w:val="TextoNormal"/>
      </w:pPr>
      <w:r w:rsidRPr="00CD3611">
        <w:rPr>
          <w:rStyle w:val="NumeroAFNegritaCaracter"/>
        </w:rPr>
        <w:t>Único.</w:t>
      </w:r>
      <w:r>
        <w:t xml:space="preserve"> La Sección Cuarta de la Sala de lo Contencioso-Administrativo del Tribunal Superior de Justicia de Cataluña plantea cuestión de inconstitucionalidad respecto del párrafo tercero de la disposición transitoria sexta de la Ley 26/1994, de 29 de</w:t>
      </w:r>
    </w:p>
    <w:p w:rsidR="008B3772" w:rsidRDefault="008B3772" w:rsidP="008B3772">
      <w:pPr>
        <w:pStyle w:val="TextoNormal"/>
      </w:pPr>
      <w:r>
        <w:t>septiembre, por la que se regula la situación de segunda actividad en el Cuerpo Nacional de Policía, en la redacción dada por el art. 58 de la Ley 24/2001, de 27 de diciembre, de medidas fiscales, administrativas y del orden social, por posible</w:t>
      </w:r>
    </w:p>
    <w:p w:rsidR="008B3772" w:rsidRDefault="008B3772" w:rsidP="008B3772">
      <w:pPr>
        <w:pStyle w:val="TextoNormal"/>
      </w:pPr>
      <w:r>
        <w:t>vulneración del art. 23.2 CE, en relación con el art. 14 CE.</w:t>
      </w:r>
    </w:p>
    <w:p w:rsidR="008B3772" w:rsidRDefault="008B3772" w:rsidP="008B3772">
      <w:pPr>
        <w:pStyle w:val="TextoNormal"/>
      </w:pPr>
      <w:r>
        <w:t>Las dudas de constitucionalidad planteadas por el órgano judicial han sido resueltas en el ATC de 24 de julio de 2007, dictado como consecuencia de la cuestión de inconstitucionalidad núm. 3375-2006 planteada por la propia Sección Cuarta de la Sala de lo Contencioso-Administrativo del Tribunal Superior de Justicia de Cataluña respecto del mismo precepto, en el que este Tribunal ha considerado que la citada cuestión se encontraba notoriamente infundada. Por tanto, debe considerarse también la presente cuestión de inconstitucionalidad como notoriamente infundada, por las razones expuestas en el citado ATC de 24 de julio de 2007, a cuyos fundamentos jurídicos nos remitimos íntegramente.</w:t>
      </w:r>
    </w:p>
    <w:p w:rsidR="008B3772" w:rsidRDefault="008B3772" w:rsidP="008B3772">
      <w:pPr>
        <w:pStyle w:val="TextoNormal"/>
      </w:pPr>
      <w:r>
        <w:t>Resumidamente, como se destaca en dicho Auto, no cabe apreciar un supuesto trato discriminatorio entre Inspectores Jefes a derivar del momento de cumplimiento de los 56 años, ya que, trayendo causa, exclusivamente, en una modificación legislativa, sin embargo, este Tribunal ha reiterado que el principio de igualdad no impide que, a través de cambios normativos, pueda producirse un trato desigual entre diversas situaciones derivado de la diferencia de fechas en que se originaron. Del mismo modo, también se rechaza el eventual trato discriminatorio dispensado a los Inspectores Jefes a derivar de que ni para los integrantes de las restantes Escalas del Cuerpo Nacional de Policía ni, incluso, dentro de la Escala ejecutiva, para la categoría de Inspector, se establezca un periodo transitorio en la entrada en vigor de la elevación de la edad para el pase a la segunda actividad, destacando que es manifiesto que la norma cuestionada cuenta con una justificación objetiva y razonable para establecer este diferente trato, como es la problemática situación de promoción interna existente en la categoría de Inspectores Jefes.</w:t>
      </w:r>
    </w:p>
    <w:p w:rsidR="008B3772" w:rsidRDefault="008B3772" w:rsidP="008B3772">
      <w:pPr>
        <w:pStyle w:val="TextoNormal"/>
      </w:pPr>
    </w:p>
    <w:p w:rsidR="008B3772" w:rsidRDefault="008B3772" w:rsidP="008B3772">
      <w:pPr>
        <w:pStyle w:val="TextoNormal"/>
      </w:pPr>
      <w:r>
        <w:t>Por lo expuesto, el Pleno del Tribunal</w:t>
      </w:r>
    </w:p>
    <w:p w:rsidR="008B3772" w:rsidRDefault="008B3772" w:rsidP="008B3772">
      <w:pPr>
        <w:pStyle w:val="TextoNormal"/>
      </w:pPr>
    </w:p>
    <w:p w:rsidR="008B3772" w:rsidRDefault="008B3772" w:rsidP="008B3772">
      <w:pPr>
        <w:pStyle w:val="TextoNormalCentrado"/>
      </w:pPr>
      <w:r>
        <w:t>ACUERDA</w:t>
      </w:r>
    </w:p>
    <w:p w:rsidR="008B3772" w:rsidRDefault="008B3772" w:rsidP="008B3772">
      <w:pPr>
        <w:pStyle w:val="TextoNormalCentrado"/>
      </w:pPr>
    </w:p>
    <w:p w:rsidR="008B3772" w:rsidRDefault="008B3772" w:rsidP="008B3772">
      <w:pPr>
        <w:pStyle w:val="TextoNormal"/>
      </w:pPr>
      <w:r>
        <w:t>Inadmitir la presente cuestión de inconstitucionalidad.</w:t>
      </w:r>
    </w:p>
    <w:p w:rsidR="008B3772" w:rsidRDefault="008B3772" w:rsidP="008B3772">
      <w:pPr>
        <w:pStyle w:val="TextoNormal"/>
      </w:pPr>
    </w:p>
    <w:p w:rsidR="008B3772" w:rsidRDefault="008B3772" w:rsidP="00512048">
      <w:pPr>
        <w:pStyle w:val="TextoNormal"/>
      </w:pPr>
      <w:r>
        <w:t>Madrid, a veinticuatro de julio de dos mil siete.</w:t>
      </w:r>
    </w:p>
    <w:p w:rsidR="00512048" w:rsidRDefault="00512048">
      <w:pPr>
        <w:spacing w:after="160" w:line="259" w:lineRule="auto"/>
        <w:rPr>
          <w:rFonts w:ascii="Times New Roman" w:eastAsia="Times New Roman" w:hAnsi="Times New Roman" w:cs="Times New Roman"/>
          <w:sz w:val="24"/>
          <w:szCs w:val="24"/>
          <w:lang w:eastAsia="es-ES"/>
        </w:rPr>
      </w:pPr>
      <w:r>
        <w:br w:type="page"/>
      </w:r>
    </w:p>
    <w:p w:rsidR="00512048" w:rsidRDefault="00512048" w:rsidP="008B3772">
      <w:pPr>
        <w:pStyle w:val="ParrafoNormal"/>
      </w:pPr>
    </w:p>
    <w:p w:rsidR="00512048" w:rsidRDefault="00512048" w:rsidP="00512048">
      <w:pPr>
        <w:pStyle w:val="TextoNormal"/>
      </w:pPr>
    </w:p>
    <w:p w:rsidR="00512048" w:rsidRDefault="00512048" w:rsidP="00512048">
      <w:pPr>
        <w:pStyle w:val="TextoNormal"/>
      </w:pPr>
    </w:p>
    <w:p w:rsidR="00512048" w:rsidRDefault="00512048" w:rsidP="00512048">
      <w:pPr>
        <w:pStyle w:val="TextoNormal"/>
      </w:pPr>
    </w:p>
    <w:p w:rsidR="00F26144" w:rsidRDefault="00512048" w:rsidP="00512048">
      <w:pPr>
        <w:pStyle w:val="Ttulondice"/>
        <w:suppressAutoHyphens/>
      </w:pPr>
      <w:r>
        <w:t xml:space="preserve">3. ÍNDICE DE </w:t>
      </w:r>
      <w:r w:rsidR="00F26144" w:rsidRPr="00F26144">
        <w:t xml:space="preserve">DISPOSICIONES CON </w:t>
      </w:r>
    </w:p>
    <w:p w:rsidR="00512048" w:rsidRDefault="00F26144" w:rsidP="00512048">
      <w:pPr>
        <w:pStyle w:val="Ttulondice"/>
        <w:suppressAutoHyphens/>
      </w:pPr>
      <w:r w:rsidRPr="00F26144">
        <w:t>RANGO DE LEY IMPUGNADAS</w:t>
      </w: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pPr>
    </w:p>
    <w:p w:rsidR="00512048" w:rsidRDefault="00512048" w:rsidP="00512048">
      <w:pPr>
        <w:pStyle w:val="TextoNormal"/>
      </w:pPr>
      <w:bookmarkStart w:id="221" w:name="INDICE22802"/>
      <w:bookmarkEnd w:id="221"/>
    </w:p>
    <w:p w:rsidR="00512048" w:rsidRDefault="001C20A5" w:rsidP="00512048">
      <w:pPr>
        <w:pStyle w:val="TextoIndiceNivel2"/>
        <w:suppressAutoHyphens/>
      </w:pPr>
      <w:r>
        <w:t>A) Disposiciones con fuerza de ley del Estado</w:t>
      </w:r>
    </w:p>
    <w:p w:rsidR="00512048" w:rsidRDefault="00512048" w:rsidP="00512048">
      <w:pPr>
        <w:pStyle w:val="TextoIndiceNivel2"/>
      </w:pPr>
    </w:p>
    <w:p w:rsidR="00512048" w:rsidRDefault="00512048" w:rsidP="00512048">
      <w:pPr>
        <w:pStyle w:val="TextoNormalNegritaCursivandice"/>
      </w:pPr>
      <w:r>
        <w:t>Acuerdo entre el Estado español y la Santa Sede de 3 de enero de 1979. Enseñanza y asuntos culturales, ratificado por Instrumento de 4 de diciembre de 1979</w:t>
      </w:r>
    </w:p>
    <w:p w:rsidR="00512048" w:rsidRDefault="00512048" w:rsidP="00512048">
      <w:pPr>
        <w:pStyle w:val="SangriaFrancesaArticulo"/>
      </w:pPr>
      <w:r w:rsidRPr="00512048">
        <w:rPr>
          <w:rStyle w:val="TextoNormalNegritaCaracter"/>
        </w:rPr>
        <w:t>Artículo III.</w:t>
      </w:r>
      <w:r w:rsidRPr="00512048">
        <w:rPr>
          <w:rStyle w:val="TextoNormalCaracter"/>
        </w:rPr>
        <w:t>-</w:t>
      </w:r>
      <w:r>
        <w:t xml:space="preserve"> Auto </w:t>
      </w:r>
      <w:hyperlink w:anchor="AUTO_2007_257" w:history="1">
        <w:r w:rsidRPr="00512048">
          <w:rPr>
            <w:rStyle w:val="TextoNormalCaracter"/>
          </w:rPr>
          <w:t>257/2007</w:t>
        </w:r>
      </w:hyperlink>
      <w:r>
        <w:t>.</w:t>
      </w:r>
    </w:p>
    <w:p w:rsidR="00512048" w:rsidRDefault="00512048" w:rsidP="00512048">
      <w:pPr>
        <w:pStyle w:val="SangriaFrancesaArticulo"/>
      </w:pPr>
      <w:r w:rsidRPr="00512048">
        <w:rPr>
          <w:rStyle w:val="TextoNormalNegritaCaracter"/>
        </w:rPr>
        <w:t>Artículo VI.</w:t>
      </w:r>
      <w:r w:rsidRPr="00512048">
        <w:rPr>
          <w:rStyle w:val="TextoNormalCaracter"/>
        </w:rPr>
        <w:t>-</w:t>
      </w:r>
      <w:r>
        <w:t xml:space="preserve"> Auto </w:t>
      </w:r>
      <w:hyperlink w:anchor="AUTO_2007_257" w:history="1">
        <w:r w:rsidRPr="00512048">
          <w:rPr>
            <w:rStyle w:val="TextoNormalCaracter"/>
          </w:rPr>
          <w:t>257/2007</w:t>
        </w:r>
      </w:hyperlink>
      <w:r>
        <w:t>.</w:t>
      </w:r>
    </w:p>
    <w:p w:rsidR="00512048" w:rsidRDefault="00512048" w:rsidP="00512048">
      <w:pPr>
        <w:pStyle w:val="SangriaFrancesaArticulo"/>
      </w:pPr>
      <w:r w:rsidRPr="00512048">
        <w:rPr>
          <w:rStyle w:val="TextoNormalNegritaCaracter"/>
        </w:rPr>
        <w:t>Artículo VII.</w:t>
      </w:r>
      <w:r w:rsidRPr="00512048">
        <w:rPr>
          <w:rStyle w:val="TextoNormalCaracter"/>
        </w:rPr>
        <w:t>-</w:t>
      </w:r>
      <w:r>
        <w:t xml:space="preserve"> Auto </w:t>
      </w:r>
      <w:hyperlink w:anchor="AUTO_2007_257" w:history="1">
        <w:r w:rsidRPr="00512048">
          <w:rPr>
            <w:rStyle w:val="TextoNormalCaracter"/>
          </w:rPr>
          <w:t>257/2007</w:t>
        </w:r>
      </w:hyperlink>
      <w:r>
        <w:t>.</w:t>
      </w:r>
    </w:p>
    <w:p w:rsidR="00512048" w:rsidRDefault="00512048" w:rsidP="00512048">
      <w:pPr>
        <w:pStyle w:val="SangriaFrancesaArticulo"/>
      </w:pPr>
    </w:p>
    <w:p w:rsidR="00512048" w:rsidRDefault="00512048" w:rsidP="00512048">
      <w:pPr>
        <w:pStyle w:val="TextoNormalNegritaCursivandice"/>
      </w:pPr>
      <w:r>
        <w:t>Ley Orgánica 1/1990, de 3 de octubre. Ordenación general del sistema educativo</w:t>
      </w:r>
    </w:p>
    <w:p w:rsidR="00512048" w:rsidRDefault="00512048" w:rsidP="00512048">
      <w:pPr>
        <w:pStyle w:val="SangriaFrancesaArticulo"/>
      </w:pPr>
      <w:r w:rsidRPr="00512048">
        <w:rPr>
          <w:rStyle w:val="TextoNormalNegritaCaracter"/>
        </w:rPr>
        <w:t>Disposición adicional segunda</w:t>
      </w:r>
      <w:r>
        <w:t xml:space="preserve"> </w:t>
      </w:r>
      <w:r w:rsidRPr="00512048">
        <w:rPr>
          <w:rStyle w:val="TextoNormalCaracter"/>
        </w:rPr>
        <w:t>(redactada por la Ley 50/1998, de 30 de diciembre)</w:t>
      </w:r>
      <w:r w:rsidRPr="00512048">
        <w:rPr>
          <w:rStyle w:val="TextoNormalNegritaCaracter"/>
        </w:rPr>
        <w:t>.</w:t>
      </w:r>
      <w:r w:rsidRPr="00512048">
        <w:rPr>
          <w:rStyle w:val="TextoNormalCaracter"/>
        </w:rPr>
        <w:t>-</w:t>
      </w:r>
      <w:r>
        <w:t xml:space="preserve"> Auto </w:t>
      </w:r>
      <w:hyperlink w:anchor="AUTO_2007_257" w:history="1">
        <w:r w:rsidRPr="00512048">
          <w:rPr>
            <w:rStyle w:val="TextoNormalCaracter"/>
          </w:rPr>
          <w:t>257/2007</w:t>
        </w:r>
      </w:hyperlink>
      <w:r>
        <w:t>.</w:t>
      </w:r>
    </w:p>
    <w:p w:rsidR="00512048" w:rsidRDefault="00512048" w:rsidP="00512048">
      <w:pPr>
        <w:pStyle w:val="SangriaFrancesaArticulo"/>
      </w:pPr>
    </w:p>
    <w:p w:rsidR="00512048" w:rsidRDefault="00512048" w:rsidP="00512048">
      <w:pPr>
        <w:pStyle w:val="TextoNormalNegritaCursivandice"/>
      </w:pPr>
      <w:r>
        <w:t>Real Decreto Legislativo 1/1994, de 20 de junio. Texto refundido de la Ley general de la Seguridad Social</w:t>
      </w:r>
    </w:p>
    <w:p w:rsidR="00512048" w:rsidRDefault="00512048" w:rsidP="00512048">
      <w:pPr>
        <w:pStyle w:val="SangriaFrancesaArticulo"/>
      </w:pPr>
      <w:r w:rsidRPr="00512048">
        <w:rPr>
          <w:rStyle w:val="TextoNormalNegritaCaracter"/>
        </w:rPr>
        <w:t>Artículo 174.2</w:t>
      </w:r>
      <w:r>
        <w:t xml:space="preserve"> </w:t>
      </w:r>
      <w:r w:rsidRPr="00512048">
        <w:rPr>
          <w:rStyle w:val="TextoNormalCaracter"/>
        </w:rPr>
        <w:t>(redactado por la Ley 66/1997, de 30 de diciembre)</w:t>
      </w:r>
      <w:r w:rsidRPr="00512048">
        <w:rPr>
          <w:rStyle w:val="TextoNormalNegritaCaracter"/>
        </w:rPr>
        <w:t>.</w:t>
      </w:r>
      <w:r w:rsidRPr="00512048">
        <w:rPr>
          <w:rStyle w:val="TextoNormalCaracter"/>
        </w:rPr>
        <w:t>-</w:t>
      </w:r>
      <w:r>
        <w:t xml:space="preserve"> Auto </w:t>
      </w:r>
      <w:hyperlink w:anchor="AUTO_2007_328" w:history="1">
        <w:r w:rsidRPr="00512048">
          <w:rPr>
            <w:rStyle w:val="TextoNormalCaracter"/>
          </w:rPr>
          <w:t>328/2007</w:t>
        </w:r>
      </w:hyperlink>
      <w:r>
        <w:t>.</w:t>
      </w:r>
    </w:p>
    <w:p w:rsidR="00512048" w:rsidRDefault="00512048" w:rsidP="00512048">
      <w:pPr>
        <w:pStyle w:val="SangriaFrancesaArticulo"/>
      </w:pPr>
    </w:p>
    <w:p w:rsidR="00512048" w:rsidRDefault="00512048" w:rsidP="00512048">
      <w:pPr>
        <w:pStyle w:val="TextoNormalNegritaCursivandice"/>
      </w:pPr>
      <w:r>
        <w:t>Ley 26/1994, de 29 de septiembre. Regulación de la situación de la segunda actividad en el Cuerpo nacional de policía</w:t>
      </w:r>
    </w:p>
    <w:p w:rsidR="00512048" w:rsidRDefault="00512048" w:rsidP="00512048">
      <w:pPr>
        <w:pStyle w:val="SangriaFrancesaArticulo"/>
      </w:pPr>
      <w:r w:rsidRPr="00512048">
        <w:rPr>
          <w:rStyle w:val="TextoNormalNegritaCaracter"/>
        </w:rPr>
        <w:t>Disposición transitoria sexta, párrafo 3</w:t>
      </w:r>
      <w:r>
        <w:t xml:space="preserve"> </w:t>
      </w:r>
      <w:r w:rsidRPr="00512048">
        <w:rPr>
          <w:rStyle w:val="TextoNormalCaracter"/>
        </w:rPr>
        <w:t>(redactada por la Ley 24/2001, de 27 de diciembre)</w:t>
      </w:r>
      <w:r w:rsidRPr="00512048">
        <w:rPr>
          <w:rStyle w:val="TextoNormalNegritaCaracter"/>
        </w:rPr>
        <w:t>.</w:t>
      </w:r>
      <w:r w:rsidRPr="00512048">
        <w:rPr>
          <w:rStyle w:val="TextoNormalCaracter"/>
        </w:rPr>
        <w:t>-</w:t>
      </w:r>
      <w:r>
        <w:t xml:space="preserve"> Autos </w:t>
      </w:r>
      <w:hyperlink w:anchor="AUTO_2007_352" w:history="1">
        <w:r w:rsidRPr="00512048">
          <w:rPr>
            <w:rStyle w:val="TextoNormalCaracter"/>
          </w:rPr>
          <w:t>352/2007</w:t>
        </w:r>
      </w:hyperlink>
      <w:r>
        <w:t xml:space="preserve">; </w:t>
      </w:r>
      <w:hyperlink w:anchor="AUTO_2007_353" w:history="1">
        <w:r w:rsidRPr="00512048">
          <w:rPr>
            <w:rStyle w:val="TextoNormalCaracter"/>
          </w:rPr>
          <w:t>353/2007</w:t>
        </w:r>
      </w:hyperlink>
      <w:r>
        <w:t>.</w:t>
      </w:r>
    </w:p>
    <w:p w:rsidR="00512048" w:rsidRDefault="00512048" w:rsidP="00512048">
      <w:pPr>
        <w:pStyle w:val="SangriaFrancesaArticulo"/>
      </w:pPr>
    </w:p>
    <w:p w:rsidR="00512048" w:rsidRDefault="00512048" w:rsidP="00512048">
      <w:pPr>
        <w:pStyle w:val="TextoNormalNegritaCursivandice"/>
      </w:pPr>
      <w:r>
        <w:t>Real Decreto Legislativo 1/1996, de 12 de abril. Texto refundido de la Ley de propiedad intelectual, regularizando, aclarando y armonizando las disposiciones legales vigentes sobre la materia</w:t>
      </w:r>
    </w:p>
    <w:p w:rsidR="00512048" w:rsidRDefault="00512048" w:rsidP="00512048">
      <w:pPr>
        <w:pStyle w:val="SangriaFrancesaArticulo"/>
      </w:pPr>
      <w:r w:rsidRPr="00512048">
        <w:rPr>
          <w:rStyle w:val="TextoNormalNegritaCaracter"/>
        </w:rPr>
        <w:t>Artículo 145</w:t>
      </w:r>
      <w:r>
        <w:t xml:space="preserve"> </w:t>
      </w:r>
      <w:r w:rsidRPr="00512048">
        <w:rPr>
          <w:rStyle w:val="TextoNormalCaracter"/>
        </w:rPr>
        <w:t>(convertido en artículo 150 tras la renumeración hecha por la Ley 5/1998, de 6 de marzo)</w:t>
      </w:r>
      <w:r w:rsidRPr="00512048">
        <w:rPr>
          <w:rStyle w:val="TextoNormalNegritaCaracter"/>
        </w:rPr>
        <w:t>.</w:t>
      </w:r>
      <w:r w:rsidRPr="00512048">
        <w:rPr>
          <w:rStyle w:val="TextoNormalCaracter"/>
        </w:rPr>
        <w:t>-</w:t>
      </w:r>
      <w:r>
        <w:t xml:space="preserve"> Auto </w:t>
      </w:r>
      <w:hyperlink w:anchor="AUTO_2007_289" w:history="1">
        <w:r w:rsidRPr="00512048">
          <w:rPr>
            <w:rStyle w:val="TextoNormalCaracter"/>
          </w:rPr>
          <w:t>289/2007</w:t>
        </w:r>
      </w:hyperlink>
      <w:r>
        <w:t>.</w:t>
      </w:r>
    </w:p>
    <w:p w:rsidR="00512048" w:rsidRDefault="00512048" w:rsidP="00512048">
      <w:pPr>
        <w:pStyle w:val="SangriaFrancesaArticulo"/>
      </w:pPr>
      <w:r w:rsidRPr="00512048">
        <w:rPr>
          <w:rStyle w:val="TextoNormalNegritaCaracter"/>
        </w:rPr>
        <w:t>Artículo 145 párrafo 2.</w:t>
      </w:r>
      <w:r w:rsidRPr="00512048">
        <w:rPr>
          <w:rStyle w:val="TextoNormalCaracter"/>
        </w:rPr>
        <w:t>-</w:t>
      </w:r>
      <w:r>
        <w:t xml:space="preserve"> Sentencia </w:t>
      </w:r>
      <w:hyperlink w:anchor="SENTENCIA_2007_166" w:history="1">
        <w:r w:rsidRPr="00512048">
          <w:rPr>
            <w:rStyle w:val="TextoNormalCaracter"/>
          </w:rPr>
          <w:t>166/2007</w:t>
        </w:r>
      </w:hyperlink>
      <w:r>
        <w:t>.</w:t>
      </w:r>
    </w:p>
    <w:p w:rsidR="00512048" w:rsidRDefault="00512048" w:rsidP="00512048">
      <w:pPr>
        <w:pStyle w:val="SangriaFrancesaArticulo"/>
      </w:pPr>
      <w:r w:rsidRPr="00512048">
        <w:rPr>
          <w:rStyle w:val="TextoNormalNegritaCaracter"/>
        </w:rPr>
        <w:lastRenderedPageBreak/>
        <w:t>Artículo 150 párrafo 2</w:t>
      </w:r>
      <w:r>
        <w:t xml:space="preserve"> </w:t>
      </w:r>
      <w:r w:rsidRPr="00512048">
        <w:rPr>
          <w:rStyle w:val="TextoNormalCaracter"/>
        </w:rPr>
        <w:t>(redactado por la Ley 5/1998, de 6 de marzo)</w:t>
      </w:r>
      <w:r w:rsidRPr="00512048">
        <w:rPr>
          <w:rStyle w:val="TextoNormalNegritaCaracter"/>
        </w:rPr>
        <w:t>.</w:t>
      </w:r>
      <w:r w:rsidRPr="00512048">
        <w:rPr>
          <w:rStyle w:val="TextoNormalCaracter"/>
        </w:rPr>
        <w:t>-</w:t>
      </w:r>
      <w:r>
        <w:t xml:space="preserve"> Sentencia </w:t>
      </w:r>
      <w:hyperlink w:anchor="SENTENCIA_2007_166" w:history="1">
        <w:r w:rsidRPr="00512048">
          <w:rPr>
            <w:rStyle w:val="TextoNormalCaracter"/>
          </w:rPr>
          <w:t>166/2007</w:t>
        </w:r>
      </w:hyperlink>
      <w:r>
        <w:t>.</w:t>
      </w:r>
    </w:p>
    <w:p w:rsidR="00512048" w:rsidRDefault="00512048" w:rsidP="00512048">
      <w:pPr>
        <w:pStyle w:val="SangriaFrancesaArticulo"/>
      </w:pPr>
    </w:p>
    <w:p w:rsidR="00512048" w:rsidRDefault="00512048" w:rsidP="00512048">
      <w:pPr>
        <w:pStyle w:val="TextoNormalNegritaCursivandice"/>
      </w:pPr>
      <w:r>
        <w:t>Ley 66/1997, de 30 de diciembre. Medidas fiscales, administrativas y del orden social</w:t>
      </w:r>
    </w:p>
    <w:p w:rsidR="00512048" w:rsidRDefault="00512048" w:rsidP="00512048">
      <w:pPr>
        <w:pStyle w:val="SangriaFrancesaArticulo"/>
      </w:pPr>
      <w:r w:rsidRPr="00512048">
        <w:rPr>
          <w:rStyle w:val="TextoNormalNegritaCaracter"/>
        </w:rPr>
        <w:t>Disposición adicional decimotercera.</w:t>
      </w:r>
      <w:r w:rsidRPr="00512048">
        <w:rPr>
          <w:rStyle w:val="TextoNormalCaracter"/>
        </w:rPr>
        <w:t>-</w:t>
      </w:r>
      <w:r>
        <w:t xml:space="preserve"> Auto </w:t>
      </w:r>
      <w:hyperlink w:anchor="AUTO_2007_328" w:history="1">
        <w:r w:rsidRPr="00512048">
          <w:rPr>
            <w:rStyle w:val="TextoNormalCaracter"/>
          </w:rPr>
          <w:t>328/2007</w:t>
        </w:r>
      </w:hyperlink>
      <w:r>
        <w:t>.</w:t>
      </w:r>
    </w:p>
    <w:p w:rsidR="00512048" w:rsidRDefault="00512048" w:rsidP="00512048">
      <w:pPr>
        <w:pStyle w:val="SangriaFrancesaArticulo"/>
      </w:pPr>
    </w:p>
    <w:p w:rsidR="00512048" w:rsidRDefault="00512048" w:rsidP="00512048">
      <w:pPr>
        <w:pStyle w:val="TextoNormalNegritaCursivandice"/>
      </w:pPr>
      <w:r>
        <w:t>Ley 5/1998, de 6 de marzo.  Incorporación al Derecho español de la Directiva 96/9/CE, del Parlamento Europeo y del Consejo, de 11 de marzo de 1996, sobre la protección jurídica de las bases de datos</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66" w:history="1">
        <w:r w:rsidRPr="00512048">
          <w:rPr>
            <w:rStyle w:val="TextoNormalCaracter"/>
          </w:rPr>
          <w:t>166/2007</w:t>
        </w:r>
      </w:hyperlink>
      <w:r>
        <w:t>.</w:t>
      </w:r>
    </w:p>
    <w:p w:rsidR="00512048" w:rsidRDefault="00512048" w:rsidP="00512048">
      <w:pPr>
        <w:pStyle w:val="SangriaIzquierdaArticulo"/>
      </w:pPr>
      <w:r>
        <w:t xml:space="preserve">Auto </w:t>
      </w:r>
      <w:hyperlink w:anchor="AUTO_2007_289" w:history="1">
        <w:r w:rsidRPr="00512048">
          <w:rPr>
            <w:rStyle w:val="TextoNormalCaracter"/>
          </w:rPr>
          <w:t>289/2007</w:t>
        </w:r>
      </w:hyperlink>
      <w:r>
        <w:t>.</w:t>
      </w:r>
    </w:p>
    <w:p w:rsidR="00512048" w:rsidRDefault="00512048" w:rsidP="00512048">
      <w:pPr>
        <w:pStyle w:val="SangriaIzquierdaArticulo"/>
      </w:pPr>
    </w:p>
    <w:p w:rsidR="00512048" w:rsidRDefault="00512048" w:rsidP="00512048">
      <w:pPr>
        <w:pStyle w:val="TextoNormalNegritaCursivandice"/>
      </w:pPr>
      <w:r>
        <w:t>Ley 50/1998, de 30 de diciembre. Medidas fiscales, administrativas y del orden social</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Auto </w:t>
      </w:r>
      <w:hyperlink w:anchor="AUTO_2007_257" w:history="1">
        <w:r w:rsidRPr="00512048">
          <w:rPr>
            <w:rStyle w:val="TextoNormalCaracter"/>
          </w:rPr>
          <w:t>257/2007</w:t>
        </w:r>
      </w:hyperlink>
      <w:r>
        <w:t>.</w:t>
      </w:r>
    </w:p>
    <w:p w:rsidR="00512048" w:rsidRDefault="00512048" w:rsidP="00512048">
      <w:pPr>
        <w:pStyle w:val="SangriaFrancesaArticulo"/>
      </w:pPr>
    </w:p>
    <w:p w:rsidR="00512048" w:rsidRDefault="00512048" w:rsidP="00512048">
      <w:pPr>
        <w:pStyle w:val="TextoNormalNegritaCursivandice"/>
      </w:pPr>
      <w:r>
        <w:t>Ley 24/2001, de 27 de diciembre.  Medidas fiscales, administrativas y del orden social</w:t>
      </w:r>
    </w:p>
    <w:p w:rsidR="00512048" w:rsidRDefault="00512048" w:rsidP="00512048">
      <w:pPr>
        <w:pStyle w:val="SangriaFrancesaArticulo"/>
      </w:pPr>
      <w:r w:rsidRPr="00512048">
        <w:rPr>
          <w:rStyle w:val="TextoNormalNegritaCaracter"/>
        </w:rPr>
        <w:t>Artículo 58.</w:t>
      </w:r>
      <w:r w:rsidRPr="00512048">
        <w:rPr>
          <w:rStyle w:val="TextoNormalCaracter"/>
        </w:rPr>
        <w:t>-</w:t>
      </w:r>
      <w:r>
        <w:t xml:space="preserve"> Autos </w:t>
      </w:r>
      <w:hyperlink w:anchor="AUTO_2007_352" w:history="1">
        <w:r w:rsidRPr="00512048">
          <w:rPr>
            <w:rStyle w:val="TextoNormalCaracter"/>
          </w:rPr>
          <w:t>352/2007</w:t>
        </w:r>
      </w:hyperlink>
      <w:r>
        <w:t xml:space="preserve">; </w:t>
      </w:r>
      <w:hyperlink w:anchor="AUTO_2007_353" w:history="1">
        <w:r w:rsidRPr="00512048">
          <w:rPr>
            <w:rStyle w:val="TextoNormalCaracter"/>
          </w:rPr>
          <w:t>353/2007</w:t>
        </w:r>
      </w:hyperlink>
      <w:r>
        <w:t>.</w:t>
      </w:r>
    </w:p>
    <w:p w:rsidR="00512048" w:rsidRDefault="00512048" w:rsidP="00512048">
      <w:pPr>
        <w:pStyle w:val="SangriaFrancesaArticulo"/>
      </w:pPr>
    </w:p>
    <w:p w:rsidR="00512048" w:rsidRDefault="00512048" w:rsidP="00512048">
      <w:pPr>
        <w:pStyle w:val="TextoNormalNegritaCursivandice"/>
      </w:pPr>
      <w:r>
        <w:t>Real Decreto-ley 5/2002, de 24 de mayo. Medidas urgentes para la reforma del sistema de protección por desempleo y mejora de la ocupabilidad</w:t>
      </w:r>
    </w:p>
    <w:p w:rsidR="00512048" w:rsidRDefault="00512048" w:rsidP="00512048">
      <w:pPr>
        <w:pStyle w:val="SangriaFrancesaArticulo"/>
      </w:pPr>
      <w:r w:rsidRPr="00512048">
        <w:rPr>
          <w:rStyle w:val="TextoNormalNegritaCaracter"/>
        </w:rPr>
        <w:t>Artículo 2.3.</w:t>
      </w:r>
      <w:r w:rsidRPr="00512048">
        <w:rPr>
          <w:rStyle w:val="TextoNormalCaracter"/>
        </w:rPr>
        <w:t>-</w:t>
      </w:r>
      <w:r>
        <w:t xml:space="preserve"> Auto </w:t>
      </w:r>
      <w:hyperlink w:anchor="AUTO_2007_290" w:history="1">
        <w:r w:rsidRPr="00512048">
          <w:rPr>
            <w:rStyle w:val="TextoNormalCaracter"/>
          </w:rPr>
          <w:t>290/2007</w:t>
        </w:r>
      </w:hyperlink>
      <w:r>
        <w:t>.</w:t>
      </w:r>
    </w:p>
    <w:p w:rsidR="00512048" w:rsidRDefault="00512048" w:rsidP="00512048">
      <w:pPr>
        <w:pStyle w:val="SangriaFrancesaArticulo"/>
      </w:pPr>
    </w:p>
    <w:p w:rsidR="00512048" w:rsidRDefault="00512048" w:rsidP="00512048">
      <w:pPr>
        <w:pStyle w:val="TextoNormalNegritaCursivandice"/>
      </w:pPr>
      <w:r>
        <w:t>Ley Orgánica 20/2003, de 23 de diciembre. Modificación de la Ley Orgánica del Poder Judicial y del Código penal</w:t>
      </w:r>
    </w:p>
    <w:p w:rsidR="00512048" w:rsidRDefault="00512048" w:rsidP="00512048">
      <w:pPr>
        <w:pStyle w:val="SangriaFrancesaArticulo"/>
      </w:pPr>
      <w:r w:rsidRPr="00512048">
        <w:rPr>
          <w:rStyle w:val="TextoNormalNegritaCaracter"/>
        </w:rPr>
        <w:t>Artículo 2.</w:t>
      </w:r>
      <w:r w:rsidRPr="00512048">
        <w:rPr>
          <w:rStyle w:val="TextoNormalCaracter"/>
        </w:rPr>
        <w:t>-</w:t>
      </w:r>
      <w:r>
        <w:t xml:space="preserve"> Auto </w:t>
      </w:r>
      <w:hyperlink w:anchor="AUTO_2007_311" w:history="1">
        <w:r w:rsidRPr="00512048">
          <w:rPr>
            <w:rStyle w:val="TextoNormalCaracter"/>
          </w:rPr>
          <w:t>311/2007</w:t>
        </w:r>
      </w:hyperlink>
      <w:r>
        <w:t>.</w:t>
      </w:r>
    </w:p>
    <w:p w:rsidR="00512048" w:rsidRDefault="00512048" w:rsidP="00512048">
      <w:pPr>
        <w:pStyle w:val="TextoNormal"/>
      </w:pPr>
    </w:p>
    <w:p w:rsidR="00512048" w:rsidRDefault="00512048" w:rsidP="00512048">
      <w:pPr>
        <w:pStyle w:val="SangriaFrancesaArticulo"/>
      </w:pPr>
      <w:bookmarkStart w:id="222" w:name="INDICE22806"/>
    </w:p>
    <w:bookmarkEnd w:id="222"/>
    <w:p w:rsidR="00512048" w:rsidRDefault="00C7232C" w:rsidP="00512048">
      <w:pPr>
        <w:pStyle w:val="TextoIndiceNivel2"/>
        <w:suppressAutoHyphens/>
      </w:pPr>
      <w:r>
        <w:t>B) Disposiciones con fuerza de ley de las Comunidades Autónomas</w:t>
      </w:r>
    </w:p>
    <w:p w:rsidR="00512048" w:rsidRDefault="00512048" w:rsidP="00512048">
      <w:pPr>
        <w:pStyle w:val="TextoNormal"/>
      </w:pPr>
    </w:p>
    <w:p w:rsidR="00512048" w:rsidRDefault="00512048" w:rsidP="00512048">
      <w:pPr>
        <w:pStyle w:val="TextoNormalNegritaCentrado"/>
        <w:suppressAutoHyphens/>
      </w:pPr>
      <w:r w:rsidRPr="00512048">
        <w:rPr>
          <w:rStyle w:val="TextoNormalNegritaCentradoSombreado"/>
        </w:rPr>
        <w:t>B.1) Andalucía</w:t>
      </w:r>
    </w:p>
    <w:p w:rsidR="00512048" w:rsidRDefault="00512048" w:rsidP="00512048">
      <w:pPr>
        <w:pStyle w:val="TextoNormalNegritaCentrado"/>
      </w:pPr>
    </w:p>
    <w:p w:rsidR="00512048" w:rsidRDefault="00512048" w:rsidP="00512048">
      <w:pPr>
        <w:pStyle w:val="TextoNormalNegritaCursivandice"/>
      </w:pPr>
      <w:r>
        <w:t>Ley Orgánica 2/2007, de 19 de marzo. Reforma del Estatuto de Autonomía de Andalucía</w:t>
      </w:r>
    </w:p>
    <w:p w:rsidR="00512048" w:rsidRDefault="00512048" w:rsidP="00512048">
      <w:pPr>
        <w:pStyle w:val="SangriaFrancesaArticulo"/>
      </w:pPr>
      <w:r w:rsidRPr="00512048">
        <w:rPr>
          <w:rStyle w:val="TextoNormalNegritaCaracter"/>
        </w:rPr>
        <w:t>Disposición adicional tercera, apartado 2.</w:t>
      </w:r>
      <w:r w:rsidRPr="00512048">
        <w:rPr>
          <w:rStyle w:val="TextoNormalCaracter"/>
        </w:rPr>
        <w:t>-</w:t>
      </w:r>
      <w:r>
        <w:t xml:space="preserve"> Auto </w:t>
      </w:r>
      <w:hyperlink w:anchor="AUTO_2007_329" w:history="1">
        <w:r w:rsidRPr="00512048">
          <w:rPr>
            <w:rStyle w:val="TextoNormalCaracter"/>
          </w:rPr>
          <w:t>329/2007</w:t>
        </w:r>
      </w:hyperlink>
      <w:r>
        <w:t>.</w:t>
      </w:r>
    </w:p>
    <w:p w:rsidR="00512048" w:rsidRDefault="00512048" w:rsidP="00512048">
      <w:pPr>
        <w:pStyle w:val="TextoNormal"/>
      </w:pPr>
    </w:p>
    <w:p w:rsidR="00512048" w:rsidRDefault="00512048" w:rsidP="00512048">
      <w:pPr>
        <w:pStyle w:val="TextoNormalNegritaCentrado"/>
        <w:suppressAutoHyphens/>
      </w:pPr>
      <w:r w:rsidRPr="00512048">
        <w:rPr>
          <w:rStyle w:val="TextoNormalNegritaCentradoSombreado"/>
        </w:rPr>
        <w:t>B.2) Baleares</w:t>
      </w:r>
    </w:p>
    <w:p w:rsidR="00512048" w:rsidRDefault="00512048" w:rsidP="00512048">
      <w:pPr>
        <w:pStyle w:val="TextoNormalNegritaCentrado"/>
      </w:pPr>
    </w:p>
    <w:p w:rsidR="00512048" w:rsidRDefault="00512048" w:rsidP="00512048">
      <w:pPr>
        <w:pStyle w:val="TextoNormalNegritaCursivandice"/>
      </w:pPr>
      <w:r>
        <w:t>Ley del Parlamento de las Illes Balears 9/2000, de 27 de octubre. Modificación de la Ley 12/1999, de 23 de diciembre, de medidas tributarias, administrativas y de función pública y económicas</w:t>
      </w:r>
    </w:p>
    <w:p w:rsidR="00512048" w:rsidRDefault="00512048" w:rsidP="00512048">
      <w:pPr>
        <w:pStyle w:val="SangriaFrancesaArticulo"/>
      </w:pPr>
      <w:r w:rsidRPr="00512048">
        <w:rPr>
          <w:rStyle w:val="TextoNormalNegritaCaracter"/>
        </w:rPr>
        <w:lastRenderedPageBreak/>
        <w:t>Artículo único.</w:t>
      </w:r>
      <w:r w:rsidRPr="00512048">
        <w:rPr>
          <w:rStyle w:val="TextoNormalCaracter"/>
        </w:rPr>
        <w:t>-</w:t>
      </w:r>
      <w:r>
        <w:t xml:space="preserve"> Auto </w:t>
      </w:r>
      <w:hyperlink w:anchor="AUTO_2007_326" w:history="1">
        <w:r w:rsidRPr="00512048">
          <w:rPr>
            <w:rStyle w:val="TextoNormalCaracter"/>
          </w:rPr>
          <w:t>326/2007</w:t>
        </w:r>
      </w:hyperlink>
      <w:r>
        <w:t>.</w:t>
      </w:r>
    </w:p>
    <w:p w:rsidR="00512048" w:rsidRDefault="00512048" w:rsidP="00512048">
      <w:pPr>
        <w:pStyle w:val="TextoNormal"/>
      </w:pPr>
    </w:p>
    <w:p w:rsidR="00512048" w:rsidRDefault="00512048" w:rsidP="00512048">
      <w:pPr>
        <w:pStyle w:val="TextoNormalNegritaCentrado"/>
        <w:suppressAutoHyphens/>
      </w:pPr>
      <w:r w:rsidRPr="00512048">
        <w:rPr>
          <w:rStyle w:val="TextoNormalNegritaCentradoSombreado"/>
        </w:rPr>
        <w:t>B.3) Castilla-La Mancha</w:t>
      </w:r>
    </w:p>
    <w:p w:rsidR="00512048" w:rsidRDefault="00512048" w:rsidP="00512048">
      <w:pPr>
        <w:pStyle w:val="TextoNormalNegritaCentrado"/>
      </w:pPr>
    </w:p>
    <w:p w:rsidR="00512048" w:rsidRDefault="00512048" w:rsidP="00512048">
      <w:pPr>
        <w:pStyle w:val="TextoNormalNegritaCursivandice"/>
      </w:pPr>
      <w:r>
        <w:t>Ley de las Cortes de Castilla-La Mancha 13/2005, de 29 de diciembre. Presupuestos Generales de la Junta de Comunidades de Castilla-La Mancha para 2006</w:t>
      </w:r>
    </w:p>
    <w:p w:rsidR="00512048" w:rsidRDefault="00512048" w:rsidP="00512048">
      <w:pPr>
        <w:pStyle w:val="SangriaFrancesaArticulo"/>
      </w:pPr>
      <w:r w:rsidRPr="00512048">
        <w:rPr>
          <w:rStyle w:val="TextoNormalNegritaCaracter"/>
        </w:rPr>
        <w:t>Artículo 49.1 a).</w:t>
      </w:r>
      <w:r w:rsidRPr="00512048">
        <w:rPr>
          <w:rStyle w:val="TextoNormalCaracter"/>
        </w:rPr>
        <w:t>-</w:t>
      </w:r>
      <w:r>
        <w:t xml:space="preserve"> Auto </w:t>
      </w:r>
      <w:hyperlink w:anchor="AUTO_2007_322" w:history="1">
        <w:r w:rsidRPr="00512048">
          <w:rPr>
            <w:rStyle w:val="TextoNormalCaracter"/>
          </w:rPr>
          <w:t>322/2007</w:t>
        </w:r>
      </w:hyperlink>
      <w:r>
        <w:t>.</w:t>
      </w:r>
    </w:p>
    <w:p w:rsidR="00512048" w:rsidRDefault="00512048" w:rsidP="00512048">
      <w:pPr>
        <w:pStyle w:val="TextoNormal"/>
      </w:pPr>
    </w:p>
    <w:p w:rsidR="00512048" w:rsidRDefault="00512048" w:rsidP="00512048">
      <w:pPr>
        <w:pStyle w:val="TextoNormalNegritaCentrado"/>
        <w:suppressAutoHyphens/>
      </w:pPr>
      <w:r w:rsidRPr="00512048">
        <w:rPr>
          <w:rStyle w:val="TextoNormalNegritaCentradoSombreado"/>
        </w:rPr>
        <w:t>B.4) Cataluña</w:t>
      </w:r>
    </w:p>
    <w:p w:rsidR="00512048" w:rsidRDefault="00512048" w:rsidP="00512048">
      <w:pPr>
        <w:pStyle w:val="TextoNormalNegritaCentrado"/>
      </w:pPr>
    </w:p>
    <w:p w:rsidR="00512048" w:rsidRDefault="00512048" w:rsidP="00512048">
      <w:pPr>
        <w:pStyle w:val="TextoNormalNegritaCursivandice"/>
      </w:pPr>
      <w:r>
        <w:t>Ley Orgánica 6/2006, de 19 de julio. Reforma del Estatuto de Autonomía de Cataluña</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Autos </w:t>
      </w:r>
      <w:hyperlink w:anchor="AUTO_2007_253" w:history="1">
        <w:r w:rsidRPr="00512048">
          <w:rPr>
            <w:rStyle w:val="TextoNormalCaracter"/>
          </w:rPr>
          <w:t>253/2007</w:t>
        </w:r>
      </w:hyperlink>
      <w:r>
        <w:t xml:space="preserve">; </w:t>
      </w:r>
      <w:hyperlink w:anchor="AUTO_2007_261" w:history="1">
        <w:r w:rsidRPr="00512048">
          <w:rPr>
            <w:rStyle w:val="TextoNormalCaracter"/>
          </w:rPr>
          <w:t>261/2007</w:t>
        </w:r>
      </w:hyperlink>
      <w:r>
        <w:t>.</w:t>
      </w:r>
    </w:p>
    <w:p w:rsidR="00512048" w:rsidRDefault="00512048">
      <w:pPr>
        <w:spacing w:after="160" w:line="259" w:lineRule="auto"/>
        <w:rPr>
          <w:rFonts w:ascii="Times New Roman" w:eastAsia="Times New Roman" w:hAnsi="Times New Roman" w:cs="Times New Roman"/>
          <w:sz w:val="24"/>
          <w:szCs w:val="24"/>
          <w:lang w:eastAsia="es-ES"/>
        </w:rPr>
      </w:pPr>
      <w:r>
        <w:br w:type="page"/>
      </w:r>
    </w:p>
    <w:p w:rsidR="00512048" w:rsidRDefault="00512048" w:rsidP="00512048">
      <w:pPr>
        <w:pStyle w:val="SangriaFrancesaArticulo"/>
      </w:pPr>
    </w:p>
    <w:p w:rsidR="00512048" w:rsidRDefault="00512048" w:rsidP="00512048">
      <w:pPr>
        <w:pStyle w:val="TextoNormal"/>
      </w:pPr>
    </w:p>
    <w:p w:rsidR="00512048" w:rsidRDefault="00512048" w:rsidP="00512048">
      <w:pPr>
        <w:pStyle w:val="TextoNormal"/>
      </w:pPr>
    </w:p>
    <w:p w:rsidR="00512048" w:rsidRDefault="00512048" w:rsidP="00512048">
      <w:pPr>
        <w:pStyle w:val="TextoNormal"/>
      </w:pPr>
    </w:p>
    <w:p w:rsidR="00F26144" w:rsidRDefault="00512048" w:rsidP="00512048">
      <w:pPr>
        <w:pStyle w:val="Ttulondice"/>
        <w:suppressAutoHyphens/>
      </w:pPr>
      <w:r>
        <w:t xml:space="preserve">4. ÍNDICE DE </w:t>
      </w:r>
      <w:r w:rsidR="00F26144" w:rsidRPr="00F26144">
        <w:t xml:space="preserve">DISPOSICIONES </w:t>
      </w:r>
    </w:p>
    <w:p w:rsidR="00512048" w:rsidRDefault="00F26144" w:rsidP="00512048">
      <w:pPr>
        <w:pStyle w:val="Ttulondice"/>
        <w:suppressAutoHyphens/>
      </w:pPr>
      <w:r w:rsidRPr="00F26144">
        <w:t>GENERALES IMPUGNADAS</w:t>
      </w: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pPr>
    </w:p>
    <w:p w:rsidR="00512048" w:rsidRDefault="00512048" w:rsidP="00512048">
      <w:pPr>
        <w:pStyle w:val="TextoNormal"/>
      </w:pPr>
      <w:bookmarkStart w:id="223" w:name="INDICE22803"/>
      <w:bookmarkEnd w:id="223"/>
    </w:p>
    <w:p w:rsidR="00512048" w:rsidRDefault="00512048" w:rsidP="00512048">
      <w:pPr>
        <w:pStyle w:val="TextoIndiceNivel2"/>
        <w:suppressAutoHyphens/>
      </w:pPr>
      <w:r>
        <w:t>A) Disposiciones del Estado</w:t>
      </w:r>
    </w:p>
    <w:p w:rsidR="00512048" w:rsidRDefault="00512048" w:rsidP="00512048">
      <w:pPr>
        <w:pStyle w:val="TextoIndiceNivel2"/>
      </w:pPr>
    </w:p>
    <w:p w:rsidR="00512048" w:rsidRDefault="00512048" w:rsidP="00512048">
      <w:pPr>
        <w:pStyle w:val="TextoNormalNegritaCursivandice"/>
      </w:pPr>
      <w:r>
        <w:t>Real Decreto 1301/2006, de 10 de noviembre. Normas de calidad y seguridad para la donación, obtención, evaluación, procesamiento, preservación, almacenamiento y distribución de células y tejidos humanos y aprobación de las normas de coordinación y funcionamiento para su uso en humanos</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Auto </w:t>
      </w:r>
      <w:hyperlink w:anchor="AUTO_2007_258" w:history="1">
        <w:r w:rsidRPr="00512048">
          <w:rPr>
            <w:rStyle w:val="TextoNormalCaracter"/>
          </w:rPr>
          <w:t>258/2007</w:t>
        </w:r>
      </w:hyperlink>
      <w:r>
        <w:t>.</w:t>
      </w:r>
    </w:p>
    <w:p w:rsidR="00512048" w:rsidRDefault="00512048">
      <w:pPr>
        <w:spacing w:after="160" w:line="259" w:lineRule="auto"/>
        <w:rPr>
          <w:rFonts w:ascii="Times New Roman" w:eastAsia="Times New Roman" w:hAnsi="Times New Roman" w:cs="Times New Roman"/>
          <w:sz w:val="24"/>
          <w:szCs w:val="24"/>
          <w:lang w:eastAsia="es-ES"/>
        </w:rPr>
      </w:pPr>
      <w:r>
        <w:br w:type="page"/>
      </w:r>
    </w:p>
    <w:p w:rsidR="00512048" w:rsidRDefault="00512048" w:rsidP="00512048">
      <w:pPr>
        <w:pStyle w:val="SangriaFrancesaArticulo"/>
      </w:pPr>
    </w:p>
    <w:p w:rsidR="00512048" w:rsidRDefault="00512048" w:rsidP="00512048">
      <w:pPr>
        <w:pStyle w:val="TextoNormal"/>
      </w:pPr>
    </w:p>
    <w:p w:rsidR="00512048" w:rsidRDefault="00512048" w:rsidP="00512048">
      <w:pPr>
        <w:pStyle w:val="TextoNormal"/>
      </w:pPr>
    </w:p>
    <w:p w:rsidR="00512048" w:rsidRDefault="00512048" w:rsidP="00512048">
      <w:pPr>
        <w:pStyle w:val="TextoNormal"/>
      </w:pPr>
    </w:p>
    <w:p w:rsidR="00512048" w:rsidRDefault="00512048" w:rsidP="00512048">
      <w:pPr>
        <w:pStyle w:val="Ttulondice"/>
        <w:suppressAutoHyphens/>
      </w:pPr>
      <w:r>
        <w:t>5. ÍNDICE DE DISPOSICIONES CITADAS</w:t>
      </w: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pPr>
    </w:p>
    <w:p w:rsidR="00512048" w:rsidRDefault="00512048" w:rsidP="00512048">
      <w:pPr>
        <w:pStyle w:val="TextoNormal"/>
      </w:pPr>
      <w:bookmarkStart w:id="224" w:name="INDICE22804"/>
      <w:bookmarkEnd w:id="224"/>
    </w:p>
    <w:p w:rsidR="00512048" w:rsidRDefault="00512048" w:rsidP="00512048">
      <w:pPr>
        <w:pStyle w:val="TextoIndiceNivel2"/>
        <w:suppressAutoHyphens/>
      </w:pPr>
      <w:r>
        <w:t>A) Constitución</w:t>
      </w:r>
    </w:p>
    <w:p w:rsidR="00512048" w:rsidRDefault="00512048" w:rsidP="00512048">
      <w:pPr>
        <w:pStyle w:val="TextoIndiceNivel2"/>
      </w:pPr>
    </w:p>
    <w:p w:rsidR="00512048" w:rsidRDefault="00512048" w:rsidP="00512048">
      <w:pPr>
        <w:pStyle w:val="TextoNormalNegritaCursivandice"/>
      </w:pPr>
      <w:r>
        <w:t>Constitución española, de 27 de diciembre de 1978</w:t>
      </w:r>
    </w:p>
    <w:p w:rsidR="00512048" w:rsidRDefault="00512048" w:rsidP="00512048">
      <w:pPr>
        <w:pStyle w:val="SangriaFrancesaArticulo"/>
      </w:pPr>
      <w:r w:rsidRPr="00512048">
        <w:rPr>
          <w:rStyle w:val="TextoNormalNegritaCaracter"/>
        </w:rPr>
        <w:t>Artículo 1.</w:t>
      </w:r>
      <w:r w:rsidRPr="00512048">
        <w:rPr>
          <w:rStyle w:val="TextoNormalCaracter"/>
        </w:rPr>
        <w:t>-</w:t>
      </w:r>
      <w:r>
        <w:t xml:space="preserve"> Sentencia </w:t>
      </w:r>
      <w:hyperlink w:anchor="SENTENCIA_2007_141" w:history="1">
        <w:r w:rsidRPr="00512048">
          <w:rPr>
            <w:rStyle w:val="TextoNormalCaracter"/>
          </w:rPr>
          <w:t>141/2007</w:t>
        </w:r>
      </w:hyperlink>
      <w:r>
        <w:t>, f. 3.</w:t>
      </w:r>
    </w:p>
    <w:p w:rsidR="00512048" w:rsidRDefault="00512048" w:rsidP="00512048">
      <w:pPr>
        <w:pStyle w:val="SangriaFrancesaArticulo"/>
      </w:pPr>
      <w:r w:rsidRPr="00512048">
        <w:rPr>
          <w:rStyle w:val="TextoNormalNegritaCaracter"/>
        </w:rPr>
        <w:t>Artículo 1.1.</w:t>
      </w:r>
      <w:r w:rsidRPr="00512048">
        <w:rPr>
          <w:rStyle w:val="TextoNormalCaracter"/>
        </w:rPr>
        <w:t>-</w:t>
      </w:r>
      <w:r>
        <w:t xml:space="preserve"> Sentencias </w:t>
      </w:r>
      <w:hyperlink w:anchor="SENTENCIA_2007_102" w:history="1">
        <w:r w:rsidRPr="00512048">
          <w:rPr>
            <w:rStyle w:val="TextoNormalCaracter"/>
          </w:rPr>
          <w:t>102/2007</w:t>
        </w:r>
      </w:hyperlink>
      <w:r>
        <w:t xml:space="preserve">, f. 2; </w:t>
      </w:r>
      <w:hyperlink w:anchor="SENTENCIA_2007_160" w:history="1">
        <w:r w:rsidRPr="00512048">
          <w:rPr>
            <w:rStyle w:val="TextoNormalCaracter"/>
          </w:rPr>
          <w:t>160/2007</w:t>
        </w:r>
      </w:hyperlink>
      <w:r>
        <w:t>, VP.</w:t>
      </w:r>
    </w:p>
    <w:p w:rsidR="00512048" w:rsidRDefault="00512048" w:rsidP="00512048">
      <w:pPr>
        <w:pStyle w:val="SangriaFrancesaArticulo"/>
      </w:pPr>
      <w:r w:rsidRPr="00512048">
        <w:rPr>
          <w:rStyle w:val="TextoNormalNegritaCaracter"/>
        </w:rPr>
        <w:t>Artículo 6.</w:t>
      </w:r>
      <w:r w:rsidRPr="00512048">
        <w:rPr>
          <w:rStyle w:val="TextoNormalCaracter"/>
        </w:rPr>
        <w:t>-</w:t>
      </w:r>
      <w:r>
        <w:t xml:space="preserve"> Sentencias </w:t>
      </w:r>
      <w:hyperlink w:anchor="SENTENCIA_2007_108" w:history="1">
        <w:r w:rsidRPr="00512048">
          <w:rPr>
            <w:rStyle w:val="TextoNormalCaracter"/>
          </w:rPr>
          <w:t>108/2007</w:t>
        </w:r>
      </w:hyperlink>
      <w:r>
        <w:t xml:space="preserve">, f. 1; </w:t>
      </w:r>
      <w:hyperlink w:anchor="SENTENCIA_2007_127" w:history="1">
        <w:r w:rsidRPr="00512048">
          <w:rPr>
            <w:rStyle w:val="TextoNormalCaracter"/>
          </w:rPr>
          <w:t>127/2007</w:t>
        </w:r>
      </w:hyperlink>
      <w:r>
        <w:t>, ff. 1, 2.</w:t>
      </w:r>
    </w:p>
    <w:p w:rsidR="00512048" w:rsidRDefault="00512048" w:rsidP="00512048">
      <w:pPr>
        <w:pStyle w:val="SangriaFrancesaArticulo"/>
      </w:pPr>
      <w:r w:rsidRPr="00512048">
        <w:rPr>
          <w:rStyle w:val="TextoNormalNegritaCaracter"/>
        </w:rPr>
        <w:t>Artículo 9.2.</w:t>
      </w:r>
      <w:r w:rsidRPr="00512048">
        <w:rPr>
          <w:rStyle w:val="TextoNormalCaracter"/>
        </w:rPr>
        <w:t>-</w:t>
      </w:r>
      <w:r>
        <w:t xml:space="preserve"> Sentencias </w:t>
      </w:r>
      <w:hyperlink w:anchor="SENTENCIA_2007_108" w:history="1">
        <w:r w:rsidRPr="00512048">
          <w:rPr>
            <w:rStyle w:val="TextoNormalCaracter"/>
          </w:rPr>
          <w:t>108/2007</w:t>
        </w:r>
      </w:hyperlink>
      <w:r>
        <w:t xml:space="preserve">, f. 1; </w:t>
      </w:r>
      <w:hyperlink w:anchor="SENTENCIA_2007_110" w:history="1">
        <w:r w:rsidRPr="00512048">
          <w:rPr>
            <w:rStyle w:val="TextoNormalCaracter"/>
          </w:rPr>
          <w:t>110/2007</w:t>
        </w:r>
      </w:hyperlink>
      <w:r>
        <w:t xml:space="preserve">, f. 2; </w:t>
      </w:r>
      <w:hyperlink w:anchor="SENTENCIA_2007_127" w:history="1">
        <w:r w:rsidRPr="00512048">
          <w:rPr>
            <w:rStyle w:val="TextoNormalCaracter"/>
          </w:rPr>
          <w:t>127/2007</w:t>
        </w:r>
      </w:hyperlink>
      <w:r>
        <w:t>, ff. 1, 2.</w:t>
      </w:r>
    </w:p>
    <w:p w:rsidR="00512048" w:rsidRDefault="00512048" w:rsidP="00512048">
      <w:pPr>
        <w:pStyle w:val="SangriaFrancesaArticulo"/>
      </w:pPr>
      <w:r w:rsidRPr="00512048">
        <w:rPr>
          <w:rStyle w:val="TextoNormalNegritaCaracter"/>
        </w:rPr>
        <w:t>Artículo 9.3.</w:t>
      </w:r>
      <w:r w:rsidRPr="00512048">
        <w:rPr>
          <w:rStyle w:val="TextoNormalCaracter"/>
        </w:rPr>
        <w:t>-</w:t>
      </w:r>
      <w:r>
        <w:t xml:space="preserve"> Sentencias </w:t>
      </w:r>
      <w:hyperlink w:anchor="SENTENCIA_2007_110" w:history="1">
        <w:r w:rsidRPr="00512048">
          <w:rPr>
            <w:rStyle w:val="TextoNormalCaracter"/>
          </w:rPr>
          <w:t>110/2007</w:t>
        </w:r>
      </w:hyperlink>
      <w:r>
        <w:t xml:space="preserve">, f. 2; </w:t>
      </w:r>
      <w:hyperlink w:anchor="SENTENCIA_2007_116" w:history="1">
        <w:r w:rsidRPr="00512048">
          <w:rPr>
            <w:rStyle w:val="TextoNormalCaracter"/>
          </w:rPr>
          <w:t>116/2007</w:t>
        </w:r>
      </w:hyperlink>
      <w:r>
        <w:t xml:space="preserve">, f. 10; </w:t>
      </w:r>
      <w:hyperlink w:anchor="SENTENCIA_2007_141" w:history="1">
        <w:r w:rsidRPr="00512048">
          <w:rPr>
            <w:rStyle w:val="TextoNormalCaracter"/>
          </w:rPr>
          <w:t>141/2007</w:t>
        </w:r>
      </w:hyperlink>
      <w:r>
        <w:t xml:space="preserve">, ff. 3, 5; </w:t>
      </w:r>
      <w:hyperlink w:anchor="SENTENCIA_2007_166" w:history="1">
        <w:r w:rsidRPr="00512048">
          <w:rPr>
            <w:rStyle w:val="TextoNormalCaracter"/>
          </w:rPr>
          <w:t>166/2007</w:t>
        </w:r>
      </w:hyperlink>
      <w:r>
        <w:t>, ff. 1, 6.</w:t>
      </w:r>
    </w:p>
    <w:p w:rsidR="00512048" w:rsidRDefault="00512048" w:rsidP="00512048">
      <w:pPr>
        <w:pStyle w:val="SangriaIzquierdaArticulo"/>
      </w:pPr>
      <w:r>
        <w:t xml:space="preserve">Autos </w:t>
      </w:r>
      <w:hyperlink w:anchor="AUTO_2007_257" w:history="1">
        <w:r w:rsidRPr="00512048">
          <w:rPr>
            <w:rStyle w:val="TextoNormalCaracter"/>
          </w:rPr>
          <w:t>257/2007</w:t>
        </w:r>
      </w:hyperlink>
      <w:r>
        <w:t xml:space="preserve">; </w:t>
      </w:r>
      <w:hyperlink w:anchor="AUTO_2007_262" w:history="1">
        <w:r w:rsidRPr="00512048">
          <w:rPr>
            <w:rStyle w:val="TextoNormalCaracter"/>
          </w:rPr>
          <w:t>262/2007</w:t>
        </w:r>
      </w:hyperlink>
      <w:r>
        <w:t xml:space="preserve">; </w:t>
      </w:r>
      <w:hyperlink w:anchor="AUTO_2007_289" w:history="1">
        <w:r w:rsidRPr="00512048">
          <w:rPr>
            <w:rStyle w:val="TextoNormalCaracter"/>
          </w:rPr>
          <w:t>289/2007</w:t>
        </w:r>
      </w:hyperlink>
      <w:r>
        <w:t>.</w:t>
      </w:r>
    </w:p>
    <w:p w:rsidR="00512048" w:rsidRDefault="00512048" w:rsidP="00512048">
      <w:pPr>
        <w:pStyle w:val="SangriaFrancesaArticulo"/>
      </w:pPr>
      <w:r w:rsidRPr="00512048">
        <w:rPr>
          <w:rStyle w:val="TextoNormalNegritaCaracter"/>
        </w:rPr>
        <w:t>Artículo 9.3</w:t>
      </w:r>
      <w:r>
        <w:t xml:space="preserve"> </w:t>
      </w:r>
      <w:r w:rsidRPr="00512048">
        <w:rPr>
          <w:rStyle w:val="TextoNormalCaracter"/>
        </w:rPr>
        <w:t>(interdicción de la arbitrariedad de los poderes públicos)</w:t>
      </w:r>
      <w:r w:rsidRPr="00512048">
        <w:rPr>
          <w:rStyle w:val="TextoNormalNegritaCaracter"/>
        </w:rPr>
        <w:t>.</w:t>
      </w:r>
      <w:r w:rsidRPr="00512048">
        <w:rPr>
          <w:rStyle w:val="TextoNormalCaracter"/>
        </w:rPr>
        <w:t>-</w:t>
      </w:r>
      <w:r>
        <w:t xml:space="preserve"> Sentencias </w:t>
      </w:r>
      <w:hyperlink w:anchor="SENTENCIA_2007_141" w:history="1">
        <w:r w:rsidRPr="00512048">
          <w:rPr>
            <w:rStyle w:val="TextoNormalCaracter"/>
          </w:rPr>
          <w:t>141/2007</w:t>
        </w:r>
      </w:hyperlink>
      <w:r>
        <w:t xml:space="preserve">, f. 5; </w:t>
      </w:r>
      <w:hyperlink w:anchor="SENTENCIA_2007_147" w:history="1">
        <w:r w:rsidRPr="00512048">
          <w:rPr>
            <w:rStyle w:val="TextoNormalCaracter"/>
          </w:rPr>
          <w:t>147/2007</w:t>
        </w:r>
      </w:hyperlink>
      <w:r>
        <w:t>, f. 3.</w:t>
      </w:r>
    </w:p>
    <w:p w:rsidR="00512048" w:rsidRDefault="00512048" w:rsidP="00512048">
      <w:pPr>
        <w:pStyle w:val="SangriaFrancesaArticulo"/>
      </w:pPr>
      <w:r w:rsidRPr="00512048">
        <w:rPr>
          <w:rStyle w:val="TextoNormalNegritaCaracter"/>
        </w:rPr>
        <w:t>Artículo 9.3</w:t>
      </w:r>
      <w:r>
        <w:t xml:space="preserve"> </w:t>
      </w:r>
      <w:r w:rsidRPr="00512048">
        <w:rPr>
          <w:rStyle w:val="TextoNormalCaracter"/>
        </w:rPr>
        <w:t>(irretroactividad)</w:t>
      </w:r>
      <w:r w:rsidRPr="00512048">
        <w:rPr>
          <w:rStyle w:val="TextoNormalNegritaCaracter"/>
        </w:rPr>
        <w:t>.</w:t>
      </w:r>
      <w:r w:rsidRPr="00512048">
        <w:rPr>
          <w:rStyle w:val="TextoNormalCaracter"/>
        </w:rPr>
        <w:t>-</w:t>
      </w:r>
      <w:r>
        <w:t xml:space="preserve"> Sentencia </w:t>
      </w:r>
      <w:hyperlink w:anchor="SENTENCIA_2007_141" w:history="1">
        <w:r w:rsidRPr="00512048">
          <w:rPr>
            <w:rStyle w:val="TextoNormalCaracter"/>
          </w:rPr>
          <w:t>141/2007</w:t>
        </w:r>
      </w:hyperlink>
      <w:r>
        <w:t>, f. 3.</w:t>
      </w:r>
    </w:p>
    <w:p w:rsidR="00512048" w:rsidRDefault="00512048" w:rsidP="00512048">
      <w:pPr>
        <w:pStyle w:val="SangriaFrancesaArticulo"/>
      </w:pPr>
      <w:r w:rsidRPr="00512048">
        <w:rPr>
          <w:rStyle w:val="TextoNormalNegritaCaracter"/>
        </w:rPr>
        <w:t>Artículo 9.3</w:t>
      </w:r>
      <w:r>
        <w:t xml:space="preserve"> </w:t>
      </w:r>
      <w:r w:rsidRPr="00512048">
        <w:rPr>
          <w:rStyle w:val="TextoNormalCaracter"/>
        </w:rPr>
        <w:t>(seguridad jurídica)</w:t>
      </w:r>
      <w:r w:rsidRPr="00512048">
        <w:rPr>
          <w:rStyle w:val="TextoNormalNegritaCaracter"/>
        </w:rPr>
        <w:t>.</w:t>
      </w:r>
      <w:r w:rsidRPr="00512048">
        <w:rPr>
          <w:rStyle w:val="TextoNormalCaracter"/>
        </w:rPr>
        <w:t>-</w:t>
      </w:r>
      <w:r>
        <w:t xml:space="preserve"> Sentencias </w:t>
      </w:r>
      <w:hyperlink w:anchor="SENTENCIA_2007_121" w:history="1">
        <w:r w:rsidRPr="00512048">
          <w:rPr>
            <w:rStyle w:val="TextoNormalCaracter"/>
          </w:rPr>
          <w:t>121/2007</w:t>
        </w:r>
      </w:hyperlink>
      <w:r>
        <w:t xml:space="preserve">, f. 1; </w:t>
      </w:r>
      <w:hyperlink w:anchor="SENTENCIA_2007_132" w:history="1">
        <w:r w:rsidRPr="00512048">
          <w:rPr>
            <w:rStyle w:val="TextoNormalCaracter"/>
          </w:rPr>
          <w:t>132/2007</w:t>
        </w:r>
      </w:hyperlink>
      <w:r>
        <w:t xml:space="preserve">, f. 3; </w:t>
      </w:r>
      <w:hyperlink w:anchor="SENTENCIA_2007_135" w:history="1">
        <w:r w:rsidRPr="00512048">
          <w:rPr>
            <w:rStyle w:val="TextoNormalCaracter"/>
          </w:rPr>
          <w:t>135/2007</w:t>
        </w:r>
      </w:hyperlink>
      <w:r>
        <w:t xml:space="preserve">, f. 4; </w:t>
      </w:r>
      <w:hyperlink w:anchor="SENTENCIA_2007_169" w:history="1">
        <w:r w:rsidRPr="00512048">
          <w:rPr>
            <w:rStyle w:val="TextoNormalCaracter"/>
          </w:rPr>
          <w:t>169/2007</w:t>
        </w:r>
      </w:hyperlink>
      <w:r>
        <w:t xml:space="preserve">, f. 2; </w:t>
      </w:r>
      <w:hyperlink w:anchor="SENTENCIA_2007_175" w:history="1">
        <w:r w:rsidRPr="00512048">
          <w:rPr>
            <w:rStyle w:val="TextoNormalCaracter"/>
          </w:rPr>
          <w:t>175/2007</w:t>
        </w:r>
      </w:hyperlink>
      <w:r>
        <w:t>, f. 3.</w:t>
      </w:r>
    </w:p>
    <w:p w:rsidR="00512048" w:rsidRDefault="00512048" w:rsidP="00512048">
      <w:pPr>
        <w:pStyle w:val="SangriaFrancesaArticulo"/>
      </w:pPr>
      <w:r w:rsidRPr="00512048">
        <w:rPr>
          <w:rStyle w:val="TextoNormalNegritaCaracter"/>
        </w:rPr>
        <w:t>Artículo 10.1.</w:t>
      </w:r>
      <w:r w:rsidRPr="00512048">
        <w:rPr>
          <w:rStyle w:val="TextoNormalCaracter"/>
        </w:rPr>
        <w:t>-</w:t>
      </w:r>
      <w:r>
        <w:t xml:space="preserve"> Sentencia </w:t>
      </w:r>
      <w:hyperlink w:anchor="SENTENCIA_2007_176" w:history="1">
        <w:r w:rsidRPr="00512048">
          <w:rPr>
            <w:rStyle w:val="TextoNormalCaracter"/>
          </w:rPr>
          <w:t>176/2007</w:t>
        </w:r>
      </w:hyperlink>
      <w:r>
        <w:t>, f. 2.</w:t>
      </w:r>
    </w:p>
    <w:p w:rsidR="00512048" w:rsidRDefault="00512048" w:rsidP="00512048">
      <w:pPr>
        <w:pStyle w:val="SangriaIzquierdaArticulo"/>
      </w:pPr>
      <w:r>
        <w:t xml:space="preserve">Auto </w:t>
      </w:r>
      <w:hyperlink w:anchor="AUTO_2007_328" w:history="1">
        <w:r w:rsidRPr="00512048">
          <w:rPr>
            <w:rStyle w:val="TextoNormalCaracter"/>
          </w:rPr>
          <w:t>328/2007</w:t>
        </w:r>
      </w:hyperlink>
      <w:r>
        <w:t>.</w:t>
      </w:r>
    </w:p>
    <w:p w:rsidR="00512048" w:rsidRDefault="00512048" w:rsidP="00512048">
      <w:pPr>
        <w:pStyle w:val="SangriaFrancesaArticulo"/>
      </w:pPr>
      <w:r w:rsidRPr="00512048">
        <w:rPr>
          <w:rStyle w:val="TextoNormalNegritaCaracter"/>
        </w:rPr>
        <w:t>Artículo 10.2.</w:t>
      </w:r>
      <w:r w:rsidRPr="00512048">
        <w:rPr>
          <w:rStyle w:val="TextoNormalCaracter"/>
        </w:rPr>
        <w:t>-</w:t>
      </w:r>
      <w:r>
        <w:t xml:space="preserve"> Sentencias </w:t>
      </w:r>
      <w:hyperlink w:anchor="SENTENCIA_2007_110" w:history="1">
        <w:r w:rsidRPr="00512048">
          <w:rPr>
            <w:rStyle w:val="TextoNormalCaracter"/>
          </w:rPr>
          <w:t>110/2007</w:t>
        </w:r>
      </w:hyperlink>
      <w:r>
        <w:t xml:space="preserve">, f. 2; </w:t>
      </w:r>
      <w:hyperlink w:anchor="SENTENCIA_2007_156" w:history="1">
        <w:r w:rsidRPr="00512048">
          <w:rPr>
            <w:rStyle w:val="TextoNormalCaracter"/>
          </w:rPr>
          <w:t>156/2007</w:t>
        </w:r>
      </w:hyperlink>
      <w:r>
        <w:t xml:space="preserve">, f. 5; </w:t>
      </w:r>
      <w:hyperlink w:anchor="SENTENCIA_2007_164" w:history="1">
        <w:r w:rsidRPr="00512048">
          <w:rPr>
            <w:rStyle w:val="TextoNormalCaracter"/>
          </w:rPr>
          <w:t>164/2007</w:t>
        </w:r>
      </w:hyperlink>
      <w:r>
        <w:t>, f. 1.</w:t>
      </w:r>
    </w:p>
    <w:p w:rsidR="00512048" w:rsidRDefault="00512048" w:rsidP="00512048">
      <w:pPr>
        <w:pStyle w:val="SangriaFrancesaArticulo"/>
      </w:pPr>
      <w:r w:rsidRPr="00512048">
        <w:rPr>
          <w:rStyle w:val="TextoNormalNegritaCaracter"/>
        </w:rPr>
        <w:t>Artículo 13.</w:t>
      </w:r>
      <w:r w:rsidRPr="00512048">
        <w:rPr>
          <w:rStyle w:val="TextoNormalCaracter"/>
        </w:rPr>
        <w:t>-</w:t>
      </w:r>
      <w:r>
        <w:t xml:space="preserve"> Sentencias </w:t>
      </w:r>
      <w:hyperlink w:anchor="SENTENCIA_2007_108" w:history="1">
        <w:r w:rsidRPr="00512048">
          <w:rPr>
            <w:rStyle w:val="TextoNormalCaracter"/>
          </w:rPr>
          <w:t>108/2007</w:t>
        </w:r>
      </w:hyperlink>
      <w:r>
        <w:t xml:space="preserve">, f. 1; </w:t>
      </w:r>
      <w:hyperlink w:anchor="SENTENCIA_2007_110" w:history="1">
        <w:r w:rsidRPr="00512048">
          <w:rPr>
            <w:rStyle w:val="TextoNormalCaracter"/>
          </w:rPr>
          <w:t>110/2007</w:t>
        </w:r>
      </w:hyperlink>
      <w:r>
        <w:t xml:space="preserve">, f. 2; </w:t>
      </w:r>
      <w:hyperlink w:anchor="SENTENCIA_2007_127" w:history="1">
        <w:r w:rsidRPr="00512048">
          <w:rPr>
            <w:rStyle w:val="TextoNormalCaracter"/>
          </w:rPr>
          <w:t>127/2007</w:t>
        </w:r>
      </w:hyperlink>
      <w:r>
        <w:t>, ff. 1, 2.</w:t>
      </w:r>
    </w:p>
    <w:p w:rsidR="00512048" w:rsidRDefault="00512048" w:rsidP="00512048">
      <w:pPr>
        <w:pStyle w:val="SangriaFrancesaArticulo"/>
      </w:pPr>
      <w:r w:rsidRPr="00512048">
        <w:rPr>
          <w:rStyle w:val="TextoNormalNegritaCaracter"/>
        </w:rPr>
        <w:t>Artículo 14.</w:t>
      </w:r>
      <w:r w:rsidRPr="00512048">
        <w:rPr>
          <w:rStyle w:val="TextoNormalCaracter"/>
        </w:rPr>
        <w:t>-</w:t>
      </w:r>
      <w:r>
        <w:t xml:space="preserve"> Sentencias </w:t>
      </w:r>
      <w:hyperlink w:anchor="SENTENCIA_2007_127" w:history="1">
        <w:r w:rsidRPr="00512048">
          <w:rPr>
            <w:rStyle w:val="TextoNormalCaracter"/>
          </w:rPr>
          <w:t>127/2007</w:t>
        </w:r>
      </w:hyperlink>
      <w:r>
        <w:t xml:space="preserve">, ff. 2, 3; </w:t>
      </w:r>
      <w:hyperlink w:anchor="SENTENCIA_2007_166" w:history="1">
        <w:r w:rsidRPr="00512048">
          <w:rPr>
            <w:rStyle w:val="TextoNormalCaracter"/>
          </w:rPr>
          <w:t>166/2007</w:t>
        </w:r>
      </w:hyperlink>
      <w:r>
        <w:t xml:space="preserve">, f. 6; </w:t>
      </w:r>
      <w:hyperlink w:anchor="SENTENCIA_2007_170" w:history="1">
        <w:r w:rsidRPr="00512048">
          <w:rPr>
            <w:rStyle w:val="TextoNormalCaracter"/>
          </w:rPr>
          <w:t>170/2007</w:t>
        </w:r>
      </w:hyperlink>
      <w:r>
        <w:t>, f. 3.</w:t>
      </w:r>
    </w:p>
    <w:p w:rsidR="00512048" w:rsidRDefault="00512048" w:rsidP="00512048">
      <w:pPr>
        <w:pStyle w:val="SangriaIzquierdaArticulo"/>
      </w:pPr>
      <w:r>
        <w:t xml:space="preserve">Autos </w:t>
      </w:r>
      <w:hyperlink w:anchor="AUTO_2007_247" w:history="1">
        <w:r w:rsidRPr="00512048">
          <w:rPr>
            <w:rStyle w:val="TextoNormalCaracter"/>
          </w:rPr>
          <w:t>247/2007</w:t>
        </w:r>
      </w:hyperlink>
      <w:r>
        <w:t xml:space="preserve">; </w:t>
      </w:r>
      <w:hyperlink w:anchor="AUTO_2007_257" w:history="1">
        <w:r w:rsidRPr="00512048">
          <w:rPr>
            <w:rStyle w:val="TextoNormalCaracter"/>
          </w:rPr>
          <w:t>257/2007</w:t>
        </w:r>
      </w:hyperlink>
      <w:r>
        <w:t xml:space="preserve">; </w:t>
      </w:r>
      <w:hyperlink w:anchor="AUTO_2007_290" w:history="1">
        <w:r w:rsidRPr="00512048">
          <w:rPr>
            <w:rStyle w:val="TextoNormalCaracter"/>
          </w:rPr>
          <w:t>290/2007</w:t>
        </w:r>
      </w:hyperlink>
      <w:r>
        <w:t xml:space="preserve">; </w:t>
      </w:r>
      <w:hyperlink w:anchor="AUTO_2007_328" w:history="1">
        <w:r w:rsidRPr="00512048">
          <w:rPr>
            <w:rStyle w:val="TextoNormalCaracter"/>
          </w:rPr>
          <w:t>328/2007</w:t>
        </w:r>
      </w:hyperlink>
      <w:r>
        <w:t xml:space="preserve">; </w:t>
      </w:r>
      <w:hyperlink w:anchor="AUTO_2007_352" w:history="1">
        <w:r w:rsidRPr="00512048">
          <w:rPr>
            <w:rStyle w:val="TextoNormalCaracter"/>
          </w:rPr>
          <w:t>352/2007</w:t>
        </w:r>
      </w:hyperlink>
      <w:r>
        <w:t xml:space="preserve">; </w:t>
      </w:r>
      <w:hyperlink w:anchor="AUTO_2007_353" w:history="1">
        <w:r w:rsidRPr="00512048">
          <w:rPr>
            <w:rStyle w:val="TextoNormalCaracter"/>
          </w:rPr>
          <w:t>353/2007</w:t>
        </w:r>
      </w:hyperlink>
      <w:r>
        <w:t>.</w:t>
      </w:r>
    </w:p>
    <w:p w:rsidR="00512048" w:rsidRDefault="00512048" w:rsidP="00512048">
      <w:pPr>
        <w:pStyle w:val="SangriaFrancesaArticulo"/>
      </w:pPr>
      <w:r w:rsidRPr="00512048">
        <w:rPr>
          <w:rStyle w:val="TextoNormalNegritaCaracter"/>
        </w:rPr>
        <w:t>Artículo 14</w:t>
      </w:r>
      <w:r>
        <w:t xml:space="preserve"> </w:t>
      </w:r>
      <w:r w:rsidRPr="00512048">
        <w:rPr>
          <w:rStyle w:val="TextoNormalCaracter"/>
        </w:rPr>
        <w:t>(discriminación por circunstancias personales o sociales)</w:t>
      </w:r>
      <w:r w:rsidRPr="00512048">
        <w:rPr>
          <w:rStyle w:val="TextoNormalNegritaCaracter"/>
        </w:rPr>
        <w:t>.</w:t>
      </w:r>
      <w:r w:rsidRPr="00512048">
        <w:rPr>
          <w:rStyle w:val="TextoNormalCaracter"/>
        </w:rPr>
        <w:t>-</w:t>
      </w:r>
      <w:r>
        <w:t xml:space="preserve"> Sentencias </w:t>
      </w:r>
      <w:hyperlink w:anchor="SENTENCIA_2007_97" w:history="1">
        <w:r w:rsidRPr="00512048">
          <w:rPr>
            <w:rStyle w:val="TextoNormalCaracter"/>
          </w:rPr>
          <w:t>97/2007</w:t>
        </w:r>
      </w:hyperlink>
      <w:r>
        <w:t xml:space="preserve">, f. 1; </w:t>
      </w:r>
      <w:hyperlink w:anchor="SENTENCIA_2007_108" w:history="1">
        <w:r w:rsidRPr="00512048">
          <w:rPr>
            <w:rStyle w:val="TextoNormalCaracter"/>
          </w:rPr>
          <w:t>108/2007</w:t>
        </w:r>
      </w:hyperlink>
      <w:r>
        <w:t xml:space="preserve">, f. 1; </w:t>
      </w:r>
      <w:hyperlink w:anchor="SENTENCIA_2007_127" w:history="1">
        <w:r w:rsidRPr="00512048">
          <w:rPr>
            <w:rStyle w:val="TextoNormalCaracter"/>
          </w:rPr>
          <w:t>127/2007</w:t>
        </w:r>
      </w:hyperlink>
      <w:r>
        <w:t xml:space="preserve">, f. 1; </w:t>
      </w:r>
      <w:hyperlink w:anchor="SENTENCIA_2007_128" w:history="1">
        <w:r w:rsidRPr="00512048">
          <w:rPr>
            <w:rStyle w:val="TextoNormalCaracter"/>
          </w:rPr>
          <w:t>128/2007</w:t>
        </w:r>
      </w:hyperlink>
      <w:r>
        <w:t>, ff. 2, 10.</w:t>
      </w:r>
    </w:p>
    <w:p w:rsidR="00512048" w:rsidRDefault="00512048" w:rsidP="00512048">
      <w:pPr>
        <w:pStyle w:val="SangriaFrancesaArticulo"/>
      </w:pPr>
      <w:r w:rsidRPr="00512048">
        <w:rPr>
          <w:rStyle w:val="TextoNormalNegritaCaracter"/>
        </w:rPr>
        <w:t>Artículo 14</w:t>
      </w:r>
      <w:r>
        <w:t xml:space="preserve"> </w:t>
      </w:r>
      <w:r w:rsidRPr="00512048">
        <w:rPr>
          <w:rStyle w:val="TextoNormalCaracter"/>
        </w:rPr>
        <w:t>(discriminación por opinión)</w:t>
      </w:r>
      <w:r w:rsidRPr="00512048">
        <w:rPr>
          <w:rStyle w:val="TextoNormalNegritaCaracter"/>
        </w:rPr>
        <w:t>.</w:t>
      </w:r>
      <w:r w:rsidRPr="00512048">
        <w:rPr>
          <w:rStyle w:val="TextoNormalCaracter"/>
        </w:rPr>
        <w:t>-</w:t>
      </w:r>
      <w:r>
        <w:t xml:space="preserve"> Sentencia </w:t>
      </w:r>
      <w:hyperlink w:anchor="SENTENCIA_2007_110" w:history="1">
        <w:r w:rsidRPr="00512048">
          <w:rPr>
            <w:rStyle w:val="TextoNormalCaracter"/>
          </w:rPr>
          <w:t>110/2007</w:t>
        </w:r>
      </w:hyperlink>
      <w:r>
        <w:t>, f. 10.</w:t>
      </w:r>
    </w:p>
    <w:p w:rsidR="00512048" w:rsidRDefault="00512048" w:rsidP="00512048">
      <w:pPr>
        <w:pStyle w:val="SangriaFrancesaArticulo"/>
      </w:pPr>
      <w:r w:rsidRPr="00512048">
        <w:rPr>
          <w:rStyle w:val="TextoNormalNegritaCaracter"/>
        </w:rPr>
        <w:t>Artículo 14</w:t>
      </w:r>
      <w:r>
        <w:t xml:space="preserve"> </w:t>
      </w:r>
      <w:r w:rsidRPr="00512048">
        <w:rPr>
          <w:rStyle w:val="TextoNormalCaracter"/>
        </w:rPr>
        <w:t>(igualdad en la aplicación de la ley)</w:t>
      </w:r>
      <w:r w:rsidRPr="00512048">
        <w:rPr>
          <w:rStyle w:val="TextoNormalNegritaCaracter"/>
        </w:rPr>
        <w:t>.</w:t>
      </w:r>
      <w:r w:rsidRPr="00512048">
        <w:rPr>
          <w:rStyle w:val="TextoNormalCaracter"/>
        </w:rPr>
        <w:t>-</w:t>
      </w:r>
      <w:r>
        <w:t xml:space="preserve"> Sentencias </w:t>
      </w:r>
      <w:hyperlink w:anchor="SENTENCIA_2007_91" w:history="1">
        <w:r w:rsidRPr="00512048">
          <w:rPr>
            <w:rStyle w:val="TextoNormalCaracter"/>
          </w:rPr>
          <w:t>91/2007</w:t>
        </w:r>
      </w:hyperlink>
      <w:r>
        <w:t xml:space="preserve">, ff. 1, 3; </w:t>
      </w:r>
      <w:hyperlink w:anchor="SENTENCIA_2007_130" w:history="1">
        <w:r w:rsidRPr="00512048">
          <w:rPr>
            <w:rStyle w:val="TextoNormalCaracter"/>
          </w:rPr>
          <w:t>130/2007</w:t>
        </w:r>
      </w:hyperlink>
      <w:r>
        <w:t xml:space="preserve">, f. 2; </w:t>
      </w:r>
      <w:hyperlink w:anchor="SENTENCIA_2007_147" w:history="1">
        <w:r w:rsidRPr="00512048">
          <w:rPr>
            <w:rStyle w:val="TextoNormalCaracter"/>
          </w:rPr>
          <w:t>147/2007</w:t>
        </w:r>
      </w:hyperlink>
      <w:r>
        <w:t>, ff. 1, 4.</w:t>
      </w:r>
    </w:p>
    <w:p w:rsidR="00512048" w:rsidRDefault="00512048" w:rsidP="00512048">
      <w:pPr>
        <w:pStyle w:val="SangriaIzquierdaArticulo"/>
      </w:pPr>
      <w:r>
        <w:t xml:space="preserve">Autos </w:t>
      </w:r>
      <w:hyperlink w:anchor="AUTO_2007_254" w:history="1">
        <w:r w:rsidRPr="00512048">
          <w:rPr>
            <w:rStyle w:val="TextoNormalCaracter"/>
          </w:rPr>
          <w:t>254/2007</w:t>
        </w:r>
      </w:hyperlink>
      <w:r>
        <w:t xml:space="preserve">; </w:t>
      </w:r>
      <w:hyperlink w:anchor="AUTO_2007_312" w:history="1">
        <w:r w:rsidRPr="00512048">
          <w:rPr>
            <w:rStyle w:val="TextoNormalCaracter"/>
          </w:rPr>
          <w:t>312/2007</w:t>
        </w:r>
      </w:hyperlink>
      <w:r>
        <w:t>.</w:t>
      </w:r>
    </w:p>
    <w:p w:rsidR="00512048" w:rsidRDefault="00512048" w:rsidP="00512048">
      <w:pPr>
        <w:pStyle w:val="SangriaFrancesaArticulo"/>
      </w:pPr>
      <w:r w:rsidRPr="00512048">
        <w:rPr>
          <w:rStyle w:val="TextoNormalNegritaCaracter"/>
        </w:rPr>
        <w:t>Artículo 14</w:t>
      </w:r>
      <w:r>
        <w:t xml:space="preserve"> </w:t>
      </w:r>
      <w:r w:rsidRPr="00512048">
        <w:rPr>
          <w:rStyle w:val="TextoNormalCaracter"/>
        </w:rPr>
        <w:t>(igualdad en la ley)</w:t>
      </w:r>
      <w:r w:rsidRPr="00512048">
        <w:rPr>
          <w:rStyle w:val="TextoNormalNegritaCaracter"/>
        </w:rPr>
        <w:t>.</w:t>
      </w:r>
      <w:r w:rsidRPr="00512048">
        <w:rPr>
          <w:rStyle w:val="TextoNormalCaracter"/>
        </w:rPr>
        <w:t>-</w:t>
      </w:r>
      <w:r>
        <w:t xml:space="preserve"> Sentencias </w:t>
      </w:r>
      <w:hyperlink w:anchor="SENTENCIA_2007_97" w:history="1">
        <w:r w:rsidRPr="00512048">
          <w:rPr>
            <w:rStyle w:val="TextoNormalCaracter"/>
          </w:rPr>
          <w:t>97/2007</w:t>
        </w:r>
      </w:hyperlink>
      <w:r>
        <w:t xml:space="preserve">, ff. 1, 2; </w:t>
      </w:r>
      <w:hyperlink w:anchor="SENTENCIA_2007_101" w:history="1">
        <w:r w:rsidRPr="00512048">
          <w:rPr>
            <w:rStyle w:val="TextoNormalCaracter"/>
          </w:rPr>
          <w:t>101/2007</w:t>
        </w:r>
      </w:hyperlink>
      <w:r>
        <w:t xml:space="preserve">, ff. 1, 5; </w:t>
      </w:r>
      <w:hyperlink w:anchor="SENTENCIA_2007_102" w:history="1">
        <w:r w:rsidRPr="00512048">
          <w:rPr>
            <w:rStyle w:val="TextoNormalCaracter"/>
          </w:rPr>
          <w:t>102/2007</w:t>
        </w:r>
      </w:hyperlink>
      <w:r>
        <w:t xml:space="preserve">, f. 1; </w:t>
      </w:r>
      <w:hyperlink w:anchor="SENTENCIA_2007_108" w:history="1">
        <w:r w:rsidRPr="00512048">
          <w:rPr>
            <w:rStyle w:val="TextoNormalCaracter"/>
          </w:rPr>
          <w:t>108/2007</w:t>
        </w:r>
      </w:hyperlink>
      <w:r>
        <w:t xml:space="preserve">, f. 1; </w:t>
      </w:r>
      <w:hyperlink w:anchor="SENTENCIA_2007_111" w:history="1">
        <w:r w:rsidRPr="00512048">
          <w:rPr>
            <w:rStyle w:val="TextoNormalCaracter"/>
          </w:rPr>
          <w:t>111/2007</w:t>
        </w:r>
      </w:hyperlink>
      <w:r>
        <w:t xml:space="preserve">, ff. 1, 2; </w:t>
      </w:r>
      <w:hyperlink w:anchor="SENTENCIA_2007_117" w:history="1">
        <w:r w:rsidRPr="00512048">
          <w:rPr>
            <w:rStyle w:val="TextoNormalCaracter"/>
          </w:rPr>
          <w:t>117/2007</w:t>
        </w:r>
      </w:hyperlink>
      <w:r>
        <w:t xml:space="preserve">, f. 1; </w:t>
      </w:r>
      <w:hyperlink w:anchor="SENTENCIA_2007_125" w:history="1">
        <w:r w:rsidRPr="00512048">
          <w:rPr>
            <w:rStyle w:val="TextoNormalCaracter"/>
          </w:rPr>
          <w:t>125/2007</w:t>
        </w:r>
      </w:hyperlink>
      <w:r>
        <w:t xml:space="preserve">, ff. 1, 2; </w:t>
      </w:r>
      <w:hyperlink w:anchor="SENTENCIA_2007_127" w:history="1">
        <w:r w:rsidRPr="00512048">
          <w:rPr>
            <w:rStyle w:val="TextoNormalCaracter"/>
          </w:rPr>
          <w:t>127/2007</w:t>
        </w:r>
      </w:hyperlink>
      <w:r>
        <w:t xml:space="preserve">, f. 1; </w:t>
      </w:r>
      <w:hyperlink w:anchor="SENTENCIA_2007_128" w:history="1">
        <w:r w:rsidRPr="00512048">
          <w:rPr>
            <w:rStyle w:val="TextoNormalCaracter"/>
          </w:rPr>
          <w:t>128/2007</w:t>
        </w:r>
      </w:hyperlink>
      <w:r>
        <w:t xml:space="preserve">, ff. 2, 4, 7, VP; </w:t>
      </w:r>
      <w:hyperlink w:anchor="SENTENCIA_2007_129" w:history="1">
        <w:r w:rsidRPr="00512048">
          <w:rPr>
            <w:rStyle w:val="TextoNormalCaracter"/>
          </w:rPr>
          <w:t>129/2007</w:t>
        </w:r>
      </w:hyperlink>
      <w:r>
        <w:t xml:space="preserve">, f. 1; </w:t>
      </w:r>
      <w:hyperlink w:anchor="SENTENCIA_2007_130" w:history="1">
        <w:r w:rsidRPr="00512048">
          <w:rPr>
            <w:rStyle w:val="TextoNormalCaracter"/>
          </w:rPr>
          <w:t>130/2007</w:t>
        </w:r>
      </w:hyperlink>
      <w:r>
        <w:t xml:space="preserve">, ff. 3, 4; </w:t>
      </w:r>
      <w:hyperlink w:anchor="SENTENCIA_2007_170" w:history="1">
        <w:r w:rsidRPr="00512048">
          <w:rPr>
            <w:rStyle w:val="TextoNormalCaracter"/>
          </w:rPr>
          <w:t>170/2007</w:t>
        </w:r>
      </w:hyperlink>
      <w:r>
        <w:t xml:space="preserve">, f. 1; </w:t>
      </w:r>
      <w:hyperlink w:anchor="SENTENCIA_2007_177" w:history="1">
        <w:r w:rsidRPr="00512048">
          <w:rPr>
            <w:rStyle w:val="TextoNormalCaracter"/>
          </w:rPr>
          <w:t>177/2007</w:t>
        </w:r>
      </w:hyperlink>
      <w:r>
        <w:t>, f. 1.</w:t>
      </w:r>
    </w:p>
    <w:p w:rsidR="00512048" w:rsidRDefault="00512048" w:rsidP="00512048">
      <w:pPr>
        <w:pStyle w:val="SangriaIzquierdaArticulo"/>
      </w:pPr>
      <w:r>
        <w:t xml:space="preserve">Auto </w:t>
      </w:r>
      <w:hyperlink w:anchor="AUTO_2007_328" w:history="1">
        <w:r w:rsidRPr="00512048">
          <w:rPr>
            <w:rStyle w:val="TextoNormalCaracter"/>
          </w:rPr>
          <w:t>328/2007</w:t>
        </w:r>
      </w:hyperlink>
      <w:r>
        <w:t>.</w:t>
      </w:r>
    </w:p>
    <w:p w:rsidR="00512048" w:rsidRDefault="00512048" w:rsidP="00512048">
      <w:pPr>
        <w:pStyle w:val="SangriaFrancesaArticulo"/>
      </w:pPr>
      <w:r w:rsidRPr="00512048">
        <w:rPr>
          <w:rStyle w:val="TextoNormalNegritaCaracter"/>
        </w:rPr>
        <w:t>Artículos 14 a 29 y 30.2.</w:t>
      </w:r>
      <w:r w:rsidRPr="00512048">
        <w:rPr>
          <w:rStyle w:val="TextoNormalCaracter"/>
        </w:rPr>
        <w:t>-</w:t>
      </w:r>
      <w:r>
        <w:t xml:space="preserve"> Sentencias </w:t>
      </w:r>
      <w:hyperlink w:anchor="SENTENCIA_2007_116" w:history="1">
        <w:r w:rsidRPr="00512048">
          <w:rPr>
            <w:rStyle w:val="TextoNormalCaracter"/>
          </w:rPr>
          <w:t>116/2007</w:t>
        </w:r>
      </w:hyperlink>
      <w:r>
        <w:t xml:space="preserve">, f. 10; </w:t>
      </w:r>
      <w:hyperlink w:anchor="SENTENCIA_2007_127" w:history="1">
        <w:r w:rsidRPr="00512048">
          <w:rPr>
            <w:rStyle w:val="TextoNormalCaracter"/>
          </w:rPr>
          <w:t>127/2007</w:t>
        </w:r>
      </w:hyperlink>
      <w:r>
        <w:t xml:space="preserve">, f. 2; </w:t>
      </w:r>
      <w:hyperlink w:anchor="SENTENCIA_2007_169" w:history="1">
        <w:r w:rsidRPr="00512048">
          <w:rPr>
            <w:rStyle w:val="TextoNormalCaracter"/>
          </w:rPr>
          <w:t>169/2007</w:t>
        </w:r>
      </w:hyperlink>
      <w:r>
        <w:t>, f. 2.</w:t>
      </w:r>
    </w:p>
    <w:p w:rsidR="00512048" w:rsidRDefault="00512048" w:rsidP="00512048">
      <w:pPr>
        <w:pStyle w:val="SangriaFrancesaArticulo"/>
      </w:pPr>
      <w:r w:rsidRPr="00512048">
        <w:rPr>
          <w:rStyle w:val="TextoNormalNegritaCaracter"/>
        </w:rPr>
        <w:t>Artículo 15.</w:t>
      </w:r>
      <w:r w:rsidRPr="00512048">
        <w:rPr>
          <w:rStyle w:val="TextoNormalCaracter"/>
        </w:rPr>
        <w:t>-</w:t>
      </w:r>
      <w:r>
        <w:t xml:space="preserve"> Sentencias </w:t>
      </w:r>
      <w:hyperlink w:anchor="SENTENCIA_2007_140" w:history="1">
        <w:r w:rsidRPr="00512048">
          <w:rPr>
            <w:rStyle w:val="TextoNormalCaracter"/>
          </w:rPr>
          <w:t>140/2007</w:t>
        </w:r>
      </w:hyperlink>
      <w:r>
        <w:t xml:space="preserve">, passim; </w:t>
      </w:r>
      <w:hyperlink w:anchor="SENTENCIA_2007_160" w:history="1">
        <w:r w:rsidRPr="00512048">
          <w:rPr>
            <w:rStyle w:val="TextoNormalCaracter"/>
          </w:rPr>
          <w:t>160/2007</w:t>
        </w:r>
      </w:hyperlink>
      <w:r>
        <w:t>, ff. 1 a 5, VP.</w:t>
      </w:r>
    </w:p>
    <w:p w:rsidR="00512048" w:rsidRDefault="00512048" w:rsidP="00512048">
      <w:pPr>
        <w:pStyle w:val="SangriaFrancesaArticulo"/>
      </w:pPr>
      <w:r w:rsidRPr="00512048">
        <w:rPr>
          <w:rStyle w:val="TextoNormalNegritaCaracter"/>
        </w:rPr>
        <w:t>Artículo 16.</w:t>
      </w:r>
      <w:r w:rsidRPr="00512048">
        <w:rPr>
          <w:rStyle w:val="TextoNormalCaracter"/>
        </w:rPr>
        <w:t>-</w:t>
      </w:r>
      <w:r>
        <w:t xml:space="preserve"> Sentencia </w:t>
      </w:r>
      <w:hyperlink w:anchor="SENTENCIA_2007_128" w:history="1">
        <w:r w:rsidRPr="00512048">
          <w:rPr>
            <w:rStyle w:val="TextoNormalCaracter"/>
          </w:rPr>
          <w:t>128/2007</w:t>
        </w:r>
      </w:hyperlink>
      <w:r>
        <w:t>, ff. 2, 4, 5, VP.</w:t>
      </w:r>
    </w:p>
    <w:p w:rsidR="00512048" w:rsidRDefault="00512048" w:rsidP="00512048">
      <w:pPr>
        <w:pStyle w:val="SangriaIzquierdaArticulo"/>
      </w:pPr>
      <w:r>
        <w:t xml:space="preserve">Auto </w:t>
      </w:r>
      <w:hyperlink w:anchor="AUTO_2007_257" w:history="1">
        <w:r w:rsidRPr="00512048">
          <w:rPr>
            <w:rStyle w:val="TextoNormalCaracter"/>
          </w:rPr>
          <w:t>257/2007</w:t>
        </w:r>
      </w:hyperlink>
      <w:r>
        <w:t>.</w:t>
      </w:r>
    </w:p>
    <w:p w:rsidR="00512048" w:rsidRDefault="00512048" w:rsidP="00512048">
      <w:pPr>
        <w:pStyle w:val="SangriaFrancesaArticulo"/>
      </w:pPr>
      <w:r w:rsidRPr="00512048">
        <w:rPr>
          <w:rStyle w:val="TextoNormalNegritaCaracter"/>
        </w:rPr>
        <w:t>Artículo 16.1.</w:t>
      </w:r>
      <w:r w:rsidRPr="00512048">
        <w:rPr>
          <w:rStyle w:val="TextoNormalCaracter"/>
        </w:rPr>
        <w:t>-</w:t>
      </w:r>
      <w:r>
        <w:t xml:space="preserve"> Sentencias </w:t>
      </w:r>
      <w:hyperlink w:anchor="SENTENCIA_2007_110" w:history="1">
        <w:r w:rsidRPr="00512048">
          <w:rPr>
            <w:rStyle w:val="TextoNormalCaracter"/>
          </w:rPr>
          <w:t>110/2007</w:t>
        </w:r>
      </w:hyperlink>
      <w:r>
        <w:t xml:space="preserve">, f. 10; </w:t>
      </w:r>
      <w:hyperlink w:anchor="SENTENCIA_2007_128" w:history="1">
        <w:r w:rsidRPr="00512048">
          <w:rPr>
            <w:rStyle w:val="TextoNormalCaracter"/>
          </w:rPr>
          <w:t>128/2007</w:t>
        </w:r>
      </w:hyperlink>
      <w:r>
        <w:t>, ff. 4, 5, 10 a 12, VP.</w:t>
      </w:r>
    </w:p>
    <w:p w:rsidR="00512048" w:rsidRDefault="00512048" w:rsidP="00512048">
      <w:pPr>
        <w:pStyle w:val="SangriaFrancesaArticulo"/>
      </w:pPr>
      <w:r w:rsidRPr="00512048">
        <w:rPr>
          <w:rStyle w:val="TextoNormalNegritaCaracter"/>
        </w:rPr>
        <w:t>Artículo 16.2.</w:t>
      </w:r>
      <w:r w:rsidRPr="00512048">
        <w:rPr>
          <w:rStyle w:val="TextoNormalCaracter"/>
        </w:rPr>
        <w:t>-</w:t>
      </w:r>
      <w:r>
        <w:t xml:space="preserve"> Sentencia </w:t>
      </w:r>
      <w:hyperlink w:anchor="SENTENCIA_2007_128" w:history="1">
        <w:r w:rsidRPr="00512048">
          <w:rPr>
            <w:rStyle w:val="TextoNormalCaracter"/>
          </w:rPr>
          <w:t>128/2007</w:t>
        </w:r>
      </w:hyperlink>
      <w:r>
        <w:t>, f. 5.</w:t>
      </w:r>
    </w:p>
    <w:p w:rsidR="00512048" w:rsidRDefault="00512048" w:rsidP="00512048">
      <w:pPr>
        <w:pStyle w:val="SangriaFrancesaArticulo"/>
      </w:pPr>
      <w:r w:rsidRPr="00512048">
        <w:rPr>
          <w:rStyle w:val="TextoNormalNegritaCaracter"/>
        </w:rPr>
        <w:t>Artículo 16.3.</w:t>
      </w:r>
      <w:r w:rsidRPr="00512048">
        <w:rPr>
          <w:rStyle w:val="TextoNormalCaracter"/>
        </w:rPr>
        <w:t>-</w:t>
      </w:r>
      <w:r>
        <w:t xml:space="preserve"> Sentencia </w:t>
      </w:r>
      <w:hyperlink w:anchor="SENTENCIA_2007_128" w:history="1">
        <w:r w:rsidRPr="00512048">
          <w:rPr>
            <w:rStyle w:val="TextoNormalCaracter"/>
          </w:rPr>
          <w:t>128/2007</w:t>
        </w:r>
      </w:hyperlink>
      <w:r>
        <w:t>, ff. 5, 9, 10, 12, VP.</w:t>
      </w:r>
    </w:p>
    <w:p w:rsidR="00512048" w:rsidRDefault="00512048" w:rsidP="00512048">
      <w:pPr>
        <w:pStyle w:val="SangriaFrancesaArticulo"/>
      </w:pPr>
      <w:r w:rsidRPr="00512048">
        <w:rPr>
          <w:rStyle w:val="TextoNormalNegritaCaracter"/>
        </w:rPr>
        <w:t>Artículo 17.</w:t>
      </w:r>
      <w:r w:rsidRPr="00512048">
        <w:rPr>
          <w:rStyle w:val="TextoNormalCaracter"/>
        </w:rPr>
        <w:t>-</w:t>
      </w:r>
      <w:r>
        <w:t xml:space="preserve"> Sentencias </w:t>
      </w:r>
      <w:hyperlink w:anchor="SENTENCIA_2007_95" w:history="1">
        <w:r w:rsidRPr="00512048">
          <w:rPr>
            <w:rStyle w:val="TextoNormalCaracter"/>
          </w:rPr>
          <w:t>95/2007</w:t>
        </w:r>
      </w:hyperlink>
      <w:r>
        <w:t xml:space="preserve">, f. 6; </w:t>
      </w:r>
      <w:hyperlink w:anchor="SENTENCIA_2007_140" w:history="1">
        <w:r w:rsidRPr="00512048">
          <w:rPr>
            <w:rStyle w:val="TextoNormalCaracter"/>
          </w:rPr>
          <w:t>140/2007</w:t>
        </w:r>
      </w:hyperlink>
      <w:r>
        <w:t xml:space="preserve">, ff. 1, 3; </w:t>
      </w:r>
      <w:hyperlink w:anchor="SENTENCIA_2007_149" w:history="1">
        <w:r w:rsidRPr="00512048">
          <w:rPr>
            <w:rStyle w:val="TextoNormalCaracter"/>
          </w:rPr>
          <w:t>149/2007</w:t>
        </w:r>
      </w:hyperlink>
      <w:r>
        <w:t xml:space="preserve">, f. 2; </w:t>
      </w:r>
      <w:hyperlink w:anchor="SENTENCIA_2007_151" w:history="1">
        <w:r w:rsidRPr="00512048">
          <w:rPr>
            <w:rStyle w:val="TextoNormalCaracter"/>
          </w:rPr>
          <w:t>151/2007</w:t>
        </w:r>
      </w:hyperlink>
      <w:r>
        <w:t xml:space="preserve">, f. 2; </w:t>
      </w:r>
      <w:hyperlink w:anchor="SENTENCIA_2007_152" w:history="1">
        <w:r w:rsidRPr="00512048">
          <w:rPr>
            <w:rStyle w:val="TextoNormalCaracter"/>
          </w:rPr>
          <w:t>152/2007</w:t>
        </w:r>
      </w:hyperlink>
      <w:r>
        <w:t xml:space="preserve">, f. 3; </w:t>
      </w:r>
      <w:hyperlink w:anchor="SENTENCIA_2007_165" w:history="1">
        <w:r w:rsidRPr="00512048">
          <w:rPr>
            <w:rStyle w:val="TextoNormalCaracter"/>
          </w:rPr>
          <w:t>165/2007</w:t>
        </w:r>
      </w:hyperlink>
      <w:r>
        <w:t>, ff. 1, 3, 4.</w:t>
      </w:r>
    </w:p>
    <w:p w:rsidR="00512048" w:rsidRDefault="00512048" w:rsidP="00512048">
      <w:pPr>
        <w:pStyle w:val="SangriaFrancesaArticulo"/>
      </w:pPr>
      <w:r w:rsidRPr="00512048">
        <w:rPr>
          <w:rStyle w:val="TextoNormalNegritaCaracter"/>
        </w:rPr>
        <w:t>Artículo 17.1.</w:t>
      </w:r>
      <w:r w:rsidRPr="00512048">
        <w:rPr>
          <w:rStyle w:val="TextoNormalCaracter"/>
        </w:rPr>
        <w:t>-</w:t>
      </w:r>
      <w:r>
        <w:t xml:space="preserve"> Sentencias </w:t>
      </w:r>
      <w:hyperlink w:anchor="SENTENCIA_2007_95" w:history="1">
        <w:r w:rsidRPr="00512048">
          <w:rPr>
            <w:rStyle w:val="TextoNormalCaracter"/>
          </w:rPr>
          <w:t>95/2007</w:t>
        </w:r>
      </w:hyperlink>
      <w:r>
        <w:t xml:space="preserve">, ff. 2, 6; </w:t>
      </w:r>
      <w:hyperlink w:anchor="SENTENCIA_2007_149" w:history="1">
        <w:r w:rsidRPr="00512048">
          <w:rPr>
            <w:rStyle w:val="TextoNormalCaracter"/>
          </w:rPr>
          <w:t>149/2007</w:t>
        </w:r>
      </w:hyperlink>
      <w:r>
        <w:t xml:space="preserve">, ff. 1, 2; </w:t>
      </w:r>
      <w:hyperlink w:anchor="SENTENCIA_2007_151" w:history="1">
        <w:r w:rsidRPr="00512048">
          <w:rPr>
            <w:rStyle w:val="TextoNormalCaracter"/>
          </w:rPr>
          <w:t>151/2007</w:t>
        </w:r>
      </w:hyperlink>
      <w:r>
        <w:t xml:space="preserve">, ff. 1, 2; </w:t>
      </w:r>
      <w:hyperlink w:anchor="SENTENCIA_2007_152" w:history="1">
        <w:r w:rsidRPr="00512048">
          <w:rPr>
            <w:rStyle w:val="TextoNormalCaracter"/>
          </w:rPr>
          <w:t>152/2007</w:t>
        </w:r>
      </w:hyperlink>
      <w:r>
        <w:t xml:space="preserve">, ff. 1, 3; </w:t>
      </w:r>
      <w:hyperlink w:anchor="SENTENCIA_2007_176" w:history="1">
        <w:r w:rsidRPr="00512048">
          <w:rPr>
            <w:rStyle w:val="TextoNormalCaracter"/>
          </w:rPr>
          <w:t>176/2007</w:t>
        </w:r>
      </w:hyperlink>
      <w:r>
        <w:t>, f. 4.</w:t>
      </w:r>
    </w:p>
    <w:p w:rsidR="00512048" w:rsidRDefault="00512048" w:rsidP="00512048">
      <w:pPr>
        <w:pStyle w:val="SangriaIzquierdaArticulo"/>
      </w:pPr>
      <w:r>
        <w:t xml:space="preserve">Auto </w:t>
      </w:r>
      <w:hyperlink w:anchor="AUTO_2007_268" w:history="1">
        <w:r w:rsidRPr="00512048">
          <w:rPr>
            <w:rStyle w:val="TextoNormalCaracter"/>
          </w:rPr>
          <w:t>268/2007</w:t>
        </w:r>
      </w:hyperlink>
      <w:r>
        <w:t>.</w:t>
      </w:r>
    </w:p>
    <w:p w:rsidR="00512048" w:rsidRDefault="00512048" w:rsidP="00512048">
      <w:pPr>
        <w:pStyle w:val="SangriaFrancesaArticulo"/>
      </w:pPr>
      <w:r w:rsidRPr="00512048">
        <w:rPr>
          <w:rStyle w:val="TextoNormalNegritaCaracter"/>
        </w:rPr>
        <w:t>Artículo 17.2.</w:t>
      </w:r>
      <w:r w:rsidRPr="00512048">
        <w:rPr>
          <w:rStyle w:val="TextoNormalCaracter"/>
        </w:rPr>
        <w:t>-</w:t>
      </w:r>
      <w:r>
        <w:t xml:space="preserve"> Sentencia </w:t>
      </w:r>
      <w:hyperlink w:anchor="SENTENCIA_2007_165" w:history="1">
        <w:r w:rsidRPr="00512048">
          <w:rPr>
            <w:rStyle w:val="TextoNormalCaracter"/>
          </w:rPr>
          <w:t>165/2007</w:t>
        </w:r>
      </w:hyperlink>
      <w:r>
        <w:t>, ff. 2, 3.</w:t>
      </w:r>
    </w:p>
    <w:p w:rsidR="00512048" w:rsidRDefault="00512048" w:rsidP="00512048">
      <w:pPr>
        <w:pStyle w:val="SangriaFrancesaArticulo"/>
      </w:pPr>
      <w:r w:rsidRPr="00512048">
        <w:rPr>
          <w:rStyle w:val="TextoNormalNegritaCaracter"/>
        </w:rPr>
        <w:t>Artículo 17.3.</w:t>
      </w:r>
      <w:r w:rsidRPr="00512048">
        <w:rPr>
          <w:rStyle w:val="TextoNormalCaracter"/>
        </w:rPr>
        <w:t>-</w:t>
      </w:r>
      <w:r>
        <w:t xml:space="preserve"> Sentencia </w:t>
      </w:r>
      <w:hyperlink w:anchor="SENTENCIA_2007_156" w:history="1">
        <w:r w:rsidRPr="00512048">
          <w:rPr>
            <w:rStyle w:val="TextoNormalCaracter"/>
          </w:rPr>
          <w:t>156/2007</w:t>
        </w:r>
      </w:hyperlink>
      <w:r>
        <w:t>, ff. 1, 2.</w:t>
      </w:r>
    </w:p>
    <w:p w:rsidR="00512048" w:rsidRDefault="00512048" w:rsidP="00512048">
      <w:pPr>
        <w:pStyle w:val="SangriaFrancesaArticulo"/>
      </w:pPr>
      <w:r w:rsidRPr="00512048">
        <w:rPr>
          <w:rStyle w:val="TextoNormalNegritaCaracter"/>
        </w:rPr>
        <w:t>Artículo 17.4.</w:t>
      </w:r>
      <w:r w:rsidRPr="00512048">
        <w:rPr>
          <w:rStyle w:val="TextoNormalCaracter"/>
        </w:rPr>
        <w:t>-</w:t>
      </w:r>
      <w:r>
        <w:t xml:space="preserve"> Sentencias </w:t>
      </w:r>
      <w:hyperlink w:anchor="SENTENCIA_2007_95" w:history="1">
        <w:r w:rsidRPr="00512048">
          <w:rPr>
            <w:rStyle w:val="TextoNormalCaracter"/>
          </w:rPr>
          <w:t>95/2007</w:t>
        </w:r>
      </w:hyperlink>
      <w:r>
        <w:t xml:space="preserve">, f. 5; </w:t>
      </w:r>
      <w:hyperlink w:anchor="SENTENCIA_2007_165" w:history="1">
        <w:r w:rsidRPr="00512048">
          <w:rPr>
            <w:rStyle w:val="TextoNormalCaracter"/>
          </w:rPr>
          <w:t>165/2007</w:t>
        </w:r>
      </w:hyperlink>
      <w:r>
        <w:t>, ff. 1, 4 a 6.</w:t>
      </w:r>
    </w:p>
    <w:p w:rsidR="00512048" w:rsidRDefault="00512048" w:rsidP="00512048">
      <w:pPr>
        <w:pStyle w:val="SangriaFrancesaArticulo"/>
      </w:pPr>
      <w:r w:rsidRPr="00512048">
        <w:rPr>
          <w:rStyle w:val="TextoNormalNegritaCaracter"/>
        </w:rPr>
        <w:t>Artículo 18.</w:t>
      </w:r>
      <w:r w:rsidRPr="00512048">
        <w:rPr>
          <w:rStyle w:val="TextoNormalCaracter"/>
        </w:rPr>
        <w:t>-</w:t>
      </w:r>
      <w:r>
        <w:t xml:space="preserve"> Sentencias </w:t>
      </w:r>
      <w:hyperlink w:anchor="SENTENCIA_2007_110" w:history="1">
        <w:r w:rsidRPr="00512048">
          <w:rPr>
            <w:rStyle w:val="TextoNormalCaracter"/>
          </w:rPr>
          <w:t>110/2007</w:t>
        </w:r>
      </w:hyperlink>
      <w:r>
        <w:t xml:space="preserve">, f. 9; </w:t>
      </w:r>
      <w:hyperlink w:anchor="SENTENCIA_2007_128" w:history="1">
        <w:r w:rsidRPr="00512048">
          <w:rPr>
            <w:rStyle w:val="TextoNormalCaracter"/>
          </w:rPr>
          <w:t>128/2007</w:t>
        </w:r>
      </w:hyperlink>
      <w:r>
        <w:t xml:space="preserve">, ff. 2, 4; </w:t>
      </w:r>
      <w:hyperlink w:anchor="SENTENCIA_2007_139" w:history="1">
        <w:r w:rsidRPr="00512048">
          <w:rPr>
            <w:rStyle w:val="TextoNormalCaracter"/>
          </w:rPr>
          <w:t>139/2007</w:t>
        </w:r>
      </w:hyperlink>
      <w:r>
        <w:t>, ff. 2, 3.</w:t>
      </w:r>
    </w:p>
    <w:p w:rsidR="00512048" w:rsidRDefault="00512048" w:rsidP="00512048">
      <w:pPr>
        <w:pStyle w:val="SangriaFrancesaArticulo"/>
      </w:pPr>
      <w:r w:rsidRPr="00512048">
        <w:rPr>
          <w:rStyle w:val="TextoNormalNegritaCaracter"/>
        </w:rPr>
        <w:t>Artículo 18.1.</w:t>
      </w:r>
      <w:r w:rsidRPr="00512048">
        <w:rPr>
          <w:rStyle w:val="TextoNormalCaracter"/>
        </w:rPr>
        <w:t>-</w:t>
      </w:r>
      <w:r>
        <w:t xml:space="preserve"> Sentencias </w:t>
      </w:r>
      <w:hyperlink w:anchor="SENTENCIA_2007_110" w:history="1">
        <w:r w:rsidRPr="00512048">
          <w:rPr>
            <w:rStyle w:val="TextoNormalCaracter"/>
          </w:rPr>
          <w:t>110/2007</w:t>
        </w:r>
      </w:hyperlink>
      <w:r>
        <w:t xml:space="preserve">, f. 9; </w:t>
      </w:r>
      <w:hyperlink w:anchor="SENTENCIA_2007_128" w:history="1">
        <w:r w:rsidRPr="00512048">
          <w:rPr>
            <w:rStyle w:val="TextoNormalCaracter"/>
          </w:rPr>
          <w:t>128/2007</w:t>
        </w:r>
      </w:hyperlink>
      <w:r>
        <w:t xml:space="preserve">, ff. 4, 7, 10; </w:t>
      </w:r>
      <w:hyperlink w:anchor="SENTENCIA_2007_139" w:history="1">
        <w:r w:rsidRPr="00512048">
          <w:rPr>
            <w:rStyle w:val="TextoNormalCaracter"/>
          </w:rPr>
          <w:t>139/2007</w:t>
        </w:r>
      </w:hyperlink>
      <w:r>
        <w:t>, ff. 3, 11.</w:t>
      </w:r>
    </w:p>
    <w:p w:rsidR="00512048" w:rsidRDefault="00512048" w:rsidP="00512048">
      <w:pPr>
        <w:pStyle w:val="SangriaFrancesaArticulo"/>
      </w:pPr>
      <w:r w:rsidRPr="00512048">
        <w:rPr>
          <w:rStyle w:val="TextoNormalNegritaCaracter"/>
        </w:rPr>
        <w:t>Artículo 18.3.</w:t>
      </w:r>
      <w:r w:rsidRPr="00512048">
        <w:rPr>
          <w:rStyle w:val="TextoNormalCaracter"/>
        </w:rPr>
        <w:t>-</w:t>
      </w:r>
      <w:r>
        <w:t xml:space="preserve"> Auto </w:t>
      </w:r>
      <w:hyperlink w:anchor="AUTO_2007_245" w:history="1">
        <w:r w:rsidRPr="00512048">
          <w:rPr>
            <w:rStyle w:val="TextoNormalCaracter"/>
          </w:rPr>
          <w:t>245/2007</w:t>
        </w:r>
      </w:hyperlink>
      <w:r>
        <w:t>.</w:t>
      </w:r>
    </w:p>
    <w:p w:rsidR="00512048" w:rsidRDefault="00512048" w:rsidP="00512048">
      <w:pPr>
        <w:pStyle w:val="SangriaFrancesaArticulo"/>
      </w:pPr>
      <w:r w:rsidRPr="00512048">
        <w:rPr>
          <w:rStyle w:val="TextoNormalNegritaCaracter"/>
        </w:rPr>
        <w:t>Artículo 18.4.</w:t>
      </w:r>
      <w:r w:rsidRPr="00512048">
        <w:rPr>
          <w:rStyle w:val="TextoNormalCaracter"/>
        </w:rPr>
        <w:t>-</w:t>
      </w:r>
      <w:r>
        <w:t xml:space="preserve"> Sentencia </w:t>
      </w:r>
      <w:hyperlink w:anchor="SENTENCIA_2007_110" w:history="1">
        <w:r w:rsidRPr="00512048">
          <w:rPr>
            <w:rStyle w:val="TextoNormalCaracter"/>
          </w:rPr>
          <w:t>110/2007</w:t>
        </w:r>
      </w:hyperlink>
      <w:r>
        <w:t>, f. 9.</w:t>
      </w:r>
    </w:p>
    <w:p w:rsidR="00512048" w:rsidRDefault="00512048" w:rsidP="00512048">
      <w:pPr>
        <w:pStyle w:val="SangriaFrancesaArticulo"/>
      </w:pPr>
      <w:r w:rsidRPr="00512048">
        <w:rPr>
          <w:rStyle w:val="TextoNormalNegritaCaracter"/>
        </w:rPr>
        <w:t>Artículo 19.</w:t>
      </w:r>
      <w:r w:rsidRPr="00512048">
        <w:rPr>
          <w:rStyle w:val="TextoNormalCaracter"/>
        </w:rPr>
        <w:t>-</w:t>
      </w:r>
      <w:r>
        <w:t xml:space="preserve"> Sentencia </w:t>
      </w:r>
      <w:hyperlink w:anchor="SENTENCIA_2007_140" w:history="1">
        <w:r w:rsidRPr="00512048">
          <w:rPr>
            <w:rStyle w:val="TextoNormalCaracter"/>
          </w:rPr>
          <w:t>140/2007</w:t>
        </w:r>
      </w:hyperlink>
      <w:r>
        <w:t>, f. 3.</w:t>
      </w:r>
    </w:p>
    <w:p w:rsidR="00512048" w:rsidRDefault="00512048" w:rsidP="00512048">
      <w:pPr>
        <w:pStyle w:val="SangriaFrancesaArticulo"/>
      </w:pPr>
      <w:r w:rsidRPr="00512048">
        <w:rPr>
          <w:rStyle w:val="TextoNormalNegritaCaracter"/>
        </w:rPr>
        <w:t>Artículo 20.1.</w:t>
      </w:r>
      <w:r w:rsidRPr="00512048">
        <w:rPr>
          <w:rStyle w:val="TextoNormalCaracter"/>
        </w:rPr>
        <w:t>-</w:t>
      </w:r>
      <w:r>
        <w:t xml:space="preserve"> Sentencia </w:t>
      </w:r>
      <w:hyperlink w:anchor="SENTENCIA_2007_139" w:history="1">
        <w:r w:rsidRPr="00512048">
          <w:rPr>
            <w:rStyle w:val="TextoNormalCaracter"/>
          </w:rPr>
          <w:t>139/2007</w:t>
        </w:r>
      </w:hyperlink>
      <w:r>
        <w:t>, ff. 2, 5.</w:t>
      </w:r>
    </w:p>
    <w:p w:rsidR="00512048" w:rsidRDefault="00512048" w:rsidP="00512048">
      <w:pPr>
        <w:pStyle w:val="SangriaIzquierdaArticulo"/>
      </w:pPr>
      <w:r>
        <w:t xml:space="preserve">Auto </w:t>
      </w:r>
      <w:hyperlink w:anchor="AUTO_2007_257" w:history="1">
        <w:r w:rsidRPr="00512048">
          <w:rPr>
            <w:rStyle w:val="TextoNormalCaracter"/>
          </w:rPr>
          <w:t>257/2007</w:t>
        </w:r>
      </w:hyperlink>
      <w:r>
        <w:t>.</w:t>
      </w:r>
    </w:p>
    <w:p w:rsidR="00512048" w:rsidRDefault="00512048" w:rsidP="00512048">
      <w:pPr>
        <w:pStyle w:val="SangriaFrancesaArticulo"/>
      </w:pPr>
      <w:r w:rsidRPr="00512048">
        <w:rPr>
          <w:rStyle w:val="TextoNormalNegritaCaracter"/>
        </w:rPr>
        <w:t>Artículo 20.1 a).</w:t>
      </w:r>
      <w:r w:rsidRPr="00512048">
        <w:rPr>
          <w:rStyle w:val="TextoNormalCaracter"/>
        </w:rPr>
        <w:t>-</w:t>
      </w:r>
      <w:r>
        <w:t xml:space="preserve"> Sentencias </w:t>
      </w:r>
      <w:hyperlink w:anchor="SENTENCIA_2007_110" w:history="1">
        <w:r w:rsidRPr="00512048">
          <w:rPr>
            <w:rStyle w:val="TextoNormalCaracter"/>
          </w:rPr>
          <w:t>110/2007</w:t>
        </w:r>
      </w:hyperlink>
      <w:r>
        <w:t xml:space="preserve">, f. 10; </w:t>
      </w:r>
      <w:hyperlink w:anchor="SENTENCIA_2007_125" w:history="1">
        <w:r w:rsidRPr="00512048">
          <w:rPr>
            <w:rStyle w:val="TextoNormalCaracter"/>
          </w:rPr>
          <w:t>125/2007</w:t>
        </w:r>
      </w:hyperlink>
      <w:r>
        <w:t xml:space="preserve">, ff. 1 a 4; </w:t>
      </w:r>
      <w:hyperlink w:anchor="SENTENCIA_2007_128" w:history="1">
        <w:r w:rsidRPr="00512048">
          <w:rPr>
            <w:rStyle w:val="TextoNormalCaracter"/>
          </w:rPr>
          <w:t>128/2007</w:t>
        </w:r>
      </w:hyperlink>
      <w:r>
        <w:t xml:space="preserve">, ff. 2, 4, 5, 7, 10 a 12, VP; </w:t>
      </w:r>
      <w:hyperlink w:anchor="SENTENCIA_2007_139" w:history="1">
        <w:r w:rsidRPr="00512048">
          <w:rPr>
            <w:rStyle w:val="TextoNormalCaracter"/>
          </w:rPr>
          <w:t>139/2007</w:t>
        </w:r>
      </w:hyperlink>
      <w:r>
        <w:t xml:space="preserve">, ff. 5, 6; </w:t>
      </w:r>
      <w:hyperlink w:anchor="SENTENCIA_2007_145" w:history="1">
        <w:r w:rsidRPr="00512048">
          <w:rPr>
            <w:rStyle w:val="TextoNormalCaracter"/>
          </w:rPr>
          <w:t>145/2007</w:t>
        </w:r>
      </w:hyperlink>
      <w:r>
        <w:t>, ff. 3, 4.</w:t>
      </w:r>
    </w:p>
    <w:p w:rsidR="00512048" w:rsidRDefault="00512048" w:rsidP="00512048">
      <w:pPr>
        <w:pStyle w:val="SangriaFrancesaArticulo"/>
      </w:pPr>
      <w:r w:rsidRPr="00512048">
        <w:rPr>
          <w:rStyle w:val="TextoNormalNegritaCaracter"/>
        </w:rPr>
        <w:t>Artículo 20.1 d).</w:t>
      </w:r>
      <w:r w:rsidRPr="00512048">
        <w:rPr>
          <w:rStyle w:val="TextoNormalCaracter"/>
        </w:rPr>
        <w:t>-</w:t>
      </w:r>
      <w:r>
        <w:t xml:space="preserve"> Sentencia </w:t>
      </w:r>
      <w:hyperlink w:anchor="SENTENCIA_2007_139" w:history="1">
        <w:r w:rsidRPr="00512048">
          <w:rPr>
            <w:rStyle w:val="TextoNormalCaracter"/>
          </w:rPr>
          <w:t>139/2007</w:t>
        </w:r>
      </w:hyperlink>
      <w:r>
        <w:t>, ff. 3, 5, 6, 9, 10.</w:t>
      </w:r>
    </w:p>
    <w:p w:rsidR="00512048" w:rsidRDefault="00512048" w:rsidP="00512048">
      <w:pPr>
        <w:pStyle w:val="SangriaFrancesaArticulo"/>
      </w:pPr>
      <w:r w:rsidRPr="00512048">
        <w:rPr>
          <w:rStyle w:val="TextoNormalNegritaCaracter"/>
        </w:rPr>
        <w:t>Artículo 20.4.</w:t>
      </w:r>
      <w:r w:rsidRPr="00512048">
        <w:rPr>
          <w:rStyle w:val="TextoNormalCaracter"/>
        </w:rPr>
        <w:t>-</w:t>
      </w:r>
      <w:r>
        <w:t xml:space="preserve"> Sentencia </w:t>
      </w:r>
      <w:hyperlink w:anchor="SENTENCIA_2007_139" w:history="1">
        <w:r w:rsidRPr="00512048">
          <w:rPr>
            <w:rStyle w:val="TextoNormalCaracter"/>
          </w:rPr>
          <w:t>139/2007</w:t>
        </w:r>
      </w:hyperlink>
      <w:r>
        <w:t>, f. 7.</w:t>
      </w:r>
    </w:p>
    <w:p w:rsidR="00512048" w:rsidRDefault="00512048" w:rsidP="00512048">
      <w:pPr>
        <w:pStyle w:val="SangriaFrancesaArticulo"/>
      </w:pPr>
      <w:r w:rsidRPr="00512048">
        <w:rPr>
          <w:rStyle w:val="TextoNormalNegritaCaracter"/>
        </w:rPr>
        <w:t>Artículo 22.</w:t>
      </w:r>
      <w:r w:rsidRPr="00512048">
        <w:rPr>
          <w:rStyle w:val="TextoNormalCaracter"/>
        </w:rPr>
        <w:t>-</w:t>
      </w:r>
      <w:r>
        <w:t xml:space="preserve"> Sentencias </w:t>
      </w:r>
      <w:hyperlink w:anchor="SENTENCIA_2007_110" w:history="1">
        <w:r w:rsidRPr="00512048">
          <w:rPr>
            <w:rStyle w:val="TextoNormalCaracter"/>
          </w:rPr>
          <w:t>110/2007</w:t>
        </w:r>
      </w:hyperlink>
      <w:r>
        <w:t xml:space="preserve">, f. 2; </w:t>
      </w:r>
      <w:hyperlink w:anchor="SENTENCIA_2007_127" w:history="1">
        <w:r w:rsidRPr="00512048">
          <w:rPr>
            <w:rStyle w:val="TextoNormalCaracter"/>
          </w:rPr>
          <w:t>127/2007</w:t>
        </w:r>
      </w:hyperlink>
      <w:r>
        <w:t>, VP.</w:t>
      </w:r>
    </w:p>
    <w:p w:rsidR="00512048" w:rsidRDefault="00512048" w:rsidP="00512048">
      <w:pPr>
        <w:pStyle w:val="SangriaFrancesaArticulo"/>
      </w:pPr>
      <w:r w:rsidRPr="00512048">
        <w:rPr>
          <w:rStyle w:val="TextoNormalNegritaCaracter"/>
        </w:rPr>
        <w:t>Artículo 22.1.</w:t>
      </w:r>
      <w:r w:rsidRPr="00512048">
        <w:rPr>
          <w:rStyle w:val="TextoNormalCaracter"/>
        </w:rPr>
        <w:t>-</w:t>
      </w:r>
      <w:r>
        <w:t xml:space="preserve"> Sentencia </w:t>
      </w:r>
      <w:hyperlink w:anchor="SENTENCIA_2007_112" w:history="1">
        <w:r w:rsidRPr="00512048">
          <w:rPr>
            <w:rStyle w:val="TextoNormalCaracter"/>
          </w:rPr>
          <w:t>112/2007</w:t>
        </w:r>
      </w:hyperlink>
      <w:r>
        <w:t>, f. 3.</w:t>
      </w:r>
    </w:p>
    <w:p w:rsidR="00512048" w:rsidRDefault="00512048" w:rsidP="00512048">
      <w:pPr>
        <w:pStyle w:val="SangriaFrancesaArticulo"/>
      </w:pPr>
      <w:r w:rsidRPr="00512048">
        <w:rPr>
          <w:rStyle w:val="TextoNormalNegritaCaracter"/>
        </w:rPr>
        <w:t>Artículo 23.</w:t>
      </w:r>
      <w:r w:rsidRPr="00512048">
        <w:rPr>
          <w:rStyle w:val="TextoNormalCaracter"/>
        </w:rPr>
        <w:t>-</w:t>
      </w:r>
      <w:r>
        <w:t xml:space="preserve"> Sentencias </w:t>
      </w:r>
      <w:hyperlink w:anchor="SENTENCIA_2007_97" w:history="1">
        <w:r w:rsidRPr="00512048">
          <w:rPr>
            <w:rStyle w:val="TextoNormalCaracter"/>
          </w:rPr>
          <w:t>97/2007</w:t>
        </w:r>
      </w:hyperlink>
      <w:r>
        <w:t xml:space="preserve">, f. 3; </w:t>
      </w:r>
      <w:hyperlink w:anchor="SENTENCIA_2007_100" w:history="1">
        <w:r w:rsidRPr="00512048">
          <w:rPr>
            <w:rStyle w:val="TextoNormalCaracter"/>
          </w:rPr>
          <w:t>100/2007</w:t>
        </w:r>
      </w:hyperlink>
      <w:r>
        <w:t xml:space="preserve">, f. 2; </w:t>
      </w:r>
      <w:hyperlink w:anchor="SENTENCIA_2007_108" w:history="1">
        <w:r w:rsidRPr="00512048">
          <w:rPr>
            <w:rStyle w:val="TextoNormalCaracter"/>
          </w:rPr>
          <w:t>108/2007</w:t>
        </w:r>
      </w:hyperlink>
      <w:r>
        <w:t xml:space="preserve">, VP; </w:t>
      </w:r>
      <w:hyperlink w:anchor="SENTENCIA_2007_110" w:history="1">
        <w:r w:rsidRPr="00512048">
          <w:rPr>
            <w:rStyle w:val="TextoNormalCaracter"/>
          </w:rPr>
          <w:t>110/2007</w:t>
        </w:r>
      </w:hyperlink>
      <w:r>
        <w:t xml:space="preserve">, f. 10; </w:t>
      </w:r>
      <w:hyperlink w:anchor="SENTENCIA_2007_112" w:history="1">
        <w:r w:rsidRPr="00512048">
          <w:rPr>
            <w:rStyle w:val="TextoNormalCaracter"/>
          </w:rPr>
          <w:t>112/2007</w:t>
        </w:r>
      </w:hyperlink>
      <w:r>
        <w:t xml:space="preserve">, ff. 3, 9; </w:t>
      </w:r>
      <w:hyperlink w:anchor="SENTENCIA_2007_127" w:history="1">
        <w:r w:rsidRPr="00512048">
          <w:rPr>
            <w:rStyle w:val="TextoNormalCaracter"/>
          </w:rPr>
          <w:t>127/2007</w:t>
        </w:r>
      </w:hyperlink>
      <w:r>
        <w:t xml:space="preserve">, VP; </w:t>
      </w:r>
      <w:hyperlink w:anchor="SENTENCIA_2007_141" w:history="1">
        <w:r w:rsidRPr="00512048">
          <w:rPr>
            <w:rStyle w:val="TextoNormalCaracter"/>
          </w:rPr>
          <w:t>141/2007</w:t>
        </w:r>
      </w:hyperlink>
      <w:r>
        <w:t xml:space="preserve">, f. 3; </w:t>
      </w:r>
      <w:hyperlink w:anchor="SENTENCIA_2007_167" w:history="1">
        <w:r w:rsidRPr="00512048">
          <w:rPr>
            <w:rStyle w:val="TextoNormalCaracter"/>
          </w:rPr>
          <w:t>167/2007</w:t>
        </w:r>
      </w:hyperlink>
      <w:r>
        <w:t xml:space="preserve">, f. 8; </w:t>
      </w:r>
      <w:hyperlink w:anchor="SENTENCIA_2007_168" w:history="1">
        <w:r w:rsidRPr="00512048">
          <w:rPr>
            <w:rStyle w:val="TextoNormalCaracter"/>
          </w:rPr>
          <w:t>168/2007</w:t>
        </w:r>
      </w:hyperlink>
      <w:r>
        <w:t xml:space="preserve">, f. 4; </w:t>
      </w:r>
      <w:hyperlink w:anchor="SENTENCIA_2007_169" w:history="1">
        <w:r w:rsidRPr="00512048">
          <w:rPr>
            <w:rStyle w:val="TextoNormalCaracter"/>
          </w:rPr>
          <w:t>169/2007</w:t>
        </w:r>
      </w:hyperlink>
      <w:r>
        <w:t xml:space="preserve">, f. 6; </w:t>
      </w:r>
      <w:hyperlink w:anchor="SENTENCIA_2007_170" w:history="1">
        <w:r w:rsidRPr="00512048">
          <w:rPr>
            <w:rStyle w:val="TextoNormalCaracter"/>
          </w:rPr>
          <w:t>170/2007</w:t>
        </w:r>
      </w:hyperlink>
      <w:r>
        <w:t>, f. 5.</w:t>
      </w:r>
    </w:p>
    <w:p w:rsidR="00512048" w:rsidRDefault="00512048" w:rsidP="00512048">
      <w:pPr>
        <w:pStyle w:val="SangriaFrancesaArticulo"/>
      </w:pPr>
      <w:r w:rsidRPr="00512048">
        <w:rPr>
          <w:rStyle w:val="TextoNormalNegritaCaracter"/>
        </w:rPr>
        <w:t>Artículo 23.1.</w:t>
      </w:r>
      <w:r w:rsidRPr="00512048">
        <w:rPr>
          <w:rStyle w:val="TextoNormalCaracter"/>
        </w:rPr>
        <w:t>-</w:t>
      </w:r>
      <w:r>
        <w:t xml:space="preserve"> Sentencias </w:t>
      </w:r>
      <w:hyperlink w:anchor="SENTENCIA_2007_102" w:history="1">
        <w:r w:rsidRPr="00512048">
          <w:rPr>
            <w:rStyle w:val="TextoNormalCaracter"/>
          </w:rPr>
          <w:t>102/2007</w:t>
        </w:r>
      </w:hyperlink>
      <w:r>
        <w:t xml:space="preserve">, f. 1; </w:t>
      </w:r>
      <w:hyperlink w:anchor="SENTENCIA_2007_110" w:history="1">
        <w:r w:rsidRPr="00512048">
          <w:rPr>
            <w:rStyle w:val="TextoNormalCaracter"/>
          </w:rPr>
          <w:t>110/2007</w:t>
        </w:r>
      </w:hyperlink>
      <w:r>
        <w:t xml:space="preserve">, ff. 1, 9, 10; </w:t>
      </w:r>
      <w:hyperlink w:anchor="SENTENCIA_2007_141" w:history="1">
        <w:r w:rsidRPr="00512048">
          <w:rPr>
            <w:rStyle w:val="TextoNormalCaracter"/>
          </w:rPr>
          <w:t>141/2007</w:t>
        </w:r>
      </w:hyperlink>
      <w:r>
        <w:t xml:space="preserve">, ff. 3, 5; </w:t>
      </w:r>
      <w:hyperlink w:anchor="SENTENCIA_2007_167" w:history="1">
        <w:r w:rsidRPr="00512048">
          <w:rPr>
            <w:rStyle w:val="TextoNormalCaracter"/>
          </w:rPr>
          <w:t>167/2007</w:t>
        </w:r>
      </w:hyperlink>
      <w:r>
        <w:t>, ff. 1, 4 a 6.</w:t>
      </w:r>
    </w:p>
    <w:p w:rsidR="00512048" w:rsidRDefault="00512048" w:rsidP="00512048">
      <w:pPr>
        <w:pStyle w:val="SangriaIzquierdaArticulo"/>
      </w:pPr>
      <w:r>
        <w:t xml:space="preserve">Auto </w:t>
      </w:r>
      <w:hyperlink w:anchor="AUTO_2007_262" w:history="1">
        <w:r w:rsidRPr="00512048">
          <w:rPr>
            <w:rStyle w:val="TextoNormalCaracter"/>
          </w:rPr>
          <w:t>262/2007</w:t>
        </w:r>
      </w:hyperlink>
      <w:r>
        <w:t>.</w:t>
      </w:r>
    </w:p>
    <w:p w:rsidR="00512048" w:rsidRDefault="00512048" w:rsidP="00512048">
      <w:pPr>
        <w:pStyle w:val="SangriaFrancesaArticulo"/>
      </w:pPr>
      <w:r w:rsidRPr="00512048">
        <w:rPr>
          <w:rStyle w:val="TextoNormalNegritaCaracter"/>
        </w:rPr>
        <w:t>Artículo 23.2.</w:t>
      </w:r>
      <w:r w:rsidRPr="00512048">
        <w:rPr>
          <w:rStyle w:val="TextoNormalCaracter"/>
        </w:rPr>
        <w:t>-</w:t>
      </w:r>
      <w:r>
        <w:t xml:space="preserve"> Sentencias </w:t>
      </w:r>
      <w:hyperlink w:anchor="SENTENCIA_2007_96" w:history="1">
        <w:r w:rsidRPr="00512048">
          <w:rPr>
            <w:rStyle w:val="TextoNormalCaracter"/>
          </w:rPr>
          <w:t>96/2007</w:t>
        </w:r>
      </w:hyperlink>
      <w:r>
        <w:t xml:space="preserve">, ff. 1, 2, 4 a 6; </w:t>
      </w:r>
      <w:hyperlink w:anchor="SENTENCIA_2007_97" w:history="1">
        <w:r w:rsidRPr="00512048">
          <w:rPr>
            <w:rStyle w:val="TextoNormalCaracter"/>
          </w:rPr>
          <w:t>97/2007</w:t>
        </w:r>
      </w:hyperlink>
      <w:r>
        <w:t xml:space="preserve">, ff. 1, 2, 4; </w:t>
      </w:r>
      <w:hyperlink w:anchor="SENTENCIA_2007_99" w:history="1">
        <w:r w:rsidRPr="00512048">
          <w:rPr>
            <w:rStyle w:val="TextoNormalCaracter"/>
          </w:rPr>
          <w:t>99/2007</w:t>
        </w:r>
      </w:hyperlink>
      <w:r>
        <w:t xml:space="preserve">, passim; </w:t>
      </w:r>
      <w:hyperlink w:anchor="SENTENCIA_2007_100" w:history="1">
        <w:r w:rsidRPr="00512048">
          <w:rPr>
            <w:rStyle w:val="TextoNormalCaracter"/>
          </w:rPr>
          <w:t>100/2007</w:t>
        </w:r>
      </w:hyperlink>
      <w:r>
        <w:t xml:space="preserve">, ff. 1, 3; </w:t>
      </w:r>
      <w:hyperlink w:anchor="SENTENCIA_2007_101" w:history="1">
        <w:r w:rsidRPr="00512048">
          <w:rPr>
            <w:rStyle w:val="TextoNormalCaracter"/>
          </w:rPr>
          <w:t>101/2007</w:t>
        </w:r>
      </w:hyperlink>
      <w:r>
        <w:t xml:space="preserve">, ff. 1 a 5; </w:t>
      </w:r>
      <w:hyperlink w:anchor="SENTENCIA_2007_102" w:history="1">
        <w:r w:rsidRPr="00512048">
          <w:rPr>
            <w:rStyle w:val="TextoNormalCaracter"/>
          </w:rPr>
          <w:t>102/2007</w:t>
        </w:r>
      </w:hyperlink>
      <w:r>
        <w:t xml:space="preserve">, passim; </w:t>
      </w:r>
      <w:hyperlink w:anchor="SENTENCIA_2007_104" w:history="1">
        <w:r w:rsidRPr="00512048">
          <w:rPr>
            <w:rStyle w:val="TextoNormalCaracter"/>
          </w:rPr>
          <w:t>104/2007</w:t>
        </w:r>
      </w:hyperlink>
      <w:r>
        <w:t xml:space="preserve">, ff. 1 a 5; </w:t>
      </w:r>
      <w:hyperlink w:anchor="SENTENCIA_2007_105" w:history="1">
        <w:r w:rsidRPr="00512048">
          <w:rPr>
            <w:rStyle w:val="TextoNormalCaracter"/>
          </w:rPr>
          <w:t>105/2007</w:t>
        </w:r>
      </w:hyperlink>
      <w:r>
        <w:t xml:space="preserve">, ff. 1 a 4; </w:t>
      </w:r>
      <w:hyperlink w:anchor="SENTENCIA_2007_108" w:history="1">
        <w:r w:rsidRPr="00512048">
          <w:rPr>
            <w:rStyle w:val="TextoNormalCaracter"/>
          </w:rPr>
          <w:t>108/2007</w:t>
        </w:r>
      </w:hyperlink>
      <w:r>
        <w:t xml:space="preserve">, ff. 1, 4; </w:t>
      </w:r>
      <w:hyperlink w:anchor="SENTENCIA_2007_109" w:history="1">
        <w:r w:rsidRPr="00512048">
          <w:rPr>
            <w:rStyle w:val="TextoNormalCaracter"/>
          </w:rPr>
          <w:t>109/2007</w:t>
        </w:r>
      </w:hyperlink>
      <w:r>
        <w:t xml:space="preserve">, ff. 2, 3; </w:t>
      </w:r>
      <w:hyperlink w:anchor="SENTENCIA_2007_111" w:history="1">
        <w:r w:rsidRPr="00512048">
          <w:rPr>
            <w:rStyle w:val="TextoNormalCaracter"/>
          </w:rPr>
          <w:t>111/2007</w:t>
        </w:r>
      </w:hyperlink>
      <w:r>
        <w:t xml:space="preserve">, ff. 1 a 3; </w:t>
      </w:r>
      <w:hyperlink w:anchor="SENTENCIA_2007_127" w:history="1">
        <w:r w:rsidRPr="00512048">
          <w:rPr>
            <w:rStyle w:val="TextoNormalCaracter"/>
          </w:rPr>
          <w:t>127/2007</w:t>
        </w:r>
      </w:hyperlink>
      <w:r>
        <w:t xml:space="preserve">, ff. 1, 3; </w:t>
      </w:r>
      <w:hyperlink w:anchor="SENTENCIA_2007_129" w:history="1">
        <w:r w:rsidRPr="00512048">
          <w:rPr>
            <w:rStyle w:val="TextoNormalCaracter"/>
          </w:rPr>
          <w:t>129/2007</w:t>
        </w:r>
      </w:hyperlink>
      <w:r>
        <w:t xml:space="preserve">, ff. 1, 2; </w:t>
      </w:r>
      <w:hyperlink w:anchor="SENTENCIA_2007_141" w:history="1">
        <w:r w:rsidRPr="00512048">
          <w:rPr>
            <w:rStyle w:val="TextoNormalCaracter"/>
          </w:rPr>
          <w:t>141/2007</w:t>
        </w:r>
      </w:hyperlink>
      <w:r>
        <w:t xml:space="preserve">, passim; </w:t>
      </w:r>
      <w:hyperlink w:anchor="SENTENCIA_2007_161" w:history="1">
        <w:r w:rsidRPr="00512048">
          <w:rPr>
            <w:rStyle w:val="TextoNormalCaracter"/>
          </w:rPr>
          <w:t>161/2007</w:t>
        </w:r>
      </w:hyperlink>
      <w:r>
        <w:t xml:space="preserve">, ff. 1, 5; </w:t>
      </w:r>
      <w:hyperlink w:anchor="SENTENCIA_2007_167" w:history="1">
        <w:r w:rsidRPr="00512048">
          <w:rPr>
            <w:rStyle w:val="TextoNormalCaracter"/>
          </w:rPr>
          <w:t>167/2007</w:t>
        </w:r>
      </w:hyperlink>
      <w:r>
        <w:t xml:space="preserve">, ff. 1, 4 a 9; </w:t>
      </w:r>
      <w:hyperlink w:anchor="SENTENCIA_2007_168" w:history="1">
        <w:r w:rsidRPr="00512048">
          <w:rPr>
            <w:rStyle w:val="TextoNormalCaracter"/>
          </w:rPr>
          <w:t>168/2007</w:t>
        </w:r>
      </w:hyperlink>
      <w:r>
        <w:t xml:space="preserve">, ff. 1 a 5; </w:t>
      </w:r>
      <w:hyperlink w:anchor="SENTENCIA_2007_169" w:history="1">
        <w:r w:rsidRPr="00512048">
          <w:rPr>
            <w:rStyle w:val="TextoNormalCaracter"/>
          </w:rPr>
          <w:t>169/2007</w:t>
        </w:r>
      </w:hyperlink>
      <w:r>
        <w:t xml:space="preserve">, ff. 1, 3 a 7; </w:t>
      </w:r>
      <w:hyperlink w:anchor="SENTENCIA_2007_170" w:history="1">
        <w:r w:rsidRPr="00512048">
          <w:rPr>
            <w:rStyle w:val="TextoNormalCaracter"/>
          </w:rPr>
          <w:t>170/2007</w:t>
        </w:r>
      </w:hyperlink>
      <w:r>
        <w:t>, ff. 1, 3 a 6.</w:t>
      </w:r>
    </w:p>
    <w:p w:rsidR="00512048" w:rsidRDefault="00512048" w:rsidP="00512048">
      <w:pPr>
        <w:pStyle w:val="SangriaIzquierdaArticulo"/>
      </w:pPr>
      <w:r>
        <w:t xml:space="preserve">Autos </w:t>
      </w:r>
      <w:hyperlink w:anchor="AUTO_2007_257" w:history="1">
        <w:r w:rsidRPr="00512048">
          <w:rPr>
            <w:rStyle w:val="TextoNormalCaracter"/>
          </w:rPr>
          <w:t>257/2007</w:t>
        </w:r>
      </w:hyperlink>
      <w:r>
        <w:t xml:space="preserve">; </w:t>
      </w:r>
      <w:hyperlink w:anchor="AUTO_2007_262" w:history="1">
        <w:r w:rsidRPr="00512048">
          <w:rPr>
            <w:rStyle w:val="TextoNormalCaracter"/>
          </w:rPr>
          <w:t>262/2007</w:t>
        </w:r>
      </w:hyperlink>
      <w:r>
        <w:t xml:space="preserve">; </w:t>
      </w:r>
      <w:hyperlink w:anchor="AUTO_2007_338" w:history="1">
        <w:r w:rsidRPr="00512048">
          <w:rPr>
            <w:rStyle w:val="TextoNormalCaracter"/>
          </w:rPr>
          <w:t>338/2007</w:t>
        </w:r>
      </w:hyperlink>
      <w:r>
        <w:t xml:space="preserve">; </w:t>
      </w:r>
      <w:hyperlink w:anchor="AUTO_2007_352" w:history="1">
        <w:r w:rsidRPr="00512048">
          <w:rPr>
            <w:rStyle w:val="TextoNormalCaracter"/>
          </w:rPr>
          <w:t>352/2007</w:t>
        </w:r>
      </w:hyperlink>
      <w:r>
        <w:t xml:space="preserve">; </w:t>
      </w:r>
      <w:hyperlink w:anchor="AUTO_2007_353" w:history="1">
        <w:r w:rsidRPr="00512048">
          <w:rPr>
            <w:rStyle w:val="TextoNormalCaracter"/>
          </w:rPr>
          <w:t>353/2007</w:t>
        </w:r>
      </w:hyperlink>
      <w:r>
        <w:t>.</w:t>
      </w:r>
    </w:p>
    <w:p w:rsidR="00512048" w:rsidRDefault="00512048" w:rsidP="00512048">
      <w:pPr>
        <w:pStyle w:val="SangriaFrancesaArticulo"/>
      </w:pPr>
      <w:r w:rsidRPr="00512048">
        <w:rPr>
          <w:rStyle w:val="TextoNormalNegritaCaracter"/>
        </w:rPr>
        <w:t>Artículo 24.</w:t>
      </w:r>
      <w:r w:rsidRPr="00512048">
        <w:rPr>
          <w:rStyle w:val="TextoNormalCaracter"/>
        </w:rPr>
        <w:t>-</w:t>
      </w:r>
      <w:r>
        <w:t xml:space="preserve"> Sentencias </w:t>
      </w:r>
      <w:hyperlink w:anchor="SENTENCIA_2007_110" w:history="1">
        <w:r w:rsidRPr="00512048">
          <w:rPr>
            <w:rStyle w:val="TextoNormalCaracter"/>
          </w:rPr>
          <w:t>110/2007</w:t>
        </w:r>
      </w:hyperlink>
      <w:r>
        <w:t xml:space="preserve">, ff. 1 a 3, 8; </w:t>
      </w:r>
      <w:hyperlink w:anchor="SENTENCIA_2007_112" w:history="1">
        <w:r w:rsidRPr="00512048">
          <w:rPr>
            <w:rStyle w:val="TextoNormalCaracter"/>
          </w:rPr>
          <w:t>112/2007</w:t>
        </w:r>
      </w:hyperlink>
      <w:r>
        <w:t xml:space="preserve">, ff. 2, 5; </w:t>
      </w:r>
      <w:hyperlink w:anchor="SENTENCIA_2007_135" w:history="1">
        <w:r w:rsidRPr="00512048">
          <w:rPr>
            <w:rStyle w:val="TextoNormalCaracter"/>
          </w:rPr>
          <w:t>135/2007</w:t>
        </w:r>
      </w:hyperlink>
      <w:r>
        <w:t xml:space="preserve">, f. 4; </w:t>
      </w:r>
      <w:hyperlink w:anchor="SENTENCIA_2007_138" w:history="1">
        <w:r w:rsidRPr="00512048">
          <w:rPr>
            <w:rStyle w:val="TextoNormalCaracter"/>
          </w:rPr>
          <w:t>138/2007</w:t>
        </w:r>
      </w:hyperlink>
      <w:r>
        <w:t xml:space="preserve">, ff. 1, 3; </w:t>
      </w:r>
      <w:hyperlink w:anchor="SENTENCIA_2007_139" w:history="1">
        <w:r w:rsidRPr="00512048">
          <w:rPr>
            <w:rStyle w:val="TextoNormalCaracter"/>
          </w:rPr>
          <w:t>139/2007</w:t>
        </w:r>
      </w:hyperlink>
      <w:r>
        <w:t xml:space="preserve">, f. 5; </w:t>
      </w:r>
      <w:hyperlink w:anchor="SENTENCIA_2007_148" w:history="1">
        <w:r w:rsidRPr="00512048">
          <w:rPr>
            <w:rStyle w:val="TextoNormalCaracter"/>
          </w:rPr>
          <w:t>148/2007</w:t>
        </w:r>
      </w:hyperlink>
      <w:r>
        <w:t xml:space="preserve">, f. 2; </w:t>
      </w:r>
      <w:hyperlink w:anchor="SENTENCIA_2007_157" w:history="1">
        <w:r w:rsidRPr="00512048">
          <w:rPr>
            <w:rStyle w:val="TextoNormalCaracter"/>
          </w:rPr>
          <w:t>157/2007</w:t>
        </w:r>
      </w:hyperlink>
      <w:r>
        <w:t xml:space="preserve">, ff. 3, 4; </w:t>
      </w:r>
      <w:hyperlink w:anchor="SENTENCIA_2007_162" w:history="1">
        <w:r w:rsidRPr="00512048">
          <w:rPr>
            <w:rStyle w:val="TextoNormalCaracter"/>
          </w:rPr>
          <w:t>162/2007</w:t>
        </w:r>
      </w:hyperlink>
      <w:r>
        <w:t xml:space="preserve">, f. 2; </w:t>
      </w:r>
      <w:hyperlink w:anchor="SENTENCIA_2007_166" w:history="1">
        <w:r w:rsidRPr="00512048">
          <w:rPr>
            <w:rStyle w:val="TextoNormalCaracter"/>
          </w:rPr>
          <w:t>166/2007</w:t>
        </w:r>
      </w:hyperlink>
      <w:r>
        <w:t xml:space="preserve">, f. 6; </w:t>
      </w:r>
      <w:hyperlink w:anchor="SENTENCIA_2007_175" w:history="1">
        <w:r w:rsidRPr="00512048">
          <w:rPr>
            <w:rStyle w:val="TextoNormalCaracter"/>
          </w:rPr>
          <w:t>175/2007</w:t>
        </w:r>
      </w:hyperlink>
      <w:r>
        <w:t xml:space="preserve">, ff. 3, 4; </w:t>
      </w:r>
      <w:hyperlink w:anchor="SENTENCIA_2007_178" w:history="1">
        <w:r w:rsidRPr="00512048">
          <w:rPr>
            <w:rStyle w:val="TextoNormalCaracter"/>
          </w:rPr>
          <w:t>178/2007</w:t>
        </w:r>
      </w:hyperlink>
      <w:r>
        <w:t>, f. 2.</w:t>
      </w:r>
    </w:p>
    <w:p w:rsidR="00512048" w:rsidRDefault="00512048" w:rsidP="00512048">
      <w:pPr>
        <w:pStyle w:val="SangriaIzquierdaArticulo"/>
      </w:pPr>
      <w:r>
        <w:t xml:space="preserve">Autos </w:t>
      </w:r>
      <w:hyperlink w:anchor="AUTO_2007_247" w:history="1">
        <w:r w:rsidRPr="00512048">
          <w:rPr>
            <w:rStyle w:val="TextoNormalCaracter"/>
          </w:rPr>
          <w:t>247/2007</w:t>
        </w:r>
      </w:hyperlink>
      <w:r>
        <w:t xml:space="preserve">; </w:t>
      </w:r>
      <w:hyperlink w:anchor="AUTO_2007_281" w:history="1">
        <w:r w:rsidRPr="00512048">
          <w:rPr>
            <w:rStyle w:val="TextoNormalCaracter"/>
          </w:rPr>
          <w:t>281/2007</w:t>
        </w:r>
      </w:hyperlink>
      <w:r>
        <w:t xml:space="preserve">; </w:t>
      </w:r>
      <w:hyperlink w:anchor="AUTO_2007_290" w:history="1">
        <w:r w:rsidRPr="00512048">
          <w:rPr>
            <w:rStyle w:val="TextoNormalCaracter"/>
          </w:rPr>
          <w:t>290/2007</w:t>
        </w:r>
      </w:hyperlink>
      <w:r>
        <w:t xml:space="preserve">; </w:t>
      </w:r>
      <w:hyperlink w:anchor="AUTO_2007_317" w:history="1">
        <w:r w:rsidRPr="00512048">
          <w:rPr>
            <w:rStyle w:val="TextoNormalCaracter"/>
          </w:rPr>
          <w:t>317/2007</w:t>
        </w:r>
      </w:hyperlink>
      <w:r>
        <w:t xml:space="preserve">; </w:t>
      </w:r>
      <w:hyperlink w:anchor="AUTO_2007_327" w:history="1">
        <w:r w:rsidRPr="00512048">
          <w:rPr>
            <w:rStyle w:val="TextoNormalCaracter"/>
          </w:rPr>
          <w:t>327/2007</w:t>
        </w:r>
      </w:hyperlink>
      <w:r>
        <w:t>.</w:t>
      </w:r>
    </w:p>
    <w:p w:rsidR="00512048" w:rsidRDefault="00512048" w:rsidP="00512048">
      <w:pPr>
        <w:pStyle w:val="SangriaFrancesaArticulo"/>
      </w:pPr>
      <w:r w:rsidRPr="00512048">
        <w:rPr>
          <w:rStyle w:val="TextoNormalNegritaCaracter"/>
        </w:rPr>
        <w:lastRenderedPageBreak/>
        <w:t>Artículo 24.1.</w:t>
      </w:r>
      <w:r w:rsidRPr="00512048">
        <w:rPr>
          <w:rStyle w:val="TextoNormalCaracter"/>
        </w:rPr>
        <w:t>-</w:t>
      </w:r>
      <w:r>
        <w:t xml:space="preserve"> Sentencias </w:t>
      </w:r>
      <w:hyperlink w:anchor="SENTENCIA_2007_92" w:history="1">
        <w:r w:rsidRPr="00512048">
          <w:rPr>
            <w:rStyle w:val="TextoNormalCaracter"/>
          </w:rPr>
          <w:t>92/2007</w:t>
        </w:r>
      </w:hyperlink>
      <w:r>
        <w:t xml:space="preserve">, ff. 1, 3, 4; </w:t>
      </w:r>
      <w:hyperlink w:anchor="SENTENCIA_2007_94" w:history="1">
        <w:r w:rsidRPr="00512048">
          <w:rPr>
            <w:rStyle w:val="TextoNormalCaracter"/>
          </w:rPr>
          <w:t>94/2007</w:t>
        </w:r>
      </w:hyperlink>
      <w:r>
        <w:t xml:space="preserve">, ff. 1, 6, 7; </w:t>
      </w:r>
      <w:hyperlink w:anchor="SENTENCIA_2007_95" w:history="1">
        <w:r w:rsidRPr="00512048">
          <w:rPr>
            <w:rStyle w:val="TextoNormalCaracter"/>
          </w:rPr>
          <w:t>95/2007</w:t>
        </w:r>
      </w:hyperlink>
      <w:r>
        <w:t xml:space="preserve">, f. 2; </w:t>
      </w:r>
      <w:hyperlink w:anchor="SENTENCIA_2007_96" w:history="1">
        <w:r w:rsidRPr="00512048">
          <w:rPr>
            <w:rStyle w:val="TextoNormalCaracter"/>
          </w:rPr>
          <w:t>96/2007</w:t>
        </w:r>
      </w:hyperlink>
      <w:r>
        <w:t xml:space="preserve">, ff. 1 a 3; </w:t>
      </w:r>
      <w:hyperlink w:anchor="SENTENCIA_2007_97" w:history="1">
        <w:r w:rsidRPr="00512048">
          <w:rPr>
            <w:rStyle w:val="TextoNormalCaracter"/>
          </w:rPr>
          <w:t>97/2007</w:t>
        </w:r>
      </w:hyperlink>
      <w:r>
        <w:t xml:space="preserve">, ff. 1, 3, 4; </w:t>
      </w:r>
      <w:hyperlink w:anchor="SENTENCIA_2007_99" w:history="1">
        <w:r w:rsidRPr="00512048">
          <w:rPr>
            <w:rStyle w:val="TextoNormalCaracter"/>
          </w:rPr>
          <w:t>99/2007</w:t>
        </w:r>
      </w:hyperlink>
      <w:r>
        <w:t xml:space="preserve">, ff. 1 a 3; </w:t>
      </w:r>
      <w:hyperlink w:anchor="SENTENCIA_2007_100" w:history="1">
        <w:r w:rsidRPr="00512048">
          <w:rPr>
            <w:rStyle w:val="TextoNormalCaracter"/>
          </w:rPr>
          <w:t>100/2007</w:t>
        </w:r>
      </w:hyperlink>
      <w:r>
        <w:t xml:space="preserve">, ff. 1 a 3; </w:t>
      </w:r>
      <w:hyperlink w:anchor="SENTENCIA_2007_101" w:history="1">
        <w:r w:rsidRPr="00512048">
          <w:rPr>
            <w:rStyle w:val="TextoNormalCaracter"/>
          </w:rPr>
          <w:t>101/2007</w:t>
        </w:r>
      </w:hyperlink>
      <w:r>
        <w:t xml:space="preserve">, ff. 1, 5; </w:t>
      </w:r>
      <w:hyperlink w:anchor="SENTENCIA_2007_102" w:history="1">
        <w:r w:rsidRPr="00512048">
          <w:rPr>
            <w:rStyle w:val="TextoNormalCaracter"/>
          </w:rPr>
          <w:t>102/2007</w:t>
        </w:r>
      </w:hyperlink>
      <w:r>
        <w:t xml:space="preserve">, ff. 1, 2, 5; </w:t>
      </w:r>
      <w:hyperlink w:anchor="SENTENCIA_2007_104" w:history="1">
        <w:r w:rsidRPr="00512048">
          <w:rPr>
            <w:rStyle w:val="TextoNormalCaracter"/>
          </w:rPr>
          <w:t>104/2007</w:t>
        </w:r>
      </w:hyperlink>
      <w:r>
        <w:t xml:space="preserve">, ff. 1, 2; </w:t>
      </w:r>
      <w:hyperlink w:anchor="SENTENCIA_2007_105" w:history="1">
        <w:r w:rsidRPr="00512048">
          <w:rPr>
            <w:rStyle w:val="TextoNormalCaracter"/>
          </w:rPr>
          <w:t>105/2007</w:t>
        </w:r>
      </w:hyperlink>
      <w:r>
        <w:t xml:space="preserve">, f. 1; </w:t>
      </w:r>
      <w:hyperlink w:anchor="SENTENCIA_2007_108" w:history="1">
        <w:r w:rsidRPr="00512048">
          <w:rPr>
            <w:rStyle w:val="TextoNormalCaracter"/>
          </w:rPr>
          <w:t>108/2007</w:t>
        </w:r>
      </w:hyperlink>
      <w:r>
        <w:t xml:space="preserve">, f. 1; </w:t>
      </w:r>
      <w:hyperlink w:anchor="SENTENCIA_2007_109" w:history="1">
        <w:r w:rsidRPr="00512048">
          <w:rPr>
            <w:rStyle w:val="TextoNormalCaracter"/>
          </w:rPr>
          <w:t>109/2007</w:t>
        </w:r>
      </w:hyperlink>
      <w:r>
        <w:t xml:space="preserve">, f. 2; </w:t>
      </w:r>
      <w:hyperlink w:anchor="SENTENCIA_2007_110" w:history="1">
        <w:r w:rsidRPr="00512048">
          <w:rPr>
            <w:rStyle w:val="TextoNormalCaracter"/>
          </w:rPr>
          <w:t>110/2007</w:t>
        </w:r>
      </w:hyperlink>
      <w:r>
        <w:t xml:space="preserve">, f. 4; </w:t>
      </w:r>
      <w:hyperlink w:anchor="SENTENCIA_2007_112" w:history="1">
        <w:r w:rsidRPr="00512048">
          <w:rPr>
            <w:rStyle w:val="TextoNormalCaracter"/>
          </w:rPr>
          <w:t>112/2007</w:t>
        </w:r>
      </w:hyperlink>
      <w:r>
        <w:t xml:space="preserve">, ff. 3, 5; </w:t>
      </w:r>
      <w:hyperlink w:anchor="SENTENCIA_2007_116" w:history="1">
        <w:r w:rsidRPr="00512048">
          <w:rPr>
            <w:rStyle w:val="TextoNormalCaracter"/>
          </w:rPr>
          <w:t>116/2007</w:t>
        </w:r>
      </w:hyperlink>
      <w:r>
        <w:t xml:space="preserve">, ff. 1 a 3; </w:t>
      </w:r>
      <w:hyperlink w:anchor="SENTENCIA_2007_117" w:history="1">
        <w:r w:rsidRPr="00512048">
          <w:rPr>
            <w:rStyle w:val="TextoNormalCaracter"/>
          </w:rPr>
          <w:t>117/2007</w:t>
        </w:r>
      </w:hyperlink>
      <w:r>
        <w:t xml:space="preserve">, f. 1; </w:t>
      </w:r>
      <w:hyperlink w:anchor="SENTENCIA_2007_118" w:history="1">
        <w:r w:rsidRPr="00512048">
          <w:rPr>
            <w:rStyle w:val="TextoNormalCaracter"/>
          </w:rPr>
          <w:t>118/2007</w:t>
        </w:r>
      </w:hyperlink>
      <w:r>
        <w:t xml:space="preserve">, ff. 1, 2; </w:t>
      </w:r>
      <w:hyperlink w:anchor="SENTENCIA_2007_119" w:history="1">
        <w:r w:rsidRPr="00512048">
          <w:rPr>
            <w:rStyle w:val="TextoNormalCaracter"/>
          </w:rPr>
          <w:t>119/2007</w:t>
        </w:r>
      </w:hyperlink>
      <w:r>
        <w:t xml:space="preserve">, ff. 1, 4, 7; </w:t>
      </w:r>
      <w:hyperlink w:anchor="SENTENCIA_2007_120" w:history="1">
        <w:r w:rsidRPr="00512048">
          <w:rPr>
            <w:rStyle w:val="TextoNormalCaracter"/>
          </w:rPr>
          <w:t>120/2007</w:t>
        </w:r>
      </w:hyperlink>
      <w:r>
        <w:t xml:space="preserve">, ff. 1 a 3; </w:t>
      </w:r>
      <w:hyperlink w:anchor="SENTENCIA_2007_121" w:history="1">
        <w:r w:rsidRPr="00512048">
          <w:rPr>
            <w:rStyle w:val="TextoNormalCaracter"/>
          </w:rPr>
          <w:t>121/2007</w:t>
        </w:r>
      </w:hyperlink>
      <w:r>
        <w:t xml:space="preserve">, f. 1; </w:t>
      </w:r>
      <w:hyperlink w:anchor="SENTENCIA_2007_122" w:history="1">
        <w:r w:rsidRPr="00512048">
          <w:rPr>
            <w:rStyle w:val="TextoNormalCaracter"/>
          </w:rPr>
          <w:t>122/2007</w:t>
        </w:r>
      </w:hyperlink>
      <w:r>
        <w:t xml:space="preserve">, ff. 1, 3, 4, 6; </w:t>
      </w:r>
      <w:hyperlink w:anchor="SENTENCIA_2007_123" w:history="1">
        <w:r w:rsidRPr="00512048">
          <w:rPr>
            <w:rStyle w:val="TextoNormalCaracter"/>
          </w:rPr>
          <w:t>123/2007</w:t>
        </w:r>
      </w:hyperlink>
      <w:r>
        <w:t xml:space="preserve">, f. 1; </w:t>
      </w:r>
      <w:hyperlink w:anchor="SENTENCIA_2007_124" w:history="1">
        <w:r w:rsidRPr="00512048">
          <w:rPr>
            <w:rStyle w:val="TextoNormalCaracter"/>
          </w:rPr>
          <w:t>124/2007</w:t>
        </w:r>
      </w:hyperlink>
      <w:r>
        <w:t xml:space="preserve">, ff. 1 a 7; </w:t>
      </w:r>
      <w:hyperlink w:anchor="SENTENCIA_2007_126" w:history="1">
        <w:r w:rsidRPr="00512048">
          <w:rPr>
            <w:rStyle w:val="TextoNormalCaracter"/>
          </w:rPr>
          <w:t>126/2007</w:t>
        </w:r>
      </w:hyperlink>
      <w:r>
        <w:t xml:space="preserve">, f. 2; </w:t>
      </w:r>
      <w:hyperlink w:anchor="SENTENCIA_2007_128" w:history="1">
        <w:r w:rsidRPr="00512048">
          <w:rPr>
            <w:rStyle w:val="TextoNormalCaracter"/>
          </w:rPr>
          <w:t>128/2007</w:t>
        </w:r>
      </w:hyperlink>
      <w:r>
        <w:t xml:space="preserve">, f. 8; </w:t>
      </w:r>
      <w:hyperlink w:anchor="SENTENCIA_2007_130" w:history="1">
        <w:r w:rsidRPr="00512048">
          <w:rPr>
            <w:rStyle w:val="TextoNormalCaracter"/>
          </w:rPr>
          <w:t>130/2007</w:t>
        </w:r>
      </w:hyperlink>
      <w:r>
        <w:t xml:space="preserve">, ff. 2, 4, 5; </w:t>
      </w:r>
      <w:hyperlink w:anchor="SENTENCIA_2007_131" w:history="1">
        <w:r w:rsidRPr="00512048">
          <w:rPr>
            <w:rStyle w:val="TextoNormalCaracter"/>
          </w:rPr>
          <w:t>131/2007</w:t>
        </w:r>
      </w:hyperlink>
      <w:r>
        <w:t xml:space="preserve">, ff. 1, 2, 4; </w:t>
      </w:r>
      <w:hyperlink w:anchor="SENTENCIA_2007_132" w:history="1">
        <w:r w:rsidRPr="00512048">
          <w:rPr>
            <w:rStyle w:val="TextoNormalCaracter"/>
          </w:rPr>
          <w:t>132/2007</w:t>
        </w:r>
      </w:hyperlink>
      <w:r>
        <w:t xml:space="preserve">, ff. 1, 3; </w:t>
      </w:r>
      <w:hyperlink w:anchor="SENTENCIA_2007_133" w:history="1">
        <w:r w:rsidRPr="00512048">
          <w:rPr>
            <w:rStyle w:val="TextoNormalCaracter"/>
          </w:rPr>
          <w:t>133/2007</w:t>
        </w:r>
      </w:hyperlink>
      <w:r>
        <w:t xml:space="preserve">, ff. 1, 3; </w:t>
      </w:r>
      <w:hyperlink w:anchor="SENTENCIA_2007_135" w:history="1">
        <w:r w:rsidRPr="00512048">
          <w:rPr>
            <w:rStyle w:val="TextoNormalCaracter"/>
          </w:rPr>
          <w:t>135/2007</w:t>
        </w:r>
      </w:hyperlink>
      <w:r>
        <w:t xml:space="preserve">, ff. 1, 2, 4; </w:t>
      </w:r>
      <w:hyperlink w:anchor="SENTENCIA_2007_136" w:history="1">
        <w:r w:rsidRPr="00512048">
          <w:rPr>
            <w:rStyle w:val="TextoNormalCaracter"/>
          </w:rPr>
          <w:t>136/2007</w:t>
        </w:r>
      </w:hyperlink>
      <w:r>
        <w:t xml:space="preserve">, ff. 1, 3; </w:t>
      </w:r>
      <w:hyperlink w:anchor="SENTENCIA_2007_138" w:history="1">
        <w:r w:rsidRPr="00512048">
          <w:rPr>
            <w:rStyle w:val="TextoNormalCaracter"/>
          </w:rPr>
          <w:t>138/2007</w:t>
        </w:r>
      </w:hyperlink>
      <w:r>
        <w:t xml:space="preserve">, ff. 1 a 3; </w:t>
      </w:r>
      <w:hyperlink w:anchor="SENTENCIA_2007_140" w:history="1">
        <w:r w:rsidRPr="00512048">
          <w:rPr>
            <w:rStyle w:val="TextoNormalCaracter"/>
          </w:rPr>
          <w:t>140/2007</w:t>
        </w:r>
      </w:hyperlink>
      <w:r>
        <w:t xml:space="preserve">, ff. 1, 3, 4; </w:t>
      </w:r>
      <w:hyperlink w:anchor="SENTENCIA_2007_143" w:history="1">
        <w:r w:rsidRPr="00512048">
          <w:rPr>
            <w:rStyle w:val="TextoNormalCaracter"/>
          </w:rPr>
          <w:t>143/2007</w:t>
        </w:r>
      </w:hyperlink>
      <w:r>
        <w:t xml:space="preserve">, ff. 1 a 3; </w:t>
      </w:r>
      <w:hyperlink w:anchor="SENTENCIA_2007_144" w:history="1">
        <w:r w:rsidRPr="00512048">
          <w:rPr>
            <w:rStyle w:val="TextoNormalCaracter"/>
          </w:rPr>
          <w:t>144/2007</w:t>
        </w:r>
      </w:hyperlink>
      <w:r>
        <w:t xml:space="preserve">, ff. 1, 3 a 5; </w:t>
      </w:r>
      <w:hyperlink w:anchor="SENTENCIA_2007_145" w:history="1">
        <w:r w:rsidRPr="00512048">
          <w:rPr>
            <w:rStyle w:val="TextoNormalCaracter"/>
          </w:rPr>
          <w:t>145/2007</w:t>
        </w:r>
      </w:hyperlink>
      <w:r>
        <w:t xml:space="preserve">, f. 2; </w:t>
      </w:r>
      <w:hyperlink w:anchor="SENTENCIA_2007_146" w:history="1">
        <w:r w:rsidRPr="00512048">
          <w:rPr>
            <w:rStyle w:val="TextoNormalCaracter"/>
          </w:rPr>
          <w:t>146/2007</w:t>
        </w:r>
      </w:hyperlink>
      <w:r>
        <w:t xml:space="preserve">, ff. 1, 3; </w:t>
      </w:r>
      <w:hyperlink w:anchor="SENTENCIA_2007_148" w:history="1">
        <w:r w:rsidRPr="00512048">
          <w:rPr>
            <w:rStyle w:val="TextoNormalCaracter"/>
          </w:rPr>
          <w:t>148/2007</w:t>
        </w:r>
      </w:hyperlink>
      <w:r>
        <w:t xml:space="preserve">, ff. 1 a 3; </w:t>
      </w:r>
      <w:hyperlink w:anchor="SENTENCIA_2007_151" w:history="1">
        <w:r w:rsidRPr="00512048">
          <w:rPr>
            <w:rStyle w:val="TextoNormalCaracter"/>
          </w:rPr>
          <w:t>151/2007</w:t>
        </w:r>
      </w:hyperlink>
      <w:r>
        <w:t xml:space="preserve">, f. 1; </w:t>
      </w:r>
      <w:hyperlink w:anchor="SENTENCIA_2007_152" w:history="1">
        <w:r w:rsidRPr="00512048">
          <w:rPr>
            <w:rStyle w:val="TextoNormalCaracter"/>
          </w:rPr>
          <w:t>152/2007</w:t>
        </w:r>
      </w:hyperlink>
      <w:r>
        <w:t xml:space="preserve">, ff. 1, 3; </w:t>
      </w:r>
      <w:hyperlink w:anchor="SENTENCIA_2007_153" w:history="1">
        <w:r w:rsidRPr="00512048">
          <w:rPr>
            <w:rStyle w:val="TextoNormalCaracter"/>
          </w:rPr>
          <w:t>153/2007</w:t>
        </w:r>
      </w:hyperlink>
      <w:r>
        <w:t xml:space="preserve">, ff. 1 a 3, 7, 8; </w:t>
      </w:r>
      <w:hyperlink w:anchor="SENTENCIA_2007_154" w:history="1">
        <w:r w:rsidRPr="00512048">
          <w:rPr>
            <w:rStyle w:val="TextoNormalCaracter"/>
          </w:rPr>
          <w:t>154/2007</w:t>
        </w:r>
      </w:hyperlink>
      <w:r>
        <w:t xml:space="preserve">, ff. 1 a 4; </w:t>
      </w:r>
      <w:hyperlink w:anchor="SENTENCIA_2007_155" w:history="1">
        <w:r w:rsidRPr="00512048">
          <w:rPr>
            <w:rStyle w:val="TextoNormalCaracter"/>
          </w:rPr>
          <w:t>155/2007</w:t>
        </w:r>
      </w:hyperlink>
      <w:r>
        <w:t xml:space="preserve">, ff. 1, 3, 4; </w:t>
      </w:r>
      <w:hyperlink w:anchor="SENTENCIA_2007_156" w:history="1">
        <w:r w:rsidRPr="00512048">
          <w:rPr>
            <w:rStyle w:val="TextoNormalCaracter"/>
          </w:rPr>
          <w:t>156/2007</w:t>
        </w:r>
      </w:hyperlink>
      <w:r>
        <w:t xml:space="preserve">, ff. 1, 3; </w:t>
      </w:r>
      <w:hyperlink w:anchor="SENTENCIA_2007_157" w:history="1">
        <w:r w:rsidRPr="00512048">
          <w:rPr>
            <w:rStyle w:val="TextoNormalCaracter"/>
          </w:rPr>
          <w:t>157/2007</w:t>
        </w:r>
      </w:hyperlink>
      <w:r>
        <w:t xml:space="preserve">, f. 2; </w:t>
      </w:r>
      <w:hyperlink w:anchor="SENTENCIA_2007_158" w:history="1">
        <w:r w:rsidRPr="00512048">
          <w:rPr>
            <w:rStyle w:val="TextoNormalCaracter"/>
          </w:rPr>
          <w:t>158/2007</w:t>
        </w:r>
      </w:hyperlink>
      <w:r>
        <w:t xml:space="preserve">, ff. 1 a 3; </w:t>
      </w:r>
      <w:hyperlink w:anchor="SENTENCIA_2007_161" w:history="1">
        <w:r w:rsidRPr="00512048">
          <w:rPr>
            <w:rStyle w:val="TextoNormalCaracter"/>
          </w:rPr>
          <w:t>161/2007</w:t>
        </w:r>
      </w:hyperlink>
      <w:r>
        <w:t xml:space="preserve">, ff. 1 a 5; </w:t>
      </w:r>
      <w:hyperlink w:anchor="SENTENCIA_2007_162" w:history="1">
        <w:r w:rsidRPr="00512048">
          <w:rPr>
            <w:rStyle w:val="TextoNormalCaracter"/>
          </w:rPr>
          <w:t>162/2007</w:t>
        </w:r>
      </w:hyperlink>
      <w:r>
        <w:t xml:space="preserve">, f. 1; </w:t>
      </w:r>
      <w:hyperlink w:anchor="SENTENCIA_2007_163" w:history="1">
        <w:r w:rsidRPr="00512048">
          <w:rPr>
            <w:rStyle w:val="TextoNormalCaracter"/>
          </w:rPr>
          <w:t>163/2007</w:t>
        </w:r>
      </w:hyperlink>
      <w:r>
        <w:t xml:space="preserve">, ff. 1 a 3; </w:t>
      </w:r>
      <w:hyperlink w:anchor="SENTENCIA_2007_165" w:history="1">
        <w:r w:rsidRPr="00512048">
          <w:rPr>
            <w:rStyle w:val="TextoNormalCaracter"/>
          </w:rPr>
          <w:t>165/2007</w:t>
        </w:r>
      </w:hyperlink>
      <w:r>
        <w:t xml:space="preserve">, ff. 1, 6; </w:t>
      </w:r>
      <w:hyperlink w:anchor="SENTENCIA_2007_167" w:history="1">
        <w:r w:rsidRPr="00512048">
          <w:rPr>
            <w:rStyle w:val="TextoNormalCaracter"/>
          </w:rPr>
          <w:t>167/2007</w:t>
        </w:r>
      </w:hyperlink>
      <w:r>
        <w:t xml:space="preserve">, ff. 1 a 4, 8; </w:t>
      </w:r>
      <w:hyperlink w:anchor="SENTENCIA_2007_168" w:history="1">
        <w:r w:rsidRPr="00512048">
          <w:rPr>
            <w:rStyle w:val="TextoNormalCaracter"/>
          </w:rPr>
          <w:t>168/2007</w:t>
        </w:r>
      </w:hyperlink>
      <w:r>
        <w:t xml:space="preserve">, f. 4; </w:t>
      </w:r>
      <w:hyperlink w:anchor="SENTENCIA_2007_169" w:history="1">
        <w:r w:rsidRPr="00512048">
          <w:rPr>
            <w:rStyle w:val="TextoNormalCaracter"/>
          </w:rPr>
          <w:t>169/2007</w:t>
        </w:r>
      </w:hyperlink>
      <w:r>
        <w:t xml:space="preserve">, f. 6; </w:t>
      </w:r>
      <w:hyperlink w:anchor="SENTENCIA_2007_170" w:history="1">
        <w:r w:rsidRPr="00512048">
          <w:rPr>
            <w:rStyle w:val="TextoNormalCaracter"/>
          </w:rPr>
          <w:t>170/2007</w:t>
        </w:r>
      </w:hyperlink>
      <w:r>
        <w:t xml:space="preserve">, f. 5; </w:t>
      </w:r>
      <w:hyperlink w:anchor="SENTENCIA_2007_171" w:history="1">
        <w:r w:rsidRPr="00512048">
          <w:rPr>
            <w:rStyle w:val="TextoNormalCaracter"/>
          </w:rPr>
          <w:t>171/2007</w:t>
        </w:r>
      </w:hyperlink>
      <w:r>
        <w:t xml:space="preserve">, passim; </w:t>
      </w:r>
      <w:hyperlink w:anchor="SENTENCIA_2007_172" w:history="1">
        <w:r w:rsidRPr="00512048">
          <w:rPr>
            <w:rStyle w:val="TextoNormalCaracter"/>
          </w:rPr>
          <w:t>172/2007</w:t>
        </w:r>
      </w:hyperlink>
      <w:r>
        <w:t xml:space="preserve">, ff. 1, 2, 4; </w:t>
      </w:r>
      <w:hyperlink w:anchor="SENTENCIA_2007_173" w:history="1">
        <w:r w:rsidRPr="00512048">
          <w:rPr>
            <w:rStyle w:val="TextoNormalCaracter"/>
          </w:rPr>
          <w:t>173/2007</w:t>
        </w:r>
      </w:hyperlink>
      <w:r>
        <w:t xml:space="preserve">, ff. 1, 3; </w:t>
      </w:r>
      <w:hyperlink w:anchor="SENTENCIA_2007_175" w:history="1">
        <w:r w:rsidRPr="00512048">
          <w:rPr>
            <w:rStyle w:val="TextoNormalCaracter"/>
          </w:rPr>
          <w:t>175/2007</w:t>
        </w:r>
      </w:hyperlink>
      <w:r>
        <w:t xml:space="preserve">, f. 1; </w:t>
      </w:r>
      <w:hyperlink w:anchor="SENTENCIA_2007_176" w:history="1">
        <w:r w:rsidRPr="00512048">
          <w:rPr>
            <w:rStyle w:val="TextoNormalCaracter"/>
          </w:rPr>
          <w:t>176/2007</w:t>
        </w:r>
      </w:hyperlink>
      <w:r>
        <w:t xml:space="preserve">, ff. 1, 2, 4; </w:t>
      </w:r>
      <w:hyperlink w:anchor="SENTENCIA_2007_177" w:history="1">
        <w:r w:rsidRPr="00512048">
          <w:rPr>
            <w:rStyle w:val="TextoNormalCaracter"/>
          </w:rPr>
          <w:t>177/2007</w:t>
        </w:r>
      </w:hyperlink>
      <w:r>
        <w:t>, ff. 1, 4, 5, VP.</w:t>
      </w:r>
    </w:p>
    <w:p w:rsidR="00512048" w:rsidRDefault="00512048" w:rsidP="00512048">
      <w:pPr>
        <w:pStyle w:val="SangriaIzquierdaArticulo"/>
      </w:pPr>
      <w:r>
        <w:t xml:space="preserve">Autos </w:t>
      </w:r>
      <w:hyperlink w:anchor="AUTO_2007_237" w:history="1">
        <w:r w:rsidRPr="00512048">
          <w:rPr>
            <w:rStyle w:val="TextoNormalCaracter"/>
          </w:rPr>
          <w:t>237/2007</w:t>
        </w:r>
      </w:hyperlink>
      <w:r>
        <w:t xml:space="preserve">; </w:t>
      </w:r>
      <w:hyperlink w:anchor="AUTO_2007_245" w:history="1">
        <w:r w:rsidRPr="00512048">
          <w:rPr>
            <w:rStyle w:val="TextoNormalCaracter"/>
          </w:rPr>
          <w:t>245/2007</w:t>
        </w:r>
      </w:hyperlink>
      <w:r>
        <w:t xml:space="preserve">; </w:t>
      </w:r>
      <w:hyperlink w:anchor="AUTO_2007_246" w:history="1">
        <w:r w:rsidRPr="00512048">
          <w:rPr>
            <w:rStyle w:val="TextoNormalCaracter"/>
          </w:rPr>
          <w:t>246/2007</w:t>
        </w:r>
      </w:hyperlink>
      <w:r>
        <w:t xml:space="preserve">; </w:t>
      </w:r>
      <w:hyperlink w:anchor="AUTO_2007_247" w:history="1">
        <w:r w:rsidRPr="00512048">
          <w:rPr>
            <w:rStyle w:val="TextoNormalCaracter"/>
          </w:rPr>
          <w:t>247/2007</w:t>
        </w:r>
      </w:hyperlink>
      <w:r>
        <w:t xml:space="preserve">; </w:t>
      </w:r>
      <w:hyperlink w:anchor="AUTO_2007_255" w:history="1">
        <w:r w:rsidRPr="00512048">
          <w:rPr>
            <w:rStyle w:val="TextoNormalCaracter"/>
          </w:rPr>
          <w:t>255/2007</w:t>
        </w:r>
      </w:hyperlink>
      <w:r>
        <w:t xml:space="preserve">; </w:t>
      </w:r>
      <w:hyperlink w:anchor="AUTO_2007_256" w:history="1">
        <w:r w:rsidRPr="00512048">
          <w:rPr>
            <w:rStyle w:val="TextoNormalCaracter"/>
          </w:rPr>
          <w:t>256/2007</w:t>
        </w:r>
      </w:hyperlink>
      <w:r>
        <w:t xml:space="preserve">; </w:t>
      </w:r>
      <w:hyperlink w:anchor="AUTO_2007_257" w:history="1">
        <w:r w:rsidRPr="00512048">
          <w:rPr>
            <w:rStyle w:val="TextoNormalCaracter"/>
          </w:rPr>
          <w:t>257/2007</w:t>
        </w:r>
      </w:hyperlink>
      <w:r>
        <w:t xml:space="preserve">; </w:t>
      </w:r>
      <w:hyperlink w:anchor="AUTO_2007_260" w:history="1">
        <w:r w:rsidRPr="00512048">
          <w:rPr>
            <w:rStyle w:val="TextoNormalCaracter"/>
          </w:rPr>
          <w:t>260/2007</w:t>
        </w:r>
      </w:hyperlink>
      <w:r>
        <w:t xml:space="preserve">; </w:t>
      </w:r>
      <w:hyperlink w:anchor="AUTO_2007_265" w:history="1">
        <w:r w:rsidRPr="00512048">
          <w:rPr>
            <w:rStyle w:val="TextoNormalCaracter"/>
          </w:rPr>
          <w:t>265/2007</w:t>
        </w:r>
      </w:hyperlink>
      <w:r>
        <w:t xml:space="preserve">; </w:t>
      </w:r>
      <w:hyperlink w:anchor="AUTO_2007_269" w:history="1">
        <w:r w:rsidRPr="00512048">
          <w:rPr>
            <w:rStyle w:val="TextoNormalCaracter"/>
          </w:rPr>
          <w:t>269/2007</w:t>
        </w:r>
      </w:hyperlink>
      <w:r>
        <w:t xml:space="preserve">; </w:t>
      </w:r>
      <w:hyperlink w:anchor="AUTO_2007_271" w:history="1">
        <w:r w:rsidRPr="00512048">
          <w:rPr>
            <w:rStyle w:val="TextoNormalCaracter"/>
          </w:rPr>
          <w:t>271/2007</w:t>
        </w:r>
      </w:hyperlink>
      <w:r>
        <w:t xml:space="preserve">; </w:t>
      </w:r>
      <w:hyperlink w:anchor="AUTO_2007_278" w:history="1">
        <w:r w:rsidRPr="00512048">
          <w:rPr>
            <w:rStyle w:val="TextoNormalCaracter"/>
          </w:rPr>
          <w:t>278/2007</w:t>
        </w:r>
      </w:hyperlink>
      <w:r>
        <w:t xml:space="preserve">; </w:t>
      </w:r>
      <w:hyperlink w:anchor="AUTO_2007_312" w:history="1">
        <w:r w:rsidRPr="00512048">
          <w:rPr>
            <w:rStyle w:val="TextoNormalCaracter"/>
          </w:rPr>
          <w:t>312/2007</w:t>
        </w:r>
      </w:hyperlink>
      <w:r>
        <w:t xml:space="preserve">; </w:t>
      </w:r>
      <w:hyperlink w:anchor="AUTO_2007_313" w:history="1">
        <w:r w:rsidRPr="00512048">
          <w:rPr>
            <w:rStyle w:val="TextoNormalCaracter"/>
          </w:rPr>
          <w:t>313/2007</w:t>
        </w:r>
      </w:hyperlink>
      <w:r>
        <w:t xml:space="preserve">; </w:t>
      </w:r>
      <w:hyperlink w:anchor="AUTO_2007_317" w:history="1">
        <w:r w:rsidRPr="00512048">
          <w:rPr>
            <w:rStyle w:val="TextoNormalCaracter"/>
          </w:rPr>
          <w:t>317/2007</w:t>
        </w:r>
      </w:hyperlink>
      <w:r>
        <w:t xml:space="preserve">; </w:t>
      </w:r>
      <w:hyperlink w:anchor="AUTO_2007_318" w:history="1">
        <w:r w:rsidRPr="00512048">
          <w:rPr>
            <w:rStyle w:val="TextoNormalCaracter"/>
          </w:rPr>
          <w:t>318/2007</w:t>
        </w:r>
      </w:hyperlink>
      <w:r>
        <w:t xml:space="preserve">; </w:t>
      </w:r>
      <w:hyperlink w:anchor="AUTO_2007_323" w:history="1">
        <w:r w:rsidRPr="00512048">
          <w:rPr>
            <w:rStyle w:val="TextoNormalCaracter"/>
          </w:rPr>
          <w:t>323/2007</w:t>
        </w:r>
      </w:hyperlink>
      <w:r>
        <w:t xml:space="preserve">; </w:t>
      </w:r>
      <w:hyperlink w:anchor="AUTO_2007_327" w:history="1">
        <w:r w:rsidRPr="00512048">
          <w:rPr>
            <w:rStyle w:val="TextoNormalCaracter"/>
          </w:rPr>
          <w:t>327/2007</w:t>
        </w:r>
      </w:hyperlink>
      <w:r>
        <w:t>.</w:t>
      </w:r>
    </w:p>
    <w:p w:rsidR="00512048" w:rsidRDefault="00512048" w:rsidP="00512048">
      <w:pPr>
        <w:pStyle w:val="SangriaFrancesaArticulo"/>
      </w:pPr>
      <w:r w:rsidRPr="00512048">
        <w:rPr>
          <w:rStyle w:val="TextoNormalNegritaCaracter"/>
        </w:rPr>
        <w:t>Artículo 24.2.</w:t>
      </w:r>
      <w:r w:rsidRPr="00512048">
        <w:rPr>
          <w:rStyle w:val="TextoNormalCaracter"/>
        </w:rPr>
        <w:t>-</w:t>
      </w:r>
      <w:r>
        <w:t xml:space="preserve"> Sentencias </w:t>
      </w:r>
      <w:hyperlink w:anchor="SENTENCIA_2007_95" w:history="1">
        <w:r w:rsidRPr="00512048">
          <w:rPr>
            <w:rStyle w:val="TextoNormalCaracter"/>
          </w:rPr>
          <w:t>95/2007</w:t>
        </w:r>
      </w:hyperlink>
      <w:r>
        <w:t xml:space="preserve">, f. 2; </w:t>
      </w:r>
      <w:hyperlink w:anchor="SENTENCIA_2007_108" w:history="1">
        <w:r w:rsidRPr="00512048">
          <w:rPr>
            <w:rStyle w:val="TextoNormalCaracter"/>
          </w:rPr>
          <w:t>108/2007</w:t>
        </w:r>
      </w:hyperlink>
      <w:r>
        <w:t xml:space="preserve">, f. 1; </w:t>
      </w:r>
      <w:hyperlink w:anchor="SENTENCIA_2007_110" w:history="1">
        <w:r w:rsidRPr="00512048">
          <w:rPr>
            <w:rStyle w:val="TextoNormalCaracter"/>
          </w:rPr>
          <w:t>110/2007</w:t>
        </w:r>
      </w:hyperlink>
      <w:r>
        <w:t xml:space="preserve">, f. 4; </w:t>
      </w:r>
      <w:hyperlink w:anchor="SENTENCIA_2007_146" w:history="1">
        <w:r w:rsidRPr="00512048">
          <w:rPr>
            <w:rStyle w:val="TextoNormalCaracter"/>
          </w:rPr>
          <w:t>146/2007</w:t>
        </w:r>
      </w:hyperlink>
      <w:r>
        <w:t xml:space="preserve">, f. 4; </w:t>
      </w:r>
      <w:hyperlink w:anchor="SENTENCIA_2007_157" w:history="1">
        <w:r w:rsidRPr="00512048">
          <w:rPr>
            <w:rStyle w:val="TextoNormalCaracter"/>
          </w:rPr>
          <w:t>157/2007</w:t>
        </w:r>
      </w:hyperlink>
      <w:r>
        <w:t xml:space="preserve">, f. 3; </w:t>
      </w:r>
      <w:hyperlink w:anchor="SENTENCIA_2007_161" w:history="1">
        <w:r w:rsidRPr="00512048">
          <w:rPr>
            <w:rStyle w:val="TextoNormalCaracter"/>
          </w:rPr>
          <w:t>161/2007</w:t>
        </w:r>
      </w:hyperlink>
      <w:r>
        <w:t xml:space="preserve">, f. 1; </w:t>
      </w:r>
      <w:hyperlink w:anchor="SENTENCIA_2007_175" w:history="1">
        <w:r w:rsidRPr="00512048">
          <w:rPr>
            <w:rStyle w:val="TextoNormalCaracter"/>
          </w:rPr>
          <w:t>175/2007</w:t>
        </w:r>
      </w:hyperlink>
      <w:r>
        <w:t xml:space="preserve">, f. 5; </w:t>
      </w:r>
      <w:hyperlink w:anchor="SENTENCIA_2007_177" w:history="1">
        <w:r w:rsidRPr="00512048">
          <w:rPr>
            <w:rStyle w:val="TextoNormalCaracter"/>
          </w:rPr>
          <w:t>177/2007</w:t>
        </w:r>
      </w:hyperlink>
      <w:r>
        <w:t>, VP.</w:t>
      </w:r>
    </w:p>
    <w:p w:rsidR="00512048" w:rsidRDefault="00512048" w:rsidP="00512048">
      <w:pPr>
        <w:pStyle w:val="SangriaFrancesaArticulo"/>
      </w:pPr>
      <w:r w:rsidRPr="00512048">
        <w:rPr>
          <w:rStyle w:val="TextoNormalNegritaCaracter"/>
        </w:rPr>
        <w:t>Artículo 24.2</w:t>
      </w:r>
      <w:r>
        <w:t xml:space="preserve"> </w:t>
      </w:r>
      <w:r w:rsidRPr="00512048">
        <w:rPr>
          <w:rStyle w:val="TextoNormalCaracter"/>
        </w:rPr>
        <w:t>(derecho a la asistencia de letrado)</w:t>
      </w:r>
      <w:r w:rsidRPr="00512048">
        <w:rPr>
          <w:rStyle w:val="TextoNormalNegritaCaracter"/>
        </w:rPr>
        <w:t>.</w:t>
      </w:r>
      <w:r w:rsidRPr="00512048">
        <w:rPr>
          <w:rStyle w:val="TextoNormalCaracter"/>
        </w:rPr>
        <w:t>-</w:t>
      </w:r>
      <w:r>
        <w:t xml:space="preserve"> Sentencias </w:t>
      </w:r>
      <w:hyperlink w:anchor="SENTENCIA_2007_145" w:history="1">
        <w:r w:rsidRPr="00512048">
          <w:rPr>
            <w:rStyle w:val="TextoNormalCaracter"/>
          </w:rPr>
          <w:t>145/2007</w:t>
        </w:r>
      </w:hyperlink>
      <w:r>
        <w:t xml:space="preserve">, f. 3; </w:t>
      </w:r>
      <w:hyperlink w:anchor="SENTENCIA_2007_146" w:history="1">
        <w:r w:rsidRPr="00512048">
          <w:rPr>
            <w:rStyle w:val="TextoNormalCaracter"/>
          </w:rPr>
          <w:t>146/2007</w:t>
        </w:r>
      </w:hyperlink>
      <w:r>
        <w:t xml:space="preserve">, f. 3; </w:t>
      </w:r>
      <w:hyperlink w:anchor="SENTENCIA_2007_155" w:history="1">
        <w:r w:rsidRPr="00512048">
          <w:rPr>
            <w:rStyle w:val="TextoNormalCaracter"/>
          </w:rPr>
          <w:t>155/2007</w:t>
        </w:r>
      </w:hyperlink>
      <w:r>
        <w:t>, f. 3.</w:t>
      </w:r>
    </w:p>
    <w:p w:rsidR="00512048" w:rsidRDefault="00512048" w:rsidP="00512048">
      <w:pPr>
        <w:pStyle w:val="SangriaIzquierdaArticulo"/>
      </w:pPr>
      <w:r>
        <w:t xml:space="preserve">Auto </w:t>
      </w:r>
      <w:hyperlink w:anchor="AUTO_2007_255" w:history="1">
        <w:r w:rsidRPr="00512048">
          <w:rPr>
            <w:rStyle w:val="TextoNormalCaracter"/>
          </w:rPr>
          <w:t>255/2007</w:t>
        </w:r>
      </w:hyperlink>
      <w:r>
        <w:t>.</w:t>
      </w:r>
    </w:p>
    <w:p w:rsidR="00512048" w:rsidRDefault="00512048" w:rsidP="00512048">
      <w:pPr>
        <w:pStyle w:val="SangriaFrancesaArticulo"/>
      </w:pPr>
      <w:r w:rsidRPr="00512048">
        <w:rPr>
          <w:rStyle w:val="TextoNormalNegritaCaracter"/>
        </w:rPr>
        <w:t>Artículo 24.2</w:t>
      </w:r>
      <w:r>
        <w:t xml:space="preserve"> </w:t>
      </w:r>
      <w:r w:rsidRPr="00512048">
        <w:rPr>
          <w:rStyle w:val="TextoNormalCaracter"/>
        </w:rPr>
        <w:t>(derecho a la defensa)</w:t>
      </w:r>
      <w:r w:rsidRPr="00512048">
        <w:rPr>
          <w:rStyle w:val="TextoNormalNegritaCaracter"/>
        </w:rPr>
        <w:t>.</w:t>
      </w:r>
      <w:r w:rsidRPr="00512048">
        <w:rPr>
          <w:rStyle w:val="TextoNormalCaracter"/>
        </w:rPr>
        <w:t>-</w:t>
      </w:r>
      <w:r>
        <w:t xml:space="preserve"> Sentencias </w:t>
      </w:r>
      <w:hyperlink w:anchor="SENTENCIA_2007_124" w:history="1">
        <w:r w:rsidRPr="00512048">
          <w:rPr>
            <w:rStyle w:val="TextoNormalCaracter"/>
          </w:rPr>
          <w:t>124/2007</w:t>
        </w:r>
      </w:hyperlink>
      <w:r>
        <w:t xml:space="preserve">, f. 3; </w:t>
      </w:r>
      <w:hyperlink w:anchor="SENTENCIA_2007_146" w:history="1">
        <w:r w:rsidRPr="00512048">
          <w:rPr>
            <w:rStyle w:val="TextoNormalCaracter"/>
          </w:rPr>
          <w:t>146/2007</w:t>
        </w:r>
      </w:hyperlink>
      <w:r>
        <w:t xml:space="preserve">, ff. 2, 3; </w:t>
      </w:r>
      <w:hyperlink w:anchor="SENTENCIA_2007_175" w:history="1">
        <w:r w:rsidRPr="00512048">
          <w:rPr>
            <w:rStyle w:val="TextoNormalCaracter"/>
          </w:rPr>
          <w:t>175/2007</w:t>
        </w:r>
      </w:hyperlink>
      <w:r>
        <w:t>, f. 6.</w:t>
      </w:r>
    </w:p>
    <w:p w:rsidR="00512048" w:rsidRDefault="00512048" w:rsidP="00512048">
      <w:pPr>
        <w:pStyle w:val="SangriaIzquierdaArticulo"/>
      </w:pPr>
      <w:r>
        <w:t xml:space="preserve">Auto </w:t>
      </w:r>
      <w:hyperlink w:anchor="AUTO_2007_264" w:history="1">
        <w:r w:rsidRPr="00512048">
          <w:rPr>
            <w:rStyle w:val="TextoNormalCaracter"/>
          </w:rPr>
          <w:t>264/2007</w:t>
        </w:r>
      </w:hyperlink>
      <w:r>
        <w:t>.</w:t>
      </w:r>
    </w:p>
    <w:p w:rsidR="00512048" w:rsidRDefault="00512048" w:rsidP="00512048">
      <w:pPr>
        <w:pStyle w:val="SangriaFrancesaArticulo"/>
      </w:pPr>
      <w:r w:rsidRPr="00512048">
        <w:rPr>
          <w:rStyle w:val="TextoNormalNegritaCaracter"/>
        </w:rPr>
        <w:t>Artículo 24.2</w:t>
      </w:r>
      <w:r>
        <w:t xml:space="preserve"> </w:t>
      </w:r>
      <w:r w:rsidRPr="00512048">
        <w:rPr>
          <w:rStyle w:val="TextoNormalCaracter"/>
        </w:rPr>
        <w:t>(derecho a la presunción de inocencia)</w:t>
      </w:r>
      <w:r w:rsidRPr="00512048">
        <w:rPr>
          <w:rStyle w:val="TextoNormalNegritaCaracter"/>
        </w:rPr>
        <w:t>.</w:t>
      </w:r>
      <w:r w:rsidRPr="00512048">
        <w:rPr>
          <w:rStyle w:val="TextoNormalCaracter"/>
        </w:rPr>
        <w:t>-</w:t>
      </w:r>
      <w:r>
        <w:t xml:space="preserve"> Sentencias </w:t>
      </w:r>
      <w:hyperlink w:anchor="SENTENCIA_2007_116" w:history="1">
        <w:r w:rsidRPr="00512048">
          <w:rPr>
            <w:rStyle w:val="TextoNormalCaracter"/>
          </w:rPr>
          <w:t>116/2007</w:t>
        </w:r>
      </w:hyperlink>
      <w:r>
        <w:t xml:space="preserve">, ff. 1, 4; </w:t>
      </w:r>
      <w:hyperlink w:anchor="SENTENCIA_2007_117" w:history="1">
        <w:r w:rsidRPr="00512048">
          <w:rPr>
            <w:rStyle w:val="TextoNormalCaracter"/>
          </w:rPr>
          <w:t>117/2007</w:t>
        </w:r>
      </w:hyperlink>
      <w:r>
        <w:t xml:space="preserve">, ff. 1 a 3; </w:t>
      </w:r>
      <w:hyperlink w:anchor="SENTENCIA_2007_124" w:history="1">
        <w:r w:rsidRPr="00512048">
          <w:rPr>
            <w:rStyle w:val="TextoNormalCaracter"/>
          </w:rPr>
          <w:t>124/2007</w:t>
        </w:r>
      </w:hyperlink>
      <w:r>
        <w:t xml:space="preserve">, f. 1; </w:t>
      </w:r>
      <w:hyperlink w:anchor="SENTENCIA_2007_126" w:history="1">
        <w:r w:rsidRPr="00512048">
          <w:rPr>
            <w:rStyle w:val="TextoNormalCaracter"/>
          </w:rPr>
          <w:t>126/2007</w:t>
        </w:r>
      </w:hyperlink>
      <w:r>
        <w:t xml:space="preserve">, ff. 2, 6; </w:t>
      </w:r>
      <w:hyperlink w:anchor="SENTENCIA_2007_134" w:history="1">
        <w:r w:rsidRPr="00512048">
          <w:rPr>
            <w:rStyle w:val="TextoNormalCaracter"/>
          </w:rPr>
          <w:t>134/2007</w:t>
        </w:r>
      </w:hyperlink>
      <w:r>
        <w:t xml:space="preserve">, f. 5; </w:t>
      </w:r>
      <w:hyperlink w:anchor="SENTENCIA_2007_137" w:history="1">
        <w:r w:rsidRPr="00512048">
          <w:rPr>
            <w:rStyle w:val="TextoNormalCaracter"/>
          </w:rPr>
          <w:t>137/2007</w:t>
        </w:r>
      </w:hyperlink>
      <w:r>
        <w:t xml:space="preserve">, f. 1; </w:t>
      </w:r>
      <w:hyperlink w:anchor="SENTENCIA_2007_139" w:history="1">
        <w:r w:rsidRPr="00512048">
          <w:rPr>
            <w:rStyle w:val="TextoNormalCaracter"/>
          </w:rPr>
          <w:t>139/2007</w:t>
        </w:r>
      </w:hyperlink>
      <w:r>
        <w:t xml:space="preserve">, f. 2; </w:t>
      </w:r>
      <w:hyperlink w:anchor="SENTENCIA_2007_142" w:history="1">
        <w:r w:rsidRPr="00512048">
          <w:rPr>
            <w:rStyle w:val="TextoNormalCaracter"/>
          </w:rPr>
          <w:t>142/2007</w:t>
        </w:r>
      </w:hyperlink>
      <w:r>
        <w:t xml:space="preserve">, ff. 1, 3; </w:t>
      </w:r>
      <w:hyperlink w:anchor="SENTENCIA_2007_156" w:history="1">
        <w:r w:rsidRPr="00512048">
          <w:rPr>
            <w:rStyle w:val="TextoNormalCaracter"/>
          </w:rPr>
          <w:t>156/2007</w:t>
        </w:r>
      </w:hyperlink>
      <w:r>
        <w:t xml:space="preserve">, f. 1; </w:t>
      </w:r>
      <w:hyperlink w:anchor="SENTENCIA_2007_164" w:history="1">
        <w:r w:rsidRPr="00512048">
          <w:rPr>
            <w:rStyle w:val="TextoNormalCaracter"/>
          </w:rPr>
          <w:t>164/2007</w:t>
        </w:r>
      </w:hyperlink>
      <w:r>
        <w:t xml:space="preserve">, ff. 1, 2; </w:t>
      </w:r>
      <w:hyperlink w:anchor="SENTENCIA_2007_175" w:history="1">
        <w:r w:rsidRPr="00512048">
          <w:rPr>
            <w:rStyle w:val="TextoNormalCaracter"/>
          </w:rPr>
          <w:t>175/2007</w:t>
        </w:r>
      </w:hyperlink>
      <w:r>
        <w:t>, f. 2.</w:t>
      </w:r>
    </w:p>
    <w:p w:rsidR="00512048" w:rsidRDefault="00512048" w:rsidP="00512048">
      <w:pPr>
        <w:pStyle w:val="SangriaIzquierdaArticulo"/>
      </w:pPr>
      <w:r>
        <w:t xml:space="preserve">Autos </w:t>
      </w:r>
      <w:hyperlink w:anchor="AUTO_2007_245" w:history="1">
        <w:r w:rsidRPr="00512048">
          <w:rPr>
            <w:rStyle w:val="TextoNormalCaracter"/>
          </w:rPr>
          <w:t>245/2007</w:t>
        </w:r>
      </w:hyperlink>
      <w:r>
        <w:t xml:space="preserve">; </w:t>
      </w:r>
      <w:hyperlink w:anchor="AUTO_2007_264" w:history="1">
        <w:r w:rsidRPr="00512048">
          <w:rPr>
            <w:rStyle w:val="TextoNormalCaracter"/>
          </w:rPr>
          <w:t>264/2007</w:t>
        </w:r>
      </w:hyperlink>
      <w:r>
        <w:t>.</w:t>
      </w:r>
    </w:p>
    <w:p w:rsidR="00512048" w:rsidRDefault="00512048" w:rsidP="00512048">
      <w:pPr>
        <w:pStyle w:val="SangriaFrancesaArticulo"/>
      </w:pPr>
      <w:r w:rsidRPr="00512048">
        <w:rPr>
          <w:rStyle w:val="TextoNormalNegritaCaracter"/>
        </w:rPr>
        <w:t>Artículo 24.2</w:t>
      </w:r>
      <w:r>
        <w:t xml:space="preserve"> </w:t>
      </w:r>
      <w:r w:rsidRPr="00512048">
        <w:rPr>
          <w:rStyle w:val="TextoNormalCaracter"/>
        </w:rPr>
        <w:t>(derecho a la prueba)</w:t>
      </w:r>
      <w:r w:rsidRPr="00512048">
        <w:rPr>
          <w:rStyle w:val="TextoNormalNegritaCaracter"/>
        </w:rPr>
        <w:t>.</w:t>
      </w:r>
      <w:r w:rsidRPr="00512048">
        <w:rPr>
          <w:rStyle w:val="TextoNormalCaracter"/>
        </w:rPr>
        <w:t>-</w:t>
      </w:r>
      <w:r>
        <w:t xml:space="preserve"> Sentencias </w:t>
      </w:r>
      <w:hyperlink w:anchor="SENTENCIA_2007_94" w:history="1">
        <w:r w:rsidRPr="00512048">
          <w:rPr>
            <w:rStyle w:val="TextoNormalCaracter"/>
          </w:rPr>
          <w:t>94/2007</w:t>
        </w:r>
      </w:hyperlink>
      <w:r>
        <w:t xml:space="preserve">, ff. 1, 5; </w:t>
      </w:r>
      <w:hyperlink w:anchor="SENTENCIA_2007_124" w:history="1">
        <w:r w:rsidRPr="00512048">
          <w:rPr>
            <w:rStyle w:val="TextoNormalCaracter"/>
          </w:rPr>
          <w:t>124/2007</w:t>
        </w:r>
      </w:hyperlink>
      <w:r>
        <w:t xml:space="preserve">, ff. 1, 3, 5; </w:t>
      </w:r>
      <w:hyperlink w:anchor="SENTENCIA_2007_126" w:history="1">
        <w:r w:rsidRPr="00512048">
          <w:rPr>
            <w:rStyle w:val="TextoNormalCaracter"/>
          </w:rPr>
          <w:t>126/2007</w:t>
        </w:r>
      </w:hyperlink>
      <w:r>
        <w:t xml:space="preserve">, f. 3; </w:t>
      </w:r>
      <w:hyperlink w:anchor="SENTENCIA_2007_136" w:history="1">
        <w:r w:rsidRPr="00512048">
          <w:rPr>
            <w:rStyle w:val="TextoNormalCaracter"/>
          </w:rPr>
          <w:t>136/2007</w:t>
        </w:r>
      </w:hyperlink>
      <w:r>
        <w:t xml:space="preserve">, ff. 1, 4; </w:t>
      </w:r>
      <w:hyperlink w:anchor="SENTENCIA_2007_143" w:history="1">
        <w:r w:rsidRPr="00512048">
          <w:rPr>
            <w:rStyle w:val="TextoNormalCaracter"/>
          </w:rPr>
          <w:t>143/2007</w:t>
        </w:r>
      </w:hyperlink>
      <w:r>
        <w:t xml:space="preserve">, f. 1; </w:t>
      </w:r>
      <w:hyperlink w:anchor="SENTENCIA_2007_152" w:history="1">
        <w:r w:rsidRPr="00512048">
          <w:rPr>
            <w:rStyle w:val="TextoNormalCaracter"/>
          </w:rPr>
          <w:t>152/2007</w:t>
        </w:r>
      </w:hyperlink>
      <w:r>
        <w:t xml:space="preserve">, ff. 1, 2; </w:t>
      </w:r>
      <w:hyperlink w:anchor="SENTENCIA_2007_155" w:history="1">
        <w:r w:rsidRPr="00512048">
          <w:rPr>
            <w:rStyle w:val="TextoNormalCaracter"/>
          </w:rPr>
          <w:t>155/2007</w:t>
        </w:r>
      </w:hyperlink>
      <w:r>
        <w:t xml:space="preserve">, ff. 3, 4; </w:t>
      </w:r>
      <w:hyperlink w:anchor="SENTENCIA_2007_157" w:history="1">
        <w:r w:rsidRPr="00512048">
          <w:rPr>
            <w:rStyle w:val="TextoNormalCaracter"/>
          </w:rPr>
          <w:t>157/2007</w:t>
        </w:r>
      </w:hyperlink>
      <w:r>
        <w:t xml:space="preserve">, f. 3; </w:t>
      </w:r>
      <w:hyperlink w:anchor="SENTENCIA_2007_175" w:history="1">
        <w:r w:rsidRPr="00512048">
          <w:rPr>
            <w:rStyle w:val="TextoNormalCaracter"/>
          </w:rPr>
          <w:t>175/2007</w:t>
        </w:r>
      </w:hyperlink>
      <w:r>
        <w:t xml:space="preserve">, f. 3; </w:t>
      </w:r>
      <w:hyperlink w:anchor="SENTENCIA_2007_177" w:history="1">
        <w:r w:rsidRPr="00512048">
          <w:rPr>
            <w:rStyle w:val="TextoNormalCaracter"/>
          </w:rPr>
          <w:t>177/2007</w:t>
        </w:r>
      </w:hyperlink>
      <w:r>
        <w:t>, f. 4.</w:t>
      </w:r>
    </w:p>
    <w:p w:rsidR="00512048" w:rsidRDefault="00512048" w:rsidP="00512048">
      <w:pPr>
        <w:pStyle w:val="SangriaIzquierdaArticulo"/>
      </w:pPr>
      <w:r>
        <w:t xml:space="preserve">Autos </w:t>
      </w:r>
      <w:hyperlink w:anchor="AUTO_2007_246" w:history="1">
        <w:r w:rsidRPr="00512048">
          <w:rPr>
            <w:rStyle w:val="TextoNormalCaracter"/>
          </w:rPr>
          <w:t>246/2007</w:t>
        </w:r>
      </w:hyperlink>
      <w:r>
        <w:t xml:space="preserve">; </w:t>
      </w:r>
      <w:hyperlink w:anchor="AUTO_2007_264" w:history="1">
        <w:r w:rsidRPr="00512048">
          <w:rPr>
            <w:rStyle w:val="TextoNormalCaracter"/>
          </w:rPr>
          <w:t>264/2007</w:t>
        </w:r>
      </w:hyperlink>
      <w:r>
        <w:t xml:space="preserve">; </w:t>
      </w:r>
      <w:hyperlink w:anchor="AUTO_2007_269" w:history="1">
        <w:r w:rsidRPr="00512048">
          <w:rPr>
            <w:rStyle w:val="TextoNormalCaracter"/>
          </w:rPr>
          <w:t>269/2007</w:t>
        </w:r>
      </w:hyperlink>
      <w:r>
        <w:t>.</w:t>
      </w:r>
    </w:p>
    <w:p w:rsidR="00512048" w:rsidRDefault="00512048" w:rsidP="00512048">
      <w:pPr>
        <w:pStyle w:val="SangriaFrancesaArticulo"/>
      </w:pPr>
      <w:r w:rsidRPr="00512048">
        <w:rPr>
          <w:rStyle w:val="TextoNormalNegritaCaracter"/>
        </w:rPr>
        <w:t>Artículo 24.2</w:t>
      </w:r>
      <w:r>
        <w:t xml:space="preserve"> </w:t>
      </w:r>
      <w:r w:rsidRPr="00512048">
        <w:rPr>
          <w:rStyle w:val="TextoNormalCaracter"/>
        </w:rPr>
        <w:t>(derecho a ser informado de la acusación)</w:t>
      </w:r>
      <w:r w:rsidRPr="00512048">
        <w:rPr>
          <w:rStyle w:val="TextoNormalNegritaCaracter"/>
        </w:rPr>
        <w:t>.</w:t>
      </w:r>
      <w:r w:rsidRPr="00512048">
        <w:rPr>
          <w:rStyle w:val="TextoNormalCaracter"/>
        </w:rPr>
        <w:t>-</w:t>
      </w:r>
      <w:r>
        <w:t xml:space="preserve"> Sentencia </w:t>
      </w:r>
      <w:hyperlink w:anchor="SENTENCIA_2007_157" w:history="1">
        <w:r w:rsidRPr="00512048">
          <w:rPr>
            <w:rStyle w:val="TextoNormalCaracter"/>
          </w:rPr>
          <w:t>157/2007</w:t>
        </w:r>
      </w:hyperlink>
      <w:r>
        <w:t>, f. 2.</w:t>
      </w:r>
    </w:p>
    <w:p w:rsidR="00512048" w:rsidRDefault="00512048" w:rsidP="00512048">
      <w:pPr>
        <w:pStyle w:val="SangriaFrancesaArticulo"/>
      </w:pPr>
      <w:r w:rsidRPr="00512048">
        <w:rPr>
          <w:rStyle w:val="TextoNormalNegritaCaracter"/>
        </w:rPr>
        <w:t>Artículo 24.2</w:t>
      </w:r>
      <w:r>
        <w:t xml:space="preserve"> </w:t>
      </w:r>
      <w:r w:rsidRPr="00512048">
        <w:rPr>
          <w:rStyle w:val="TextoNormalCaracter"/>
        </w:rPr>
        <w:t>(derecho a un juez imparcial)</w:t>
      </w:r>
      <w:r w:rsidRPr="00512048">
        <w:rPr>
          <w:rStyle w:val="TextoNormalNegritaCaracter"/>
        </w:rPr>
        <w:t>.</w:t>
      </w:r>
      <w:r w:rsidRPr="00512048">
        <w:rPr>
          <w:rStyle w:val="TextoNormalCaracter"/>
        </w:rPr>
        <w:t>-</w:t>
      </w:r>
      <w:r>
        <w:t xml:space="preserve"> Sentencia </w:t>
      </w:r>
      <w:hyperlink w:anchor="SENTENCIA_2007_156" w:history="1">
        <w:r w:rsidRPr="00512048">
          <w:rPr>
            <w:rStyle w:val="TextoNormalCaracter"/>
          </w:rPr>
          <w:t>156/2007</w:t>
        </w:r>
      </w:hyperlink>
      <w:r>
        <w:t>, f. 1.</w:t>
      </w:r>
    </w:p>
    <w:p w:rsidR="00512048" w:rsidRDefault="00512048" w:rsidP="00512048">
      <w:pPr>
        <w:pStyle w:val="SangriaFrancesaArticulo"/>
      </w:pPr>
      <w:r w:rsidRPr="00512048">
        <w:rPr>
          <w:rStyle w:val="TextoNormalNegritaCaracter"/>
        </w:rPr>
        <w:t>Artículo 24.2</w:t>
      </w:r>
      <w:r>
        <w:t xml:space="preserve"> </w:t>
      </w:r>
      <w:r w:rsidRPr="00512048">
        <w:rPr>
          <w:rStyle w:val="TextoNormalCaracter"/>
        </w:rPr>
        <w:t>(derecho a un proceso con todas las garantías)</w:t>
      </w:r>
      <w:r w:rsidRPr="00512048">
        <w:rPr>
          <w:rStyle w:val="TextoNormalNegritaCaracter"/>
        </w:rPr>
        <w:t>.</w:t>
      </w:r>
      <w:r w:rsidRPr="00512048">
        <w:rPr>
          <w:rStyle w:val="TextoNormalCaracter"/>
        </w:rPr>
        <w:t>-</w:t>
      </w:r>
      <w:r>
        <w:t xml:space="preserve"> Sentencias </w:t>
      </w:r>
      <w:hyperlink w:anchor="SENTENCIA_2007_94" w:history="1">
        <w:r w:rsidRPr="00512048">
          <w:rPr>
            <w:rStyle w:val="TextoNormalCaracter"/>
          </w:rPr>
          <w:t>94/2007</w:t>
        </w:r>
      </w:hyperlink>
      <w:r>
        <w:t xml:space="preserve">, ff. 1, 3; </w:t>
      </w:r>
      <w:hyperlink w:anchor="SENTENCIA_2007_97" w:history="1">
        <w:r w:rsidRPr="00512048">
          <w:rPr>
            <w:rStyle w:val="TextoNormalCaracter"/>
          </w:rPr>
          <w:t>97/2007</w:t>
        </w:r>
      </w:hyperlink>
      <w:r>
        <w:t xml:space="preserve">, ff. 1, 3; </w:t>
      </w:r>
      <w:hyperlink w:anchor="SENTENCIA_2007_101" w:history="1">
        <w:r w:rsidRPr="00512048">
          <w:rPr>
            <w:rStyle w:val="TextoNormalCaracter"/>
          </w:rPr>
          <w:t>101/2007</w:t>
        </w:r>
      </w:hyperlink>
      <w:r>
        <w:t xml:space="preserve">, f. 1; </w:t>
      </w:r>
      <w:hyperlink w:anchor="SENTENCIA_2007_112" w:history="1">
        <w:r w:rsidRPr="00512048">
          <w:rPr>
            <w:rStyle w:val="TextoNormalCaracter"/>
          </w:rPr>
          <w:t>112/2007</w:t>
        </w:r>
      </w:hyperlink>
      <w:r>
        <w:t xml:space="preserve">, ff. 3, 5; </w:t>
      </w:r>
      <w:hyperlink w:anchor="SENTENCIA_2007_124" w:history="1">
        <w:r w:rsidRPr="00512048">
          <w:rPr>
            <w:rStyle w:val="TextoNormalCaracter"/>
          </w:rPr>
          <w:t>124/2007</w:t>
        </w:r>
      </w:hyperlink>
      <w:r>
        <w:t xml:space="preserve">, ff. 1, 6; </w:t>
      </w:r>
      <w:hyperlink w:anchor="SENTENCIA_2007_126" w:history="1">
        <w:r w:rsidRPr="00512048">
          <w:rPr>
            <w:rStyle w:val="TextoNormalCaracter"/>
          </w:rPr>
          <w:t>126/2007</w:t>
        </w:r>
      </w:hyperlink>
      <w:r>
        <w:t xml:space="preserve">, ff. 2, 5; </w:t>
      </w:r>
      <w:hyperlink w:anchor="SENTENCIA_2007_134" w:history="1">
        <w:r w:rsidRPr="00512048">
          <w:rPr>
            <w:rStyle w:val="TextoNormalCaracter"/>
          </w:rPr>
          <w:t>134/2007</w:t>
        </w:r>
      </w:hyperlink>
      <w:r>
        <w:t xml:space="preserve">, f. 1; </w:t>
      </w:r>
      <w:hyperlink w:anchor="SENTENCIA_2007_137" w:history="1">
        <w:r w:rsidRPr="00512048">
          <w:rPr>
            <w:rStyle w:val="TextoNormalCaracter"/>
          </w:rPr>
          <w:t>137/2007</w:t>
        </w:r>
      </w:hyperlink>
      <w:r>
        <w:t xml:space="preserve">, ff. 1 a 3; </w:t>
      </w:r>
      <w:hyperlink w:anchor="SENTENCIA_2007_146" w:history="1">
        <w:r w:rsidRPr="00512048">
          <w:rPr>
            <w:rStyle w:val="TextoNormalCaracter"/>
          </w:rPr>
          <w:t>146/2007</w:t>
        </w:r>
      </w:hyperlink>
      <w:r>
        <w:t xml:space="preserve">, ff. 1, 2; </w:t>
      </w:r>
      <w:hyperlink w:anchor="SENTENCIA_2007_156" w:history="1">
        <w:r w:rsidRPr="00512048">
          <w:rPr>
            <w:rStyle w:val="TextoNormalCaracter"/>
          </w:rPr>
          <w:t>156/2007</w:t>
        </w:r>
      </w:hyperlink>
      <w:r>
        <w:t xml:space="preserve">, ff. 1, 3, 5 a 7; </w:t>
      </w:r>
      <w:hyperlink w:anchor="SENTENCIA_2007_164" w:history="1">
        <w:r w:rsidRPr="00512048">
          <w:rPr>
            <w:rStyle w:val="TextoNormalCaracter"/>
          </w:rPr>
          <w:t>164/2007</w:t>
        </w:r>
      </w:hyperlink>
      <w:r>
        <w:t xml:space="preserve">, ff. 1, 2; </w:t>
      </w:r>
      <w:hyperlink w:anchor="SENTENCIA_2007_175" w:history="1">
        <w:r w:rsidRPr="00512048">
          <w:rPr>
            <w:rStyle w:val="TextoNormalCaracter"/>
          </w:rPr>
          <w:t>175/2007</w:t>
        </w:r>
      </w:hyperlink>
      <w:r>
        <w:t>, ff. 3, 4.</w:t>
      </w:r>
    </w:p>
    <w:p w:rsidR="00512048" w:rsidRDefault="00512048" w:rsidP="00512048">
      <w:pPr>
        <w:pStyle w:val="SangriaIzquierdaArticulo"/>
      </w:pPr>
      <w:r>
        <w:t xml:space="preserve">Autos </w:t>
      </w:r>
      <w:hyperlink w:anchor="AUTO_2007_246" w:history="1">
        <w:r w:rsidRPr="00512048">
          <w:rPr>
            <w:rStyle w:val="TextoNormalCaracter"/>
          </w:rPr>
          <w:t>246/2007</w:t>
        </w:r>
      </w:hyperlink>
      <w:r>
        <w:t xml:space="preserve">; </w:t>
      </w:r>
      <w:hyperlink w:anchor="AUTO_2007_256" w:history="1">
        <w:r w:rsidRPr="00512048">
          <w:rPr>
            <w:rStyle w:val="TextoNormalCaracter"/>
          </w:rPr>
          <w:t>256/2007</w:t>
        </w:r>
      </w:hyperlink>
      <w:r>
        <w:t xml:space="preserve">; </w:t>
      </w:r>
      <w:hyperlink w:anchor="AUTO_2007_264" w:history="1">
        <w:r w:rsidRPr="00512048">
          <w:rPr>
            <w:rStyle w:val="TextoNormalCaracter"/>
          </w:rPr>
          <w:t>264/2007</w:t>
        </w:r>
      </w:hyperlink>
      <w:r>
        <w:t xml:space="preserve">; </w:t>
      </w:r>
      <w:hyperlink w:anchor="AUTO_2007_266" w:history="1">
        <w:r w:rsidRPr="00512048">
          <w:rPr>
            <w:rStyle w:val="TextoNormalCaracter"/>
          </w:rPr>
          <w:t>266/2007</w:t>
        </w:r>
      </w:hyperlink>
      <w:r>
        <w:t xml:space="preserve">; </w:t>
      </w:r>
      <w:hyperlink w:anchor="AUTO_2007_281" w:history="1">
        <w:r w:rsidRPr="00512048">
          <w:rPr>
            <w:rStyle w:val="TextoNormalCaracter"/>
          </w:rPr>
          <w:t>281/2007</w:t>
        </w:r>
      </w:hyperlink>
      <w:r>
        <w:t xml:space="preserve">; </w:t>
      </w:r>
      <w:hyperlink w:anchor="AUTO_2007_315" w:history="1">
        <w:r w:rsidRPr="00512048">
          <w:rPr>
            <w:rStyle w:val="TextoNormalCaracter"/>
          </w:rPr>
          <w:t>315/2007</w:t>
        </w:r>
      </w:hyperlink>
      <w:r>
        <w:t>.</w:t>
      </w:r>
    </w:p>
    <w:p w:rsidR="00512048" w:rsidRDefault="00512048" w:rsidP="00512048">
      <w:pPr>
        <w:pStyle w:val="SangriaFrancesaArticulo"/>
      </w:pPr>
      <w:r w:rsidRPr="00512048">
        <w:rPr>
          <w:rStyle w:val="TextoNormalNegritaCaracter"/>
        </w:rPr>
        <w:t>Artículo 24.2</w:t>
      </w:r>
      <w:r>
        <w:t xml:space="preserve"> </w:t>
      </w:r>
      <w:r w:rsidRPr="00512048">
        <w:rPr>
          <w:rStyle w:val="TextoNormalCaracter"/>
        </w:rPr>
        <w:t>(derecho a un proceso sin dilaciones)</w:t>
      </w:r>
      <w:r w:rsidRPr="00512048">
        <w:rPr>
          <w:rStyle w:val="TextoNormalNegritaCaracter"/>
        </w:rPr>
        <w:t>.</w:t>
      </w:r>
      <w:r w:rsidRPr="00512048">
        <w:rPr>
          <w:rStyle w:val="TextoNormalCaracter"/>
        </w:rPr>
        <w:t>-</w:t>
      </w:r>
      <w:r>
        <w:t xml:space="preserve"> Sentencias </w:t>
      </w:r>
      <w:hyperlink w:anchor="SENTENCIA_2007_95" w:history="1">
        <w:r w:rsidRPr="00512048">
          <w:rPr>
            <w:rStyle w:val="TextoNormalCaracter"/>
          </w:rPr>
          <w:t>95/2007</w:t>
        </w:r>
      </w:hyperlink>
      <w:r>
        <w:t xml:space="preserve">, ff. 2, 3; </w:t>
      </w:r>
      <w:hyperlink w:anchor="SENTENCIA_2007_178" w:history="1">
        <w:r w:rsidRPr="00512048">
          <w:rPr>
            <w:rStyle w:val="TextoNormalCaracter"/>
          </w:rPr>
          <w:t>178/2007</w:t>
        </w:r>
      </w:hyperlink>
      <w:r>
        <w:t>, ff. 2, 4.</w:t>
      </w:r>
    </w:p>
    <w:p w:rsidR="00512048" w:rsidRDefault="00512048" w:rsidP="00512048">
      <w:pPr>
        <w:pStyle w:val="SangriaFrancesaArticulo"/>
      </w:pPr>
      <w:r w:rsidRPr="00512048">
        <w:rPr>
          <w:rStyle w:val="TextoNormalNegritaCaracter"/>
        </w:rPr>
        <w:t>Artículo 24.2</w:t>
      </w:r>
      <w:r>
        <w:t xml:space="preserve"> </w:t>
      </w:r>
      <w:r w:rsidRPr="00512048">
        <w:rPr>
          <w:rStyle w:val="TextoNormalCaracter"/>
        </w:rPr>
        <w:t>(derecho al juez ordinario predeterminado por la ley)</w:t>
      </w:r>
      <w:r w:rsidRPr="00512048">
        <w:rPr>
          <w:rStyle w:val="TextoNormalNegritaCaracter"/>
        </w:rPr>
        <w:t>.</w:t>
      </w:r>
      <w:r w:rsidRPr="00512048">
        <w:rPr>
          <w:rStyle w:val="TextoNormalCaracter"/>
        </w:rPr>
        <w:t>-</w:t>
      </w:r>
      <w:r>
        <w:t xml:space="preserve"> Sentencia </w:t>
      </w:r>
      <w:hyperlink w:anchor="SENTENCIA_2007_156" w:history="1">
        <w:r w:rsidRPr="00512048">
          <w:rPr>
            <w:rStyle w:val="TextoNormalCaracter"/>
          </w:rPr>
          <w:t>156/2007</w:t>
        </w:r>
      </w:hyperlink>
      <w:r>
        <w:t>, ff. 1, 3.</w:t>
      </w:r>
    </w:p>
    <w:p w:rsidR="00512048" w:rsidRDefault="00512048" w:rsidP="00512048">
      <w:pPr>
        <w:pStyle w:val="SangriaIzquierdaArticulo"/>
      </w:pPr>
      <w:r>
        <w:t xml:space="preserve">Autos </w:t>
      </w:r>
      <w:hyperlink w:anchor="AUTO_2007_256" w:history="1">
        <w:r w:rsidRPr="00512048">
          <w:rPr>
            <w:rStyle w:val="TextoNormalCaracter"/>
          </w:rPr>
          <w:t>256/2007</w:t>
        </w:r>
      </w:hyperlink>
      <w:r>
        <w:t xml:space="preserve">; </w:t>
      </w:r>
      <w:hyperlink w:anchor="AUTO_2007_289" w:history="1">
        <w:r w:rsidRPr="00512048">
          <w:rPr>
            <w:rStyle w:val="TextoNormalCaracter"/>
          </w:rPr>
          <w:t>289/2007</w:t>
        </w:r>
      </w:hyperlink>
      <w:r>
        <w:t>.</w:t>
      </w:r>
    </w:p>
    <w:p w:rsidR="00512048" w:rsidRDefault="00512048" w:rsidP="00512048">
      <w:pPr>
        <w:pStyle w:val="SangriaFrancesaArticulo"/>
      </w:pPr>
      <w:r w:rsidRPr="00512048">
        <w:rPr>
          <w:rStyle w:val="TextoNormalNegritaCaracter"/>
        </w:rPr>
        <w:t>Artículo 25.1.</w:t>
      </w:r>
      <w:r w:rsidRPr="00512048">
        <w:rPr>
          <w:rStyle w:val="TextoNormalCaracter"/>
        </w:rPr>
        <w:t>-</w:t>
      </w:r>
      <w:r>
        <w:t xml:space="preserve"> Sentencias </w:t>
      </w:r>
      <w:hyperlink w:anchor="SENTENCIA_2007_110" w:history="1">
        <w:r w:rsidRPr="00512048">
          <w:rPr>
            <w:rStyle w:val="TextoNormalCaracter"/>
          </w:rPr>
          <w:t>110/2007</w:t>
        </w:r>
      </w:hyperlink>
      <w:r>
        <w:t xml:space="preserve">, f. 2; </w:t>
      </w:r>
      <w:hyperlink w:anchor="SENTENCIA_2007_116" w:history="1">
        <w:r w:rsidRPr="00512048">
          <w:rPr>
            <w:rStyle w:val="TextoNormalCaracter"/>
          </w:rPr>
          <w:t>116/2007</w:t>
        </w:r>
      </w:hyperlink>
      <w:r>
        <w:t xml:space="preserve">, ff. 1, 6, 9, 10; </w:t>
      </w:r>
      <w:hyperlink w:anchor="SENTENCIA_2007_117" w:history="1">
        <w:r w:rsidRPr="00512048">
          <w:rPr>
            <w:rStyle w:val="TextoNormalCaracter"/>
          </w:rPr>
          <w:t>117/2007</w:t>
        </w:r>
      </w:hyperlink>
      <w:r>
        <w:t xml:space="preserve">, f. 2; </w:t>
      </w:r>
      <w:hyperlink w:anchor="SENTENCIA_2007_157" w:history="1">
        <w:r w:rsidRPr="00512048">
          <w:rPr>
            <w:rStyle w:val="TextoNormalCaracter"/>
          </w:rPr>
          <w:t>157/2007</w:t>
        </w:r>
      </w:hyperlink>
      <w:r>
        <w:t xml:space="preserve">, f. 3; </w:t>
      </w:r>
      <w:hyperlink w:anchor="SENTENCIA_2007_175" w:history="1">
        <w:r w:rsidRPr="00512048">
          <w:rPr>
            <w:rStyle w:val="TextoNormalCaracter"/>
          </w:rPr>
          <w:t>175/2007</w:t>
        </w:r>
      </w:hyperlink>
      <w:r>
        <w:t>, f. 3.</w:t>
      </w:r>
    </w:p>
    <w:p w:rsidR="00512048" w:rsidRDefault="00512048" w:rsidP="00512048">
      <w:pPr>
        <w:pStyle w:val="SangriaIzquierdaArticulo"/>
      </w:pPr>
      <w:r>
        <w:t xml:space="preserve">Autos </w:t>
      </w:r>
      <w:hyperlink w:anchor="AUTO_2007_245" w:history="1">
        <w:r w:rsidRPr="00512048">
          <w:rPr>
            <w:rStyle w:val="TextoNormalCaracter"/>
          </w:rPr>
          <w:t>245/2007</w:t>
        </w:r>
      </w:hyperlink>
      <w:r>
        <w:t xml:space="preserve">; </w:t>
      </w:r>
      <w:hyperlink w:anchor="AUTO_2007_323" w:history="1">
        <w:r w:rsidRPr="00512048">
          <w:rPr>
            <w:rStyle w:val="TextoNormalCaracter"/>
          </w:rPr>
          <w:t>323/2007</w:t>
        </w:r>
      </w:hyperlink>
      <w:r>
        <w:t>.</w:t>
      </w:r>
    </w:p>
    <w:p w:rsidR="00512048" w:rsidRDefault="00512048" w:rsidP="00512048">
      <w:pPr>
        <w:pStyle w:val="SangriaFrancesaArticulo"/>
      </w:pPr>
      <w:r w:rsidRPr="00512048">
        <w:rPr>
          <w:rStyle w:val="TextoNormalNegritaCaracter"/>
        </w:rPr>
        <w:lastRenderedPageBreak/>
        <w:t>Artículo 27.2.</w:t>
      </w:r>
      <w:r w:rsidRPr="00512048">
        <w:rPr>
          <w:rStyle w:val="TextoNormalCaracter"/>
        </w:rPr>
        <w:t>-</w:t>
      </w:r>
      <w:r>
        <w:t xml:space="preserve"> Sentencia </w:t>
      </w:r>
      <w:hyperlink w:anchor="SENTENCIA_2007_128" w:history="1">
        <w:r w:rsidRPr="00512048">
          <w:rPr>
            <w:rStyle w:val="TextoNormalCaracter"/>
          </w:rPr>
          <w:t>128/2007</w:t>
        </w:r>
      </w:hyperlink>
      <w:r>
        <w:t>, VP.</w:t>
      </w:r>
    </w:p>
    <w:p w:rsidR="00512048" w:rsidRDefault="00512048" w:rsidP="00512048">
      <w:pPr>
        <w:pStyle w:val="SangriaFrancesaArticulo"/>
      </w:pPr>
      <w:r w:rsidRPr="00512048">
        <w:rPr>
          <w:rStyle w:val="TextoNormalNegritaCaracter"/>
        </w:rPr>
        <w:t>Artículo 27.3.</w:t>
      </w:r>
      <w:r w:rsidRPr="00512048">
        <w:rPr>
          <w:rStyle w:val="TextoNormalCaracter"/>
        </w:rPr>
        <w:t>-</w:t>
      </w:r>
      <w:r>
        <w:t xml:space="preserve"> Sentencia </w:t>
      </w:r>
      <w:hyperlink w:anchor="SENTENCIA_2007_128" w:history="1">
        <w:r w:rsidRPr="00512048">
          <w:rPr>
            <w:rStyle w:val="TextoNormalCaracter"/>
          </w:rPr>
          <w:t>128/2007</w:t>
        </w:r>
      </w:hyperlink>
      <w:r>
        <w:t>, ff. 5, 11.</w:t>
      </w:r>
    </w:p>
    <w:p w:rsidR="00512048" w:rsidRDefault="00512048" w:rsidP="00512048">
      <w:pPr>
        <w:pStyle w:val="SangriaFrancesaArticulo"/>
      </w:pPr>
      <w:r w:rsidRPr="00512048">
        <w:rPr>
          <w:rStyle w:val="TextoNormalNegritaCaracter"/>
        </w:rPr>
        <w:t>Artículo 28.1.</w:t>
      </w:r>
      <w:r w:rsidRPr="00512048">
        <w:rPr>
          <w:rStyle w:val="TextoNormalCaracter"/>
        </w:rPr>
        <w:t>-</w:t>
      </w:r>
      <w:r>
        <w:t xml:space="preserve"> Sentencia </w:t>
      </w:r>
      <w:hyperlink w:anchor="SENTENCIA_2007_153" w:history="1">
        <w:r w:rsidRPr="00512048">
          <w:rPr>
            <w:rStyle w:val="TextoNormalCaracter"/>
          </w:rPr>
          <w:t>153/2007</w:t>
        </w:r>
      </w:hyperlink>
      <w:r>
        <w:t>, ff. 1, 2, 7.</w:t>
      </w:r>
    </w:p>
    <w:p w:rsidR="00512048" w:rsidRDefault="00512048" w:rsidP="00512048">
      <w:pPr>
        <w:pStyle w:val="SangriaIzquierdaArticulo"/>
      </w:pPr>
      <w:r>
        <w:t xml:space="preserve">Auto </w:t>
      </w:r>
      <w:hyperlink w:anchor="AUTO_2007_257" w:history="1">
        <w:r w:rsidRPr="00512048">
          <w:rPr>
            <w:rStyle w:val="TextoNormalCaracter"/>
          </w:rPr>
          <w:t>257/2007</w:t>
        </w:r>
      </w:hyperlink>
      <w:r>
        <w:t>.</w:t>
      </w:r>
    </w:p>
    <w:p w:rsidR="00512048" w:rsidRDefault="00512048" w:rsidP="00512048">
      <w:pPr>
        <w:pStyle w:val="SangriaFrancesaArticulo"/>
      </w:pPr>
      <w:r w:rsidRPr="00512048">
        <w:rPr>
          <w:rStyle w:val="TextoNormalNegritaCaracter"/>
        </w:rPr>
        <w:t>Artículo 28.2.</w:t>
      </w:r>
      <w:r w:rsidRPr="00512048">
        <w:rPr>
          <w:rStyle w:val="TextoNormalCaracter"/>
        </w:rPr>
        <w:t>-</w:t>
      </w:r>
      <w:r>
        <w:t xml:space="preserve"> Auto </w:t>
      </w:r>
      <w:hyperlink w:anchor="AUTO_2007_257" w:history="1">
        <w:r w:rsidRPr="00512048">
          <w:rPr>
            <w:rStyle w:val="TextoNormalCaracter"/>
          </w:rPr>
          <w:t>257/2007</w:t>
        </w:r>
      </w:hyperlink>
      <w:r>
        <w:t>.</w:t>
      </w:r>
    </w:p>
    <w:p w:rsidR="00512048" w:rsidRDefault="00512048" w:rsidP="00512048">
      <w:pPr>
        <w:pStyle w:val="SangriaFrancesaArticulo"/>
      </w:pPr>
      <w:r w:rsidRPr="00512048">
        <w:rPr>
          <w:rStyle w:val="TextoNormalNegritaCaracter"/>
        </w:rPr>
        <w:t>Artículo 31.</w:t>
      </w:r>
      <w:r w:rsidRPr="00512048">
        <w:rPr>
          <w:rStyle w:val="TextoNormalCaracter"/>
        </w:rPr>
        <w:t>-</w:t>
      </w:r>
      <w:r>
        <w:t xml:space="preserve"> Auto </w:t>
      </w:r>
      <w:hyperlink w:anchor="AUTO_2007_247" w:history="1">
        <w:r w:rsidRPr="00512048">
          <w:rPr>
            <w:rStyle w:val="TextoNormalCaracter"/>
          </w:rPr>
          <w:t>247/2007</w:t>
        </w:r>
      </w:hyperlink>
      <w:r>
        <w:t>.</w:t>
      </w:r>
    </w:p>
    <w:p w:rsidR="00512048" w:rsidRDefault="00512048" w:rsidP="00512048">
      <w:pPr>
        <w:pStyle w:val="SangriaFrancesaArticulo"/>
      </w:pPr>
      <w:r w:rsidRPr="00512048">
        <w:rPr>
          <w:rStyle w:val="TextoNormalNegritaCaracter"/>
        </w:rPr>
        <w:t>Artículo 31.1.</w:t>
      </w:r>
      <w:r w:rsidRPr="00512048">
        <w:rPr>
          <w:rStyle w:val="TextoNormalCaracter"/>
        </w:rPr>
        <w:t>-</w:t>
      </w:r>
      <w:r>
        <w:t xml:space="preserve"> Sentencia </w:t>
      </w:r>
      <w:hyperlink w:anchor="SENTENCIA_2007_91" w:history="1">
        <w:r w:rsidRPr="00512048">
          <w:rPr>
            <w:rStyle w:val="TextoNormalCaracter"/>
          </w:rPr>
          <w:t>91/2007</w:t>
        </w:r>
      </w:hyperlink>
      <w:r>
        <w:t>, ff. 1, 3, 4.</w:t>
      </w:r>
    </w:p>
    <w:p w:rsidR="00512048" w:rsidRDefault="00512048" w:rsidP="00512048">
      <w:pPr>
        <w:pStyle w:val="SangriaFrancesaArticulo"/>
      </w:pPr>
      <w:r w:rsidRPr="00512048">
        <w:rPr>
          <w:rStyle w:val="TextoNormalNegritaCaracter"/>
        </w:rPr>
        <w:t>Artículo 32.1.</w:t>
      </w:r>
      <w:r w:rsidRPr="00512048">
        <w:rPr>
          <w:rStyle w:val="TextoNormalCaracter"/>
        </w:rPr>
        <w:t>-</w:t>
      </w:r>
      <w:r>
        <w:t xml:space="preserve"> Sentencia </w:t>
      </w:r>
      <w:hyperlink w:anchor="SENTENCIA_2007_128" w:history="1">
        <w:r w:rsidRPr="00512048">
          <w:rPr>
            <w:rStyle w:val="TextoNormalCaracter"/>
          </w:rPr>
          <w:t>128/2007</w:t>
        </w:r>
      </w:hyperlink>
      <w:r>
        <w:t>, VP.</w:t>
      </w:r>
    </w:p>
    <w:p w:rsidR="00512048" w:rsidRDefault="00512048" w:rsidP="00512048">
      <w:pPr>
        <w:pStyle w:val="SangriaFrancesaArticulo"/>
      </w:pPr>
      <w:r w:rsidRPr="00512048">
        <w:rPr>
          <w:rStyle w:val="TextoNormalNegritaCaracter"/>
        </w:rPr>
        <w:t>Artículo 33.</w:t>
      </w:r>
      <w:r w:rsidRPr="00512048">
        <w:rPr>
          <w:rStyle w:val="TextoNormalCaracter"/>
        </w:rPr>
        <w:t>-</w:t>
      </w:r>
      <w:r>
        <w:t xml:space="preserve"> Sentencia </w:t>
      </w:r>
      <w:hyperlink w:anchor="SENTENCIA_2007_166" w:history="1">
        <w:r w:rsidRPr="00512048">
          <w:rPr>
            <w:rStyle w:val="TextoNormalCaracter"/>
          </w:rPr>
          <w:t>166/2007</w:t>
        </w:r>
      </w:hyperlink>
      <w:r>
        <w:t>, f. 6.</w:t>
      </w:r>
    </w:p>
    <w:p w:rsidR="00512048" w:rsidRDefault="00512048" w:rsidP="00512048">
      <w:pPr>
        <w:pStyle w:val="SangriaFrancesaArticulo"/>
      </w:pPr>
      <w:r w:rsidRPr="00512048">
        <w:rPr>
          <w:rStyle w:val="TextoNormalNegritaCaracter"/>
        </w:rPr>
        <w:t>Artículo 35.</w:t>
      </w:r>
      <w:r w:rsidRPr="00512048">
        <w:rPr>
          <w:rStyle w:val="TextoNormalCaracter"/>
        </w:rPr>
        <w:t>-</w:t>
      </w:r>
      <w:r>
        <w:t xml:space="preserve"> Auto </w:t>
      </w:r>
      <w:hyperlink w:anchor="AUTO_2007_290" w:history="1">
        <w:r w:rsidRPr="00512048">
          <w:rPr>
            <w:rStyle w:val="TextoNormalCaracter"/>
          </w:rPr>
          <w:t>290/2007</w:t>
        </w:r>
      </w:hyperlink>
      <w:r>
        <w:t>.</w:t>
      </w:r>
    </w:p>
    <w:p w:rsidR="00512048" w:rsidRDefault="00512048" w:rsidP="00512048">
      <w:pPr>
        <w:pStyle w:val="SangriaFrancesaArticulo"/>
      </w:pPr>
      <w:r w:rsidRPr="00512048">
        <w:rPr>
          <w:rStyle w:val="TextoNormalNegritaCaracter"/>
        </w:rPr>
        <w:t>Artículo 38.</w:t>
      </w:r>
      <w:r w:rsidRPr="00512048">
        <w:rPr>
          <w:rStyle w:val="TextoNormalCaracter"/>
        </w:rPr>
        <w:t>-</w:t>
      </w:r>
      <w:r>
        <w:t xml:space="preserve"> Sentencia </w:t>
      </w:r>
      <w:hyperlink w:anchor="SENTENCIA_2007_125" w:history="1">
        <w:r w:rsidRPr="00512048">
          <w:rPr>
            <w:rStyle w:val="TextoNormalCaracter"/>
          </w:rPr>
          <w:t>125/2007</w:t>
        </w:r>
      </w:hyperlink>
      <w:r>
        <w:t>, f. 2.</w:t>
      </w:r>
    </w:p>
    <w:p w:rsidR="00512048" w:rsidRDefault="00512048" w:rsidP="00512048">
      <w:pPr>
        <w:pStyle w:val="SangriaIzquierdaArticulo"/>
      </w:pPr>
      <w:r>
        <w:t xml:space="preserve">Auto </w:t>
      </w:r>
      <w:hyperlink w:anchor="AUTO_2007_258" w:history="1">
        <w:r w:rsidRPr="00512048">
          <w:rPr>
            <w:rStyle w:val="TextoNormalCaracter"/>
          </w:rPr>
          <w:t>258/2007</w:t>
        </w:r>
      </w:hyperlink>
      <w:r>
        <w:t>.</w:t>
      </w:r>
    </w:p>
    <w:p w:rsidR="00512048" w:rsidRDefault="00512048" w:rsidP="00512048">
      <w:pPr>
        <w:pStyle w:val="SangriaFrancesaArticulo"/>
      </w:pPr>
      <w:r w:rsidRPr="00512048">
        <w:rPr>
          <w:rStyle w:val="TextoNormalNegritaCaracter"/>
        </w:rPr>
        <w:t>Artículo 39.</w:t>
      </w:r>
      <w:r w:rsidRPr="00512048">
        <w:rPr>
          <w:rStyle w:val="TextoNormalCaracter"/>
        </w:rPr>
        <w:t>-</w:t>
      </w:r>
      <w:r>
        <w:t xml:space="preserve"> Sentencia </w:t>
      </w:r>
      <w:hyperlink w:anchor="SENTENCIA_2007_177" w:history="1">
        <w:r w:rsidRPr="00512048">
          <w:rPr>
            <w:rStyle w:val="TextoNormalCaracter"/>
          </w:rPr>
          <w:t>177/2007</w:t>
        </w:r>
      </w:hyperlink>
      <w:r>
        <w:t>, f. 4.</w:t>
      </w:r>
    </w:p>
    <w:p w:rsidR="00512048" w:rsidRDefault="00512048" w:rsidP="00512048">
      <w:pPr>
        <w:pStyle w:val="SangriaFrancesaArticulo"/>
      </w:pPr>
      <w:r w:rsidRPr="00512048">
        <w:rPr>
          <w:rStyle w:val="TextoNormalNegritaCaracter"/>
        </w:rPr>
        <w:t>Artículo 39.1.</w:t>
      </w:r>
      <w:r w:rsidRPr="00512048">
        <w:rPr>
          <w:rStyle w:val="TextoNormalCaracter"/>
        </w:rPr>
        <w:t>-</w:t>
      </w:r>
      <w:r>
        <w:t xml:space="preserve"> Sentencia </w:t>
      </w:r>
      <w:hyperlink w:anchor="SENTENCIA_2007_128" w:history="1">
        <w:r w:rsidRPr="00512048">
          <w:rPr>
            <w:rStyle w:val="TextoNormalCaracter"/>
          </w:rPr>
          <w:t>128/2007</w:t>
        </w:r>
      </w:hyperlink>
      <w:r>
        <w:t>, VP.</w:t>
      </w:r>
    </w:p>
    <w:p w:rsidR="00512048" w:rsidRDefault="00512048" w:rsidP="00512048">
      <w:pPr>
        <w:pStyle w:val="SangriaFrancesaArticulo"/>
      </w:pPr>
      <w:r w:rsidRPr="00512048">
        <w:rPr>
          <w:rStyle w:val="TextoNormalNegritaCaracter"/>
        </w:rPr>
        <w:t>Artículo 39.2.</w:t>
      </w:r>
      <w:r w:rsidRPr="00512048">
        <w:rPr>
          <w:rStyle w:val="TextoNormalCaracter"/>
        </w:rPr>
        <w:t>-</w:t>
      </w:r>
      <w:r>
        <w:t xml:space="preserve"> Sentencia </w:t>
      </w:r>
      <w:hyperlink w:anchor="SENTENCIA_2007_128" w:history="1">
        <w:r w:rsidRPr="00512048">
          <w:rPr>
            <w:rStyle w:val="TextoNormalCaracter"/>
          </w:rPr>
          <w:t>128/2007</w:t>
        </w:r>
      </w:hyperlink>
      <w:r>
        <w:t>, VP.</w:t>
      </w:r>
    </w:p>
    <w:p w:rsidR="00512048" w:rsidRDefault="00512048" w:rsidP="00512048">
      <w:pPr>
        <w:pStyle w:val="SangriaFrancesaArticulo"/>
      </w:pPr>
      <w:r w:rsidRPr="00512048">
        <w:rPr>
          <w:rStyle w:val="TextoNormalNegritaCaracter"/>
        </w:rPr>
        <w:t>Artículo 43.</w:t>
      </w:r>
      <w:r w:rsidRPr="00512048">
        <w:rPr>
          <w:rStyle w:val="TextoNormalCaracter"/>
        </w:rPr>
        <w:t>-</w:t>
      </w:r>
      <w:r>
        <w:t xml:space="preserve"> Sentencia </w:t>
      </w:r>
      <w:hyperlink w:anchor="SENTENCIA_2007_160" w:history="1">
        <w:r w:rsidRPr="00512048">
          <w:rPr>
            <w:rStyle w:val="TextoNormalCaracter"/>
          </w:rPr>
          <w:t>160/2007</w:t>
        </w:r>
      </w:hyperlink>
      <w:r>
        <w:t>, f. 1.</w:t>
      </w:r>
    </w:p>
    <w:p w:rsidR="00512048" w:rsidRDefault="00512048" w:rsidP="00512048">
      <w:pPr>
        <w:pStyle w:val="SangriaFrancesaArticulo"/>
      </w:pPr>
      <w:r w:rsidRPr="00512048">
        <w:rPr>
          <w:rStyle w:val="TextoNormalNegritaCaracter"/>
        </w:rPr>
        <w:t>Artículo 43.1.</w:t>
      </w:r>
      <w:r w:rsidRPr="00512048">
        <w:rPr>
          <w:rStyle w:val="TextoNormalCaracter"/>
        </w:rPr>
        <w:t>-</w:t>
      </w:r>
      <w:r>
        <w:t xml:space="preserve"> Sentencia </w:t>
      </w:r>
      <w:hyperlink w:anchor="SENTENCIA_2007_160" w:history="1">
        <w:r w:rsidRPr="00512048">
          <w:rPr>
            <w:rStyle w:val="TextoNormalCaracter"/>
          </w:rPr>
          <w:t>160/2007</w:t>
        </w:r>
      </w:hyperlink>
      <w:r>
        <w:t>, f. 4, VP.</w:t>
      </w:r>
    </w:p>
    <w:p w:rsidR="00512048" w:rsidRDefault="00512048" w:rsidP="00512048">
      <w:pPr>
        <w:pStyle w:val="SangriaFrancesaArticulo"/>
      </w:pPr>
      <w:r w:rsidRPr="00512048">
        <w:rPr>
          <w:rStyle w:val="TextoNormalNegritaCaracter"/>
        </w:rPr>
        <w:t>Artículo 53.2.</w:t>
      </w:r>
      <w:r w:rsidRPr="00512048">
        <w:rPr>
          <w:rStyle w:val="TextoNormalCaracter"/>
        </w:rPr>
        <w:t>-</w:t>
      </w:r>
      <w:r>
        <w:t xml:space="preserve"> Sentencias </w:t>
      </w:r>
      <w:hyperlink w:anchor="SENTENCIA_2007_91" w:history="1">
        <w:r w:rsidRPr="00512048">
          <w:rPr>
            <w:rStyle w:val="TextoNormalCaracter"/>
          </w:rPr>
          <w:t>91/2007</w:t>
        </w:r>
      </w:hyperlink>
      <w:r>
        <w:t xml:space="preserve">, ff. 1, 4; </w:t>
      </w:r>
      <w:hyperlink w:anchor="SENTENCIA_2007_92" w:history="1">
        <w:r w:rsidRPr="00512048">
          <w:rPr>
            <w:rStyle w:val="TextoNormalCaracter"/>
          </w:rPr>
          <w:t>92/2007</w:t>
        </w:r>
      </w:hyperlink>
      <w:r>
        <w:t xml:space="preserve">, f. 3; </w:t>
      </w:r>
      <w:hyperlink w:anchor="SENTENCIA_2007_110" w:history="1">
        <w:r w:rsidRPr="00512048">
          <w:rPr>
            <w:rStyle w:val="TextoNormalCaracter"/>
          </w:rPr>
          <w:t>110/2007</w:t>
        </w:r>
      </w:hyperlink>
      <w:r>
        <w:t xml:space="preserve">, f. 2; </w:t>
      </w:r>
      <w:hyperlink w:anchor="SENTENCIA_2007_127" w:history="1">
        <w:r w:rsidRPr="00512048">
          <w:rPr>
            <w:rStyle w:val="TextoNormalCaracter"/>
          </w:rPr>
          <w:t>127/2007</w:t>
        </w:r>
      </w:hyperlink>
      <w:r>
        <w:t xml:space="preserve">, f. 2; </w:t>
      </w:r>
      <w:hyperlink w:anchor="SENTENCIA_2007_131" w:history="1">
        <w:r w:rsidRPr="00512048">
          <w:rPr>
            <w:rStyle w:val="TextoNormalCaracter"/>
          </w:rPr>
          <w:t>131/2007</w:t>
        </w:r>
      </w:hyperlink>
      <w:r>
        <w:t xml:space="preserve">, ff. 3, 4; </w:t>
      </w:r>
      <w:hyperlink w:anchor="SENTENCIA_2007_144" w:history="1">
        <w:r w:rsidRPr="00512048">
          <w:rPr>
            <w:rStyle w:val="TextoNormalCaracter"/>
          </w:rPr>
          <w:t>144/2007</w:t>
        </w:r>
      </w:hyperlink>
      <w:r>
        <w:t xml:space="preserve">, f. 2; </w:t>
      </w:r>
      <w:hyperlink w:anchor="SENTENCIA_2007_154" w:history="1">
        <w:r w:rsidRPr="00512048">
          <w:rPr>
            <w:rStyle w:val="TextoNormalCaracter"/>
          </w:rPr>
          <w:t>154/2007</w:t>
        </w:r>
      </w:hyperlink>
      <w:r>
        <w:t xml:space="preserve">, f. 2; </w:t>
      </w:r>
      <w:hyperlink w:anchor="SENTENCIA_2007_160" w:history="1">
        <w:r w:rsidRPr="00512048">
          <w:rPr>
            <w:rStyle w:val="TextoNormalCaracter"/>
          </w:rPr>
          <w:t>160/2007</w:t>
        </w:r>
      </w:hyperlink>
      <w:r>
        <w:t xml:space="preserve">, VP; </w:t>
      </w:r>
      <w:hyperlink w:anchor="SENTENCIA_2007_164" w:history="1">
        <w:r w:rsidRPr="00512048">
          <w:rPr>
            <w:rStyle w:val="TextoNormalCaracter"/>
          </w:rPr>
          <w:t>164/2007</w:t>
        </w:r>
      </w:hyperlink>
      <w:r>
        <w:t xml:space="preserve">, f. 1; </w:t>
      </w:r>
      <w:hyperlink w:anchor="SENTENCIA_2007_169" w:history="1">
        <w:r w:rsidRPr="00512048">
          <w:rPr>
            <w:rStyle w:val="TextoNormalCaracter"/>
          </w:rPr>
          <w:t>169/2007</w:t>
        </w:r>
      </w:hyperlink>
      <w:r>
        <w:t>, f. 2.</w:t>
      </w:r>
    </w:p>
    <w:p w:rsidR="00512048" w:rsidRDefault="00512048" w:rsidP="00512048">
      <w:pPr>
        <w:pStyle w:val="SangriaIzquierdaArticulo"/>
      </w:pPr>
      <w:r>
        <w:t xml:space="preserve">Auto </w:t>
      </w:r>
      <w:hyperlink w:anchor="AUTO_2007_256" w:history="1">
        <w:r w:rsidRPr="00512048">
          <w:rPr>
            <w:rStyle w:val="TextoNormalCaracter"/>
          </w:rPr>
          <w:t>256/2007</w:t>
        </w:r>
      </w:hyperlink>
      <w:r>
        <w:t>.</w:t>
      </w:r>
    </w:p>
    <w:p w:rsidR="00512048" w:rsidRDefault="00512048" w:rsidP="00512048">
      <w:pPr>
        <w:pStyle w:val="SangriaFrancesaArticulo"/>
      </w:pPr>
      <w:r w:rsidRPr="00512048">
        <w:rPr>
          <w:rStyle w:val="TextoNormalNegritaCaracter"/>
        </w:rPr>
        <w:t>Artículo 53.3.</w:t>
      </w:r>
      <w:r w:rsidRPr="00512048">
        <w:rPr>
          <w:rStyle w:val="TextoNormalCaracter"/>
        </w:rPr>
        <w:t>-</w:t>
      </w:r>
      <w:r>
        <w:t xml:space="preserve"> Sentencia </w:t>
      </w:r>
      <w:hyperlink w:anchor="SENTENCIA_2007_160" w:history="1">
        <w:r w:rsidRPr="00512048">
          <w:rPr>
            <w:rStyle w:val="TextoNormalCaracter"/>
          </w:rPr>
          <w:t>160/2007</w:t>
        </w:r>
      </w:hyperlink>
      <w:r>
        <w:t>, VP.</w:t>
      </w:r>
    </w:p>
    <w:p w:rsidR="00512048" w:rsidRDefault="00512048" w:rsidP="00512048">
      <w:pPr>
        <w:pStyle w:val="SangriaFrancesaArticulo"/>
      </w:pPr>
      <w:r w:rsidRPr="00512048">
        <w:rPr>
          <w:rStyle w:val="TextoNormalNegritaCaracter"/>
        </w:rPr>
        <w:t>Artículo 66.2.</w:t>
      </w:r>
      <w:r w:rsidRPr="00512048">
        <w:rPr>
          <w:rStyle w:val="TextoNormalCaracter"/>
        </w:rPr>
        <w:t>-</w:t>
      </w:r>
      <w:r>
        <w:t xml:space="preserve"> Sentencia </w:t>
      </w:r>
      <w:hyperlink w:anchor="SENTENCIA_2007_166" w:history="1">
        <w:r w:rsidRPr="00512048">
          <w:rPr>
            <w:rStyle w:val="TextoNormalCaracter"/>
          </w:rPr>
          <w:t>166/2007</w:t>
        </w:r>
      </w:hyperlink>
      <w:r>
        <w:t>, ff. 1, 6.</w:t>
      </w:r>
    </w:p>
    <w:p w:rsidR="00512048" w:rsidRDefault="00512048" w:rsidP="00512048">
      <w:pPr>
        <w:pStyle w:val="SangriaIzquierdaArticulo"/>
      </w:pPr>
      <w:r>
        <w:t xml:space="preserve">Auto </w:t>
      </w:r>
      <w:hyperlink w:anchor="AUTO_2007_289" w:history="1">
        <w:r w:rsidRPr="00512048">
          <w:rPr>
            <w:rStyle w:val="TextoNormalCaracter"/>
          </w:rPr>
          <w:t>289/2007</w:t>
        </w:r>
      </w:hyperlink>
      <w:r>
        <w:t>.</w:t>
      </w:r>
    </w:p>
    <w:p w:rsidR="00512048" w:rsidRDefault="00512048" w:rsidP="00512048">
      <w:pPr>
        <w:pStyle w:val="SangriaFrancesaArticulo"/>
      </w:pPr>
      <w:r w:rsidRPr="00512048">
        <w:rPr>
          <w:rStyle w:val="TextoNormalNegritaCaracter"/>
        </w:rPr>
        <w:t>Artículo 68.</w:t>
      </w:r>
      <w:r w:rsidRPr="00512048">
        <w:rPr>
          <w:rStyle w:val="TextoNormalCaracter"/>
        </w:rPr>
        <w:t>-</w:t>
      </w:r>
      <w:r>
        <w:t xml:space="preserve"> Sentencias </w:t>
      </w:r>
      <w:hyperlink w:anchor="SENTENCIA_2007_108" w:history="1">
        <w:r w:rsidRPr="00512048">
          <w:rPr>
            <w:rStyle w:val="TextoNormalCaracter"/>
          </w:rPr>
          <w:t>108/2007</w:t>
        </w:r>
      </w:hyperlink>
      <w:r>
        <w:t xml:space="preserve">, f. 1; </w:t>
      </w:r>
      <w:hyperlink w:anchor="SENTENCIA_2007_127" w:history="1">
        <w:r w:rsidRPr="00512048">
          <w:rPr>
            <w:rStyle w:val="TextoNormalCaracter"/>
          </w:rPr>
          <w:t>127/2007</w:t>
        </w:r>
      </w:hyperlink>
      <w:r>
        <w:t>, f. 1.</w:t>
      </w:r>
    </w:p>
    <w:p w:rsidR="00512048" w:rsidRDefault="00512048" w:rsidP="00512048">
      <w:pPr>
        <w:pStyle w:val="SangriaFrancesaArticulo"/>
      </w:pPr>
      <w:r w:rsidRPr="00512048">
        <w:rPr>
          <w:rStyle w:val="TextoNormalNegritaCaracter"/>
        </w:rPr>
        <w:t>Artículo 68.3.</w:t>
      </w:r>
      <w:r w:rsidRPr="00512048">
        <w:rPr>
          <w:rStyle w:val="TextoNormalCaracter"/>
        </w:rPr>
        <w:t>-</w:t>
      </w:r>
      <w:r>
        <w:t xml:space="preserve"> Auto </w:t>
      </w:r>
      <w:hyperlink w:anchor="AUTO_2007_262" w:history="1">
        <w:r w:rsidRPr="00512048">
          <w:rPr>
            <w:rStyle w:val="TextoNormalCaracter"/>
          </w:rPr>
          <w:t>262/2007</w:t>
        </w:r>
      </w:hyperlink>
      <w:r>
        <w:t>.</w:t>
      </w:r>
    </w:p>
    <w:p w:rsidR="00512048" w:rsidRDefault="00512048" w:rsidP="00512048">
      <w:pPr>
        <w:pStyle w:val="SangriaFrancesaArticulo"/>
      </w:pPr>
      <w:r w:rsidRPr="00512048">
        <w:rPr>
          <w:rStyle w:val="TextoNormalNegritaCaracter"/>
        </w:rPr>
        <w:t>Artículo 69.5.</w:t>
      </w:r>
      <w:r w:rsidRPr="00512048">
        <w:rPr>
          <w:rStyle w:val="TextoNormalCaracter"/>
        </w:rPr>
        <w:t>-</w:t>
      </w:r>
      <w:r>
        <w:t xml:space="preserve"> Auto </w:t>
      </w:r>
      <w:hyperlink w:anchor="AUTO_2007_262" w:history="1">
        <w:r w:rsidRPr="00512048">
          <w:rPr>
            <w:rStyle w:val="TextoNormalCaracter"/>
          </w:rPr>
          <w:t>262/2007</w:t>
        </w:r>
      </w:hyperlink>
      <w:r>
        <w:t>.</w:t>
      </w:r>
    </w:p>
    <w:p w:rsidR="00512048" w:rsidRDefault="00512048" w:rsidP="00512048">
      <w:pPr>
        <w:pStyle w:val="SangriaFrancesaArticulo"/>
      </w:pPr>
      <w:r w:rsidRPr="00512048">
        <w:rPr>
          <w:rStyle w:val="TextoNormalNegritaCaracter"/>
        </w:rPr>
        <w:t>Artículo 71.2.</w:t>
      </w:r>
      <w:r w:rsidRPr="00512048">
        <w:rPr>
          <w:rStyle w:val="TextoNormalCaracter"/>
        </w:rPr>
        <w:t>-</w:t>
      </w:r>
      <w:r>
        <w:t xml:space="preserve"> Sentencia </w:t>
      </w:r>
      <w:hyperlink w:anchor="SENTENCIA_2007_141" w:history="1">
        <w:r w:rsidRPr="00512048">
          <w:rPr>
            <w:rStyle w:val="TextoNormalCaracter"/>
          </w:rPr>
          <w:t>141/2007</w:t>
        </w:r>
      </w:hyperlink>
      <w:r>
        <w:t>, f. 5.</w:t>
      </w:r>
    </w:p>
    <w:p w:rsidR="00512048" w:rsidRDefault="00512048" w:rsidP="00512048">
      <w:pPr>
        <w:pStyle w:val="SangriaFrancesaArticulo"/>
      </w:pPr>
      <w:r w:rsidRPr="00512048">
        <w:rPr>
          <w:rStyle w:val="TextoNormalNegritaCaracter"/>
        </w:rPr>
        <w:t>Artículo 72.</w:t>
      </w:r>
      <w:r w:rsidRPr="00512048">
        <w:rPr>
          <w:rStyle w:val="TextoNormalCaracter"/>
        </w:rPr>
        <w:t>-</w:t>
      </w:r>
      <w:r>
        <w:t xml:space="preserve"> Auto </w:t>
      </w:r>
      <w:hyperlink w:anchor="AUTO_2007_262" w:history="1">
        <w:r w:rsidRPr="00512048">
          <w:rPr>
            <w:rStyle w:val="TextoNormalCaracter"/>
          </w:rPr>
          <w:t>262/2007</w:t>
        </w:r>
      </w:hyperlink>
      <w:r>
        <w:t>.</w:t>
      </w:r>
    </w:p>
    <w:p w:rsidR="00512048" w:rsidRDefault="00512048" w:rsidP="00512048">
      <w:pPr>
        <w:pStyle w:val="SangriaFrancesaArticulo"/>
      </w:pPr>
      <w:r w:rsidRPr="00512048">
        <w:rPr>
          <w:rStyle w:val="TextoNormalNegritaCaracter"/>
        </w:rPr>
        <w:t>Artículo 72.1.</w:t>
      </w:r>
      <w:r w:rsidRPr="00512048">
        <w:rPr>
          <w:rStyle w:val="TextoNormalCaracter"/>
        </w:rPr>
        <w:t>-</w:t>
      </w:r>
      <w:r>
        <w:t xml:space="preserve"> Sentencia </w:t>
      </w:r>
      <w:hyperlink w:anchor="SENTENCIA_2007_141" w:history="1">
        <w:r w:rsidRPr="00512048">
          <w:rPr>
            <w:rStyle w:val="TextoNormalCaracter"/>
          </w:rPr>
          <w:t>141/2007</w:t>
        </w:r>
      </w:hyperlink>
      <w:r>
        <w:t>, f. 4.</w:t>
      </w:r>
    </w:p>
    <w:p w:rsidR="00512048" w:rsidRDefault="00512048" w:rsidP="00512048">
      <w:pPr>
        <w:pStyle w:val="SangriaFrancesaArticulo"/>
      </w:pPr>
      <w:r w:rsidRPr="00512048">
        <w:rPr>
          <w:rStyle w:val="TextoNormalNegritaCaracter"/>
        </w:rPr>
        <w:t>Artículo 82.</w:t>
      </w:r>
      <w:r w:rsidRPr="00512048">
        <w:rPr>
          <w:rStyle w:val="TextoNormalCaracter"/>
        </w:rPr>
        <w:t>-</w:t>
      </w:r>
      <w:r>
        <w:t xml:space="preserve"> Sentencia </w:t>
      </w:r>
      <w:hyperlink w:anchor="SENTENCIA_2007_166" w:history="1">
        <w:r w:rsidRPr="00512048">
          <w:rPr>
            <w:rStyle w:val="TextoNormalCaracter"/>
          </w:rPr>
          <w:t>166/2007</w:t>
        </w:r>
      </w:hyperlink>
      <w:r>
        <w:t>, ff. 1, 6.</w:t>
      </w:r>
    </w:p>
    <w:p w:rsidR="00512048" w:rsidRDefault="00512048" w:rsidP="00512048">
      <w:pPr>
        <w:pStyle w:val="SangriaIzquierdaArticulo"/>
      </w:pPr>
      <w:r>
        <w:t xml:space="preserve">Auto </w:t>
      </w:r>
      <w:hyperlink w:anchor="AUTO_2007_289" w:history="1">
        <w:r w:rsidRPr="00512048">
          <w:rPr>
            <w:rStyle w:val="TextoNormalCaracter"/>
          </w:rPr>
          <w:t>289/2007</w:t>
        </w:r>
      </w:hyperlink>
      <w:r>
        <w:t>.</w:t>
      </w:r>
    </w:p>
    <w:p w:rsidR="00512048" w:rsidRDefault="00512048" w:rsidP="00512048">
      <w:pPr>
        <w:pStyle w:val="SangriaFrancesaArticulo"/>
      </w:pPr>
      <w:r w:rsidRPr="00512048">
        <w:rPr>
          <w:rStyle w:val="TextoNormalNegritaCaracter"/>
        </w:rPr>
        <w:t>Artículo 82.2.</w:t>
      </w:r>
      <w:r w:rsidRPr="00512048">
        <w:rPr>
          <w:rStyle w:val="TextoNormalCaracter"/>
        </w:rPr>
        <w:t>-</w:t>
      </w:r>
      <w:r>
        <w:t xml:space="preserve"> Sentencia </w:t>
      </w:r>
      <w:hyperlink w:anchor="SENTENCIA_2007_166" w:history="1">
        <w:r w:rsidRPr="00512048">
          <w:rPr>
            <w:rStyle w:val="TextoNormalCaracter"/>
          </w:rPr>
          <w:t>166/2007</w:t>
        </w:r>
      </w:hyperlink>
      <w:r>
        <w:t>, f. 8.</w:t>
      </w:r>
    </w:p>
    <w:p w:rsidR="00512048" w:rsidRDefault="00512048" w:rsidP="00512048">
      <w:pPr>
        <w:pStyle w:val="SangriaFrancesaArticulo"/>
      </w:pPr>
      <w:r w:rsidRPr="00512048">
        <w:rPr>
          <w:rStyle w:val="TextoNormalNegritaCaracter"/>
        </w:rPr>
        <w:t>Artículo 82.4.</w:t>
      </w:r>
      <w:r w:rsidRPr="00512048">
        <w:rPr>
          <w:rStyle w:val="TextoNormalCaracter"/>
        </w:rPr>
        <w:t>-</w:t>
      </w:r>
      <w:r>
        <w:t xml:space="preserve"> Sentencia </w:t>
      </w:r>
      <w:hyperlink w:anchor="SENTENCIA_2007_166" w:history="1">
        <w:r w:rsidRPr="00512048">
          <w:rPr>
            <w:rStyle w:val="TextoNormalCaracter"/>
          </w:rPr>
          <w:t>166/2007</w:t>
        </w:r>
      </w:hyperlink>
      <w:r>
        <w:t>, f. 8.</w:t>
      </w:r>
    </w:p>
    <w:p w:rsidR="00512048" w:rsidRDefault="00512048" w:rsidP="00512048">
      <w:pPr>
        <w:pStyle w:val="SangriaFrancesaArticulo"/>
      </w:pPr>
      <w:r w:rsidRPr="00512048">
        <w:rPr>
          <w:rStyle w:val="TextoNormalNegritaCaracter"/>
        </w:rPr>
        <w:t>Artículo 82.5.</w:t>
      </w:r>
      <w:r w:rsidRPr="00512048">
        <w:rPr>
          <w:rStyle w:val="TextoNormalCaracter"/>
        </w:rPr>
        <w:t>-</w:t>
      </w:r>
      <w:r>
        <w:t xml:space="preserve"> Sentencia </w:t>
      </w:r>
      <w:hyperlink w:anchor="SENTENCIA_2007_166" w:history="1">
        <w:r w:rsidRPr="00512048">
          <w:rPr>
            <w:rStyle w:val="TextoNormalCaracter"/>
          </w:rPr>
          <w:t>166/2007</w:t>
        </w:r>
      </w:hyperlink>
      <w:r>
        <w:t>, ff. 6, 8.</w:t>
      </w:r>
    </w:p>
    <w:p w:rsidR="00512048" w:rsidRDefault="00512048" w:rsidP="00512048">
      <w:pPr>
        <w:pStyle w:val="SangriaFrancesaArticulo"/>
      </w:pPr>
      <w:r w:rsidRPr="00512048">
        <w:rPr>
          <w:rStyle w:val="TextoNormalNegritaCaracter"/>
        </w:rPr>
        <w:t>Artículo 82.6.</w:t>
      </w:r>
      <w:r w:rsidRPr="00512048">
        <w:rPr>
          <w:rStyle w:val="TextoNormalCaracter"/>
        </w:rPr>
        <w:t>-</w:t>
      </w:r>
      <w:r>
        <w:t xml:space="preserve"> Sentencia </w:t>
      </w:r>
      <w:hyperlink w:anchor="SENTENCIA_2007_166" w:history="1">
        <w:r w:rsidRPr="00512048">
          <w:rPr>
            <w:rStyle w:val="TextoNormalCaracter"/>
          </w:rPr>
          <w:t>166/2007</w:t>
        </w:r>
      </w:hyperlink>
      <w:r>
        <w:t>, f. 2.</w:t>
      </w:r>
    </w:p>
    <w:p w:rsidR="00512048" w:rsidRDefault="00512048" w:rsidP="00512048">
      <w:pPr>
        <w:pStyle w:val="SangriaFrancesaArticulo"/>
      </w:pPr>
      <w:r w:rsidRPr="00512048">
        <w:rPr>
          <w:rStyle w:val="TextoNormalNegritaCaracter"/>
        </w:rPr>
        <w:t>Artículo 86.1.</w:t>
      </w:r>
      <w:r w:rsidRPr="00512048">
        <w:rPr>
          <w:rStyle w:val="TextoNormalCaracter"/>
        </w:rPr>
        <w:t>-</w:t>
      </w:r>
      <w:r>
        <w:t xml:space="preserve"> Auto </w:t>
      </w:r>
      <w:hyperlink w:anchor="AUTO_2007_290" w:history="1">
        <w:r w:rsidRPr="00512048">
          <w:rPr>
            <w:rStyle w:val="TextoNormalCaracter"/>
          </w:rPr>
          <w:t>290/2007</w:t>
        </w:r>
      </w:hyperlink>
      <w:r>
        <w:t>.</w:t>
      </w:r>
    </w:p>
    <w:p w:rsidR="00512048" w:rsidRDefault="00512048" w:rsidP="00512048">
      <w:pPr>
        <w:pStyle w:val="SangriaFrancesaArticulo"/>
      </w:pPr>
      <w:r w:rsidRPr="00512048">
        <w:rPr>
          <w:rStyle w:val="TextoNormalNegritaCaracter"/>
        </w:rPr>
        <w:t>Artículo 103.3.</w:t>
      </w:r>
      <w:r w:rsidRPr="00512048">
        <w:rPr>
          <w:rStyle w:val="TextoNormalCaracter"/>
        </w:rPr>
        <w:t>-</w:t>
      </w:r>
      <w:r>
        <w:t xml:space="preserve"> Sentencia </w:t>
      </w:r>
      <w:hyperlink w:anchor="SENTENCIA_2007_128" w:history="1">
        <w:r w:rsidRPr="00512048">
          <w:rPr>
            <w:rStyle w:val="TextoNormalCaracter"/>
          </w:rPr>
          <w:t>128/2007</w:t>
        </w:r>
      </w:hyperlink>
      <w:r>
        <w:t>, f. 4, VP.</w:t>
      </w:r>
    </w:p>
    <w:p w:rsidR="00512048" w:rsidRDefault="00512048" w:rsidP="00512048">
      <w:pPr>
        <w:pStyle w:val="SangriaIzquierdaArticulo"/>
      </w:pPr>
      <w:r>
        <w:t xml:space="preserve">Auto </w:t>
      </w:r>
      <w:hyperlink w:anchor="AUTO_2007_257" w:history="1">
        <w:r w:rsidRPr="00512048">
          <w:rPr>
            <w:rStyle w:val="TextoNormalCaracter"/>
          </w:rPr>
          <w:t>257/2007</w:t>
        </w:r>
      </w:hyperlink>
      <w:r>
        <w:t>.</w:t>
      </w:r>
    </w:p>
    <w:p w:rsidR="00512048" w:rsidRDefault="00512048" w:rsidP="00512048">
      <w:pPr>
        <w:pStyle w:val="SangriaFrancesaArticulo"/>
      </w:pPr>
      <w:r w:rsidRPr="00512048">
        <w:rPr>
          <w:rStyle w:val="TextoNormalNegritaCaracter"/>
        </w:rPr>
        <w:t>Artículo 117.</w:t>
      </w:r>
      <w:r w:rsidRPr="00512048">
        <w:rPr>
          <w:rStyle w:val="TextoNormalCaracter"/>
        </w:rPr>
        <w:t>-</w:t>
      </w:r>
      <w:r>
        <w:t xml:space="preserve"> Sentencia </w:t>
      </w:r>
      <w:hyperlink w:anchor="SENTENCIA_2007_140" w:history="1">
        <w:r w:rsidRPr="00512048">
          <w:rPr>
            <w:rStyle w:val="TextoNormalCaracter"/>
          </w:rPr>
          <w:t>140/2007</w:t>
        </w:r>
      </w:hyperlink>
      <w:r>
        <w:t>, f. 4.</w:t>
      </w:r>
    </w:p>
    <w:p w:rsidR="00512048" w:rsidRDefault="00512048" w:rsidP="00512048">
      <w:pPr>
        <w:pStyle w:val="SangriaFrancesaArticulo"/>
      </w:pPr>
      <w:r w:rsidRPr="00512048">
        <w:rPr>
          <w:rStyle w:val="TextoNormalNegritaCaracter"/>
        </w:rPr>
        <w:t>Artículo 117.1.</w:t>
      </w:r>
      <w:r w:rsidRPr="00512048">
        <w:rPr>
          <w:rStyle w:val="TextoNormalCaracter"/>
        </w:rPr>
        <w:t>-</w:t>
      </w:r>
      <w:r>
        <w:t xml:space="preserve"> Sentencia </w:t>
      </w:r>
      <w:hyperlink w:anchor="SENTENCIA_2007_94" w:history="1">
        <w:r w:rsidRPr="00512048">
          <w:rPr>
            <w:rStyle w:val="TextoNormalCaracter"/>
          </w:rPr>
          <w:t>94/2007</w:t>
        </w:r>
      </w:hyperlink>
      <w:r>
        <w:t>, f. 3.</w:t>
      </w:r>
    </w:p>
    <w:p w:rsidR="00512048" w:rsidRDefault="00512048" w:rsidP="00512048">
      <w:pPr>
        <w:pStyle w:val="SangriaIzquierdaArticulo"/>
      </w:pPr>
      <w:r>
        <w:t xml:space="preserve">Auto </w:t>
      </w:r>
      <w:hyperlink w:anchor="AUTO_2007_266" w:history="1">
        <w:r w:rsidRPr="00512048">
          <w:rPr>
            <w:rStyle w:val="TextoNormalCaracter"/>
          </w:rPr>
          <w:t>266/2007</w:t>
        </w:r>
      </w:hyperlink>
      <w:r>
        <w:t>.</w:t>
      </w:r>
    </w:p>
    <w:p w:rsidR="00512048" w:rsidRDefault="00512048" w:rsidP="00512048">
      <w:pPr>
        <w:pStyle w:val="SangriaFrancesaArticulo"/>
      </w:pPr>
      <w:r w:rsidRPr="00512048">
        <w:rPr>
          <w:rStyle w:val="TextoNormalNegritaCaracter"/>
        </w:rPr>
        <w:t>Artículo 117.3.</w:t>
      </w:r>
      <w:r w:rsidRPr="00512048">
        <w:rPr>
          <w:rStyle w:val="TextoNormalCaracter"/>
        </w:rPr>
        <w:t>-</w:t>
      </w:r>
      <w:r>
        <w:t xml:space="preserve"> Sentencias </w:t>
      </w:r>
      <w:hyperlink w:anchor="SENTENCIA_2007_112" w:history="1">
        <w:r w:rsidRPr="00512048">
          <w:rPr>
            <w:rStyle w:val="TextoNormalCaracter"/>
          </w:rPr>
          <w:t>112/2007</w:t>
        </w:r>
      </w:hyperlink>
      <w:r>
        <w:t xml:space="preserve">, f. 5; </w:t>
      </w:r>
      <w:hyperlink w:anchor="SENTENCIA_2007_121" w:history="1">
        <w:r w:rsidRPr="00512048">
          <w:rPr>
            <w:rStyle w:val="TextoNormalCaracter"/>
          </w:rPr>
          <w:t>121/2007</w:t>
        </w:r>
      </w:hyperlink>
      <w:r>
        <w:t xml:space="preserve">, f. 1; </w:t>
      </w:r>
      <w:hyperlink w:anchor="SENTENCIA_2007_122" w:history="1">
        <w:r w:rsidRPr="00512048">
          <w:rPr>
            <w:rStyle w:val="TextoNormalCaracter"/>
          </w:rPr>
          <w:t>122/2007</w:t>
        </w:r>
      </w:hyperlink>
      <w:r>
        <w:t xml:space="preserve">, f. 4; </w:t>
      </w:r>
      <w:hyperlink w:anchor="SENTENCIA_2007_132" w:history="1">
        <w:r w:rsidRPr="00512048">
          <w:rPr>
            <w:rStyle w:val="TextoNormalCaracter"/>
          </w:rPr>
          <w:t>132/2007</w:t>
        </w:r>
      </w:hyperlink>
      <w:r>
        <w:t xml:space="preserve">, f. 4; </w:t>
      </w:r>
      <w:hyperlink w:anchor="SENTENCIA_2007_135" w:history="1">
        <w:r w:rsidRPr="00512048">
          <w:rPr>
            <w:rStyle w:val="TextoNormalCaracter"/>
          </w:rPr>
          <w:t>135/2007</w:t>
        </w:r>
      </w:hyperlink>
      <w:r>
        <w:t xml:space="preserve">, f. 6; </w:t>
      </w:r>
      <w:hyperlink w:anchor="SENTENCIA_2007_136" w:history="1">
        <w:r w:rsidRPr="00512048">
          <w:rPr>
            <w:rStyle w:val="TextoNormalCaracter"/>
          </w:rPr>
          <w:t>136/2007</w:t>
        </w:r>
      </w:hyperlink>
      <w:r>
        <w:t xml:space="preserve">, f. 2; </w:t>
      </w:r>
      <w:hyperlink w:anchor="SENTENCIA_2007_147" w:history="1">
        <w:r w:rsidRPr="00512048">
          <w:rPr>
            <w:rStyle w:val="TextoNormalCaracter"/>
          </w:rPr>
          <w:t>147/2007</w:t>
        </w:r>
      </w:hyperlink>
      <w:r>
        <w:t xml:space="preserve">, f. 3; </w:t>
      </w:r>
      <w:hyperlink w:anchor="SENTENCIA_2007_153" w:history="1">
        <w:r w:rsidRPr="00512048">
          <w:rPr>
            <w:rStyle w:val="TextoNormalCaracter"/>
          </w:rPr>
          <w:t>153/2007</w:t>
        </w:r>
      </w:hyperlink>
      <w:r>
        <w:t xml:space="preserve">, f. 3; </w:t>
      </w:r>
      <w:hyperlink w:anchor="SENTENCIA_2007_154" w:history="1">
        <w:r w:rsidRPr="00512048">
          <w:rPr>
            <w:rStyle w:val="TextoNormalCaracter"/>
          </w:rPr>
          <w:t>154/2007</w:t>
        </w:r>
      </w:hyperlink>
      <w:r>
        <w:t>, f. 3.</w:t>
      </w:r>
    </w:p>
    <w:p w:rsidR="00512048" w:rsidRDefault="00512048" w:rsidP="00512048">
      <w:pPr>
        <w:pStyle w:val="SangriaIzquierdaArticulo"/>
      </w:pPr>
      <w:r>
        <w:t xml:space="preserve">Autos </w:t>
      </w:r>
      <w:hyperlink w:anchor="AUTO_2007_230" w:history="1">
        <w:r w:rsidRPr="00512048">
          <w:rPr>
            <w:rStyle w:val="TextoNormalCaracter"/>
          </w:rPr>
          <w:t>230/2007</w:t>
        </w:r>
      </w:hyperlink>
      <w:r>
        <w:t xml:space="preserve">; </w:t>
      </w:r>
      <w:hyperlink w:anchor="AUTO_2007_245" w:history="1">
        <w:r w:rsidRPr="00512048">
          <w:rPr>
            <w:rStyle w:val="TextoNormalCaracter"/>
          </w:rPr>
          <w:t>245/2007</w:t>
        </w:r>
      </w:hyperlink>
      <w:r>
        <w:t xml:space="preserve">; </w:t>
      </w:r>
      <w:hyperlink w:anchor="AUTO_2007_246" w:history="1">
        <w:r w:rsidRPr="00512048">
          <w:rPr>
            <w:rStyle w:val="TextoNormalCaracter"/>
          </w:rPr>
          <w:t>246/2007</w:t>
        </w:r>
      </w:hyperlink>
      <w:r>
        <w:t xml:space="preserve">; </w:t>
      </w:r>
      <w:hyperlink w:anchor="AUTO_2007_248" w:history="1">
        <w:r w:rsidRPr="00512048">
          <w:rPr>
            <w:rStyle w:val="TextoNormalCaracter"/>
          </w:rPr>
          <w:t>248/2007</w:t>
        </w:r>
      </w:hyperlink>
      <w:r>
        <w:t xml:space="preserve">; </w:t>
      </w:r>
      <w:hyperlink w:anchor="AUTO_2007_249" w:history="1">
        <w:r w:rsidRPr="00512048">
          <w:rPr>
            <w:rStyle w:val="TextoNormalCaracter"/>
          </w:rPr>
          <w:t>249/2007</w:t>
        </w:r>
      </w:hyperlink>
      <w:r>
        <w:t xml:space="preserve">; </w:t>
      </w:r>
      <w:hyperlink w:anchor="AUTO_2007_269" w:history="1">
        <w:r w:rsidRPr="00512048">
          <w:rPr>
            <w:rStyle w:val="TextoNormalCaracter"/>
          </w:rPr>
          <w:t>269/2007</w:t>
        </w:r>
      </w:hyperlink>
      <w:r>
        <w:t xml:space="preserve">; </w:t>
      </w:r>
      <w:hyperlink w:anchor="AUTO_2007_270" w:history="1">
        <w:r w:rsidRPr="00512048">
          <w:rPr>
            <w:rStyle w:val="TextoNormalCaracter"/>
          </w:rPr>
          <w:t>270/2007</w:t>
        </w:r>
      </w:hyperlink>
      <w:r>
        <w:t xml:space="preserve">; </w:t>
      </w:r>
      <w:hyperlink w:anchor="AUTO_2007_273" w:history="1">
        <w:r w:rsidRPr="00512048">
          <w:rPr>
            <w:rStyle w:val="TextoNormalCaracter"/>
          </w:rPr>
          <w:t>273/2007</w:t>
        </w:r>
      </w:hyperlink>
      <w:r>
        <w:t xml:space="preserve">; </w:t>
      </w:r>
      <w:hyperlink w:anchor="AUTO_2007_280" w:history="1">
        <w:r w:rsidRPr="00512048">
          <w:rPr>
            <w:rStyle w:val="TextoNormalCaracter"/>
          </w:rPr>
          <w:t>280/2007</w:t>
        </w:r>
      </w:hyperlink>
      <w:r>
        <w:t xml:space="preserve">; </w:t>
      </w:r>
      <w:hyperlink w:anchor="AUTO_2007_286" w:history="1">
        <w:r w:rsidRPr="00512048">
          <w:rPr>
            <w:rStyle w:val="TextoNormalCaracter"/>
          </w:rPr>
          <w:t>286/2007</w:t>
        </w:r>
      </w:hyperlink>
      <w:r>
        <w:t xml:space="preserve">; </w:t>
      </w:r>
      <w:hyperlink w:anchor="AUTO_2007_323" w:history="1">
        <w:r w:rsidRPr="00512048">
          <w:rPr>
            <w:rStyle w:val="TextoNormalCaracter"/>
          </w:rPr>
          <w:t>323/2007</w:t>
        </w:r>
      </w:hyperlink>
      <w:r>
        <w:t xml:space="preserve">; </w:t>
      </w:r>
      <w:hyperlink w:anchor="AUTO_2007_335" w:history="1">
        <w:r w:rsidRPr="00512048">
          <w:rPr>
            <w:rStyle w:val="TextoNormalCaracter"/>
          </w:rPr>
          <w:t>335/2007</w:t>
        </w:r>
      </w:hyperlink>
      <w:r>
        <w:t xml:space="preserve">; </w:t>
      </w:r>
      <w:hyperlink w:anchor="AUTO_2007_348" w:history="1">
        <w:r w:rsidRPr="00512048">
          <w:rPr>
            <w:rStyle w:val="TextoNormalCaracter"/>
          </w:rPr>
          <w:t>348/2007</w:t>
        </w:r>
      </w:hyperlink>
      <w:r>
        <w:t>.</w:t>
      </w:r>
    </w:p>
    <w:p w:rsidR="00512048" w:rsidRDefault="00512048" w:rsidP="00512048">
      <w:pPr>
        <w:pStyle w:val="SangriaFrancesaArticulo"/>
      </w:pPr>
      <w:r w:rsidRPr="00512048">
        <w:rPr>
          <w:rStyle w:val="TextoNormalNegritaCaracter"/>
        </w:rPr>
        <w:t>Artículo 118.</w:t>
      </w:r>
      <w:r w:rsidRPr="00512048">
        <w:rPr>
          <w:rStyle w:val="TextoNormalCaracter"/>
        </w:rPr>
        <w:t>-</w:t>
      </w:r>
      <w:r>
        <w:t xml:space="preserve"> Sentencia </w:t>
      </w:r>
      <w:hyperlink w:anchor="SENTENCIA_2007_177" w:history="1">
        <w:r w:rsidRPr="00512048">
          <w:rPr>
            <w:rStyle w:val="TextoNormalCaracter"/>
          </w:rPr>
          <w:t>177/2007</w:t>
        </w:r>
      </w:hyperlink>
      <w:r>
        <w:t>, f. 4.</w:t>
      </w:r>
    </w:p>
    <w:p w:rsidR="00512048" w:rsidRDefault="00512048" w:rsidP="00512048">
      <w:pPr>
        <w:pStyle w:val="SangriaFrancesaArticulo"/>
      </w:pPr>
      <w:r w:rsidRPr="00512048">
        <w:rPr>
          <w:rStyle w:val="TextoNormalNegritaCaracter"/>
        </w:rPr>
        <w:t>Artículo 120.3.</w:t>
      </w:r>
      <w:r w:rsidRPr="00512048">
        <w:rPr>
          <w:rStyle w:val="TextoNormalCaracter"/>
        </w:rPr>
        <w:t>-</w:t>
      </w:r>
      <w:r>
        <w:t xml:space="preserve"> Sentencias </w:t>
      </w:r>
      <w:hyperlink w:anchor="SENTENCIA_2007_92" w:history="1">
        <w:r w:rsidRPr="00512048">
          <w:rPr>
            <w:rStyle w:val="TextoNormalCaracter"/>
          </w:rPr>
          <w:t>92/2007</w:t>
        </w:r>
      </w:hyperlink>
      <w:r>
        <w:t xml:space="preserve">, f. 1; </w:t>
      </w:r>
      <w:hyperlink w:anchor="SENTENCIA_2007_144" w:history="1">
        <w:r w:rsidRPr="00512048">
          <w:rPr>
            <w:rStyle w:val="TextoNormalCaracter"/>
          </w:rPr>
          <w:t>144/2007</w:t>
        </w:r>
      </w:hyperlink>
      <w:r>
        <w:t>, f. 3.</w:t>
      </w:r>
    </w:p>
    <w:p w:rsidR="00512048" w:rsidRDefault="00512048" w:rsidP="00512048">
      <w:pPr>
        <w:pStyle w:val="SangriaIzquierdaArticulo"/>
      </w:pPr>
      <w:r>
        <w:lastRenderedPageBreak/>
        <w:t xml:space="preserve">Autos </w:t>
      </w:r>
      <w:hyperlink w:anchor="AUTO_2007_247" w:history="1">
        <w:r w:rsidRPr="00512048">
          <w:rPr>
            <w:rStyle w:val="TextoNormalCaracter"/>
          </w:rPr>
          <w:t>247/2007</w:t>
        </w:r>
      </w:hyperlink>
      <w:r>
        <w:t xml:space="preserve">; </w:t>
      </w:r>
      <w:hyperlink w:anchor="AUTO_2007_313" w:history="1">
        <w:r w:rsidRPr="00512048">
          <w:rPr>
            <w:rStyle w:val="TextoNormalCaracter"/>
          </w:rPr>
          <w:t>313/2007</w:t>
        </w:r>
      </w:hyperlink>
      <w:r>
        <w:t>.</w:t>
      </w:r>
    </w:p>
    <w:p w:rsidR="00512048" w:rsidRDefault="00512048" w:rsidP="00512048">
      <w:pPr>
        <w:pStyle w:val="SangriaFrancesaArticulo"/>
      </w:pPr>
      <w:r w:rsidRPr="00512048">
        <w:rPr>
          <w:rStyle w:val="TextoNormalNegritaCaracter"/>
        </w:rPr>
        <w:t>Artículo 123.1.</w:t>
      </w:r>
      <w:r w:rsidRPr="00512048">
        <w:rPr>
          <w:rStyle w:val="TextoNormalCaracter"/>
        </w:rPr>
        <w:t>-</w:t>
      </w:r>
      <w:r>
        <w:t xml:space="preserve"> Sentencia </w:t>
      </w:r>
      <w:hyperlink w:anchor="SENTENCIA_2007_112" w:history="1">
        <w:r w:rsidRPr="00512048">
          <w:rPr>
            <w:rStyle w:val="TextoNormalCaracter"/>
          </w:rPr>
          <w:t>112/2007</w:t>
        </w:r>
      </w:hyperlink>
      <w:r>
        <w:t>, f. 5.</w:t>
      </w:r>
    </w:p>
    <w:p w:rsidR="00512048" w:rsidRDefault="00512048" w:rsidP="00512048">
      <w:pPr>
        <w:pStyle w:val="SangriaFrancesaArticulo"/>
      </w:pPr>
      <w:r w:rsidRPr="00512048">
        <w:rPr>
          <w:rStyle w:val="TextoNormalNegritaCaracter"/>
        </w:rPr>
        <w:t>Artículo 149.1.24.</w:t>
      </w:r>
      <w:r w:rsidRPr="00512048">
        <w:rPr>
          <w:rStyle w:val="TextoNormalCaracter"/>
        </w:rPr>
        <w:t>-</w:t>
      </w:r>
      <w:r>
        <w:t xml:space="preserve"> Auto </w:t>
      </w:r>
      <w:hyperlink w:anchor="AUTO_2007_355" w:history="1">
        <w:r w:rsidRPr="00512048">
          <w:rPr>
            <w:rStyle w:val="TextoNormalCaracter"/>
          </w:rPr>
          <w:t>355/2007</w:t>
        </w:r>
      </w:hyperlink>
      <w:r>
        <w:t>.</w:t>
      </w:r>
    </w:p>
    <w:p w:rsidR="00512048" w:rsidRDefault="00512048" w:rsidP="00512048">
      <w:pPr>
        <w:pStyle w:val="SangriaFrancesaArticulo"/>
      </w:pPr>
      <w:r w:rsidRPr="00512048">
        <w:rPr>
          <w:rStyle w:val="TextoNormalNegritaCaracter"/>
        </w:rPr>
        <w:t>Artículo 152.1.</w:t>
      </w:r>
      <w:r w:rsidRPr="00512048">
        <w:rPr>
          <w:rStyle w:val="TextoNormalCaracter"/>
        </w:rPr>
        <w:t>-</w:t>
      </w:r>
      <w:r>
        <w:t xml:space="preserve"> Auto </w:t>
      </w:r>
      <w:hyperlink w:anchor="AUTO_2007_262" w:history="1">
        <w:r w:rsidRPr="00512048">
          <w:rPr>
            <w:rStyle w:val="TextoNormalCaracter"/>
          </w:rPr>
          <w:t>262/2007</w:t>
        </w:r>
      </w:hyperlink>
      <w:r>
        <w:t>.</w:t>
      </w:r>
    </w:p>
    <w:p w:rsidR="00512048" w:rsidRDefault="00512048" w:rsidP="00512048">
      <w:pPr>
        <w:pStyle w:val="SangriaFrancesaArticulo"/>
      </w:pPr>
      <w:r w:rsidRPr="00512048">
        <w:rPr>
          <w:rStyle w:val="TextoNormalNegritaCaracter"/>
        </w:rPr>
        <w:t>Artículo 159.</w:t>
      </w:r>
      <w:r w:rsidRPr="00512048">
        <w:rPr>
          <w:rStyle w:val="TextoNormalCaracter"/>
        </w:rPr>
        <w:t>-</w:t>
      </w:r>
      <w:r>
        <w:t xml:space="preserve"> Auto </w:t>
      </w:r>
      <w:hyperlink w:anchor="AUTO_2007_289" w:history="1">
        <w:r w:rsidRPr="00512048">
          <w:rPr>
            <w:rStyle w:val="TextoNormalCaracter"/>
          </w:rPr>
          <w:t>289/2007</w:t>
        </w:r>
      </w:hyperlink>
      <w:r>
        <w:t>.</w:t>
      </w:r>
    </w:p>
    <w:p w:rsidR="00512048" w:rsidRDefault="00512048" w:rsidP="00512048">
      <w:pPr>
        <w:pStyle w:val="SangriaFrancesaArticulo"/>
      </w:pPr>
      <w:r w:rsidRPr="00512048">
        <w:rPr>
          <w:rStyle w:val="TextoNormalNegritaCaracter"/>
        </w:rPr>
        <w:t>Artículo 161.1 b).</w:t>
      </w:r>
      <w:r w:rsidRPr="00512048">
        <w:rPr>
          <w:rStyle w:val="TextoNormalCaracter"/>
        </w:rPr>
        <w:t>-</w:t>
      </w:r>
      <w:r>
        <w:t xml:space="preserve"> Auto </w:t>
      </w:r>
      <w:hyperlink w:anchor="AUTO_2007_319" w:history="1">
        <w:r w:rsidRPr="00512048">
          <w:rPr>
            <w:rStyle w:val="TextoNormalCaracter"/>
          </w:rPr>
          <w:t>319/2007</w:t>
        </w:r>
      </w:hyperlink>
      <w:r>
        <w:t>.</w:t>
      </w:r>
    </w:p>
    <w:p w:rsidR="00512048" w:rsidRDefault="00512048" w:rsidP="00512048">
      <w:pPr>
        <w:pStyle w:val="SangriaFrancesaArticulo"/>
      </w:pPr>
      <w:r w:rsidRPr="00512048">
        <w:rPr>
          <w:rStyle w:val="TextoNormalNegritaCaracter"/>
        </w:rPr>
        <w:t>Artículo 161.2.</w:t>
      </w:r>
      <w:r w:rsidRPr="00512048">
        <w:rPr>
          <w:rStyle w:val="TextoNormalCaracter"/>
        </w:rPr>
        <w:t>-</w:t>
      </w:r>
      <w:r>
        <w:t xml:space="preserve"> Autos </w:t>
      </w:r>
      <w:hyperlink w:anchor="AUTO_2007_258" w:history="1">
        <w:r w:rsidRPr="00512048">
          <w:rPr>
            <w:rStyle w:val="TextoNormalCaracter"/>
          </w:rPr>
          <w:t>258/2007</w:t>
        </w:r>
      </w:hyperlink>
      <w:r>
        <w:t xml:space="preserve">; </w:t>
      </w:r>
      <w:hyperlink w:anchor="AUTO_2007_355" w:history="1">
        <w:r w:rsidRPr="00512048">
          <w:rPr>
            <w:rStyle w:val="TextoNormalCaracter"/>
          </w:rPr>
          <w:t>355/2007</w:t>
        </w:r>
      </w:hyperlink>
      <w:r>
        <w:t>.</w:t>
      </w:r>
    </w:p>
    <w:p w:rsidR="00512048" w:rsidRDefault="00512048" w:rsidP="00512048">
      <w:pPr>
        <w:pStyle w:val="SangriaFrancesaArticulo"/>
      </w:pPr>
      <w:r w:rsidRPr="00512048">
        <w:rPr>
          <w:rStyle w:val="TextoNormalNegritaCaracter"/>
        </w:rPr>
        <w:t>Artículo 162.1 b).</w:t>
      </w:r>
      <w:r w:rsidRPr="00512048">
        <w:rPr>
          <w:rStyle w:val="TextoNormalCaracter"/>
        </w:rPr>
        <w:t>-</w:t>
      </w:r>
      <w:r>
        <w:t xml:space="preserve"> Sentencia </w:t>
      </w:r>
      <w:hyperlink w:anchor="SENTENCIA_2007_120" w:history="1">
        <w:r w:rsidRPr="00512048">
          <w:rPr>
            <w:rStyle w:val="TextoNormalCaracter"/>
          </w:rPr>
          <w:t>120/2007</w:t>
        </w:r>
      </w:hyperlink>
      <w:r>
        <w:t>, f. 1.</w:t>
      </w:r>
    </w:p>
    <w:p w:rsidR="00512048" w:rsidRDefault="00512048" w:rsidP="00512048">
      <w:pPr>
        <w:pStyle w:val="SangriaFrancesaArticulo"/>
      </w:pPr>
      <w:r w:rsidRPr="00512048">
        <w:rPr>
          <w:rStyle w:val="TextoNormalNegritaCaracter"/>
        </w:rPr>
        <w:t>Artículo 163.</w:t>
      </w:r>
      <w:r w:rsidRPr="00512048">
        <w:rPr>
          <w:rStyle w:val="TextoNormalCaracter"/>
        </w:rPr>
        <w:t>-</w:t>
      </w:r>
      <w:r>
        <w:t xml:space="preserve"> Sentencia </w:t>
      </w:r>
      <w:hyperlink w:anchor="SENTENCIA_2007_166" w:history="1">
        <w:r w:rsidRPr="00512048">
          <w:rPr>
            <w:rStyle w:val="TextoNormalCaracter"/>
          </w:rPr>
          <w:t>166/2007</w:t>
        </w:r>
      </w:hyperlink>
      <w:r>
        <w:t>, f. 2.</w:t>
      </w:r>
    </w:p>
    <w:p w:rsidR="00512048" w:rsidRDefault="00512048" w:rsidP="00512048">
      <w:pPr>
        <w:pStyle w:val="SangriaIzquierdaArticulo"/>
      </w:pPr>
      <w:r>
        <w:t xml:space="preserve">Autos </w:t>
      </w:r>
      <w:hyperlink w:anchor="AUTO_2007_247" w:history="1">
        <w:r w:rsidRPr="00512048">
          <w:rPr>
            <w:rStyle w:val="TextoNormalCaracter"/>
          </w:rPr>
          <w:t>247/2007</w:t>
        </w:r>
      </w:hyperlink>
      <w:r>
        <w:t xml:space="preserve">; </w:t>
      </w:r>
      <w:hyperlink w:anchor="AUTO_2007_257" w:history="1">
        <w:r w:rsidRPr="00512048">
          <w:rPr>
            <w:rStyle w:val="TextoNormalCaracter"/>
          </w:rPr>
          <w:t>257/2007</w:t>
        </w:r>
      </w:hyperlink>
      <w:r>
        <w:t xml:space="preserve">; </w:t>
      </w:r>
      <w:hyperlink w:anchor="AUTO_2007_328" w:history="1">
        <w:r w:rsidRPr="00512048">
          <w:rPr>
            <w:rStyle w:val="TextoNormalCaracter"/>
          </w:rPr>
          <w:t>328/2007</w:t>
        </w:r>
      </w:hyperlink>
      <w:r>
        <w:t>.</w:t>
      </w:r>
    </w:p>
    <w:p w:rsidR="00512048" w:rsidRDefault="00512048" w:rsidP="00512048">
      <w:pPr>
        <w:pStyle w:val="SangriaFrancesaArticulo"/>
      </w:pPr>
      <w:r w:rsidRPr="00512048">
        <w:rPr>
          <w:rStyle w:val="TextoNormalNegritaCaracter"/>
        </w:rPr>
        <w:t>Artículo 164.1.</w:t>
      </w:r>
      <w:r w:rsidRPr="00512048">
        <w:rPr>
          <w:rStyle w:val="TextoNormalCaracter"/>
        </w:rPr>
        <w:t>-</w:t>
      </w:r>
      <w:r>
        <w:t xml:space="preserve"> Auto </w:t>
      </w:r>
      <w:hyperlink w:anchor="AUTO_2007_290" w:history="1">
        <w:r w:rsidRPr="00512048">
          <w:rPr>
            <w:rStyle w:val="TextoNormalCaracter"/>
          </w:rPr>
          <w:t>290/2007</w:t>
        </w:r>
      </w:hyperlink>
      <w:r>
        <w:t>.</w:t>
      </w:r>
    </w:p>
    <w:p w:rsidR="00512048" w:rsidRDefault="00512048" w:rsidP="00512048">
      <w:pPr>
        <w:pStyle w:val="TextoNormal"/>
      </w:pPr>
    </w:p>
    <w:p w:rsidR="00512048" w:rsidRDefault="00512048" w:rsidP="00512048">
      <w:pPr>
        <w:pStyle w:val="SangriaFrancesaArticulo"/>
      </w:pPr>
      <w:bookmarkStart w:id="225" w:name="INDICE22843"/>
    </w:p>
    <w:bookmarkEnd w:id="225"/>
    <w:p w:rsidR="00512048" w:rsidRDefault="00512048" w:rsidP="00512048">
      <w:pPr>
        <w:pStyle w:val="TextoIndiceNivel2"/>
        <w:suppressAutoHyphens/>
      </w:pPr>
      <w:r>
        <w:t>B) Tribunal Constitucional</w:t>
      </w:r>
    </w:p>
    <w:p w:rsidR="00512048" w:rsidRDefault="00512048" w:rsidP="00512048">
      <w:pPr>
        <w:pStyle w:val="TextoIndiceNivel2"/>
      </w:pPr>
    </w:p>
    <w:p w:rsidR="00512048" w:rsidRDefault="00512048" w:rsidP="00512048">
      <w:pPr>
        <w:pStyle w:val="TextoNormalNegritaCursivandice"/>
      </w:pPr>
      <w:r>
        <w:t>Ley Orgánica 2/1979, de 3 de octubre. Tribunal Constitucional</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99" w:history="1">
        <w:r w:rsidRPr="00512048">
          <w:rPr>
            <w:rStyle w:val="TextoNormalCaracter"/>
          </w:rPr>
          <w:t>99/2007</w:t>
        </w:r>
      </w:hyperlink>
      <w:r>
        <w:t>, f. 1.</w:t>
      </w:r>
    </w:p>
    <w:p w:rsidR="00512048" w:rsidRDefault="00512048" w:rsidP="00512048">
      <w:pPr>
        <w:pStyle w:val="SangriaFrancesaArticulo"/>
      </w:pPr>
      <w:r w:rsidRPr="00512048">
        <w:rPr>
          <w:rStyle w:val="TextoNormalNegritaCaracter"/>
        </w:rPr>
        <w:t>Artículo 1.1.</w:t>
      </w:r>
      <w:r w:rsidRPr="00512048">
        <w:rPr>
          <w:rStyle w:val="TextoNormalCaracter"/>
        </w:rPr>
        <w:t>-</w:t>
      </w:r>
      <w:r>
        <w:t xml:space="preserve"> Sentencia </w:t>
      </w:r>
      <w:hyperlink w:anchor="SENTENCIA_2007_112" w:history="1">
        <w:r w:rsidRPr="00512048">
          <w:rPr>
            <w:rStyle w:val="TextoNormalCaracter"/>
          </w:rPr>
          <w:t>112/2007</w:t>
        </w:r>
      </w:hyperlink>
      <w:r>
        <w:t>, f. 2.</w:t>
      </w:r>
    </w:p>
    <w:p w:rsidR="00512048" w:rsidRDefault="00512048" w:rsidP="00512048">
      <w:pPr>
        <w:pStyle w:val="SangriaIzquierdaArticulo"/>
      </w:pPr>
      <w:r>
        <w:t xml:space="preserve">Auto </w:t>
      </w:r>
      <w:hyperlink w:anchor="AUTO_2007_238" w:history="1">
        <w:r w:rsidRPr="00512048">
          <w:rPr>
            <w:rStyle w:val="TextoNormalCaracter"/>
          </w:rPr>
          <w:t>238/2007</w:t>
        </w:r>
      </w:hyperlink>
      <w:r>
        <w:t>.</w:t>
      </w:r>
    </w:p>
    <w:p w:rsidR="00512048" w:rsidRDefault="00512048" w:rsidP="00512048">
      <w:pPr>
        <w:pStyle w:val="SangriaFrancesaArticulo"/>
      </w:pPr>
      <w:r w:rsidRPr="00512048">
        <w:rPr>
          <w:rStyle w:val="TextoNormalNegritaCaracter"/>
        </w:rPr>
        <w:t>Artículo 22.</w:t>
      </w:r>
      <w:r w:rsidRPr="00512048">
        <w:rPr>
          <w:rStyle w:val="TextoNormalCaracter"/>
        </w:rPr>
        <w:t>-</w:t>
      </w:r>
      <w:r>
        <w:t xml:space="preserve"> Auto </w:t>
      </w:r>
      <w:hyperlink w:anchor="AUTO_2007_289" w:history="1">
        <w:r w:rsidRPr="00512048">
          <w:rPr>
            <w:rStyle w:val="TextoNormalCaracter"/>
          </w:rPr>
          <w:t>289/2007</w:t>
        </w:r>
      </w:hyperlink>
      <w:r>
        <w:t>.</w:t>
      </w:r>
    </w:p>
    <w:p w:rsidR="00512048" w:rsidRDefault="00512048" w:rsidP="00512048">
      <w:pPr>
        <w:pStyle w:val="SangriaFrancesaArticulo"/>
      </w:pPr>
      <w:r w:rsidRPr="00512048">
        <w:rPr>
          <w:rStyle w:val="TextoNormalNegritaCaracter"/>
        </w:rPr>
        <w:t>Artículo 27.1.</w:t>
      </w:r>
      <w:r w:rsidRPr="00512048">
        <w:rPr>
          <w:rStyle w:val="TextoNormalCaracter"/>
        </w:rPr>
        <w:t>-</w:t>
      </w:r>
      <w:r>
        <w:t xml:space="preserve"> Auto </w:t>
      </w:r>
      <w:hyperlink w:anchor="AUTO_2007_329" w:history="1">
        <w:r w:rsidRPr="00512048">
          <w:rPr>
            <w:rStyle w:val="TextoNormalCaracter"/>
          </w:rPr>
          <w:t>329/2007</w:t>
        </w:r>
      </w:hyperlink>
      <w:r>
        <w:t>.</w:t>
      </w:r>
    </w:p>
    <w:p w:rsidR="00512048" w:rsidRDefault="00512048" w:rsidP="00512048">
      <w:pPr>
        <w:pStyle w:val="SangriaFrancesaArticulo"/>
      </w:pPr>
      <w:r w:rsidRPr="00512048">
        <w:rPr>
          <w:rStyle w:val="TextoNormalNegritaCaracter"/>
        </w:rPr>
        <w:t>Artículo 27.2 b).</w:t>
      </w:r>
      <w:r w:rsidRPr="00512048">
        <w:rPr>
          <w:rStyle w:val="TextoNormalCaracter"/>
        </w:rPr>
        <w:t>-</w:t>
      </w:r>
      <w:r>
        <w:t xml:space="preserve"> Sentencia </w:t>
      </w:r>
      <w:hyperlink w:anchor="SENTENCIA_2007_166" w:history="1">
        <w:r w:rsidRPr="00512048">
          <w:rPr>
            <w:rStyle w:val="TextoNormalCaracter"/>
          </w:rPr>
          <w:t>166/2007</w:t>
        </w:r>
      </w:hyperlink>
      <w:r>
        <w:t>, f. 2.</w:t>
      </w:r>
    </w:p>
    <w:p w:rsidR="00512048" w:rsidRDefault="00512048" w:rsidP="00512048">
      <w:pPr>
        <w:pStyle w:val="SangriaFrancesaArticulo"/>
      </w:pPr>
      <w:r w:rsidRPr="00512048">
        <w:rPr>
          <w:rStyle w:val="TextoNormalNegritaCaracter"/>
        </w:rPr>
        <w:t>Artículo 33.1.</w:t>
      </w:r>
      <w:r w:rsidRPr="00512048">
        <w:rPr>
          <w:rStyle w:val="TextoNormalCaracter"/>
        </w:rPr>
        <w:t>-</w:t>
      </w:r>
      <w:r>
        <w:t xml:space="preserve"> Auto </w:t>
      </w:r>
      <w:hyperlink w:anchor="AUTO_2007_329" w:history="1">
        <w:r w:rsidRPr="00512048">
          <w:rPr>
            <w:rStyle w:val="TextoNormalCaracter"/>
          </w:rPr>
          <w:t>329/2007</w:t>
        </w:r>
      </w:hyperlink>
      <w:r>
        <w:t>.</w:t>
      </w:r>
    </w:p>
    <w:p w:rsidR="00512048" w:rsidRDefault="00512048" w:rsidP="00512048">
      <w:pPr>
        <w:pStyle w:val="SangriaFrancesaArticulo"/>
      </w:pPr>
      <w:r w:rsidRPr="00512048">
        <w:rPr>
          <w:rStyle w:val="TextoNormalNegritaCaracter"/>
        </w:rPr>
        <w:t>Artículo 34.1.</w:t>
      </w:r>
      <w:r w:rsidRPr="00512048">
        <w:rPr>
          <w:rStyle w:val="TextoNormalCaracter"/>
        </w:rPr>
        <w:t>-</w:t>
      </w:r>
      <w:r>
        <w:t xml:space="preserve"> Auto </w:t>
      </w:r>
      <w:hyperlink w:anchor="AUTO_2007_329" w:history="1">
        <w:r w:rsidRPr="00512048">
          <w:rPr>
            <w:rStyle w:val="TextoNormalCaracter"/>
          </w:rPr>
          <w:t>329/2007</w:t>
        </w:r>
      </w:hyperlink>
      <w:r>
        <w:t>.</w:t>
      </w:r>
    </w:p>
    <w:p w:rsidR="00512048" w:rsidRDefault="00512048" w:rsidP="00512048">
      <w:pPr>
        <w:pStyle w:val="SangriaFrancesaArticulo"/>
      </w:pPr>
      <w:r w:rsidRPr="00512048">
        <w:rPr>
          <w:rStyle w:val="TextoNormalNegritaCaracter"/>
        </w:rPr>
        <w:t>Artículo 35.</w:t>
      </w:r>
      <w:r w:rsidRPr="00512048">
        <w:rPr>
          <w:rStyle w:val="TextoNormalCaracter"/>
        </w:rPr>
        <w:t>-</w:t>
      </w:r>
      <w:r>
        <w:t xml:space="preserve"> Autos </w:t>
      </w:r>
      <w:hyperlink w:anchor="AUTO_2007_247" w:history="1">
        <w:r w:rsidRPr="00512048">
          <w:rPr>
            <w:rStyle w:val="TextoNormalCaracter"/>
          </w:rPr>
          <w:t>247/2007</w:t>
        </w:r>
      </w:hyperlink>
      <w:r>
        <w:t xml:space="preserve">; </w:t>
      </w:r>
      <w:hyperlink w:anchor="AUTO_2007_257" w:history="1">
        <w:r w:rsidRPr="00512048">
          <w:rPr>
            <w:rStyle w:val="TextoNormalCaracter"/>
          </w:rPr>
          <w:t>257/2007</w:t>
        </w:r>
      </w:hyperlink>
      <w:r>
        <w:t xml:space="preserve">; </w:t>
      </w:r>
      <w:hyperlink w:anchor="AUTO_2007_328" w:history="1">
        <w:r w:rsidRPr="00512048">
          <w:rPr>
            <w:rStyle w:val="TextoNormalCaracter"/>
          </w:rPr>
          <w:t>328/2007</w:t>
        </w:r>
      </w:hyperlink>
      <w:r>
        <w:t>.</w:t>
      </w:r>
    </w:p>
    <w:p w:rsidR="00512048" w:rsidRDefault="00512048" w:rsidP="00512048">
      <w:pPr>
        <w:pStyle w:val="SangriaFrancesaArticulo"/>
      </w:pPr>
      <w:r w:rsidRPr="00512048">
        <w:rPr>
          <w:rStyle w:val="TextoNormalNegritaCaracter"/>
        </w:rPr>
        <w:t>Artículo 35.2.</w:t>
      </w:r>
      <w:r w:rsidRPr="00512048">
        <w:rPr>
          <w:rStyle w:val="TextoNormalCaracter"/>
        </w:rPr>
        <w:t>-</w:t>
      </w:r>
      <w:r>
        <w:t xml:space="preserve"> Sentencia </w:t>
      </w:r>
      <w:hyperlink w:anchor="SENTENCIA_2007_166" w:history="1">
        <w:r w:rsidRPr="00512048">
          <w:rPr>
            <w:rStyle w:val="TextoNormalCaracter"/>
          </w:rPr>
          <w:t>166/2007</w:t>
        </w:r>
      </w:hyperlink>
      <w:r>
        <w:t>, ff. 5 a 7, 9.</w:t>
      </w:r>
    </w:p>
    <w:p w:rsidR="00512048" w:rsidRDefault="00512048" w:rsidP="00512048">
      <w:pPr>
        <w:pStyle w:val="SangriaIzquierdaArticulo"/>
      </w:pPr>
      <w:r>
        <w:t xml:space="preserve">Auto </w:t>
      </w:r>
      <w:hyperlink w:anchor="AUTO_2007_257" w:history="1">
        <w:r w:rsidRPr="00512048">
          <w:rPr>
            <w:rStyle w:val="TextoNormalCaracter"/>
          </w:rPr>
          <w:t>257/2007</w:t>
        </w:r>
      </w:hyperlink>
      <w:r>
        <w:t>.</w:t>
      </w:r>
    </w:p>
    <w:p w:rsidR="00512048" w:rsidRDefault="00512048" w:rsidP="00512048">
      <w:pPr>
        <w:pStyle w:val="SangriaFrancesaArticulo"/>
      </w:pPr>
      <w:r w:rsidRPr="00512048">
        <w:rPr>
          <w:rStyle w:val="TextoNormalNegritaCaracter"/>
        </w:rPr>
        <w:t>Artículo 36.</w:t>
      </w:r>
      <w:r w:rsidRPr="00512048">
        <w:rPr>
          <w:rStyle w:val="TextoNormalCaracter"/>
        </w:rPr>
        <w:t>-</w:t>
      </w:r>
      <w:r>
        <w:t xml:space="preserve"> Auto </w:t>
      </w:r>
      <w:hyperlink w:anchor="AUTO_2007_257" w:history="1">
        <w:r w:rsidRPr="00512048">
          <w:rPr>
            <w:rStyle w:val="TextoNormalCaracter"/>
          </w:rPr>
          <w:t>257/2007</w:t>
        </w:r>
      </w:hyperlink>
      <w:r>
        <w:t>.</w:t>
      </w:r>
    </w:p>
    <w:p w:rsidR="00512048" w:rsidRDefault="00512048" w:rsidP="00512048">
      <w:pPr>
        <w:pStyle w:val="SangriaFrancesaArticulo"/>
      </w:pPr>
      <w:r w:rsidRPr="00512048">
        <w:rPr>
          <w:rStyle w:val="TextoNormalNegritaCaracter"/>
        </w:rPr>
        <w:t>Artículo 37.</w:t>
      </w:r>
      <w:r w:rsidRPr="00512048">
        <w:rPr>
          <w:rStyle w:val="TextoNormalCaracter"/>
        </w:rPr>
        <w:t>-</w:t>
      </w:r>
      <w:r>
        <w:t xml:space="preserve"> Autos </w:t>
      </w:r>
      <w:hyperlink w:anchor="AUTO_2007_257" w:history="1">
        <w:r w:rsidRPr="00512048">
          <w:rPr>
            <w:rStyle w:val="TextoNormalCaracter"/>
          </w:rPr>
          <w:t>257/2007</w:t>
        </w:r>
      </w:hyperlink>
      <w:r>
        <w:t xml:space="preserve">; </w:t>
      </w:r>
      <w:hyperlink w:anchor="AUTO_2007_328" w:history="1">
        <w:r w:rsidRPr="00512048">
          <w:rPr>
            <w:rStyle w:val="TextoNormalCaracter"/>
          </w:rPr>
          <w:t>328/2007</w:t>
        </w:r>
      </w:hyperlink>
      <w:r>
        <w:t>.</w:t>
      </w:r>
    </w:p>
    <w:p w:rsidR="00512048" w:rsidRDefault="00512048" w:rsidP="00512048">
      <w:pPr>
        <w:pStyle w:val="SangriaFrancesaArticulo"/>
      </w:pPr>
      <w:r w:rsidRPr="00512048">
        <w:rPr>
          <w:rStyle w:val="TextoNormalNegritaCaracter"/>
        </w:rPr>
        <w:t>Artículo 37.1.</w:t>
      </w:r>
      <w:r w:rsidRPr="00512048">
        <w:rPr>
          <w:rStyle w:val="TextoNormalCaracter"/>
        </w:rPr>
        <w:t>-</w:t>
      </w:r>
      <w:r>
        <w:t xml:space="preserve"> Sentencia </w:t>
      </w:r>
      <w:hyperlink w:anchor="SENTENCIA_2007_166" w:history="1">
        <w:r w:rsidRPr="00512048">
          <w:rPr>
            <w:rStyle w:val="TextoNormalCaracter"/>
          </w:rPr>
          <w:t>166/2007</w:t>
        </w:r>
      </w:hyperlink>
      <w:r>
        <w:t>, f. 5.</w:t>
      </w:r>
    </w:p>
    <w:p w:rsidR="00512048" w:rsidRDefault="00512048" w:rsidP="00512048">
      <w:pPr>
        <w:pStyle w:val="SangriaIzquierdaArticulo"/>
      </w:pPr>
      <w:r>
        <w:t xml:space="preserve">Autos </w:t>
      </w:r>
      <w:hyperlink w:anchor="AUTO_2007_257" w:history="1">
        <w:r w:rsidRPr="00512048">
          <w:rPr>
            <w:rStyle w:val="TextoNormalCaracter"/>
          </w:rPr>
          <w:t>257/2007</w:t>
        </w:r>
      </w:hyperlink>
      <w:r>
        <w:t xml:space="preserve">; </w:t>
      </w:r>
      <w:hyperlink w:anchor="AUTO_2007_328" w:history="1">
        <w:r w:rsidRPr="00512048">
          <w:rPr>
            <w:rStyle w:val="TextoNormalCaracter"/>
          </w:rPr>
          <w:t>328/2007</w:t>
        </w:r>
      </w:hyperlink>
      <w:r>
        <w:t xml:space="preserve">; </w:t>
      </w:r>
      <w:hyperlink w:anchor="AUTO_2007_352" w:history="1">
        <w:r w:rsidRPr="00512048">
          <w:rPr>
            <w:rStyle w:val="TextoNormalCaracter"/>
          </w:rPr>
          <w:t>352/2007</w:t>
        </w:r>
      </w:hyperlink>
      <w:r>
        <w:t>.</w:t>
      </w:r>
    </w:p>
    <w:p w:rsidR="00512048" w:rsidRDefault="00512048" w:rsidP="00512048">
      <w:pPr>
        <w:pStyle w:val="SangriaFrancesaArticulo"/>
      </w:pPr>
      <w:r w:rsidRPr="00512048">
        <w:rPr>
          <w:rStyle w:val="TextoNormalNegritaCaracter"/>
        </w:rPr>
        <w:t>Artículo 38.1.</w:t>
      </w:r>
      <w:r w:rsidRPr="00512048">
        <w:rPr>
          <w:rStyle w:val="TextoNormalCaracter"/>
        </w:rPr>
        <w:t>-</w:t>
      </w:r>
      <w:r>
        <w:t xml:space="preserve"> Auto </w:t>
      </w:r>
      <w:hyperlink w:anchor="AUTO_2007_290" w:history="1">
        <w:r w:rsidRPr="00512048">
          <w:rPr>
            <w:rStyle w:val="TextoNormalCaracter"/>
          </w:rPr>
          <w:t>290/2007</w:t>
        </w:r>
      </w:hyperlink>
      <w:r>
        <w:t>.</w:t>
      </w:r>
    </w:p>
    <w:p w:rsidR="00512048" w:rsidRDefault="00512048" w:rsidP="00512048">
      <w:pPr>
        <w:pStyle w:val="SangriaFrancesaArticulo"/>
      </w:pPr>
      <w:r w:rsidRPr="00512048">
        <w:rPr>
          <w:rStyle w:val="TextoNormalNegritaCaracter"/>
        </w:rPr>
        <w:t>Artículo 40.1.</w:t>
      </w:r>
      <w:r w:rsidRPr="00512048">
        <w:rPr>
          <w:rStyle w:val="TextoNormalCaracter"/>
        </w:rPr>
        <w:t>-</w:t>
      </w:r>
      <w:r>
        <w:t xml:space="preserve"> Sentencia </w:t>
      </w:r>
      <w:hyperlink w:anchor="SENTENCIA_2007_91" w:history="1">
        <w:r w:rsidRPr="00512048">
          <w:rPr>
            <w:rStyle w:val="TextoNormalCaracter"/>
          </w:rPr>
          <w:t>91/2007</w:t>
        </w:r>
      </w:hyperlink>
      <w:r>
        <w:t>, f. 4.</w:t>
      </w:r>
    </w:p>
    <w:p w:rsidR="00512048" w:rsidRDefault="00512048" w:rsidP="00512048">
      <w:pPr>
        <w:pStyle w:val="SangriaFrancesaArticulo"/>
      </w:pPr>
      <w:r w:rsidRPr="00512048">
        <w:rPr>
          <w:rStyle w:val="TextoNormalNegritaCaracter"/>
        </w:rPr>
        <w:t>Artículo 41.</w:t>
      </w:r>
      <w:r w:rsidRPr="00512048">
        <w:rPr>
          <w:rStyle w:val="TextoNormalCaracter"/>
        </w:rPr>
        <w:t>-</w:t>
      </w:r>
      <w:r>
        <w:t xml:space="preserve"> Sentencia </w:t>
      </w:r>
      <w:hyperlink w:anchor="SENTENCIA_2007_91" w:history="1">
        <w:r w:rsidRPr="00512048">
          <w:rPr>
            <w:rStyle w:val="TextoNormalCaracter"/>
          </w:rPr>
          <w:t>91/2007</w:t>
        </w:r>
      </w:hyperlink>
      <w:r>
        <w:t>, f. 1.</w:t>
      </w:r>
    </w:p>
    <w:p w:rsidR="00512048" w:rsidRDefault="00512048" w:rsidP="00512048">
      <w:pPr>
        <w:pStyle w:val="SangriaFrancesaArticulo"/>
      </w:pPr>
      <w:r w:rsidRPr="00512048">
        <w:rPr>
          <w:rStyle w:val="TextoNormalNegritaCaracter"/>
        </w:rPr>
        <w:t>Artículo 41.1.</w:t>
      </w:r>
      <w:r w:rsidRPr="00512048">
        <w:rPr>
          <w:rStyle w:val="TextoNormalCaracter"/>
        </w:rPr>
        <w:t>-</w:t>
      </w:r>
      <w:r>
        <w:t xml:space="preserve"> Sentencias </w:t>
      </w:r>
      <w:hyperlink w:anchor="SENTENCIA_2007_91" w:history="1">
        <w:r w:rsidRPr="00512048">
          <w:rPr>
            <w:rStyle w:val="TextoNormalCaracter"/>
          </w:rPr>
          <w:t>91/2007</w:t>
        </w:r>
      </w:hyperlink>
      <w:r>
        <w:t xml:space="preserve">, f. 4; </w:t>
      </w:r>
      <w:hyperlink w:anchor="SENTENCIA_2007_110" w:history="1">
        <w:r w:rsidRPr="00512048">
          <w:rPr>
            <w:rStyle w:val="TextoNormalCaracter"/>
          </w:rPr>
          <w:t>110/2007</w:t>
        </w:r>
      </w:hyperlink>
      <w:r>
        <w:t xml:space="preserve">, f. 2; </w:t>
      </w:r>
      <w:hyperlink w:anchor="SENTENCIA_2007_127" w:history="1">
        <w:r w:rsidRPr="00512048">
          <w:rPr>
            <w:rStyle w:val="TextoNormalCaracter"/>
          </w:rPr>
          <w:t>127/2007</w:t>
        </w:r>
      </w:hyperlink>
      <w:r>
        <w:t xml:space="preserve">, f. 2; </w:t>
      </w:r>
      <w:hyperlink w:anchor="SENTENCIA_2007_169" w:history="1">
        <w:r w:rsidRPr="00512048">
          <w:rPr>
            <w:rStyle w:val="TextoNormalCaracter"/>
          </w:rPr>
          <w:t>169/2007</w:t>
        </w:r>
      </w:hyperlink>
      <w:r>
        <w:t>, f. 2.</w:t>
      </w:r>
    </w:p>
    <w:p w:rsidR="00512048" w:rsidRDefault="00512048" w:rsidP="00512048">
      <w:pPr>
        <w:pStyle w:val="SangriaFrancesaArticulo"/>
      </w:pPr>
      <w:r w:rsidRPr="00512048">
        <w:rPr>
          <w:rStyle w:val="TextoNormalNegritaCaracter"/>
        </w:rPr>
        <w:t>Artículo 41.2.</w:t>
      </w:r>
      <w:r w:rsidRPr="00512048">
        <w:rPr>
          <w:rStyle w:val="TextoNormalCaracter"/>
        </w:rPr>
        <w:t>-</w:t>
      </w:r>
      <w:r>
        <w:t xml:space="preserve"> Sentencia </w:t>
      </w:r>
      <w:hyperlink w:anchor="SENTENCIA_2007_128" w:history="1">
        <w:r w:rsidRPr="00512048">
          <w:rPr>
            <w:rStyle w:val="TextoNormalCaracter"/>
          </w:rPr>
          <w:t>128/2007</w:t>
        </w:r>
      </w:hyperlink>
      <w:r>
        <w:t>, f. 1.</w:t>
      </w:r>
    </w:p>
    <w:p w:rsidR="00512048" w:rsidRDefault="00512048" w:rsidP="00512048">
      <w:pPr>
        <w:pStyle w:val="SangriaFrancesaArticulo"/>
      </w:pPr>
      <w:r w:rsidRPr="00512048">
        <w:rPr>
          <w:rStyle w:val="TextoNormalNegritaCaracter"/>
        </w:rPr>
        <w:t>Artículo 41.3.</w:t>
      </w:r>
      <w:r w:rsidRPr="00512048">
        <w:rPr>
          <w:rStyle w:val="TextoNormalCaracter"/>
        </w:rPr>
        <w:t>-</w:t>
      </w:r>
      <w:r>
        <w:t xml:space="preserve"> Sentencias </w:t>
      </w:r>
      <w:hyperlink w:anchor="SENTENCIA_2007_110" w:history="1">
        <w:r w:rsidRPr="00512048">
          <w:rPr>
            <w:rStyle w:val="TextoNormalCaracter"/>
          </w:rPr>
          <w:t>110/2007</w:t>
        </w:r>
      </w:hyperlink>
      <w:r>
        <w:t xml:space="preserve">, f. 2; </w:t>
      </w:r>
      <w:hyperlink w:anchor="SENTENCIA_2007_118" w:history="1">
        <w:r w:rsidRPr="00512048">
          <w:rPr>
            <w:rStyle w:val="TextoNormalCaracter"/>
          </w:rPr>
          <w:t>118/2007</w:t>
        </w:r>
      </w:hyperlink>
      <w:r>
        <w:t xml:space="preserve">, f. 2; </w:t>
      </w:r>
      <w:hyperlink w:anchor="SENTENCIA_2007_123" w:history="1">
        <w:r w:rsidRPr="00512048">
          <w:rPr>
            <w:rStyle w:val="TextoNormalCaracter"/>
          </w:rPr>
          <w:t>123/2007</w:t>
        </w:r>
      </w:hyperlink>
      <w:r>
        <w:t xml:space="preserve">, f. 3; </w:t>
      </w:r>
      <w:hyperlink w:anchor="SENTENCIA_2007_133" w:history="1">
        <w:r w:rsidRPr="00512048">
          <w:rPr>
            <w:rStyle w:val="TextoNormalCaracter"/>
          </w:rPr>
          <w:t>133/2007</w:t>
        </w:r>
      </w:hyperlink>
      <w:r>
        <w:t>, f. 3.</w:t>
      </w:r>
    </w:p>
    <w:p w:rsidR="00512048" w:rsidRDefault="00512048" w:rsidP="00512048">
      <w:pPr>
        <w:pStyle w:val="SangriaIzquierdaArticulo"/>
      </w:pPr>
      <w:r>
        <w:t xml:space="preserve">Auto </w:t>
      </w:r>
      <w:hyperlink w:anchor="AUTO_2007_319" w:history="1">
        <w:r w:rsidRPr="00512048">
          <w:rPr>
            <w:rStyle w:val="TextoNormalCaracter"/>
          </w:rPr>
          <w:t>319/2007</w:t>
        </w:r>
      </w:hyperlink>
      <w:r>
        <w:t>.</w:t>
      </w:r>
    </w:p>
    <w:p w:rsidR="00512048" w:rsidRDefault="00512048" w:rsidP="00512048">
      <w:pPr>
        <w:pStyle w:val="SangriaFrancesaArticulo"/>
      </w:pPr>
      <w:r w:rsidRPr="00512048">
        <w:rPr>
          <w:rStyle w:val="TextoNormalNegritaCaracter"/>
        </w:rPr>
        <w:t>Artículo 42.</w:t>
      </w:r>
      <w:r w:rsidRPr="00512048">
        <w:rPr>
          <w:rStyle w:val="TextoNormalCaracter"/>
        </w:rPr>
        <w:t>-</w:t>
      </w:r>
      <w:r>
        <w:t xml:space="preserve"> Sentencia </w:t>
      </w:r>
      <w:hyperlink w:anchor="SENTENCIA_2007_141" w:history="1">
        <w:r w:rsidRPr="00512048">
          <w:rPr>
            <w:rStyle w:val="TextoNormalCaracter"/>
          </w:rPr>
          <w:t>141/2007</w:t>
        </w:r>
      </w:hyperlink>
      <w:r>
        <w:t>, f. 2.</w:t>
      </w:r>
    </w:p>
    <w:p w:rsidR="00512048" w:rsidRDefault="00512048" w:rsidP="00512048">
      <w:pPr>
        <w:pStyle w:val="SangriaIzquierdaArticulo"/>
      </w:pPr>
      <w:r>
        <w:t xml:space="preserve">Auto </w:t>
      </w:r>
      <w:hyperlink w:anchor="AUTO_2007_262" w:history="1">
        <w:r w:rsidRPr="00512048">
          <w:rPr>
            <w:rStyle w:val="TextoNormalCaracter"/>
          </w:rPr>
          <w:t>262/2007</w:t>
        </w:r>
      </w:hyperlink>
      <w:r>
        <w:t>.</w:t>
      </w:r>
    </w:p>
    <w:p w:rsidR="00512048" w:rsidRDefault="00512048" w:rsidP="00512048">
      <w:pPr>
        <w:pStyle w:val="SangriaFrancesaArticulo"/>
      </w:pPr>
      <w:r w:rsidRPr="00512048">
        <w:rPr>
          <w:rStyle w:val="TextoNormalNegritaCaracter"/>
        </w:rPr>
        <w:t>Artículo 43.</w:t>
      </w:r>
      <w:r w:rsidRPr="00512048">
        <w:rPr>
          <w:rStyle w:val="TextoNormalCaracter"/>
        </w:rPr>
        <w:t>-</w:t>
      </w:r>
      <w:r>
        <w:t xml:space="preserve"> Sentencias </w:t>
      </w:r>
      <w:hyperlink w:anchor="SENTENCIA_2007_116" w:history="1">
        <w:r w:rsidRPr="00512048">
          <w:rPr>
            <w:rStyle w:val="TextoNormalCaracter"/>
          </w:rPr>
          <w:t>116/2007</w:t>
        </w:r>
      </w:hyperlink>
      <w:r>
        <w:t xml:space="preserve">, f. 1; </w:t>
      </w:r>
      <w:hyperlink w:anchor="SENTENCIA_2007_124" w:history="1">
        <w:r w:rsidRPr="00512048">
          <w:rPr>
            <w:rStyle w:val="TextoNormalCaracter"/>
          </w:rPr>
          <w:t>124/2007</w:t>
        </w:r>
      </w:hyperlink>
      <w:r>
        <w:t xml:space="preserve">, f. 2; </w:t>
      </w:r>
      <w:hyperlink w:anchor="SENTENCIA_2007_129" w:history="1">
        <w:r w:rsidRPr="00512048">
          <w:rPr>
            <w:rStyle w:val="TextoNormalCaracter"/>
          </w:rPr>
          <w:t>129/2007</w:t>
        </w:r>
      </w:hyperlink>
      <w:r>
        <w:t xml:space="preserve">, f. 1; </w:t>
      </w:r>
      <w:hyperlink w:anchor="SENTENCIA_2007_155" w:history="1">
        <w:r w:rsidRPr="00512048">
          <w:rPr>
            <w:rStyle w:val="TextoNormalCaracter"/>
          </w:rPr>
          <w:t>155/2007</w:t>
        </w:r>
      </w:hyperlink>
      <w:r>
        <w:t xml:space="preserve">, f. 1; </w:t>
      </w:r>
      <w:hyperlink w:anchor="SENTENCIA_2007_157" w:history="1">
        <w:r w:rsidRPr="00512048">
          <w:rPr>
            <w:rStyle w:val="TextoNormalCaracter"/>
          </w:rPr>
          <w:t>157/2007</w:t>
        </w:r>
      </w:hyperlink>
      <w:r>
        <w:t xml:space="preserve">, f. 1; </w:t>
      </w:r>
      <w:hyperlink w:anchor="SENTENCIA_2007_175" w:history="1">
        <w:r w:rsidRPr="00512048">
          <w:rPr>
            <w:rStyle w:val="TextoNormalCaracter"/>
          </w:rPr>
          <w:t>175/2007</w:t>
        </w:r>
      </w:hyperlink>
      <w:r>
        <w:t>, f. 1.</w:t>
      </w:r>
    </w:p>
    <w:p w:rsidR="00512048" w:rsidRDefault="00512048" w:rsidP="00512048">
      <w:pPr>
        <w:pStyle w:val="SangriaFrancesaArticulo"/>
      </w:pPr>
      <w:r w:rsidRPr="00512048">
        <w:rPr>
          <w:rStyle w:val="TextoNormalNegritaCaracter"/>
        </w:rPr>
        <w:t>Artículo 43.1.</w:t>
      </w:r>
      <w:r w:rsidRPr="00512048">
        <w:rPr>
          <w:rStyle w:val="TextoNormalCaracter"/>
        </w:rPr>
        <w:t>-</w:t>
      </w:r>
      <w:r>
        <w:t xml:space="preserve"> Sentencias </w:t>
      </w:r>
      <w:hyperlink w:anchor="SENTENCIA_2007_92" w:history="1">
        <w:r w:rsidRPr="00512048">
          <w:rPr>
            <w:rStyle w:val="TextoNormalCaracter"/>
          </w:rPr>
          <w:t>92/2007</w:t>
        </w:r>
      </w:hyperlink>
      <w:r>
        <w:t xml:space="preserve">, f. 2; </w:t>
      </w:r>
      <w:hyperlink w:anchor="SENTENCIA_2007_154" w:history="1">
        <w:r w:rsidRPr="00512048">
          <w:rPr>
            <w:rStyle w:val="TextoNormalCaracter"/>
          </w:rPr>
          <w:t>154/2007</w:t>
        </w:r>
      </w:hyperlink>
      <w:r>
        <w:t>, f. 2.</w:t>
      </w:r>
    </w:p>
    <w:p w:rsidR="00512048" w:rsidRDefault="00512048" w:rsidP="00512048">
      <w:pPr>
        <w:pStyle w:val="SangriaFrancesaArticulo"/>
      </w:pPr>
      <w:r w:rsidRPr="00512048">
        <w:rPr>
          <w:rStyle w:val="TextoNormalNegritaCaracter"/>
        </w:rPr>
        <w:t>Artículo 43.2.</w:t>
      </w:r>
      <w:r w:rsidRPr="00512048">
        <w:rPr>
          <w:rStyle w:val="TextoNormalCaracter"/>
        </w:rPr>
        <w:t>-</w:t>
      </w:r>
      <w:r>
        <w:t xml:space="preserve"> Sentencia </w:t>
      </w:r>
      <w:hyperlink w:anchor="SENTENCIA_2007_174" w:history="1">
        <w:r w:rsidRPr="00512048">
          <w:rPr>
            <w:rStyle w:val="TextoNormalCaracter"/>
          </w:rPr>
          <w:t>174/2007</w:t>
        </w:r>
      </w:hyperlink>
      <w:r>
        <w:t>, f. único.</w:t>
      </w:r>
    </w:p>
    <w:p w:rsidR="00512048" w:rsidRDefault="00512048" w:rsidP="00512048">
      <w:pPr>
        <w:pStyle w:val="SangriaIzquierdaArticulo"/>
      </w:pPr>
      <w:r>
        <w:t xml:space="preserve">Autos </w:t>
      </w:r>
      <w:hyperlink w:anchor="AUTO_2007_234" w:history="1">
        <w:r w:rsidRPr="00512048">
          <w:rPr>
            <w:rStyle w:val="TextoNormalCaracter"/>
          </w:rPr>
          <w:t>234/2007</w:t>
        </w:r>
      </w:hyperlink>
      <w:r>
        <w:t xml:space="preserve">; </w:t>
      </w:r>
      <w:hyperlink w:anchor="AUTO_2007_256" w:history="1">
        <w:r w:rsidRPr="00512048">
          <w:rPr>
            <w:rStyle w:val="TextoNormalCaracter"/>
          </w:rPr>
          <w:t>256/2007</w:t>
        </w:r>
      </w:hyperlink>
      <w:r>
        <w:t xml:space="preserve">; </w:t>
      </w:r>
      <w:hyperlink w:anchor="AUTO_2007_260" w:history="1">
        <w:r w:rsidRPr="00512048">
          <w:rPr>
            <w:rStyle w:val="TextoNormalCaracter"/>
          </w:rPr>
          <w:t>260/2007</w:t>
        </w:r>
      </w:hyperlink>
      <w:r>
        <w:t>.</w:t>
      </w:r>
    </w:p>
    <w:p w:rsidR="00512048" w:rsidRDefault="00512048" w:rsidP="00512048">
      <w:pPr>
        <w:pStyle w:val="SangriaFrancesaArticulo"/>
      </w:pPr>
      <w:r w:rsidRPr="00512048">
        <w:rPr>
          <w:rStyle w:val="TextoNormalNegritaCaracter"/>
        </w:rPr>
        <w:t>Artículo 43.3.</w:t>
      </w:r>
      <w:r w:rsidRPr="00512048">
        <w:rPr>
          <w:rStyle w:val="TextoNormalCaracter"/>
        </w:rPr>
        <w:t>-</w:t>
      </w:r>
      <w:r>
        <w:t xml:space="preserve"> Sentencia </w:t>
      </w:r>
      <w:hyperlink w:anchor="SENTENCIA_2007_123" w:history="1">
        <w:r w:rsidRPr="00512048">
          <w:rPr>
            <w:rStyle w:val="TextoNormalCaracter"/>
          </w:rPr>
          <w:t>123/2007</w:t>
        </w:r>
      </w:hyperlink>
      <w:r>
        <w:t>, f. 3.</w:t>
      </w:r>
    </w:p>
    <w:p w:rsidR="00512048" w:rsidRDefault="00512048" w:rsidP="00512048">
      <w:pPr>
        <w:pStyle w:val="SangriaFrancesaArticulo"/>
      </w:pPr>
      <w:r w:rsidRPr="00512048">
        <w:rPr>
          <w:rStyle w:val="TextoNormalNegritaCaracter"/>
        </w:rPr>
        <w:t>Artículo 44.</w:t>
      </w:r>
      <w:r w:rsidRPr="00512048">
        <w:rPr>
          <w:rStyle w:val="TextoNormalCaracter"/>
        </w:rPr>
        <w:t>-</w:t>
      </w:r>
      <w:r>
        <w:t xml:space="preserve"> Sentencias </w:t>
      </w:r>
      <w:hyperlink w:anchor="SENTENCIA_2007_124" w:history="1">
        <w:r w:rsidRPr="00512048">
          <w:rPr>
            <w:rStyle w:val="TextoNormalCaracter"/>
          </w:rPr>
          <w:t>124/2007</w:t>
        </w:r>
      </w:hyperlink>
      <w:r>
        <w:t xml:space="preserve">, f. 2; </w:t>
      </w:r>
      <w:hyperlink w:anchor="SENTENCIA_2007_155" w:history="1">
        <w:r w:rsidRPr="00512048">
          <w:rPr>
            <w:rStyle w:val="TextoNormalCaracter"/>
          </w:rPr>
          <w:t>155/2007</w:t>
        </w:r>
      </w:hyperlink>
      <w:r>
        <w:t xml:space="preserve">, f. 1; </w:t>
      </w:r>
      <w:hyperlink w:anchor="SENTENCIA_2007_157" w:history="1">
        <w:r w:rsidRPr="00512048">
          <w:rPr>
            <w:rStyle w:val="TextoNormalCaracter"/>
          </w:rPr>
          <w:t>157/2007</w:t>
        </w:r>
      </w:hyperlink>
      <w:r>
        <w:t xml:space="preserve">, f. 1; </w:t>
      </w:r>
      <w:hyperlink w:anchor="SENTENCIA_2007_175" w:history="1">
        <w:r w:rsidRPr="00512048">
          <w:rPr>
            <w:rStyle w:val="TextoNormalCaracter"/>
          </w:rPr>
          <w:t>175/2007</w:t>
        </w:r>
      </w:hyperlink>
      <w:r>
        <w:t>, f. 1.</w:t>
      </w:r>
    </w:p>
    <w:p w:rsidR="00512048" w:rsidRDefault="00512048" w:rsidP="00512048">
      <w:pPr>
        <w:pStyle w:val="SangriaFrancesaArticulo"/>
      </w:pPr>
      <w:r w:rsidRPr="00512048">
        <w:rPr>
          <w:rStyle w:val="TextoNormalNegritaCaracter"/>
        </w:rPr>
        <w:lastRenderedPageBreak/>
        <w:t>Artículo 44.1 a).</w:t>
      </w:r>
      <w:r w:rsidRPr="00512048">
        <w:rPr>
          <w:rStyle w:val="TextoNormalCaracter"/>
        </w:rPr>
        <w:t>-</w:t>
      </w:r>
      <w:r>
        <w:t xml:space="preserve"> Sentencias </w:t>
      </w:r>
      <w:hyperlink w:anchor="SENTENCIA_2007_92" w:history="1">
        <w:r w:rsidRPr="00512048">
          <w:rPr>
            <w:rStyle w:val="TextoNormalCaracter"/>
          </w:rPr>
          <w:t>92/2007</w:t>
        </w:r>
      </w:hyperlink>
      <w:r>
        <w:t xml:space="preserve">, f. 2; </w:t>
      </w:r>
      <w:hyperlink w:anchor="SENTENCIA_2007_96" w:history="1">
        <w:r w:rsidRPr="00512048">
          <w:rPr>
            <w:rStyle w:val="TextoNormalCaracter"/>
          </w:rPr>
          <w:t>96/2007</w:t>
        </w:r>
      </w:hyperlink>
      <w:r>
        <w:t xml:space="preserve">, f. 3; </w:t>
      </w:r>
      <w:hyperlink w:anchor="SENTENCIA_2007_99" w:history="1">
        <w:r w:rsidRPr="00512048">
          <w:rPr>
            <w:rStyle w:val="TextoNormalCaracter"/>
          </w:rPr>
          <w:t>99/2007</w:t>
        </w:r>
      </w:hyperlink>
      <w:r>
        <w:t xml:space="preserve">, f. 3; </w:t>
      </w:r>
      <w:hyperlink w:anchor="SENTENCIA_2007_101" w:history="1">
        <w:r w:rsidRPr="00512048">
          <w:rPr>
            <w:rStyle w:val="TextoNormalCaracter"/>
          </w:rPr>
          <w:t>101/2007</w:t>
        </w:r>
      </w:hyperlink>
      <w:r>
        <w:t xml:space="preserve">, f. 5; </w:t>
      </w:r>
      <w:hyperlink w:anchor="SENTENCIA_2007_116" w:history="1">
        <w:r w:rsidRPr="00512048">
          <w:rPr>
            <w:rStyle w:val="TextoNormalCaracter"/>
          </w:rPr>
          <w:t>116/2007</w:t>
        </w:r>
      </w:hyperlink>
      <w:r>
        <w:t xml:space="preserve">, f. 10; </w:t>
      </w:r>
      <w:hyperlink w:anchor="SENTENCIA_2007_119" w:history="1">
        <w:r w:rsidRPr="00512048">
          <w:rPr>
            <w:rStyle w:val="TextoNormalCaracter"/>
          </w:rPr>
          <w:t>119/2007</w:t>
        </w:r>
      </w:hyperlink>
      <w:r>
        <w:t xml:space="preserve">, f. 1; </w:t>
      </w:r>
      <w:hyperlink w:anchor="SENTENCIA_2007_122" w:history="1">
        <w:r w:rsidRPr="00512048">
          <w:rPr>
            <w:rStyle w:val="TextoNormalCaracter"/>
          </w:rPr>
          <w:t>122/2007</w:t>
        </w:r>
      </w:hyperlink>
      <w:r>
        <w:t xml:space="preserve">, f. 1; </w:t>
      </w:r>
      <w:hyperlink w:anchor="SENTENCIA_2007_123" w:history="1">
        <w:r w:rsidRPr="00512048">
          <w:rPr>
            <w:rStyle w:val="TextoNormalCaracter"/>
          </w:rPr>
          <w:t>123/2007</w:t>
        </w:r>
      </w:hyperlink>
      <w:r>
        <w:t xml:space="preserve">, f. 2; </w:t>
      </w:r>
      <w:hyperlink w:anchor="SENTENCIA_2007_124" w:history="1">
        <w:r w:rsidRPr="00512048">
          <w:rPr>
            <w:rStyle w:val="TextoNormalCaracter"/>
          </w:rPr>
          <w:t>124/2007</w:t>
        </w:r>
      </w:hyperlink>
      <w:r>
        <w:t xml:space="preserve">, f. 3; </w:t>
      </w:r>
      <w:hyperlink w:anchor="SENTENCIA_2007_128" w:history="1">
        <w:r w:rsidRPr="00512048">
          <w:rPr>
            <w:rStyle w:val="TextoNormalCaracter"/>
          </w:rPr>
          <w:t>128/2007</w:t>
        </w:r>
      </w:hyperlink>
      <w:r>
        <w:t xml:space="preserve">, f. 3; </w:t>
      </w:r>
      <w:hyperlink w:anchor="SENTENCIA_2007_135" w:history="1">
        <w:r w:rsidRPr="00512048">
          <w:rPr>
            <w:rStyle w:val="TextoNormalCaracter"/>
          </w:rPr>
          <w:t>135/2007</w:t>
        </w:r>
      </w:hyperlink>
      <w:r>
        <w:t xml:space="preserve">, ff. 4, 5; </w:t>
      </w:r>
      <w:hyperlink w:anchor="SENTENCIA_2007_144" w:history="1">
        <w:r w:rsidRPr="00512048">
          <w:rPr>
            <w:rStyle w:val="TextoNormalCaracter"/>
          </w:rPr>
          <w:t>144/2007</w:t>
        </w:r>
      </w:hyperlink>
      <w:r>
        <w:t xml:space="preserve">, ff. 1, 2; </w:t>
      </w:r>
      <w:hyperlink w:anchor="SENTENCIA_2007_147" w:history="1">
        <w:r w:rsidRPr="00512048">
          <w:rPr>
            <w:rStyle w:val="TextoNormalCaracter"/>
          </w:rPr>
          <w:t>147/2007</w:t>
        </w:r>
      </w:hyperlink>
      <w:r>
        <w:t xml:space="preserve">, f. 2; </w:t>
      </w:r>
      <w:hyperlink w:anchor="SENTENCIA_2007_152" w:history="1">
        <w:r w:rsidRPr="00512048">
          <w:rPr>
            <w:rStyle w:val="TextoNormalCaracter"/>
          </w:rPr>
          <w:t>152/2007</w:t>
        </w:r>
      </w:hyperlink>
      <w:r>
        <w:t xml:space="preserve">, f. 2; </w:t>
      </w:r>
      <w:hyperlink w:anchor="SENTENCIA_2007_154" w:history="1">
        <w:r w:rsidRPr="00512048">
          <w:rPr>
            <w:rStyle w:val="TextoNormalCaracter"/>
          </w:rPr>
          <w:t>154/2007</w:t>
        </w:r>
      </w:hyperlink>
      <w:r>
        <w:t xml:space="preserve">, f. 2; </w:t>
      </w:r>
      <w:hyperlink w:anchor="SENTENCIA_2007_156" w:history="1">
        <w:r w:rsidRPr="00512048">
          <w:rPr>
            <w:rStyle w:val="TextoNormalCaracter"/>
          </w:rPr>
          <w:t>156/2007</w:t>
        </w:r>
      </w:hyperlink>
      <w:r>
        <w:t xml:space="preserve">, f. 5; </w:t>
      </w:r>
      <w:hyperlink w:anchor="SENTENCIA_2007_177" w:history="1">
        <w:r w:rsidRPr="00512048">
          <w:rPr>
            <w:rStyle w:val="TextoNormalCaracter"/>
          </w:rPr>
          <w:t>177/2007</w:t>
        </w:r>
      </w:hyperlink>
      <w:r>
        <w:t>, ff. 2, 3.</w:t>
      </w:r>
    </w:p>
    <w:p w:rsidR="00512048" w:rsidRDefault="00512048" w:rsidP="00512048">
      <w:pPr>
        <w:pStyle w:val="SangriaIzquierdaArticulo"/>
      </w:pPr>
      <w:r>
        <w:t xml:space="preserve">Autos </w:t>
      </w:r>
      <w:hyperlink w:anchor="AUTO_2007_246" w:history="1">
        <w:r w:rsidRPr="00512048">
          <w:rPr>
            <w:rStyle w:val="TextoNormalCaracter"/>
          </w:rPr>
          <w:t>246/2007</w:t>
        </w:r>
      </w:hyperlink>
      <w:r>
        <w:t xml:space="preserve">; </w:t>
      </w:r>
      <w:hyperlink w:anchor="AUTO_2007_256" w:history="1">
        <w:r w:rsidRPr="00512048">
          <w:rPr>
            <w:rStyle w:val="TextoNormalCaracter"/>
          </w:rPr>
          <w:t>256/2007</w:t>
        </w:r>
      </w:hyperlink>
      <w:r>
        <w:t xml:space="preserve">; </w:t>
      </w:r>
      <w:hyperlink w:anchor="AUTO_2007_260" w:history="1">
        <w:r w:rsidRPr="00512048">
          <w:rPr>
            <w:rStyle w:val="TextoNormalCaracter"/>
          </w:rPr>
          <w:t>260/2007</w:t>
        </w:r>
      </w:hyperlink>
      <w:r>
        <w:t xml:space="preserve">; </w:t>
      </w:r>
      <w:hyperlink w:anchor="AUTO_2007_265" w:history="1">
        <w:r w:rsidRPr="00512048">
          <w:rPr>
            <w:rStyle w:val="TextoNormalCaracter"/>
          </w:rPr>
          <w:t>265/2007</w:t>
        </w:r>
      </w:hyperlink>
      <w:r>
        <w:t xml:space="preserve">; </w:t>
      </w:r>
      <w:hyperlink w:anchor="AUTO_2007_318" w:history="1">
        <w:r w:rsidRPr="00512048">
          <w:rPr>
            <w:rStyle w:val="TextoNormalCaracter"/>
          </w:rPr>
          <w:t>318/2007</w:t>
        </w:r>
      </w:hyperlink>
      <w:r>
        <w:t>.</w:t>
      </w:r>
    </w:p>
    <w:p w:rsidR="00512048" w:rsidRDefault="00512048" w:rsidP="00512048">
      <w:pPr>
        <w:pStyle w:val="SangriaFrancesaArticulo"/>
      </w:pPr>
      <w:r w:rsidRPr="00512048">
        <w:rPr>
          <w:rStyle w:val="TextoNormalNegritaCaracter"/>
        </w:rPr>
        <w:t>Artículo 44.1 b).</w:t>
      </w:r>
      <w:r w:rsidRPr="00512048">
        <w:rPr>
          <w:rStyle w:val="TextoNormalCaracter"/>
        </w:rPr>
        <w:t>-</w:t>
      </w:r>
      <w:r>
        <w:t xml:space="preserve"> Sentencias </w:t>
      </w:r>
      <w:hyperlink w:anchor="SENTENCIA_2007_126" w:history="1">
        <w:r w:rsidRPr="00512048">
          <w:rPr>
            <w:rStyle w:val="TextoNormalCaracter"/>
          </w:rPr>
          <w:t>126/2007</w:t>
        </w:r>
      </w:hyperlink>
      <w:r>
        <w:t xml:space="preserve">, f. 6; </w:t>
      </w:r>
      <w:hyperlink w:anchor="SENTENCIA_2007_128" w:history="1">
        <w:r w:rsidRPr="00512048">
          <w:rPr>
            <w:rStyle w:val="TextoNormalCaracter"/>
          </w:rPr>
          <w:t>128/2007</w:t>
        </w:r>
      </w:hyperlink>
      <w:r>
        <w:t>, ff. 6, 8.</w:t>
      </w:r>
    </w:p>
    <w:p w:rsidR="00512048" w:rsidRDefault="00512048" w:rsidP="00512048">
      <w:pPr>
        <w:pStyle w:val="SangriaIzquierdaArticulo"/>
      </w:pPr>
      <w:r>
        <w:t xml:space="preserve">Autos </w:t>
      </w:r>
      <w:hyperlink w:anchor="AUTO_2007_246" w:history="1">
        <w:r w:rsidRPr="00512048">
          <w:rPr>
            <w:rStyle w:val="TextoNormalCaracter"/>
          </w:rPr>
          <w:t>246/2007</w:t>
        </w:r>
      </w:hyperlink>
      <w:r>
        <w:t xml:space="preserve">; </w:t>
      </w:r>
      <w:hyperlink w:anchor="AUTO_2007_313" w:history="1">
        <w:r w:rsidRPr="00512048">
          <w:rPr>
            <w:rStyle w:val="TextoNormalCaracter"/>
          </w:rPr>
          <w:t>313/2007</w:t>
        </w:r>
      </w:hyperlink>
      <w:r>
        <w:t>.</w:t>
      </w:r>
    </w:p>
    <w:p w:rsidR="00512048" w:rsidRDefault="00512048" w:rsidP="00512048">
      <w:pPr>
        <w:pStyle w:val="SangriaFrancesaArticulo"/>
      </w:pPr>
      <w:r w:rsidRPr="00512048">
        <w:rPr>
          <w:rStyle w:val="TextoNormalNegritaCaracter"/>
        </w:rPr>
        <w:t>Artículo 44.1 c).</w:t>
      </w:r>
      <w:r w:rsidRPr="00512048">
        <w:rPr>
          <w:rStyle w:val="TextoNormalCaracter"/>
        </w:rPr>
        <w:t>-</w:t>
      </w:r>
      <w:r>
        <w:t xml:space="preserve"> Sentencias </w:t>
      </w:r>
      <w:hyperlink w:anchor="SENTENCIA_2007_93" w:history="1">
        <w:r w:rsidRPr="00512048">
          <w:rPr>
            <w:rStyle w:val="TextoNormalCaracter"/>
          </w:rPr>
          <w:t>93/2007</w:t>
        </w:r>
      </w:hyperlink>
      <w:r>
        <w:t xml:space="preserve">, ff. 1, 3; </w:t>
      </w:r>
      <w:hyperlink w:anchor="SENTENCIA_2007_117" w:history="1">
        <w:r w:rsidRPr="00512048">
          <w:rPr>
            <w:rStyle w:val="TextoNormalCaracter"/>
          </w:rPr>
          <w:t>117/2007</w:t>
        </w:r>
      </w:hyperlink>
      <w:r>
        <w:t xml:space="preserve">, f. 1; </w:t>
      </w:r>
      <w:hyperlink w:anchor="SENTENCIA_2007_123" w:history="1">
        <w:r w:rsidRPr="00512048">
          <w:rPr>
            <w:rStyle w:val="TextoNormalCaracter"/>
          </w:rPr>
          <w:t>123/2007</w:t>
        </w:r>
      </w:hyperlink>
      <w:r>
        <w:t xml:space="preserve">, f. 2; </w:t>
      </w:r>
      <w:hyperlink w:anchor="SENTENCIA_2007_124" w:history="1">
        <w:r w:rsidRPr="00512048">
          <w:rPr>
            <w:rStyle w:val="TextoNormalCaracter"/>
          </w:rPr>
          <w:t>124/2007</w:t>
        </w:r>
      </w:hyperlink>
      <w:r>
        <w:t xml:space="preserve">, f. 3; </w:t>
      </w:r>
      <w:hyperlink w:anchor="SENTENCIA_2007_139" w:history="1">
        <w:r w:rsidRPr="00512048">
          <w:rPr>
            <w:rStyle w:val="TextoNormalCaracter"/>
          </w:rPr>
          <w:t>139/2007</w:t>
        </w:r>
      </w:hyperlink>
      <w:r>
        <w:t xml:space="preserve">, ff. 2, 4; </w:t>
      </w:r>
      <w:hyperlink w:anchor="SENTENCIA_2007_177" w:history="1">
        <w:r w:rsidRPr="00512048">
          <w:rPr>
            <w:rStyle w:val="TextoNormalCaracter"/>
          </w:rPr>
          <w:t>177/2007</w:t>
        </w:r>
      </w:hyperlink>
      <w:r>
        <w:t>, ff. 2, 3.</w:t>
      </w:r>
    </w:p>
    <w:p w:rsidR="00512048" w:rsidRDefault="00512048" w:rsidP="00512048">
      <w:pPr>
        <w:pStyle w:val="SangriaIzquierdaArticulo"/>
      </w:pPr>
      <w:r>
        <w:t xml:space="preserve">Autos </w:t>
      </w:r>
      <w:hyperlink w:anchor="AUTO_2007_245" w:history="1">
        <w:r w:rsidRPr="00512048">
          <w:rPr>
            <w:rStyle w:val="TextoNormalCaracter"/>
          </w:rPr>
          <w:t>245/2007</w:t>
        </w:r>
      </w:hyperlink>
      <w:r>
        <w:t xml:space="preserve">; </w:t>
      </w:r>
      <w:hyperlink w:anchor="AUTO_2007_246" w:history="1">
        <w:r w:rsidRPr="00512048">
          <w:rPr>
            <w:rStyle w:val="TextoNormalCaracter"/>
          </w:rPr>
          <w:t>246/2007</w:t>
        </w:r>
      </w:hyperlink>
      <w:r>
        <w:t>.</w:t>
      </w:r>
    </w:p>
    <w:p w:rsidR="00512048" w:rsidRDefault="00512048" w:rsidP="00512048">
      <w:pPr>
        <w:pStyle w:val="SangriaFrancesaArticulo"/>
      </w:pPr>
      <w:r w:rsidRPr="00512048">
        <w:rPr>
          <w:rStyle w:val="TextoNormalNegritaCaracter"/>
        </w:rPr>
        <w:t>Artículo 44.2.</w:t>
      </w:r>
      <w:r w:rsidRPr="00512048">
        <w:rPr>
          <w:rStyle w:val="TextoNormalCaracter"/>
        </w:rPr>
        <w:t>-</w:t>
      </w:r>
      <w:r>
        <w:t xml:space="preserve"> Sentencias </w:t>
      </w:r>
      <w:hyperlink w:anchor="SENTENCIA_2007_122" w:history="1">
        <w:r w:rsidRPr="00512048">
          <w:rPr>
            <w:rStyle w:val="TextoNormalCaracter"/>
          </w:rPr>
          <w:t>122/2007</w:t>
        </w:r>
      </w:hyperlink>
      <w:r>
        <w:t xml:space="preserve">, f. 2; </w:t>
      </w:r>
      <w:hyperlink w:anchor="SENTENCIA_2007_132" w:history="1">
        <w:r w:rsidRPr="00512048">
          <w:rPr>
            <w:rStyle w:val="TextoNormalCaracter"/>
          </w:rPr>
          <w:t>132/2007</w:t>
        </w:r>
      </w:hyperlink>
      <w:r>
        <w:t xml:space="preserve">, f. 3; </w:t>
      </w:r>
      <w:hyperlink w:anchor="SENTENCIA_2007_135" w:history="1">
        <w:r w:rsidRPr="00512048">
          <w:rPr>
            <w:rStyle w:val="TextoNormalCaracter"/>
          </w:rPr>
          <w:t>135/2007</w:t>
        </w:r>
      </w:hyperlink>
      <w:r>
        <w:t xml:space="preserve">, f. 4; </w:t>
      </w:r>
      <w:hyperlink w:anchor="SENTENCIA_2007_143" w:history="1">
        <w:r w:rsidRPr="00512048">
          <w:rPr>
            <w:rStyle w:val="TextoNormalCaracter"/>
          </w:rPr>
          <w:t>143/2007</w:t>
        </w:r>
      </w:hyperlink>
      <w:r>
        <w:t xml:space="preserve">, f. 2; </w:t>
      </w:r>
      <w:hyperlink w:anchor="SENTENCIA_2007_144" w:history="1">
        <w:r w:rsidRPr="00512048">
          <w:rPr>
            <w:rStyle w:val="TextoNormalCaracter"/>
          </w:rPr>
          <w:t>144/2007</w:t>
        </w:r>
      </w:hyperlink>
      <w:r>
        <w:t>, ff. 1, 2.</w:t>
      </w:r>
    </w:p>
    <w:p w:rsidR="00512048" w:rsidRDefault="00512048" w:rsidP="00512048">
      <w:pPr>
        <w:pStyle w:val="SangriaIzquierdaArticulo"/>
      </w:pPr>
      <w:r>
        <w:t xml:space="preserve">Auto </w:t>
      </w:r>
      <w:hyperlink w:anchor="AUTO_2007_234" w:history="1">
        <w:r w:rsidRPr="00512048">
          <w:rPr>
            <w:rStyle w:val="TextoNormalCaracter"/>
          </w:rPr>
          <w:t>234/2007</w:t>
        </w:r>
      </w:hyperlink>
      <w:r>
        <w:t>.</w:t>
      </w:r>
    </w:p>
    <w:p w:rsidR="00512048" w:rsidRDefault="00512048" w:rsidP="00512048">
      <w:pPr>
        <w:pStyle w:val="SangriaFrancesaArticulo"/>
      </w:pPr>
      <w:r w:rsidRPr="00512048">
        <w:rPr>
          <w:rStyle w:val="TextoNormalNegritaCaracter"/>
        </w:rPr>
        <w:t>Artículo 46.1 b).</w:t>
      </w:r>
      <w:r w:rsidRPr="00512048">
        <w:rPr>
          <w:rStyle w:val="TextoNormalCaracter"/>
        </w:rPr>
        <w:t>-</w:t>
      </w:r>
      <w:r>
        <w:t xml:space="preserve"> Sentencia </w:t>
      </w:r>
      <w:hyperlink w:anchor="SENTENCIA_2007_120" w:history="1">
        <w:r w:rsidRPr="00512048">
          <w:rPr>
            <w:rStyle w:val="TextoNormalCaracter"/>
          </w:rPr>
          <w:t>120/2007</w:t>
        </w:r>
      </w:hyperlink>
      <w:r>
        <w:t>, f. 1.</w:t>
      </w:r>
    </w:p>
    <w:p w:rsidR="00512048" w:rsidRDefault="00512048" w:rsidP="00512048">
      <w:pPr>
        <w:pStyle w:val="SangriaFrancesaArticulo"/>
      </w:pPr>
      <w:r w:rsidRPr="00512048">
        <w:rPr>
          <w:rStyle w:val="TextoNormalNegritaCaracter"/>
        </w:rPr>
        <w:t>Artículo 49.</w:t>
      </w:r>
      <w:r w:rsidRPr="00512048">
        <w:rPr>
          <w:rStyle w:val="TextoNormalCaracter"/>
        </w:rPr>
        <w:t>-</w:t>
      </w:r>
      <w:r>
        <w:t xml:space="preserve"> Sentencia </w:t>
      </w:r>
      <w:hyperlink w:anchor="SENTENCIA_2007_112" w:history="1">
        <w:r w:rsidRPr="00512048">
          <w:rPr>
            <w:rStyle w:val="TextoNormalCaracter"/>
          </w:rPr>
          <w:t>112/2007</w:t>
        </w:r>
      </w:hyperlink>
      <w:r>
        <w:t>, f. 2.</w:t>
      </w:r>
    </w:p>
    <w:p w:rsidR="00512048" w:rsidRDefault="00512048" w:rsidP="00512048">
      <w:pPr>
        <w:pStyle w:val="SangriaFrancesaArticulo"/>
      </w:pPr>
      <w:r w:rsidRPr="00512048">
        <w:rPr>
          <w:rStyle w:val="TextoNormalNegritaCaracter"/>
        </w:rPr>
        <w:t>Artículo 49.1.</w:t>
      </w:r>
      <w:r w:rsidRPr="00512048">
        <w:rPr>
          <w:rStyle w:val="TextoNormalCaracter"/>
        </w:rPr>
        <w:t>-</w:t>
      </w:r>
      <w:r>
        <w:t xml:space="preserve"> Sentencias </w:t>
      </w:r>
      <w:hyperlink w:anchor="SENTENCIA_2007_110" w:history="1">
        <w:r w:rsidRPr="00512048">
          <w:rPr>
            <w:rStyle w:val="TextoNormalCaracter"/>
          </w:rPr>
          <w:t>110/2007</w:t>
        </w:r>
      </w:hyperlink>
      <w:r>
        <w:t xml:space="preserve">, f. 2; </w:t>
      </w:r>
      <w:hyperlink w:anchor="SENTENCIA_2007_164" w:history="1">
        <w:r w:rsidRPr="00512048">
          <w:rPr>
            <w:rStyle w:val="TextoNormalCaracter"/>
          </w:rPr>
          <w:t>164/2007</w:t>
        </w:r>
      </w:hyperlink>
      <w:r>
        <w:t>, f. 1.</w:t>
      </w:r>
    </w:p>
    <w:p w:rsidR="00512048" w:rsidRDefault="00512048" w:rsidP="00512048">
      <w:pPr>
        <w:pStyle w:val="SangriaIzquierdaArticulo"/>
      </w:pPr>
      <w:r>
        <w:t xml:space="preserve">Auto </w:t>
      </w:r>
      <w:hyperlink w:anchor="AUTO_2007_237" w:history="1">
        <w:r w:rsidRPr="00512048">
          <w:rPr>
            <w:rStyle w:val="TextoNormalCaracter"/>
          </w:rPr>
          <w:t>237/2007</w:t>
        </w:r>
      </w:hyperlink>
      <w:r>
        <w:t>.</w:t>
      </w:r>
    </w:p>
    <w:p w:rsidR="00512048" w:rsidRDefault="00512048" w:rsidP="00512048">
      <w:pPr>
        <w:pStyle w:val="SangriaFrancesaArticulo"/>
      </w:pPr>
      <w:r w:rsidRPr="00512048">
        <w:rPr>
          <w:rStyle w:val="TextoNormalNegritaCaracter"/>
        </w:rPr>
        <w:t>Artículo 50.</w:t>
      </w:r>
      <w:r w:rsidRPr="00512048">
        <w:rPr>
          <w:rStyle w:val="TextoNormalCaracter"/>
        </w:rPr>
        <w:t>-</w:t>
      </w:r>
      <w:r>
        <w:t xml:space="preserve"> Auto </w:t>
      </w:r>
      <w:hyperlink w:anchor="AUTO_2007_281" w:history="1">
        <w:r w:rsidRPr="00512048">
          <w:rPr>
            <w:rStyle w:val="TextoNormalCaracter"/>
          </w:rPr>
          <w:t>281/2007</w:t>
        </w:r>
      </w:hyperlink>
      <w:r>
        <w:t>.</w:t>
      </w:r>
    </w:p>
    <w:p w:rsidR="00512048" w:rsidRDefault="00512048" w:rsidP="00512048">
      <w:pPr>
        <w:pStyle w:val="SangriaFrancesaArticulo"/>
      </w:pPr>
      <w:r w:rsidRPr="00512048">
        <w:rPr>
          <w:rStyle w:val="TextoNormalNegritaCaracter"/>
        </w:rPr>
        <w:t>Artículo 50.1.</w:t>
      </w:r>
      <w:r w:rsidRPr="00512048">
        <w:rPr>
          <w:rStyle w:val="TextoNormalCaracter"/>
        </w:rPr>
        <w:t>-</w:t>
      </w:r>
      <w:r>
        <w:t xml:space="preserve"> Auto </w:t>
      </w:r>
      <w:hyperlink w:anchor="AUTO_2007_327" w:history="1">
        <w:r w:rsidRPr="00512048">
          <w:rPr>
            <w:rStyle w:val="TextoNormalCaracter"/>
          </w:rPr>
          <w:t>327/2007</w:t>
        </w:r>
      </w:hyperlink>
      <w:r>
        <w:t>.</w:t>
      </w:r>
    </w:p>
    <w:p w:rsidR="00512048" w:rsidRDefault="00512048" w:rsidP="00512048">
      <w:pPr>
        <w:pStyle w:val="SangriaFrancesaArticulo"/>
      </w:pPr>
      <w:r w:rsidRPr="00512048">
        <w:rPr>
          <w:rStyle w:val="TextoNormalNegritaCaracter"/>
        </w:rPr>
        <w:t>Artículo 50.1 a).</w:t>
      </w:r>
      <w:r w:rsidRPr="00512048">
        <w:rPr>
          <w:rStyle w:val="TextoNormalCaracter"/>
        </w:rPr>
        <w:t>-</w:t>
      </w:r>
      <w:r>
        <w:t xml:space="preserve"> Sentencias </w:t>
      </w:r>
      <w:hyperlink w:anchor="SENTENCIA_2007_116" w:history="1">
        <w:r w:rsidRPr="00512048">
          <w:rPr>
            <w:rStyle w:val="TextoNormalCaracter"/>
          </w:rPr>
          <w:t>116/2007</w:t>
        </w:r>
      </w:hyperlink>
      <w:r>
        <w:t xml:space="preserve">, f. 10; </w:t>
      </w:r>
      <w:hyperlink w:anchor="SENTENCIA_2007_117" w:history="1">
        <w:r w:rsidRPr="00512048">
          <w:rPr>
            <w:rStyle w:val="TextoNormalCaracter"/>
          </w:rPr>
          <w:t>117/2007</w:t>
        </w:r>
      </w:hyperlink>
      <w:r>
        <w:t xml:space="preserve">, f. 1; </w:t>
      </w:r>
      <w:hyperlink w:anchor="SENTENCIA_2007_123" w:history="1">
        <w:r w:rsidRPr="00512048">
          <w:rPr>
            <w:rStyle w:val="TextoNormalCaracter"/>
          </w:rPr>
          <w:t>123/2007</w:t>
        </w:r>
      </w:hyperlink>
      <w:r>
        <w:t xml:space="preserve">, f. 2; </w:t>
      </w:r>
      <w:hyperlink w:anchor="SENTENCIA_2007_128" w:history="1">
        <w:r w:rsidRPr="00512048">
          <w:rPr>
            <w:rStyle w:val="TextoNormalCaracter"/>
          </w:rPr>
          <w:t>128/2007</w:t>
        </w:r>
      </w:hyperlink>
      <w:r>
        <w:t xml:space="preserve">, f. 3; </w:t>
      </w:r>
      <w:hyperlink w:anchor="SENTENCIA_2007_144" w:history="1">
        <w:r w:rsidRPr="00512048">
          <w:rPr>
            <w:rStyle w:val="TextoNormalCaracter"/>
          </w:rPr>
          <w:t>144/2007</w:t>
        </w:r>
      </w:hyperlink>
      <w:r>
        <w:t xml:space="preserve">, ff. 1, 2; </w:t>
      </w:r>
      <w:hyperlink w:anchor="SENTENCIA_2007_174" w:history="1">
        <w:r w:rsidRPr="00512048">
          <w:rPr>
            <w:rStyle w:val="TextoNormalCaracter"/>
          </w:rPr>
          <w:t>174/2007</w:t>
        </w:r>
      </w:hyperlink>
      <w:r>
        <w:t>, f. único.</w:t>
      </w:r>
    </w:p>
    <w:p w:rsidR="00512048" w:rsidRDefault="00512048" w:rsidP="00512048">
      <w:pPr>
        <w:pStyle w:val="SangriaIzquierdaArticulo"/>
      </w:pPr>
      <w:r>
        <w:t xml:space="preserve">Autos </w:t>
      </w:r>
      <w:hyperlink w:anchor="AUTO_2007_234" w:history="1">
        <w:r w:rsidRPr="00512048">
          <w:rPr>
            <w:rStyle w:val="TextoNormalCaracter"/>
          </w:rPr>
          <w:t>234/2007</w:t>
        </w:r>
      </w:hyperlink>
      <w:r>
        <w:t xml:space="preserve">; </w:t>
      </w:r>
      <w:hyperlink w:anchor="AUTO_2007_245" w:history="1">
        <w:r w:rsidRPr="00512048">
          <w:rPr>
            <w:rStyle w:val="TextoNormalCaracter"/>
          </w:rPr>
          <w:t>245/2007</w:t>
        </w:r>
      </w:hyperlink>
      <w:r>
        <w:t xml:space="preserve">; </w:t>
      </w:r>
      <w:hyperlink w:anchor="AUTO_2007_246" w:history="1">
        <w:r w:rsidRPr="00512048">
          <w:rPr>
            <w:rStyle w:val="TextoNormalCaracter"/>
          </w:rPr>
          <w:t>246/2007</w:t>
        </w:r>
      </w:hyperlink>
      <w:r>
        <w:t xml:space="preserve">; </w:t>
      </w:r>
      <w:hyperlink w:anchor="AUTO_2007_256" w:history="1">
        <w:r w:rsidRPr="00512048">
          <w:rPr>
            <w:rStyle w:val="TextoNormalCaracter"/>
          </w:rPr>
          <w:t>256/2007</w:t>
        </w:r>
      </w:hyperlink>
      <w:r>
        <w:t xml:space="preserve">; </w:t>
      </w:r>
      <w:hyperlink w:anchor="AUTO_2007_260" w:history="1">
        <w:r w:rsidRPr="00512048">
          <w:rPr>
            <w:rStyle w:val="TextoNormalCaracter"/>
          </w:rPr>
          <w:t>260/2007</w:t>
        </w:r>
      </w:hyperlink>
      <w:r>
        <w:t xml:space="preserve">; </w:t>
      </w:r>
      <w:hyperlink w:anchor="AUTO_2007_318" w:history="1">
        <w:r w:rsidRPr="00512048">
          <w:rPr>
            <w:rStyle w:val="TextoNormalCaracter"/>
          </w:rPr>
          <w:t>318/2007</w:t>
        </w:r>
      </w:hyperlink>
      <w:r>
        <w:t>.</w:t>
      </w:r>
    </w:p>
    <w:p w:rsidR="00512048" w:rsidRDefault="00512048" w:rsidP="00512048">
      <w:pPr>
        <w:pStyle w:val="SangriaFrancesaArticulo"/>
      </w:pPr>
      <w:r w:rsidRPr="00512048">
        <w:rPr>
          <w:rStyle w:val="TextoNormalNegritaCaracter"/>
        </w:rPr>
        <w:t>Artículo 50.1 b).</w:t>
      </w:r>
      <w:r w:rsidRPr="00512048">
        <w:rPr>
          <w:rStyle w:val="TextoNormalCaracter"/>
        </w:rPr>
        <w:t>-</w:t>
      </w:r>
      <w:r>
        <w:t xml:space="preserve"> Sentencias </w:t>
      </w:r>
      <w:hyperlink w:anchor="SENTENCIA_2007_91" w:history="1">
        <w:r w:rsidRPr="00512048">
          <w:rPr>
            <w:rStyle w:val="TextoNormalCaracter"/>
          </w:rPr>
          <w:t>91/2007</w:t>
        </w:r>
      </w:hyperlink>
      <w:r>
        <w:t xml:space="preserve">, f. 1; </w:t>
      </w:r>
      <w:hyperlink w:anchor="SENTENCIA_2007_116" w:history="1">
        <w:r w:rsidRPr="00512048">
          <w:rPr>
            <w:rStyle w:val="TextoNormalCaracter"/>
          </w:rPr>
          <w:t>116/2007</w:t>
        </w:r>
      </w:hyperlink>
      <w:r>
        <w:t xml:space="preserve">, f. 10; </w:t>
      </w:r>
      <w:hyperlink w:anchor="SENTENCIA_2007_127" w:history="1">
        <w:r w:rsidRPr="00512048">
          <w:rPr>
            <w:rStyle w:val="TextoNormalCaracter"/>
          </w:rPr>
          <w:t>127/2007</w:t>
        </w:r>
      </w:hyperlink>
      <w:r>
        <w:t>, f. 2.</w:t>
      </w:r>
    </w:p>
    <w:p w:rsidR="00512048" w:rsidRDefault="00512048" w:rsidP="00512048">
      <w:pPr>
        <w:pStyle w:val="SangriaFrancesaArticulo"/>
      </w:pPr>
      <w:r w:rsidRPr="00512048">
        <w:rPr>
          <w:rStyle w:val="TextoNormalNegritaCaracter"/>
        </w:rPr>
        <w:t>Artículo 50.1 c).</w:t>
      </w:r>
      <w:r w:rsidRPr="00512048">
        <w:rPr>
          <w:rStyle w:val="TextoNormalCaracter"/>
        </w:rPr>
        <w:t>-</w:t>
      </w:r>
      <w:r>
        <w:t xml:space="preserve"> Autos </w:t>
      </w:r>
      <w:hyperlink w:anchor="AUTO_2007_231" w:history="1">
        <w:r w:rsidRPr="00512048">
          <w:rPr>
            <w:rStyle w:val="TextoNormalCaracter"/>
          </w:rPr>
          <w:t>231/2007</w:t>
        </w:r>
      </w:hyperlink>
      <w:r>
        <w:t xml:space="preserve">; </w:t>
      </w:r>
      <w:hyperlink w:anchor="AUTO_2007_237" w:history="1">
        <w:r w:rsidRPr="00512048">
          <w:rPr>
            <w:rStyle w:val="TextoNormalCaracter"/>
          </w:rPr>
          <w:t>237/2007</w:t>
        </w:r>
      </w:hyperlink>
      <w:r>
        <w:t xml:space="preserve">; </w:t>
      </w:r>
      <w:hyperlink w:anchor="AUTO_2007_246" w:history="1">
        <w:r w:rsidRPr="00512048">
          <w:rPr>
            <w:rStyle w:val="TextoNormalCaracter"/>
          </w:rPr>
          <w:t>246/2007</w:t>
        </w:r>
      </w:hyperlink>
      <w:r>
        <w:t xml:space="preserve">; </w:t>
      </w:r>
      <w:hyperlink w:anchor="AUTO_2007_262" w:history="1">
        <w:r w:rsidRPr="00512048">
          <w:rPr>
            <w:rStyle w:val="TextoNormalCaracter"/>
          </w:rPr>
          <w:t>262/2007</w:t>
        </w:r>
      </w:hyperlink>
      <w:r>
        <w:t xml:space="preserve">; </w:t>
      </w:r>
      <w:hyperlink w:anchor="AUTO_2007_264" w:history="1">
        <w:r w:rsidRPr="00512048">
          <w:rPr>
            <w:rStyle w:val="TextoNormalCaracter"/>
          </w:rPr>
          <w:t>264/2007</w:t>
        </w:r>
      </w:hyperlink>
      <w:r>
        <w:t xml:space="preserve">; </w:t>
      </w:r>
      <w:hyperlink w:anchor="AUTO_2007_269" w:history="1">
        <w:r w:rsidRPr="00512048">
          <w:rPr>
            <w:rStyle w:val="TextoNormalCaracter"/>
          </w:rPr>
          <w:t>269/2007</w:t>
        </w:r>
      </w:hyperlink>
      <w:r>
        <w:t xml:space="preserve">; </w:t>
      </w:r>
      <w:hyperlink w:anchor="AUTO_2007_271" w:history="1">
        <w:r w:rsidRPr="00512048">
          <w:rPr>
            <w:rStyle w:val="TextoNormalCaracter"/>
          </w:rPr>
          <w:t>271/2007</w:t>
        </w:r>
      </w:hyperlink>
      <w:r>
        <w:t xml:space="preserve">; </w:t>
      </w:r>
      <w:hyperlink w:anchor="AUTO_2007_281" w:history="1">
        <w:r w:rsidRPr="00512048">
          <w:rPr>
            <w:rStyle w:val="TextoNormalCaracter"/>
          </w:rPr>
          <w:t>281/2007</w:t>
        </w:r>
      </w:hyperlink>
      <w:r>
        <w:t xml:space="preserve">; </w:t>
      </w:r>
      <w:hyperlink w:anchor="AUTO_2007_282" w:history="1">
        <w:r w:rsidRPr="00512048">
          <w:rPr>
            <w:rStyle w:val="TextoNormalCaracter"/>
          </w:rPr>
          <w:t>282/2007</w:t>
        </w:r>
      </w:hyperlink>
      <w:r>
        <w:t xml:space="preserve">; </w:t>
      </w:r>
      <w:hyperlink w:anchor="AUTO_2007_312" w:history="1">
        <w:r w:rsidRPr="00512048">
          <w:rPr>
            <w:rStyle w:val="TextoNormalCaracter"/>
          </w:rPr>
          <w:t>312/2007</w:t>
        </w:r>
      </w:hyperlink>
      <w:r>
        <w:t xml:space="preserve">; </w:t>
      </w:r>
      <w:hyperlink w:anchor="AUTO_2007_313" w:history="1">
        <w:r w:rsidRPr="00512048">
          <w:rPr>
            <w:rStyle w:val="TextoNormalCaracter"/>
          </w:rPr>
          <w:t>313/2007</w:t>
        </w:r>
      </w:hyperlink>
      <w:r>
        <w:t xml:space="preserve">; </w:t>
      </w:r>
      <w:hyperlink w:anchor="AUTO_2007_315" w:history="1">
        <w:r w:rsidRPr="00512048">
          <w:rPr>
            <w:rStyle w:val="TextoNormalCaracter"/>
          </w:rPr>
          <w:t>315/2007</w:t>
        </w:r>
      </w:hyperlink>
      <w:r>
        <w:t xml:space="preserve">; </w:t>
      </w:r>
      <w:hyperlink w:anchor="AUTO_2007_317" w:history="1">
        <w:r w:rsidRPr="00512048">
          <w:rPr>
            <w:rStyle w:val="TextoNormalCaracter"/>
          </w:rPr>
          <w:t>317/2007</w:t>
        </w:r>
      </w:hyperlink>
      <w:r>
        <w:t xml:space="preserve">; </w:t>
      </w:r>
      <w:hyperlink w:anchor="AUTO_2007_323" w:history="1">
        <w:r w:rsidRPr="00512048">
          <w:rPr>
            <w:rStyle w:val="TextoNormalCaracter"/>
          </w:rPr>
          <w:t>323/2007</w:t>
        </w:r>
      </w:hyperlink>
      <w:r>
        <w:t>.</w:t>
      </w:r>
    </w:p>
    <w:p w:rsidR="00512048" w:rsidRDefault="00512048" w:rsidP="00512048">
      <w:pPr>
        <w:pStyle w:val="SangriaFrancesaArticulo"/>
      </w:pPr>
      <w:r w:rsidRPr="00512048">
        <w:rPr>
          <w:rStyle w:val="TextoNormalNegritaCaracter"/>
        </w:rPr>
        <w:t>Artículo 50.2.</w:t>
      </w:r>
      <w:r w:rsidRPr="00512048">
        <w:rPr>
          <w:rStyle w:val="TextoNormalCaracter"/>
        </w:rPr>
        <w:t>-</w:t>
      </w:r>
      <w:r>
        <w:t xml:space="preserve"> Autos </w:t>
      </w:r>
      <w:hyperlink w:anchor="AUTO_2007_234" w:history="1">
        <w:r w:rsidRPr="00512048">
          <w:rPr>
            <w:rStyle w:val="TextoNormalCaracter"/>
          </w:rPr>
          <w:t>234/2007</w:t>
        </w:r>
      </w:hyperlink>
      <w:r>
        <w:t xml:space="preserve">; </w:t>
      </w:r>
      <w:hyperlink w:anchor="AUTO_2007_260" w:history="1">
        <w:r w:rsidRPr="00512048">
          <w:rPr>
            <w:rStyle w:val="TextoNormalCaracter"/>
          </w:rPr>
          <w:t>260/2007</w:t>
        </w:r>
      </w:hyperlink>
      <w:r>
        <w:t xml:space="preserve">; </w:t>
      </w:r>
      <w:hyperlink w:anchor="AUTO_2007_275" w:history="1">
        <w:r w:rsidRPr="00512048">
          <w:rPr>
            <w:rStyle w:val="TextoNormalCaracter"/>
          </w:rPr>
          <w:t>275/2007</w:t>
        </w:r>
      </w:hyperlink>
      <w:r>
        <w:t xml:space="preserve">; </w:t>
      </w:r>
      <w:hyperlink w:anchor="AUTO_2007_327" w:history="1">
        <w:r w:rsidRPr="00512048">
          <w:rPr>
            <w:rStyle w:val="TextoNormalCaracter"/>
          </w:rPr>
          <w:t>327/2007</w:t>
        </w:r>
      </w:hyperlink>
      <w:r>
        <w:t>.</w:t>
      </w:r>
    </w:p>
    <w:p w:rsidR="00512048" w:rsidRDefault="00512048" w:rsidP="00512048">
      <w:pPr>
        <w:pStyle w:val="SangriaFrancesaArticulo"/>
      </w:pPr>
      <w:r w:rsidRPr="00512048">
        <w:rPr>
          <w:rStyle w:val="TextoNormalNegritaCaracter"/>
        </w:rPr>
        <w:t>Artículo 50.3.</w:t>
      </w:r>
      <w:r w:rsidRPr="00512048">
        <w:rPr>
          <w:rStyle w:val="TextoNormalCaracter"/>
        </w:rPr>
        <w:t>-</w:t>
      </w:r>
      <w:r>
        <w:t xml:space="preserve"> Autos </w:t>
      </w:r>
      <w:hyperlink w:anchor="AUTO_2007_254" w:history="1">
        <w:r w:rsidRPr="00512048">
          <w:rPr>
            <w:rStyle w:val="TextoNormalCaracter"/>
          </w:rPr>
          <w:t>254/2007</w:t>
        </w:r>
      </w:hyperlink>
      <w:r>
        <w:t xml:space="preserve">; </w:t>
      </w:r>
      <w:hyperlink w:anchor="AUTO_2007_256" w:history="1">
        <w:r w:rsidRPr="00512048">
          <w:rPr>
            <w:rStyle w:val="TextoNormalCaracter"/>
          </w:rPr>
          <w:t>256/2007</w:t>
        </w:r>
      </w:hyperlink>
      <w:r>
        <w:t xml:space="preserve">; </w:t>
      </w:r>
      <w:hyperlink w:anchor="AUTO_2007_262" w:history="1">
        <w:r w:rsidRPr="00512048">
          <w:rPr>
            <w:rStyle w:val="TextoNormalCaracter"/>
          </w:rPr>
          <w:t>262/2007</w:t>
        </w:r>
      </w:hyperlink>
      <w:r>
        <w:t xml:space="preserve">; </w:t>
      </w:r>
      <w:hyperlink w:anchor="AUTO_2007_281" w:history="1">
        <w:r w:rsidRPr="00512048">
          <w:rPr>
            <w:rStyle w:val="TextoNormalCaracter"/>
          </w:rPr>
          <w:t>281/2007</w:t>
        </w:r>
      </w:hyperlink>
      <w:r>
        <w:t xml:space="preserve">; </w:t>
      </w:r>
      <w:hyperlink w:anchor="AUTO_2007_316" w:history="1">
        <w:r w:rsidRPr="00512048">
          <w:rPr>
            <w:rStyle w:val="TextoNormalCaracter"/>
          </w:rPr>
          <w:t>316/2007</w:t>
        </w:r>
      </w:hyperlink>
      <w:r>
        <w:t xml:space="preserve">; </w:t>
      </w:r>
      <w:hyperlink w:anchor="AUTO_2007_325" w:history="1">
        <w:r w:rsidRPr="00512048">
          <w:rPr>
            <w:rStyle w:val="TextoNormalCaracter"/>
          </w:rPr>
          <w:t>325/2007</w:t>
        </w:r>
      </w:hyperlink>
      <w:r>
        <w:t xml:space="preserve">; </w:t>
      </w:r>
      <w:hyperlink w:anchor="AUTO_2007_327" w:history="1">
        <w:r w:rsidRPr="00512048">
          <w:rPr>
            <w:rStyle w:val="TextoNormalCaracter"/>
          </w:rPr>
          <w:t>327/2007</w:t>
        </w:r>
      </w:hyperlink>
      <w:r>
        <w:t>.</w:t>
      </w:r>
    </w:p>
    <w:p w:rsidR="00512048" w:rsidRDefault="00512048" w:rsidP="00512048">
      <w:pPr>
        <w:pStyle w:val="SangriaFrancesaArticulo"/>
      </w:pPr>
      <w:r w:rsidRPr="00512048">
        <w:rPr>
          <w:rStyle w:val="TextoNormalNegritaCaracter"/>
        </w:rPr>
        <w:t>Artículo 51.2.</w:t>
      </w:r>
      <w:r w:rsidRPr="00512048">
        <w:rPr>
          <w:rStyle w:val="TextoNormalCaracter"/>
        </w:rPr>
        <w:t>-</w:t>
      </w:r>
      <w:r>
        <w:t xml:space="preserve"> Sentencia </w:t>
      </w:r>
      <w:hyperlink w:anchor="SENTENCIA_2007_101" w:history="1">
        <w:r w:rsidRPr="00512048">
          <w:rPr>
            <w:rStyle w:val="TextoNormalCaracter"/>
          </w:rPr>
          <w:t>101/2007</w:t>
        </w:r>
      </w:hyperlink>
      <w:r>
        <w:t>, f. 6.</w:t>
      </w:r>
    </w:p>
    <w:p w:rsidR="00512048" w:rsidRDefault="00512048" w:rsidP="00512048">
      <w:pPr>
        <w:pStyle w:val="SangriaFrancesaArticulo"/>
      </w:pPr>
      <w:r w:rsidRPr="00512048">
        <w:rPr>
          <w:rStyle w:val="TextoNormalNegritaCaracter"/>
        </w:rPr>
        <w:t>Artículo 53.</w:t>
      </w:r>
      <w:r w:rsidRPr="00512048">
        <w:rPr>
          <w:rStyle w:val="TextoNormalCaracter"/>
        </w:rPr>
        <w:t>-</w:t>
      </w:r>
      <w:r>
        <w:t xml:space="preserve"> Sentencia </w:t>
      </w:r>
      <w:hyperlink w:anchor="SENTENCIA_2007_174" w:history="1">
        <w:r w:rsidRPr="00512048">
          <w:rPr>
            <w:rStyle w:val="TextoNormalCaracter"/>
          </w:rPr>
          <w:t>174/2007</w:t>
        </w:r>
      </w:hyperlink>
      <w:r>
        <w:t>, f. único.</w:t>
      </w:r>
    </w:p>
    <w:p w:rsidR="00512048" w:rsidRDefault="00512048" w:rsidP="00512048">
      <w:pPr>
        <w:pStyle w:val="SangriaFrancesaArticulo"/>
      </w:pPr>
      <w:r w:rsidRPr="00512048">
        <w:rPr>
          <w:rStyle w:val="TextoNormalNegritaCaracter"/>
        </w:rPr>
        <w:t>Artículo 53 a).</w:t>
      </w:r>
      <w:r w:rsidRPr="00512048">
        <w:rPr>
          <w:rStyle w:val="TextoNormalCaracter"/>
        </w:rPr>
        <w:t>-</w:t>
      </w:r>
      <w:r>
        <w:t xml:space="preserve"> Sentencias </w:t>
      </w:r>
      <w:hyperlink w:anchor="SENTENCIA_2007_109" w:history="1">
        <w:r w:rsidRPr="00512048">
          <w:rPr>
            <w:rStyle w:val="TextoNormalCaracter"/>
          </w:rPr>
          <w:t>109/2007</w:t>
        </w:r>
      </w:hyperlink>
      <w:r>
        <w:t xml:space="preserve">, f. 3; </w:t>
      </w:r>
      <w:hyperlink w:anchor="SENTENCIA_2007_136" w:history="1">
        <w:r w:rsidRPr="00512048">
          <w:rPr>
            <w:rStyle w:val="TextoNormalCaracter"/>
          </w:rPr>
          <w:t>136/2007</w:t>
        </w:r>
      </w:hyperlink>
      <w:r>
        <w:t xml:space="preserve">, f. 3; </w:t>
      </w:r>
      <w:hyperlink w:anchor="SENTENCIA_2007_156" w:history="1">
        <w:r w:rsidRPr="00512048">
          <w:rPr>
            <w:rStyle w:val="TextoNormalCaracter"/>
          </w:rPr>
          <w:t>156/2007</w:t>
        </w:r>
      </w:hyperlink>
      <w:r>
        <w:t xml:space="preserve">, f. 7; </w:t>
      </w:r>
      <w:hyperlink w:anchor="SENTENCIA_2007_160" w:history="1">
        <w:r w:rsidRPr="00512048">
          <w:rPr>
            <w:rStyle w:val="TextoNormalCaracter"/>
          </w:rPr>
          <w:t>160/2007</w:t>
        </w:r>
      </w:hyperlink>
      <w:r>
        <w:t xml:space="preserve">, f. 6; </w:t>
      </w:r>
      <w:hyperlink w:anchor="SENTENCIA_2007_162" w:history="1">
        <w:r w:rsidRPr="00512048">
          <w:rPr>
            <w:rStyle w:val="TextoNormalCaracter"/>
          </w:rPr>
          <w:t>162/2007</w:t>
        </w:r>
      </w:hyperlink>
      <w:r>
        <w:t>, f. 4.</w:t>
      </w:r>
    </w:p>
    <w:p w:rsidR="00512048" w:rsidRDefault="00512048" w:rsidP="00512048">
      <w:pPr>
        <w:pStyle w:val="SangriaFrancesaArticulo"/>
      </w:pPr>
      <w:r w:rsidRPr="00512048">
        <w:rPr>
          <w:rStyle w:val="TextoNormalNegritaCaracter"/>
        </w:rPr>
        <w:t>Artículo 53 b).</w:t>
      </w:r>
      <w:r w:rsidRPr="00512048">
        <w:rPr>
          <w:rStyle w:val="TextoNormalCaracter"/>
        </w:rPr>
        <w:t>-</w:t>
      </w:r>
      <w:r>
        <w:t xml:space="preserve"> Sentencia </w:t>
      </w:r>
      <w:hyperlink w:anchor="SENTENCIA_2007_147" w:history="1">
        <w:r w:rsidRPr="00512048">
          <w:rPr>
            <w:rStyle w:val="TextoNormalCaracter"/>
          </w:rPr>
          <w:t>147/2007</w:t>
        </w:r>
      </w:hyperlink>
      <w:r>
        <w:t>, f. 5.</w:t>
      </w:r>
    </w:p>
    <w:p w:rsidR="00512048" w:rsidRDefault="00512048" w:rsidP="00512048">
      <w:pPr>
        <w:pStyle w:val="SangriaFrancesaArticulo"/>
      </w:pPr>
      <w:r w:rsidRPr="00512048">
        <w:rPr>
          <w:rStyle w:val="TextoNormalNegritaCaracter"/>
        </w:rPr>
        <w:t>Artículo 54.</w:t>
      </w:r>
      <w:r w:rsidRPr="00512048">
        <w:rPr>
          <w:rStyle w:val="TextoNormalCaracter"/>
        </w:rPr>
        <w:t>-</w:t>
      </w:r>
      <w:r>
        <w:t xml:space="preserve"> Auto </w:t>
      </w:r>
      <w:hyperlink w:anchor="AUTO_2007_313" w:history="1">
        <w:r w:rsidRPr="00512048">
          <w:rPr>
            <w:rStyle w:val="TextoNormalCaracter"/>
          </w:rPr>
          <w:t>313/2007</w:t>
        </w:r>
      </w:hyperlink>
      <w:r>
        <w:t>.</w:t>
      </w:r>
    </w:p>
    <w:p w:rsidR="00512048" w:rsidRDefault="00512048" w:rsidP="00512048">
      <w:pPr>
        <w:pStyle w:val="SangriaFrancesaArticulo"/>
      </w:pPr>
      <w:r w:rsidRPr="00512048">
        <w:rPr>
          <w:rStyle w:val="TextoNormalNegritaCaracter"/>
        </w:rPr>
        <w:t>Artículo 55.</w:t>
      </w:r>
      <w:r w:rsidRPr="00512048">
        <w:rPr>
          <w:rStyle w:val="TextoNormalCaracter"/>
        </w:rPr>
        <w:t>-</w:t>
      </w:r>
      <w:r>
        <w:t xml:space="preserve"> Sentencia </w:t>
      </w:r>
      <w:hyperlink w:anchor="SENTENCIA_2007_160" w:history="1">
        <w:r w:rsidRPr="00512048">
          <w:rPr>
            <w:rStyle w:val="TextoNormalCaracter"/>
          </w:rPr>
          <w:t>160/2007</w:t>
        </w:r>
      </w:hyperlink>
      <w:r>
        <w:t>, f. 6.</w:t>
      </w:r>
    </w:p>
    <w:p w:rsidR="00512048" w:rsidRDefault="00512048" w:rsidP="00512048">
      <w:pPr>
        <w:pStyle w:val="SangriaFrancesaArticulo"/>
      </w:pPr>
      <w:r w:rsidRPr="00512048">
        <w:rPr>
          <w:rStyle w:val="TextoNormalNegritaCaracter"/>
        </w:rPr>
        <w:t>Artículo 55.1.</w:t>
      </w:r>
      <w:r w:rsidRPr="00512048">
        <w:rPr>
          <w:rStyle w:val="TextoNormalCaracter"/>
        </w:rPr>
        <w:t>-</w:t>
      </w:r>
      <w:r>
        <w:t xml:space="preserve"> Sentencia </w:t>
      </w:r>
      <w:hyperlink w:anchor="SENTENCIA_2007_123" w:history="1">
        <w:r w:rsidRPr="00512048">
          <w:rPr>
            <w:rStyle w:val="TextoNormalCaracter"/>
          </w:rPr>
          <w:t>123/2007</w:t>
        </w:r>
      </w:hyperlink>
      <w:r>
        <w:t>, f. 3.</w:t>
      </w:r>
    </w:p>
    <w:p w:rsidR="00512048" w:rsidRDefault="00512048" w:rsidP="00512048">
      <w:pPr>
        <w:pStyle w:val="SangriaFrancesaArticulo"/>
      </w:pPr>
      <w:r w:rsidRPr="00512048">
        <w:rPr>
          <w:rStyle w:val="TextoNormalNegritaCaracter"/>
        </w:rPr>
        <w:t>Artículo 55.1 c).</w:t>
      </w:r>
      <w:r w:rsidRPr="00512048">
        <w:rPr>
          <w:rStyle w:val="TextoNormalCaracter"/>
        </w:rPr>
        <w:t>-</w:t>
      </w:r>
      <w:r>
        <w:t xml:space="preserve"> Sentencia </w:t>
      </w:r>
      <w:hyperlink w:anchor="SENTENCIA_2007_171" w:history="1">
        <w:r w:rsidRPr="00512048">
          <w:rPr>
            <w:rStyle w:val="TextoNormalCaracter"/>
          </w:rPr>
          <w:t>171/2007</w:t>
        </w:r>
      </w:hyperlink>
      <w:r>
        <w:t>, f. 4.</w:t>
      </w:r>
    </w:p>
    <w:p w:rsidR="00512048" w:rsidRDefault="00512048" w:rsidP="00512048">
      <w:pPr>
        <w:pStyle w:val="SangriaFrancesaArticulo"/>
      </w:pPr>
      <w:r w:rsidRPr="00512048">
        <w:rPr>
          <w:rStyle w:val="TextoNormalNegritaCaracter"/>
        </w:rPr>
        <w:t>Artículo 55.2.</w:t>
      </w:r>
      <w:r w:rsidRPr="00512048">
        <w:rPr>
          <w:rStyle w:val="TextoNormalCaracter"/>
        </w:rPr>
        <w:t>-</w:t>
      </w:r>
      <w:r>
        <w:t xml:space="preserve"> Sentencias </w:t>
      </w:r>
      <w:hyperlink w:anchor="SENTENCIA_2007_91" w:history="1">
        <w:r w:rsidRPr="00512048">
          <w:rPr>
            <w:rStyle w:val="TextoNormalCaracter"/>
          </w:rPr>
          <w:t>91/2007</w:t>
        </w:r>
      </w:hyperlink>
      <w:r>
        <w:t xml:space="preserve">, f. 2; </w:t>
      </w:r>
      <w:hyperlink w:anchor="SENTENCIA_2007_108" w:history="1">
        <w:r w:rsidRPr="00512048">
          <w:rPr>
            <w:rStyle w:val="TextoNormalCaracter"/>
          </w:rPr>
          <w:t>108/2007</w:t>
        </w:r>
      </w:hyperlink>
      <w:r>
        <w:t xml:space="preserve">, VP; </w:t>
      </w:r>
      <w:hyperlink w:anchor="SENTENCIA_2007_127" w:history="1">
        <w:r w:rsidRPr="00512048">
          <w:rPr>
            <w:rStyle w:val="TextoNormalCaracter"/>
          </w:rPr>
          <w:t>127/2007</w:t>
        </w:r>
      </w:hyperlink>
      <w:r>
        <w:t>, f. 4, VP.</w:t>
      </w:r>
    </w:p>
    <w:p w:rsidR="00512048" w:rsidRDefault="00512048" w:rsidP="00512048">
      <w:pPr>
        <w:pStyle w:val="SangriaFrancesaArticulo"/>
      </w:pPr>
      <w:r w:rsidRPr="00512048">
        <w:rPr>
          <w:rStyle w:val="TextoNormalNegritaCaracter"/>
        </w:rPr>
        <w:t>Artículo 56.</w:t>
      </w:r>
      <w:r w:rsidRPr="00512048">
        <w:rPr>
          <w:rStyle w:val="TextoNormalCaracter"/>
        </w:rPr>
        <w:t>-</w:t>
      </w:r>
      <w:r>
        <w:t xml:space="preserve"> Autos </w:t>
      </w:r>
      <w:hyperlink w:anchor="AUTO_2007_230" w:history="1">
        <w:r w:rsidRPr="00512048">
          <w:rPr>
            <w:rStyle w:val="TextoNormalCaracter"/>
          </w:rPr>
          <w:t>230/2007</w:t>
        </w:r>
      </w:hyperlink>
      <w:r>
        <w:t xml:space="preserve">; </w:t>
      </w:r>
      <w:hyperlink w:anchor="AUTO_2007_273" w:history="1">
        <w:r w:rsidRPr="00512048">
          <w:rPr>
            <w:rStyle w:val="TextoNormalCaracter"/>
          </w:rPr>
          <w:t>273/2007</w:t>
        </w:r>
      </w:hyperlink>
      <w:r>
        <w:t xml:space="preserve">; </w:t>
      </w:r>
      <w:hyperlink w:anchor="AUTO_2007_283" w:history="1">
        <w:r w:rsidRPr="00512048">
          <w:rPr>
            <w:rStyle w:val="TextoNormalCaracter"/>
          </w:rPr>
          <w:t>283/2007</w:t>
        </w:r>
      </w:hyperlink>
      <w:r>
        <w:t xml:space="preserve">; </w:t>
      </w:r>
      <w:hyperlink w:anchor="AUTO_2007_284" w:history="1">
        <w:r w:rsidRPr="00512048">
          <w:rPr>
            <w:rStyle w:val="TextoNormalCaracter"/>
          </w:rPr>
          <w:t>284/2007</w:t>
        </w:r>
      </w:hyperlink>
      <w:r>
        <w:t xml:space="preserve">; </w:t>
      </w:r>
      <w:hyperlink w:anchor="AUTO_2007_286" w:history="1">
        <w:r w:rsidRPr="00512048">
          <w:rPr>
            <w:rStyle w:val="TextoNormalCaracter"/>
          </w:rPr>
          <w:t>286/2007</w:t>
        </w:r>
      </w:hyperlink>
      <w:r>
        <w:t xml:space="preserve">; </w:t>
      </w:r>
      <w:hyperlink w:anchor="AUTO_2007_287" w:history="1">
        <w:r w:rsidRPr="00512048">
          <w:rPr>
            <w:rStyle w:val="TextoNormalCaracter"/>
          </w:rPr>
          <w:t>287/2007</w:t>
        </w:r>
      </w:hyperlink>
      <w:r>
        <w:t>.</w:t>
      </w:r>
    </w:p>
    <w:p w:rsidR="00512048" w:rsidRDefault="00512048" w:rsidP="00512048">
      <w:pPr>
        <w:pStyle w:val="SangriaFrancesaArticulo"/>
      </w:pPr>
      <w:r w:rsidRPr="00512048">
        <w:rPr>
          <w:rStyle w:val="TextoNormalNegritaCaracter"/>
        </w:rPr>
        <w:t>Artículo 56.1.</w:t>
      </w:r>
      <w:r w:rsidRPr="00512048">
        <w:rPr>
          <w:rStyle w:val="TextoNormalCaracter"/>
        </w:rPr>
        <w:t>-</w:t>
      </w:r>
      <w:r>
        <w:t xml:space="preserve"> Autos </w:t>
      </w:r>
      <w:hyperlink w:anchor="AUTO_2007_230" w:history="1">
        <w:r w:rsidRPr="00512048">
          <w:rPr>
            <w:rStyle w:val="TextoNormalCaracter"/>
          </w:rPr>
          <w:t>230/2007</w:t>
        </w:r>
      </w:hyperlink>
      <w:r>
        <w:t xml:space="preserve">; </w:t>
      </w:r>
      <w:hyperlink w:anchor="AUTO_2007_233" w:history="1">
        <w:r w:rsidRPr="00512048">
          <w:rPr>
            <w:rStyle w:val="TextoNormalCaracter"/>
          </w:rPr>
          <w:t>233/2007</w:t>
        </w:r>
      </w:hyperlink>
      <w:r>
        <w:t xml:space="preserve">; </w:t>
      </w:r>
      <w:hyperlink w:anchor="AUTO_2007_235" w:history="1">
        <w:r w:rsidRPr="00512048">
          <w:rPr>
            <w:rStyle w:val="TextoNormalCaracter"/>
          </w:rPr>
          <w:t>235/2007</w:t>
        </w:r>
      </w:hyperlink>
      <w:r>
        <w:t xml:space="preserve">; </w:t>
      </w:r>
      <w:hyperlink w:anchor="AUTO_2007_248" w:history="1">
        <w:r w:rsidRPr="00512048">
          <w:rPr>
            <w:rStyle w:val="TextoNormalCaracter"/>
          </w:rPr>
          <w:t>248/2007</w:t>
        </w:r>
      </w:hyperlink>
      <w:r>
        <w:t xml:space="preserve">; </w:t>
      </w:r>
      <w:hyperlink w:anchor="AUTO_2007_249" w:history="1">
        <w:r w:rsidRPr="00512048">
          <w:rPr>
            <w:rStyle w:val="TextoNormalCaracter"/>
          </w:rPr>
          <w:t>249/2007</w:t>
        </w:r>
      </w:hyperlink>
      <w:r>
        <w:t xml:space="preserve">; </w:t>
      </w:r>
      <w:hyperlink w:anchor="AUTO_2007_270" w:history="1">
        <w:r w:rsidRPr="00512048">
          <w:rPr>
            <w:rStyle w:val="TextoNormalCaracter"/>
          </w:rPr>
          <w:t>270/2007</w:t>
        </w:r>
      </w:hyperlink>
      <w:r>
        <w:t xml:space="preserve">; </w:t>
      </w:r>
      <w:hyperlink w:anchor="AUTO_2007_273" w:history="1">
        <w:r w:rsidRPr="00512048">
          <w:rPr>
            <w:rStyle w:val="TextoNormalCaracter"/>
          </w:rPr>
          <w:t>273/2007</w:t>
        </w:r>
      </w:hyperlink>
      <w:r>
        <w:t xml:space="preserve">; </w:t>
      </w:r>
      <w:hyperlink w:anchor="AUTO_2007_280" w:history="1">
        <w:r w:rsidRPr="00512048">
          <w:rPr>
            <w:rStyle w:val="TextoNormalCaracter"/>
          </w:rPr>
          <w:t>280/2007</w:t>
        </w:r>
      </w:hyperlink>
      <w:r>
        <w:t xml:space="preserve">; </w:t>
      </w:r>
      <w:hyperlink w:anchor="AUTO_2007_283" w:history="1">
        <w:r w:rsidRPr="00512048">
          <w:rPr>
            <w:rStyle w:val="TextoNormalCaracter"/>
          </w:rPr>
          <w:t>283/2007</w:t>
        </w:r>
      </w:hyperlink>
      <w:r>
        <w:t xml:space="preserve">; </w:t>
      </w:r>
      <w:hyperlink w:anchor="AUTO_2007_286" w:history="1">
        <w:r w:rsidRPr="00512048">
          <w:rPr>
            <w:rStyle w:val="TextoNormalCaracter"/>
          </w:rPr>
          <w:t>286/2007</w:t>
        </w:r>
      </w:hyperlink>
      <w:r>
        <w:t xml:space="preserve">; </w:t>
      </w:r>
      <w:hyperlink w:anchor="AUTO_2007_287" w:history="1">
        <w:r w:rsidRPr="00512048">
          <w:rPr>
            <w:rStyle w:val="TextoNormalCaracter"/>
          </w:rPr>
          <w:t>287/2007</w:t>
        </w:r>
      </w:hyperlink>
      <w:r>
        <w:t xml:space="preserve">; </w:t>
      </w:r>
      <w:hyperlink w:anchor="AUTO_2007_314" w:history="1">
        <w:r w:rsidRPr="00512048">
          <w:rPr>
            <w:rStyle w:val="TextoNormalCaracter"/>
          </w:rPr>
          <w:t>314/2007</w:t>
        </w:r>
      </w:hyperlink>
      <w:r>
        <w:t xml:space="preserve">; </w:t>
      </w:r>
      <w:hyperlink w:anchor="AUTO_2007_336" w:history="1">
        <w:r w:rsidRPr="00512048">
          <w:rPr>
            <w:rStyle w:val="TextoNormalCaracter"/>
          </w:rPr>
          <w:t>336/2007</w:t>
        </w:r>
      </w:hyperlink>
      <w:r>
        <w:t xml:space="preserve">; </w:t>
      </w:r>
      <w:hyperlink w:anchor="AUTO_2007_345" w:history="1">
        <w:r w:rsidRPr="00512048">
          <w:rPr>
            <w:rStyle w:val="TextoNormalCaracter"/>
          </w:rPr>
          <w:t>345/2007</w:t>
        </w:r>
      </w:hyperlink>
      <w:r>
        <w:t xml:space="preserve">; </w:t>
      </w:r>
      <w:hyperlink w:anchor="AUTO_2007_348" w:history="1">
        <w:r w:rsidRPr="00512048">
          <w:rPr>
            <w:rStyle w:val="TextoNormalCaracter"/>
          </w:rPr>
          <w:t>348/2007</w:t>
        </w:r>
      </w:hyperlink>
      <w:r>
        <w:t>.</w:t>
      </w:r>
    </w:p>
    <w:p w:rsidR="00512048" w:rsidRDefault="00512048" w:rsidP="00512048">
      <w:pPr>
        <w:pStyle w:val="SangriaFrancesaArticulo"/>
      </w:pPr>
      <w:r w:rsidRPr="00512048">
        <w:rPr>
          <w:rStyle w:val="TextoNormalNegritaCaracter"/>
        </w:rPr>
        <w:t>Artículo 56.1</w:t>
      </w:r>
      <w:r>
        <w:t xml:space="preserve"> </w:t>
      </w:r>
      <w:r w:rsidRPr="00512048">
        <w:rPr>
          <w:rStyle w:val="TextoNormalCaracter"/>
        </w:rPr>
        <w:t>(redactado por la Ley Orgánica 6/2007, de 24 de mayo)</w:t>
      </w:r>
      <w:r w:rsidRPr="00512048">
        <w:rPr>
          <w:rStyle w:val="TextoNormalNegritaCaracter"/>
        </w:rPr>
        <w:t>.</w:t>
      </w:r>
      <w:r w:rsidRPr="00512048">
        <w:rPr>
          <w:rStyle w:val="TextoNormalCaracter"/>
        </w:rPr>
        <w:t>-</w:t>
      </w:r>
      <w:r>
        <w:t xml:space="preserve"> Auto </w:t>
      </w:r>
      <w:hyperlink w:anchor="AUTO_2007_335" w:history="1">
        <w:r w:rsidRPr="00512048">
          <w:rPr>
            <w:rStyle w:val="TextoNormalCaracter"/>
          </w:rPr>
          <w:t>335/2007</w:t>
        </w:r>
      </w:hyperlink>
      <w:r>
        <w:t>.</w:t>
      </w:r>
    </w:p>
    <w:p w:rsidR="00512048" w:rsidRDefault="00512048" w:rsidP="00512048">
      <w:pPr>
        <w:pStyle w:val="SangriaFrancesaArticulo"/>
      </w:pPr>
      <w:r w:rsidRPr="00512048">
        <w:rPr>
          <w:rStyle w:val="TextoNormalNegritaCaracter"/>
        </w:rPr>
        <w:t>Artículo 56.2</w:t>
      </w:r>
      <w:r>
        <w:t xml:space="preserve"> </w:t>
      </w:r>
      <w:r w:rsidRPr="00512048">
        <w:rPr>
          <w:rStyle w:val="TextoNormalCaracter"/>
        </w:rPr>
        <w:t>(redactado por la Ley Orgánica 6/2007, de 24 de mayo)</w:t>
      </w:r>
      <w:r w:rsidRPr="00512048">
        <w:rPr>
          <w:rStyle w:val="TextoNormalNegritaCaracter"/>
        </w:rPr>
        <w:t>.</w:t>
      </w:r>
      <w:r w:rsidRPr="00512048">
        <w:rPr>
          <w:rStyle w:val="TextoNormalCaracter"/>
        </w:rPr>
        <w:t>-</w:t>
      </w:r>
      <w:r>
        <w:t xml:space="preserve"> Auto </w:t>
      </w:r>
      <w:hyperlink w:anchor="AUTO_2007_335" w:history="1">
        <w:r w:rsidRPr="00512048">
          <w:rPr>
            <w:rStyle w:val="TextoNormalCaracter"/>
          </w:rPr>
          <w:t>335/2007</w:t>
        </w:r>
      </w:hyperlink>
      <w:r>
        <w:t>.</w:t>
      </w:r>
    </w:p>
    <w:p w:rsidR="00512048" w:rsidRDefault="00512048" w:rsidP="00512048">
      <w:pPr>
        <w:pStyle w:val="SangriaFrancesaArticulo"/>
      </w:pPr>
      <w:r w:rsidRPr="00512048">
        <w:rPr>
          <w:rStyle w:val="TextoNormalNegritaCaracter"/>
        </w:rPr>
        <w:t>Artículo 57.</w:t>
      </w:r>
      <w:r w:rsidRPr="00512048">
        <w:rPr>
          <w:rStyle w:val="TextoNormalCaracter"/>
        </w:rPr>
        <w:t>-</w:t>
      </w:r>
      <w:r>
        <w:t xml:space="preserve"> Autos </w:t>
      </w:r>
      <w:hyperlink w:anchor="AUTO_2007_283" w:history="1">
        <w:r w:rsidRPr="00512048">
          <w:rPr>
            <w:rStyle w:val="TextoNormalCaracter"/>
          </w:rPr>
          <w:t>283/2007</w:t>
        </w:r>
      </w:hyperlink>
      <w:r>
        <w:t xml:space="preserve">; </w:t>
      </w:r>
      <w:hyperlink w:anchor="AUTO_2007_348" w:history="1">
        <w:r w:rsidRPr="00512048">
          <w:rPr>
            <w:rStyle w:val="TextoNormalCaracter"/>
          </w:rPr>
          <w:t>348/2007</w:t>
        </w:r>
      </w:hyperlink>
      <w:r>
        <w:t>.</w:t>
      </w:r>
    </w:p>
    <w:p w:rsidR="00512048" w:rsidRDefault="00512048" w:rsidP="00512048">
      <w:pPr>
        <w:pStyle w:val="SangriaFrancesaArticulo"/>
      </w:pPr>
      <w:r w:rsidRPr="00512048">
        <w:rPr>
          <w:rStyle w:val="TextoNormalNegritaCaracter"/>
        </w:rPr>
        <w:t>Artículo 64.3.</w:t>
      </w:r>
      <w:r w:rsidRPr="00512048">
        <w:rPr>
          <w:rStyle w:val="TextoNormalCaracter"/>
        </w:rPr>
        <w:t>-</w:t>
      </w:r>
      <w:r>
        <w:t xml:space="preserve"> Auto </w:t>
      </w:r>
      <w:hyperlink w:anchor="AUTO_2007_258" w:history="1">
        <w:r w:rsidRPr="00512048">
          <w:rPr>
            <w:rStyle w:val="TextoNormalCaracter"/>
          </w:rPr>
          <w:t>258/2007</w:t>
        </w:r>
      </w:hyperlink>
      <w:r>
        <w:t>.</w:t>
      </w:r>
    </w:p>
    <w:p w:rsidR="00512048" w:rsidRDefault="00512048" w:rsidP="00512048">
      <w:pPr>
        <w:pStyle w:val="SangriaFrancesaArticulo"/>
      </w:pPr>
      <w:r w:rsidRPr="00512048">
        <w:rPr>
          <w:rStyle w:val="TextoNormalNegritaCaracter"/>
        </w:rPr>
        <w:t>Artículo 75 ter, apartado 1 b).</w:t>
      </w:r>
      <w:r w:rsidRPr="00512048">
        <w:rPr>
          <w:rStyle w:val="TextoNormalCaracter"/>
        </w:rPr>
        <w:t>-</w:t>
      </w:r>
      <w:r>
        <w:t xml:space="preserve"> Auto </w:t>
      </w:r>
      <w:hyperlink w:anchor="AUTO_2007_322" w:history="1">
        <w:r w:rsidRPr="00512048">
          <w:rPr>
            <w:rStyle w:val="TextoNormalCaracter"/>
          </w:rPr>
          <w:t>322/2007</w:t>
        </w:r>
      </w:hyperlink>
      <w:r>
        <w:t>.</w:t>
      </w:r>
    </w:p>
    <w:p w:rsidR="00512048" w:rsidRDefault="00512048" w:rsidP="00512048">
      <w:pPr>
        <w:pStyle w:val="SangriaFrancesaArticulo"/>
      </w:pPr>
      <w:r w:rsidRPr="00512048">
        <w:rPr>
          <w:rStyle w:val="TextoNormalNegritaCaracter"/>
        </w:rPr>
        <w:t>Artículo 80.</w:t>
      </w:r>
      <w:r w:rsidRPr="00512048">
        <w:rPr>
          <w:rStyle w:val="TextoNormalCaracter"/>
        </w:rPr>
        <w:t>-</w:t>
      </w:r>
      <w:r>
        <w:t xml:space="preserve"> Autos </w:t>
      </w:r>
      <w:hyperlink w:anchor="AUTO_2007_241" w:history="1">
        <w:r w:rsidRPr="00512048">
          <w:rPr>
            <w:rStyle w:val="TextoNormalCaracter"/>
          </w:rPr>
          <w:t>241/2007</w:t>
        </w:r>
      </w:hyperlink>
      <w:r>
        <w:t xml:space="preserve">; </w:t>
      </w:r>
      <w:hyperlink w:anchor="AUTO_2007_242" w:history="1">
        <w:r w:rsidRPr="00512048">
          <w:rPr>
            <w:rStyle w:val="TextoNormalCaracter"/>
          </w:rPr>
          <w:t>242/2007</w:t>
        </w:r>
      </w:hyperlink>
      <w:r>
        <w:t xml:space="preserve">; </w:t>
      </w:r>
      <w:hyperlink w:anchor="AUTO_2007_289" w:history="1">
        <w:r w:rsidRPr="00512048">
          <w:rPr>
            <w:rStyle w:val="TextoNormalCaracter"/>
          </w:rPr>
          <w:t>289/2007</w:t>
        </w:r>
      </w:hyperlink>
      <w:r>
        <w:t xml:space="preserve">; </w:t>
      </w:r>
      <w:hyperlink w:anchor="AUTO_2007_319" w:history="1">
        <w:r w:rsidRPr="00512048">
          <w:rPr>
            <w:rStyle w:val="TextoNormalCaracter"/>
          </w:rPr>
          <w:t>319/2007</w:t>
        </w:r>
      </w:hyperlink>
      <w:r>
        <w:t xml:space="preserve">; </w:t>
      </w:r>
      <w:hyperlink w:anchor="AUTO_2007_334" w:history="1">
        <w:r w:rsidRPr="00512048">
          <w:rPr>
            <w:rStyle w:val="TextoNormalCaracter"/>
          </w:rPr>
          <w:t>334/2007</w:t>
        </w:r>
      </w:hyperlink>
      <w:r>
        <w:t xml:space="preserve">; </w:t>
      </w:r>
      <w:hyperlink w:anchor="AUTO_2007_350" w:history="1">
        <w:r w:rsidRPr="00512048">
          <w:rPr>
            <w:rStyle w:val="TextoNormalCaracter"/>
          </w:rPr>
          <w:t>350/2007</w:t>
        </w:r>
      </w:hyperlink>
      <w:r>
        <w:t>.</w:t>
      </w:r>
    </w:p>
    <w:p w:rsidR="00512048" w:rsidRDefault="00512048" w:rsidP="00512048">
      <w:pPr>
        <w:pStyle w:val="SangriaFrancesaArticulo"/>
      </w:pPr>
      <w:r w:rsidRPr="00512048">
        <w:rPr>
          <w:rStyle w:val="TextoNormalNegritaCaracter"/>
        </w:rPr>
        <w:lastRenderedPageBreak/>
        <w:t>Artículo 81.</w:t>
      </w:r>
      <w:r w:rsidRPr="00512048">
        <w:rPr>
          <w:rStyle w:val="TextoNormalCaracter"/>
        </w:rPr>
        <w:t>-</w:t>
      </w:r>
      <w:r>
        <w:t xml:space="preserve"> Sentencia </w:t>
      </w:r>
      <w:hyperlink w:anchor="SENTENCIA_2007_112" w:history="1">
        <w:r w:rsidRPr="00512048">
          <w:rPr>
            <w:rStyle w:val="TextoNormalCaracter"/>
          </w:rPr>
          <w:t>112/2007</w:t>
        </w:r>
      </w:hyperlink>
      <w:r>
        <w:t>, f. 2.</w:t>
      </w:r>
    </w:p>
    <w:p w:rsidR="00512048" w:rsidRDefault="00512048" w:rsidP="00512048">
      <w:pPr>
        <w:pStyle w:val="SangriaFrancesaArticulo"/>
      </w:pPr>
      <w:r w:rsidRPr="00512048">
        <w:rPr>
          <w:rStyle w:val="TextoNormalNegritaCaracter"/>
        </w:rPr>
        <w:t>Artículo 83.</w:t>
      </w:r>
      <w:r w:rsidRPr="00512048">
        <w:rPr>
          <w:rStyle w:val="TextoNormalCaracter"/>
        </w:rPr>
        <w:t>-</w:t>
      </w:r>
      <w:r>
        <w:t xml:space="preserve"> Autos </w:t>
      </w:r>
      <w:hyperlink w:anchor="AUTO_2007_261" w:history="1">
        <w:r w:rsidRPr="00512048">
          <w:rPr>
            <w:rStyle w:val="TextoNormalCaracter"/>
          </w:rPr>
          <w:t>261/2007</w:t>
        </w:r>
      </w:hyperlink>
      <w:r>
        <w:t xml:space="preserve">; </w:t>
      </w:r>
      <w:hyperlink w:anchor="AUTO_2007_268" w:history="1">
        <w:r w:rsidRPr="00512048">
          <w:rPr>
            <w:rStyle w:val="TextoNormalCaracter"/>
          </w:rPr>
          <w:t>268/2007</w:t>
        </w:r>
      </w:hyperlink>
      <w:r>
        <w:t>.</w:t>
      </w:r>
    </w:p>
    <w:p w:rsidR="00512048" w:rsidRDefault="00512048" w:rsidP="00512048">
      <w:pPr>
        <w:pStyle w:val="SangriaFrancesaArticulo"/>
      </w:pPr>
      <w:r w:rsidRPr="00512048">
        <w:rPr>
          <w:rStyle w:val="TextoNormalNegritaCaracter"/>
        </w:rPr>
        <w:t>Artículo 84.</w:t>
      </w:r>
      <w:r w:rsidRPr="00512048">
        <w:rPr>
          <w:rStyle w:val="TextoNormalCaracter"/>
        </w:rPr>
        <w:t>-</w:t>
      </w:r>
      <w:r>
        <w:t xml:space="preserve"> Auto </w:t>
      </w:r>
      <w:hyperlink w:anchor="AUTO_2007_311" w:history="1">
        <w:r w:rsidRPr="00512048">
          <w:rPr>
            <w:rStyle w:val="TextoNormalCaracter"/>
          </w:rPr>
          <w:t>311/2007</w:t>
        </w:r>
      </w:hyperlink>
      <w:r>
        <w:t>.</w:t>
      </w:r>
    </w:p>
    <w:p w:rsidR="00512048" w:rsidRDefault="00512048" w:rsidP="00512048">
      <w:pPr>
        <w:pStyle w:val="SangriaFrancesaArticulo"/>
      </w:pPr>
      <w:r w:rsidRPr="00512048">
        <w:rPr>
          <w:rStyle w:val="TextoNormalNegritaCaracter"/>
        </w:rPr>
        <w:t>Artículo 86.</w:t>
      </w:r>
      <w:r w:rsidRPr="00512048">
        <w:rPr>
          <w:rStyle w:val="TextoNormalCaracter"/>
        </w:rPr>
        <w:t>-</w:t>
      </w:r>
      <w:r>
        <w:t xml:space="preserve"> Auto </w:t>
      </w:r>
      <w:hyperlink w:anchor="AUTO_2007_319" w:history="1">
        <w:r w:rsidRPr="00512048">
          <w:rPr>
            <w:rStyle w:val="TextoNormalCaracter"/>
          </w:rPr>
          <w:t>319/2007</w:t>
        </w:r>
      </w:hyperlink>
      <w:r>
        <w:t>.</w:t>
      </w:r>
    </w:p>
    <w:p w:rsidR="00512048" w:rsidRDefault="00512048" w:rsidP="00512048">
      <w:pPr>
        <w:pStyle w:val="SangriaFrancesaArticulo"/>
      </w:pPr>
      <w:r w:rsidRPr="00512048">
        <w:rPr>
          <w:rStyle w:val="TextoNormalNegritaCaracter"/>
        </w:rPr>
        <w:t>Artículo 86.1.</w:t>
      </w:r>
      <w:r w:rsidRPr="00512048">
        <w:rPr>
          <w:rStyle w:val="TextoNormalCaracter"/>
        </w:rPr>
        <w:t>-</w:t>
      </w:r>
      <w:r>
        <w:t xml:space="preserve"> Sentencia </w:t>
      </w:r>
      <w:hyperlink w:anchor="SENTENCIA_2007_133" w:history="1">
        <w:r w:rsidRPr="00512048">
          <w:rPr>
            <w:rStyle w:val="TextoNormalCaracter"/>
          </w:rPr>
          <w:t>133/2007</w:t>
        </w:r>
      </w:hyperlink>
      <w:r>
        <w:t>, f. 2.</w:t>
      </w:r>
    </w:p>
    <w:p w:rsidR="00512048" w:rsidRDefault="00512048" w:rsidP="00512048">
      <w:pPr>
        <w:pStyle w:val="SangriaIzquierdaArticulo"/>
      </w:pPr>
      <w:r>
        <w:t xml:space="preserve">Autos </w:t>
      </w:r>
      <w:hyperlink w:anchor="AUTO_2007_311" w:history="1">
        <w:r w:rsidRPr="00512048">
          <w:rPr>
            <w:rStyle w:val="TextoNormalCaracter"/>
          </w:rPr>
          <w:t>311/2007</w:t>
        </w:r>
      </w:hyperlink>
      <w:r>
        <w:t xml:space="preserve">; </w:t>
      </w:r>
      <w:hyperlink w:anchor="AUTO_2007_329" w:history="1">
        <w:r w:rsidRPr="00512048">
          <w:rPr>
            <w:rStyle w:val="TextoNormalCaracter"/>
          </w:rPr>
          <w:t>329/2007</w:t>
        </w:r>
      </w:hyperlink>
      <w:r>
        <w:t>.</w:t>
      </w:r>
    </w:p>
    <w:p w:rsidR="00512048" w:rsidRDefault="00512048" w:rsidP="00512048">
      <w:pPr>
        <w:pStyle w:val="SangriaFrancesaArticulo"/>
      </w:pPr>
      <w:r w:rsidRPr="00512048">
        <w:rPr>
          <w:rStyle w:val="TextoNormalNegritaCaracter"/>
        </w:rPr>
        <w:t>Artículo 89.</w:t>
      </w:r>
      <w:r w:rsidRPr="00512048">
        <w:rPr>
          <w:rStyle w:val="TextoNormalCaracter"/>
        </w:rPr>
        <w:t>-</w:t>
      </w:r>
      <w:r>
        <w:t xml:space="preserve"> Sentencia </w:t>
      </w:r>
      <w:hyperlink w:anchor="SENTENCIA_2007_110" w:history="1">
        <w:r w:rsidRPr="00512048">
          <w:rPr>
            <w:rStyle w:val="TextoNormalCaracter"/>
          </w:rPr>
          <w:t>110/2007</w:t>
        </w:r>
      </w:hyperlink>
      <w:r>
        <w:t>, f. 2.</w:t>
      </w:r>
    </w:p>
    <w:p w:rsidR="00512048" w:rsidRDefault="00512048" w:rsidP="00512048">
      <w:pPr>
        <w:pStyle w:val="SangriaFrancesaArticulo"/>
      </w:pPr>
      <w:r w:rsidRPr="00512048">
        <w:rPr>
          <w:rStyle w:val="TextoNormalNegritaCaracter"/>
        </w:rPr>
        <w:t>Artículo 90.2.</w:t>
      </w:r>
      <w:r w:rsidRPr="00512048">
        <w:rPr>
          <w:rStyle w:val="TextoNormalCaracter"/>
        </w:rPr>
        <w:t>-</w:t>
      </w:r>
      <w:r>
        <w:t xml:space="preserve"> Sentencia </w:t>
      </w:r>
      <w:hyperlink w:anchor="SENTENCIA_2007_128" w:history="1">
        <w:r w:rsidRPr="00512048">
          <w:rPr>
            <w:rStyle w:val="TextoNormalCaracter"/>
          </w:rPr>
          <w:t>128/2007</w:t>
        </w:r>
      </w:hyperlink>
      <w:r>
        <w:t>, VP.</w:t>
      </w:r>
    </w:p>
    <w:p w:rsidR="00512048" w:rsidRDefault="00512048" w:rsidP="00512048">
      <w:pPr>
        <w:pStyle w:val="SangriaIzquierdaArticulo"/>
      </w:pPr>
      <w:r>
        <w:t xml:space="preserve">Auto </w:t>
      </w:r>
      <w:hyperlink w:anchor="AUTO_2007_289" w:history="1">
        <w:r w:rsidRPr="00512048">
          <w:rPr>
            <w:rStyle w:val="TextoNormalCaracter"/>
          </w:rPr>
          <w:t>289/2007</w:t>
        </w:r>
      </w:hyperlink>
      <w:r>
        <w:t>.</w:t>
      </w:r>
    </w:p>
    <w:p w:rsidR="00512048" w:rsidRDefault="00512048" w:rsidP="00512048">
      <w:pPr>
        <w:pStyle w:val="SangriaFrancesaArticulo"/>
      </w:pPr>
      <w:r w:rsidRPr="00512048">
        <w:rPr>
          <w:rStyle w:val="TextoNormalNegritaCaracter"/>
        </w:rPr>
        <w:t>Artículo 95.2.</w:t>
      </w:r>
      <w:r w:rsidRPr="00512048">
        <w:rPr>
          <w:rStyle w:val="TextoNormalCaracter"/>
        </w:rPr>
        <w:t>-</w:t>
      </w:r>
      <w:r>
        <w:t xml:space="preserve"> Auto </w:t>
      </w:r>
      <w:hyperlink w:anchor="AUTO_2007_285" w:history="1">
        <w:r w:rsidRPr="00512048">
          <w:rPr>
            <w:rStyle w:val="TextoNormalCaracter"/>
          </w:rPr>
          <w:t>285/2007</w:t>
        </w:r>
      </w:hyperlink>
      <w:r>
        <w:t>.</w:t>
      </w:r>
    </w:p>
    <w:p w:rsidR="00512048" w:rsidRDefault="00512048" w:rsidP="00512048">
      <w:pPr>
        <w:pStyle w:val="SangriaFrancesaArticulo"/>
      </w:pPr>
    </w:p>
    <w:p w:rsidR="00512048" w:rsidRDefault="00512048" w:rsidP="00512048">
      <w:pPr>
        <w:pStyle w:val="TextoNormalNegritaCursivandice"/>
      </w:pPr>
      <w:r>
        <w:t>Acuerdo del Pleno del Tribunal Constitucional, de 20 de enero de 2000. Normas sobre tramitación de los recursos de amparo a que se refiere la Ley Orgánica 5/1985, de 19 de junio, de régimen electoral general</w:t>
      </w:r>
    </w:p>
    <w:p w:rsidR="00512048" w:rsidRDefault="00512048" w:rsidP="00512048">
      <w:pPr>
        <w:pStyle w:val="SangriaFrancesaArticulo"/>
      </w:pPr>
      <w:r w:rsidRPr="00512048">
        <w:rPr>
          <w:rStyle w:val="TextoNormalNegritaCaracter"/>
        </w:rPr>
        <w:t>Artículo 1.</w:t>
      </w:r>
      <w:r w:rsidRPr="00512048">
        <w:rPr>
          <w:rStyle w:val="TextoNormalCaracter"/>
        </w:rPr>
        <w:t>-</w:t>
      </w:r>
      <w:r>
        <w:t xml:space="preserve"> Sentencia </w:t>
      </w:r>
      <w:hyperlink w:anchor="SENTENCIA_2007_112" w:history="1">
        <w:r w:rsidRPr="00512048">
          <w:rPr>
            <w:rStyle w:val="TextoNormalCaracter"/>
          </w:rPr>
          <w:t>112/2007</w:t>
        </w:r>
      </w:hyperlink>
      <w:r>
        <w:t>, f. 2.</w:t>
      </w:r>
    </w:p>
    <w:p w:rsidR="00512048" w:rsidRDefault="00512048" w:rsidP="00512048">
      <w:pPr>
        <w:pStyle w:val="SangriaFrancesaArticulo"/>
      </w:pPr>
      <w:r w:rsidRPr="00512048">
        <w:rPr>
          <w:rStyle w:val="TextoNormalNegritaCaracter"/>
        </w:rPr>
        <w:t>Artículo 2.</w:t>
      </w:r>
      <w:r w:rsidRPr="00512048">
        <w:rPr>
          <w:rStyle w:val="TextoNormalCaracter"/>
        </w:rPr>
        <w:t>-</w:t>
      </w:r>
      <w:r>
        <w:t xml:space="preserve"> Sentencias </w:t>
      </w:r>
      <w:hyperlink w:anchor="SENTENCIA_2007_112" w:history="1">
        <w:r w:rsidRPr="00512048">
          <w:rPr>
            <w:rStyle w:val="TextoNormalCaracter"/>
          </w:rPr>
          <w:t>112/2007</w:t>
        </w:r>
      </w:hyperlink>
      <w:r>
        <w:t xml:space="preserve">, f. 2; </w:t>
      </w:r>
      <w:hyperlink w:anchor="SENTENCIA_2007_170" w:history="1">
        <w:r w:rsidRPr="00512048">
          <w:rPr>
            <w:rStyle w:val="TextoNormalCaracter"/>
          </w:rPr>
          <w:t>170/2007</w:t>
        </w:r>
      </w:hyperlink>
      <w:r>
        <w:t>, f. 2.</w:t>
      </w:r>
    </w:p>
    <w:p w:rsidR="00512048" w:rsidRDefault="00512048" w:rsidP="00512048">
      <w:pPr>
        <w:pStyle w:val="SangriaFrancesaArticulo"/>
      </w:pPr>
      <w:r w:rsidRPr="00512048">
        <w:rPr>
          <w:rStyle w:val="TextoNormalNegritaCaracter"/>
        </w:rPr>
        <w:t>Artículo 3.</w:t>
      </w:r>
      <w:r w:rsidRPr="00512048">
        <w:rPr>
          <w:rStyle w:val="TextoNormalCaracter"/>
        </w:rPr>
        <w:t>-</w:t>
      </w:r>
      <w:r>
        <w:t xml:space="preserve"> Sentencia </w:t>
      </w:r>
      <w:hyperlink w:anchor="SENTENCIA_2007_170" w:history="1">
        <w:r w:rsidRPr="00512048">
          <w:rPr>
            <w:rStyle w:val="TextoNormalCaracter"/>
          </w:rPr>
          <w:t>170/2007</w:t>
        </w:r>
      </w:hyperlink>
      <w:r>
        <w:t>, f. 2.</w:t>
      </w:r>
    </w:p>
    <w:p w:rsidR="00512048" w:rsidRDefault="00512048" w:rsidP="00512048">
      <w:pPr>
        <w:pStyle w:val="SangriaFrancesaArticulo"/>
      </w:pPr>
    </w:p>
    <w:p w:rsidR="00512048" w:rsidRDefault="00512048" w:rsidP="00512048">
      <w:pPr>
        <w:pStyle w:val="TextoNormalNegritaCursivandice"/>
      </w:pPr>
      <w:r>
        <w:t>Ley Orgánica 6/2007, de 24 de mayo. Modificación de la Ley Orgánica 2/1979, de 3 de octubre, del Tribunal Constitucional</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35" w:history="1">
        <w:r w:rsidRPr="00512048">
          <w:rPr>
            <w:rStyle w:val="TextoNormalCaracter"/>
          </w:rPr>
          <w:t>135/2007</w:t>
        </w:r>
      </w:hyperlink>
      <w:r>
        <w:t>, f. 4.</w:t>
      </w:r>
    </w:p>
    <w:p w:rsidR="00512048" w:rsidRDefault="00512048" w:rsidP="00512048">
      <w:pPr>
        <w:pStyle w:val="SangriaIzquierdaArticulo"/>
      </w:pPr>
      <w:r>
        <w:t xml:space="preserve">Autos </w:t>
      </w:r>
      <w:hyperlink w:anchor="AUTO_2007_314" w:history="1">
        <w:r w:rsidRPr="00512048">
          <w:rPr>
            <w:rStyle w:val="TextoNormalCaracter"/>
          </w:rPr>
          <w:t>314/2007</w:t>
        </w:r>
      </w:hyperlink>
      <w:r>
        <w:t xml:space="preserve">; </w:t>
      </w:r>
      <w:hyperlink w:anchor="AUTO_2007_327" w:history="1">
        <w:r w:rsidRPr="00512048">
          <w:rPr>
            <w:rStyle w:val="TextoNormalCaracter"/>
          </w:rPr>
          <w:t>327/2007</w:t>
        </w:r>
      </w:hyperlink>
      <w:r>
        <w:t xml:space="preserve">; </w:t>
      </w:r>
      <w:hyperlink w:anchor="AUTO_2007_335" w:history="1">
        <w:r w:rsidRPr="00512048">
          <w:rPr>
            <w:rStyle w:val="TextoNormalCaracter"/>
          </w:rPr>
          <w:t>335/2007</w:t>
        </w:r>
      </w:hyperlink>
      <w:r>
        <w:t xml:space="preserve">; </w:t>
      </w:r>
      <w:hyperlink w:anchor="AUTO_2007_345" w:history="1">
        <w:r w:rsidRPr="00512048">
          <w:rPr>
            <w:rStyle w:val="TextoNormalCaracter"/>
          </w:rPr>
          <w:t>345/2007</w:t>
        </w:r>
      </w:hyperlink>
      <w:r>
        <w:t xml:space="preserve">; </w:t>
      </w:r>
      <w:hyperlink w:anchor="AUTO_2007_348" w:history="1">
        <w:r w:rsidRPr="00512048">
          <w:rPr>
            <w:rStyle w:val="TextoNormalCaracter"/>
          </w:rPr>
          <w:t>348/2007</w:t>
        </w:r>
      </w:hyperlink>
      <w:r>
        <w:t>.</w:t>
      </w:r>
    </w:p>
    <w:p w:rsidR="00512048" w:rsidRDefault="00512048" w:rsidP="00512048">
      <w:pPr>
        <w:pStyle w:val="TextoNormal"/>
      </w:pPr>
    </w:p>
    <w:p w:rsidR="00512048" w:rsidRDefault="00512048" w:rsidP="00512048">
      <w:pPr>
        <w:pStyle w:val="SangriaIzquierdaArticulo"/>
      </w:pPr>
      <w:bookmarkStart w:id="226" w:name="INDICE22844"/>
    </w:p>
    <w:bookmarkEnd w:id="226"/>
    <w:p w:rsidR="00512048" w:rsidRDefault="00512048" w:rsidP="00512048">
      <w:pPr>
        <w:pStyle w:val="TextoIndiceNivel2"/>
        <w:suppressAutoHyphens/>
      </w:pPr>
      <w:r>
        <w:t>C) Cortes Generales</w:t>
      </w:r>
    </w:p>
    <w:p w:rsidR="00512048" w:rsidRDefault="00512048" w:rsidP="00512048">
      <w:pPr>
        <w:pStyle w:val="TextoIndiceNivel2"/>
      </w:pPr>
    </w:p>
    <w:p w:rsidR="00512048" w:rsidRDefault="00512048" w:rsidP="00512048">
      <w:pPr>
        <w:pStyle w:val="TextoNormalNegritaCursivandice"/>
      </w:pPr>
      <w:r>
        <w:t>Reglamento del Congreso de los Diputados, de 10 de febrero de 1982</w:t>
      </w:r>
    </w:p>
    <w:p w:rsidR="00512048" w:rsidRDefault="00512048" w:rsidP="00512048">
      <w:pPr>
        <w:pStyle w:val="SangriaFrancesaArticulo"/>
      </w:pPr>
      <w:r w:rsidRPr="00512048">
        <w:rPr>
          <w:rStyle w:val="TextoNormalNegritaCaracter"/>
        </w:rPr>
        <w:t>Artículos 23.1, 30.1, 40.1, 48.1, 49.1, 110.3, 171.3, 177.2, 174.3, 182.2, 184.2, 188, 193, 196.1, 197.2, 203.2, 204.2.</w:t>
      </w:r>
      <w:r w:rsidRPr="00512048">
        <w:rPr>
          <w:rStyle w:val="TextoNormalCaracter"/>
        </w:rPr>
        <w:t>-</w:t>
      </w:r>
      <w:r>
        <w:t xml:space="preserve"> Auto </w:t>
      </w:r>
      <w:hyperlink w:anchor="AUTO_2007_262" w:history="1">
        <w:r w:rsidRPr="00512048">
          <w:rPr>
            <w:rStyle w:val="TextoNormalCaracter"/>
          </w:rPr>
          <w:t>262/2007</w:t>
        </w:r>
      </w:hyperlink>
      <w:r>
        <w:t>.</w:t>
      </w:r>
    </w:p>
    <w:p w:rsidR="00512048" w:rsidRDefault="00512048" w:rsidP="00512048">
      <w:pPr>
        <w:pStyle w:val="SangriaFrancesaArticulo"/>
      </w:pPr>
    </w:p>
    <w:p w:rsidR="00512048" w:rsidRDefault="00512048" w:rsidP="00512048">
      <w:pPr>
        <w:pStyle w:val="TextoNormalNegritaCursivandice"/>
      </w:pPr>
      <w:r>
        <w:t>Acuerdos de la Mesa del Congreso de los Diputados de 13 y de 14 de abril de 2004. Constitución del grupo parlamentario Esquerra Republicana (ERC)</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Auto </w:t>
      </w:r>
      <w:hyperlink w:anchor="AUTO_2007_262" w:history="1">
        <w:r w:rsidRPr="00512048">
          <w:rPr>
            <w:rStyle w:val="TextoNormalCaracter"/>
          </w:rPr>
          <w:t>262/2007</w:t>
        </w:r>
      </w:hyperlink>
      <w:r>
        <w:t>.</w:t>
      </w:r>
    </w:p>
    <w:p w:rsidR="00512048" w:rsidRDefault="00512048" w:rsidP="00512048">
      <w:pPr>
        <w:pStyle w:val="TextoNormal"/>
      </w:pPr>
    </w:p>
    <w:p w:rsidR="00512048" w:rsidRDefault="00512048" w:rsidP="00512048">
      <w:pPr>
        <w:pStyle w:val="SangriaFrancesaArticulo"/>
      </w:pPr>
      <w:bookmarkStart w:id="227" w:name="INDICE22845"/>
    </w:p>
    <w:bookmarkEnd w:id="227"/>
    <w:p w:rsidR="00512048" w:rsidRDefault="00512048" w:rsidP="00512048">
      <w:pPr>
        <w:pStyle w:val="TextoIndiceNivel2"/>
        <w:suppressAutoHyphens/>
      </w:pPr>
      <w:r>
        <w:t>D) Leyes Orgánicas</w:t>
      </w:r>
    </w:p>
    <w:p w:rsidR="00512048" w:rsidRDefault="00512048" w:rsidP="00512048">
      <w:pPr>
        <w:pStyle w:val="TextoIndiceNivel2"/>
      </w:pPr>
    </w:p>
    <w:p w:rsidR="00512048" w:rsidRDefault="00512048" w:rsidP="00512048">
      <w:pPr>
        <w:pStyle w:val="TextoNormalNegritaCursivandice"/>
      </w:pPr>
      <w:r>
        <w:t>Ley Orgánica 1/1979, de 26 de septiembre. General penitenciaria</w:t>
      </w:r>
    </w:p>
    <w:p w:rsidR="00512048" w:rsidRDefault="00512048" w:rsidP="00512048">
      <w:pPr>
        <w:pStyle w:val="SangriaFrancesaArticulo"/>
      </w:pPr>
      <w:r w:rsidRPr="00512048">
        <w:rPr>
          <w:rStyle w:val="TextoNormalNegritaCaracter"/>
        </w:rPr>
        <w:t>Artículo 76.1.</w:t>
      </w:r>
      <w:r w:rsidRPr="00512048">
        <w:rPr>
          <w:rStyle w:val="TextoNormalCaracter"/>
        </w:rPr>
        <w:t>-</w:t>
      </w:r>
      <w:r>
        <w:t xml:space="preserve"> Sentencia </w:t>
      </w:r>
      <w:hyperlink w:anchor="SENTENCIA_2007_155" w:history="1">
        <w:r w:rsidRPr="00512048">
          <w:rPr>
            <w:rStyle w:val="TextoNormalCaracter"/>
          </w:rPr>
          <w:t>155/2007</w:t>
        </w:r>
      </w:hyperlink>
      <w:r>
        <w:t>, f. 3.</w:t>
      </w:r>
    </w:p>
    <w:p w:rsidR="00512048" w:rsidRDefault="00512048" w:rsidP="00512048">
      <w:pPr>
        <w:pStyle w:val="SangriaFrancesaArticulo"/>
      </w:pPr>
      <w:r w:rsidRPr="00512048">
        <w:rPr>
          <w:rStyle w:val="TextoNormalNegritaCaracter"/>
        </w:rPr>
        <w:t>Artículo 76.2 e).</w:t>
      </w:r>
      <w:r w:rsidRPr="00512048">
        <w:rPr>
          <w:rStyle w:val="TextoNormalCaracter"/>
        </w:rPr>
        <w:t>-</w:t>
      </w:r>
      <w:r>
        <w:t xml:space="preserve"> Sentencia </w:t>
      </w:r>
      <w:hyperlink w:anchor="SENTENCIA_2007_155" w:history="1">
        <w:r w:rsidRPr="00512048">
          <w:rPr>
            <w:rStyle w:val="TextoNormalCaracter"/>
          </w:rPr>
          <w:t>155/2007</w:t>
        </w:r>
      </w:hyperlink>
      <w:r>
        <w:t>, f. 3.</w:t>
      </w:r>
    </w:p>
    <w:p w:rsidR="00512048" w:rsidRDefault="00512048" w:rsidP="00512048">
      <w:pPr>
        <w:pStyle w:val="SangriaFrancesaArticulo"/>
      </w:pPr>
    </w:p>
    <w:p w:rsidR="00512048" w:rsidRDefault="00512048" w:rsidP="00512048">
      <w:pPr>
        <w:pStyle w:val="TextoNormalNegritaCursivandice"/>
      </w:pPr>
      <w:r>
        <w:t>Ley Orgánica 6/1984, de 24 de mayo. Regula del procedimiento de Habeas Corpus.</w:t>
      </w:r>
    </w:p>
    <w:p w:rsidR="00512048" w:rsidRDefault="00512048" w:rsidP="00512048">
      <w:pPr>
        <w:pStyle w:val="SangriaFrancesaArticulo"/>
      </w:pPr>
      <w:r w:rsidRPr="00512048">
        <w:rPr>
          <w:rStyle w:val="TextoNormalNegritaCaracter"/>
        </w:rPr>
        <w:t>Artículo 1.</w:t>
      </w:r>
      <w:r w:rsidRPr="00512048">
        <w:rPr>
          <w:rStyle w:val="TextoNormalCaracter"/>
        </w:rPr>
        <w:t>-</w:t>
      </w:r>
      <w:r>
        <w:t xml:space="preserve"> Sentencia </w:t>
      </w:r>
      <w:hyperlink w:anchor="SENTENCIA_2007_165" w:history="1">
        <w:r w:rsidRPr="00512048">
          <w:rPr>
            <w:rStyle w:val="TextoNormalCaracter"/>
          </w:rPr>
          <w:t>165/2007</w:t>
        </w:r>
      </w:hyperlink>
      <w:r>
        <w:t>, ff. 5, 6.</w:t>
      </w:r>
    </w:p>
    <w:p w:rsidR="00512048" w:rsidRDefault="00512048" w:rsidP="00512048">
      <w:pPr>
        <w:pStyle w:val="SangriaFrancesaArticulo"/>
      </w:pPr>
      <w:r w:rsidRPr="00512048">
        <w:rPr>
          <w:rStyle w:val="TextoNormalNegritaCaracter"/>
        </w:rPr>
        <w:t>Artículo 4.</w:t>
      </w:r>
      <w:r w:rsidRPr="00512048">
        <w:rPr>
          <w:rStyle w:val="TextoNormalCaracter"/>
        </w:rPr>
        <w:t>-</w:t>
      </w:r>
      <w:r>
        <w:t xml:space="preserve"> Sentencia </w:t>
      </w:r>
      <w:hyperlink w:anchor="SENTENCIA_2007_165" w:history="1">
        <w:r w:rsidRPr="00512048">
          <w:rPr>
            <w:rStyle w:val="TextoNormalCaracter"/>
          </w:rPr>
          <w:t>165/2007</w:t>
        </w:r>
      </w:hyperlink>
      <w:r>
        <w:t>, f. 4.</w:t>
      </w:r>
    </w:p>
    <w:p w:rsidR="00512048" w:rsidRDefault="00512048" w:rsidP="00512048">
      <w:pPr>
        <w:pStyle w:val="SangriaFrancesaArticulo"/>
      </w:pPr>
      <w:r w:rsidRPr="00512048">
        <w:rPr>
          <w:rStyle w:val="TextoNormalNegritaCaracter"/>
        </w:rPr>
        <w:lastRenderedPageBreak/>
        <w:t>Artículo 6.</w:t>
      </w:r>
      <w:r w:rsidRPr="00512048">
        <w:rPr>
          <w:rStyle w:val="TextoNormalCaracter"/>
        </w:rPr>
        <w:t>-</w:t>
      </w:r>
      <w:r>
        <w:t xml:space="preserve"> Sentencia </w:t>
      </w:r>
      <w:hyperlink w:anchor="SENTENCIA_2007_165" w:history="1">
        <w:r w:rsidRPr="00512048">
          <w:rPr>
            <w:rStyle w:val="TextoNormalCaracter"/>
          </w:rPr>
          <w:t>165/2007</w:t>
        </w:r>
      </w:hyperlink>
      <w:r>
        <w:t>, f. 5.</w:t>
      </w:r>
    </w:p>
    <w:p w:rsidR="00512048" w:rsidRDefault="00512048" w:rsidP="00512048">
      <w:pPr>
        <w:pStyle w:val="SangriaFrancesaArticulo"/>
      </w:pPr>
      <w:r w:rsidRPr="00512048">
        <w:rPr>
          <w:rStyle w:val="TextoNormalNegritaCaracter"/>
        </w:rPr>
        <w:t>Artículo 7.</w:t>
      </w:r>
      <w:r w:rsidRPr="00512048">
        <w:rPr>
          <w:rStyle w:val="TextoNormalCaracter"/>
        </w:rPr>
        <w:t>-</w:t>
      </w:r>
      <w:r>
        <w:t xml:space="preserve"> Sentencia </w:t>
      </w:r>
      <w:hyperlink w:anchor="SENTENCIA_2007_165" w:history="1">
        <w:r w:rsidRPr="00512048">
          <w:rPr>
            <w:rStyle w:val="TextoNormalCaracter"/>
          </w:rPr>
          <w:t>165/2007</w:t>
        </w:r>
      </w:hyperlink>
      <w:r>
        <w:t>, f. 4.</w:t>
      </w:r>
    </w:p>
    <w:p w:rsidR="00512048" w:rsidRDefault="00512048" w:rsidP="00512048">
      <w:pPr>
        <w:pStyle w:val="SangriaFrancesaArticulo"/>
      </w:pPr>
    </w:p>
    <w:p w:rsidR="00512048" w:rsidRDefault="00512048" w:rsidP="00512048">
      <w:pPr>
        <w:pStyle w:val="TextoNormalNegritaCursivandice"/>
      </w:pPr>
      <w:r>
        <w:t>Ley Orgánica 5/1985, de 19 de junio. Régimen electoral general</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08" w:history="1">
        <w:r w:rsidRPr="00512048">
          <w:rPr>
            <w:rStyle w:val="TextoNormalCaracter"/>
          </w:rPr>
          <w:t>108/2007</w:t>
        </w:r>
      </w:hyperlink>
      <w:r>
        <w:t>, f. 1.</w:t>
      </w:r>
    </w:p>
    <w:p w:rsidR="00512048" w:rsidRDefault="00512048" w:rsidP="00512048">
      <w:pPr>
        <w:pStyle w:val="SangriaFrancesaArticulo"/>
      </w:pPr>
      <w:r w:rsidRPr="00512048">
        <w:rPr>
          <w:rStyle w:val="TextoNormalNegritaCaracter"/>
        </w:rPr>
        <w:t>Título I.</w:t>
      </w:r>
      <w:r w:rsidRPr="00512048">
        <w:rPr>
          <w:rStyle w:val="TextoNormalCaracter"/>
        </w:rPr>
        <w:t>-</w:t>
      </w:r>
      <w:r>
        <w:t xml:space="preserve"> Sentencias </w:t>
      </w:r>
      <w:hyperlink w:anchor="SENTENCIA_2007_167" w:history="1">
        <w:r w:rsidRPr="00512048">
          <w:rPr>
            <w:rStyle w:val="TextoNormalCaracter"/>
          </w:rPr>
          <w:t>167/2007</w:t>
        </w:r>
      </w:hyperlink>
      <w:r>
        <w:t xml:space="preserve">, f. 7; </w:t>
      </w:r>
      <w:hyperlink w:anchor="SENTENCIA_2007_168" w:history="1">
        <w:r w:rsidRPr="00512048">
          <w:rPr>
            <w:rStyle w:val="TextoNormalCaracter"/>
          </w:rPr>
          <w:t>168/2007</w:t>
        </w:r>
      </w:hyperlink>
      <w:r>
        <w:t xml:space="preserve">, f. 3; </w:t>
      </w:r>
      <w:hyperlink w:anchor="SENTENCIA_2007_169" w:history="1">
        <w:r w:rsidRPr="00512048">
          <w:rPr>
            <w:rStyle w:val="TextoNormalCaracter"/>
          </w:rPr>
          <w:t>169/2007</w:t>
        </w:r>
      </w:hyperlink>
      <w:r>
        <w:t xml:space="preserve">, f. 5; </w:t>
      </w:r>
      <w:hyperlink w:anchor="SENTENCIA_2007_170" w:history="1">
        <w:r w:rsidRPr="00512048">
          <w:rPr>
            <w:rStyle w:val="TextoNormalCaracter"/>
          </w:rPr>
          <w:t>170/2007</w:t>
        </w:r>
      </w:hyperlink>
      <w:r>
        <w:t>, f. 4.</w:t>
      </w:r>
    </w:p>
    <w:p w:rsidR="00512048" w:rsidRDefault="00512048" w:rsidP="00512048">
      <w:pPr>
        <w:pStyle w:val="SangriaFrancesaArticulo"/>
      </w:pPr>
      <w:r w:rsidRPr="00512048">
        <w:rPr>
          <w:rStyle w:val="TextoNormalNegritaCaracter"/>
        </w:rPr>
        <w:t>Artículo 6.</w:t>
      </w:r>
      <w:r w:rsidRPr="00512048">
        <w:rPr>
          <w:rStyle w:val="TextoNormalCaracter"/>
        </w:rPr>
        <w:t>-</w:t>
      </w:r>
      <w:r>
        <w:t xml:space="preserve"> Sentencia </w:t>
      </w:r>
      <w:hyperlink w:anchor="SENTENCIA_2007_110" w:history="1">
        <w:r w:rsidRPr="00512048">
          <w:rPr>
            <w:rStyle w:val="TextoNormalCaracter"/>
          </w:rPr>
          <w:t>110/2007</w:t>
        </w:r>
      </w:hyperlink>
      <w:r>
        <w:t>, f. 11.</w:t>
      </w:r>
    </w:p>
    <w:p w:rsidR="00512048" w:rsidRDefault="00512048" w:rsidP="00512048">
      <w:pPr>
        <w:pStyle w:val="SangriaFrancesaArticulo"/>
      </w:pPr>
      <w:r w:rsidRPr="00512048">
        <w:rPr>
          <w:rStyle w:val="TextoNormalNegritaCaracter"/>
        </w:rPr>
        <w:t>Artículo 44 bis</w:t>
      </w:r>
      <w:r>
        <w:t xml:space="preserve"> </w:t>
      </w:r>
      <w:r w:rsidRPr="00512048">
        <w:rPr>
          <w:rStyle w:val="TextoNormalCaracter"/>
        </w:rPr>
        <w:t>(redactado por la Ley Orgánica 3/2007, de 22 de marzo)</w:t>
      </w:r>
      <w:r w:rsidRPr="00512048">
        <w:rPr>
          <w:rStyle w:val="TextoNormalNegritaCaracter"/>
        </w:rPr>
        <w:t>.</w:t>
      </w:r>
      <w:r w:rsidRPr="00512048">
        <w:rPr>
          <w:rStyle w:val="TextoNormalCaracter"/>
        </w:rPr>
        <w:t>-</w:t>
      </w:r>
      <w:r>
        <w:t xml:space="preserve"> Sentencias </w:t>
      </w:r>
      <w:hyperlink w:anchor="SENTENCIA_2007_96" w:history="1">
        <w:r w:rsidRPr="00512048">
          <w:rPr>
            <w:rStyle w:val="TextoNormalCaracter"/>
          </w:rPr>
          <w:t>96/2007</w:t>
        </w:r>
      </w:hyperlink>
      <w:r>
        <w:t xml:space="preserve">, ff. 2 a 4, 6; </w:t>
      </w:r>
      <w:hyperlink w:anchor="SENTENCIA_2007_99" w:history="1">
        <w:r w:rsidRPr="00512048">
          <w:rPr>
            <w:rStyle w:val="TextoNormalCaracter"/>
          </w:rPr>
          <w:t>99/2007</w:t>
        </w:r>
      </w:hyperlink>
      <w:r>
        <w:t xml:space="preserve">, ff. 1 a 4, 6; </w:t>
      </w:r>
      <w:hyperlink w:anchor="SENTENCIA_2007_100" w:history="1">
        <w:r w:rsidRPr="00512048">
          <w:rPr>
            <w:rStyle w:val="TextoNormalCaracter"/>
          </w:rPr>
          <w:t>100/2007</w:t>
        </w:r>
      </w:hyperlink>
      <w:r>
        <w:t xml:space="preserve">, f. 3; </w:t>
      </w:r>
      <w:hyperlink w:anchor="SENTENCIA_2007_101" w:history="1">
        <w:r w:rsidRPr="00512048">
          <w:rPr>
            <w:rStyle w:val="TextoNormalCaracter"/>
          </w:rPr>
          <w:t>101/2007</w:t>
        </w:r>
      </w:hyperlink>
      <w:r>
        <w:t xml:space="preserve">, ff. 2, 4; </w:t>
      </w:r>
      <w:hyperlink w:anchor="SENTENCIA_2007_102" w:history="1">
        <w:r w:rsidRPr="00512048">
          <w:rPr>
            <w:rStyle w:val="TextoNormalCaracter"/>
          </w:rPr>
          <w:t>102/2007</w:t>
        </w:r>
      </w:hyperlink>
      <w:r>
        <w:t xml:space="preserve">, ff. 3, 4; </w:t>
      </w:r>
      <w:hyperlink w:anchor="SENTENCIA_2007_104" w:history="1">
        <w:r w:rsidRPr="00512048">
          <w:rPr>
            <w:rStyle w:val="TextoNormalCaracter"/>
          </w:rPr>
          <w:t>104/2007</w:t>
        </w:r>
      </w:hyperlink>
      <w:r>
        <w:t xml:space="preserve">, ff. 2, 3, 5; </w:t>
      </w:r>
      <w:hyperlink w:anchor="SENTENCIA_2007_105" w:history="1">
        <w:r w:rsidRPr="00512048">
          <w:rPr>
            <w:rStyle w:val="TextoNormalCaracter"/>
          </w:rPr>
          <w:t>105/2007</w:t>
        </w:r>
      </w:hyperlink>
      <w:r>
        <w:t xml:space="preserve">, ff. 1, 2, 4; </w:t>
      </w:r>
      <w:hyperlink w:anchor="SENTENCIA_2007_108" w:history="1">
        <w:r w:rsidRPr="00512048">
          <w:rPr>
            <w:rStyle w:val="TextoNormalCaracter"/>
          </w:rPr>
          <w:t>108/2007</w:t>
        </w:r>
      </w:hyperlink>
      <w:r>
        <w:t xml:space="preserve">, ff. 3, 4, VP; </w:t>
      </w:r>
      <w:hyperlink w:anchor="SENTENCIA_2007_111" w:history="1">
        <w:r w:rsidRPr="00512048">
          <w:rPr>
            <w:rStyle w:val="TextoNormalCaracter"/>
          </w:rPr>
          <w:t>111/2007</w:t>
        </w:r>
      </w:hyperlink>
      <w:r>
        <w:t xml:space="preserve">, f. 3; </w:t>
      </w:r>
      <w:hyperlink w:anchor="SENTENCIA_2007_127" w:history="1">
        <w:r w:rsidRPr="00512048">
          <w:rPr>
            <w:rStyle w:val="TextoNormalCaracter"/>
          </w:rPr>
          <w:t>127/2007</w:t>
        </w:r>
      </w:hyperlink>
      <w:r>
        <w:t>, ff. 1, 3, 4, VP.</w:t>
      </w:r>
    </w:p>
    <w:p w:rsidR="00512048" w:rsidRDefault="00512048" w:rsidP="00512048">
      <w:pPr>
        <w:pStyle w:val="SangriaFrancesaArticulo"/>
      </w:pPr>
      <w:r w:rsidRPr="00512048">
        <w:rPr>
          <w:rStyle w:val="TextoNormalNegritaCaracter"/>
        </w:rPr>
        <w:t>Artículo 44 bis.1</w:t>
      </w:r>
      <w:r>
        <w:t xml:space="preserve"> </w:t>
      </w:r>
      <w:r w:rsidRPr="00512048">
        <w:rPr>
          <w:rStyle w:val="TextoNormalCaracter"/>
        </w:rPr>
        <w:t>(redactado por la Ley Orgánica 3/2007, de 22 de marzo)</w:t>
      </w:r>
      <w:r w:rsidRPr="00512048">
        <w:rPr>
          <w:rStyle w:val="TextoNormalNegritaCaracter"/>
        </w:rPr>
        <w:t>.</w:t>
      </w:r>
      <w:r w:rsidRPr="00512048">
        <w:rPr>
          <w:rStyle w:val="TextoNormalCaracter"/>
        </w:rPr>
        <w:t>-</w:t>
      </w:r>
      <w:r>
        <w:t xml:space="preserve"> Sentencia </w:t>
      </w:r>
      <w:hyperlink w:anchor="SENTENCIA_2007_105" w:history="1">
        <w:r w:rsidRPr="00512048">
          <w:rPr>
            <w:rStyle w:val="TextoNormalCaracter"/>
          </w:rPr>
          <w:t>105/2007</w:t>
        </w:r>
      </w:hyperlink>
      <w:r>
        <w:t>, f. 2.</w:t>
      </w:r>
    </w:p>
    <w:p w:rsidR="00512048" w:rsidRDefault="00512048" w:rsidP="00512048">
      <w:pPr>
        <w:pStyle w:val="SangriaFrancesaArticulo"/>
      </w:pPr>
      <w:r w:rsidRPr="00512048">
        <w:rPr>
          <w:rStyle w:val="TextoNormalNegritaCaracter"/>
        </w:rPr>
        <w:t>Artículo 44 bis.2</w:t>
      </w:r>
      <w:r>
        <w:t xml:space="preserve"> </w:t>
      </w:r>
      <w:r w:rsidRPr="00512048">
        <w:rPr>
          <w:rStyle w:val="TextoNormalCaracter"/>
        </w:rPr>
        <w:t>(redactado por la Ley Orgánica 3/2007, de 22 de marzo)</w:t>
      </w:r>
      <w:r w:rsidRPr="00512048">
        <w:rPr>
          <w:rStyle w:val="TextoNormalNegritaCaracter"/>
        </w:rPr>
        <w:t>.</w:t>
      </w:r>
      <w:r w:rsidRPr="00512048">
        <w:rPr>
          <w:rStyle w:val="TextoNormalCaracter"/>
        </w:rPr>
        <w:t>-</w:t>
      </w:r>
      <w:r>
        <w:t xml:space="preserve"> Sentencia </w:t>
      </w:r>
      <w:hyperlink w:anchor="SENTENCIA_2007_105" w:history="1">
        <w:r w:rsidRPr="00512048">
          <w:rPr>
            <w:rStyle w:val="TextoNormalCaracter"/>
          </w:rPr>
          <w:t>105/2007</w:t>
        </w:r>
      </w:hyperlink>
      <w:r>
        <w:t>, ff. 2, 4.</w:t>
      </w:r>
    </w:p>
    <w:p w:rsidR="00512048" w:rsidRDefault="00512048" w:rsidP="00512048">
      <w:pPr>
        <w:pStyle w:val="SangriaFrancesaArticulo"/>
      </w:pPr>
      <w:r w:rsidRPr="00512048">
        <w:rPr>
          <w:rStyle w:val="TextoNormalNegritaCaracter"/>
        </w:rPr>
        <w:t>Artículo 44 bis.3</w:t>
      </w:r>
      <w:r>
        <w:t xml:space="preserve"> </w:t>
      </w:r>
      <w:r w:rsidRPr="00512048">
        <w:rPr>
          <w:rStyle w:val="TextoNormalCaracter"/>
        </w:rPr>
        <w:t>(redactado por la Ley Orgánica 3/2007, de 22 de marzo)</w:t>
      </w:r>
      <w:r w:rsidRPr="00512048">
        <w:rPr>
          <w:rStyle w:val="TextoNormalNegritaCaracter"/>
        </w:rPr>
        <w:t>.</w:t>
      </w:r>
      <w:r w:rsidRPr="00512048">
        <w:rPr>
          <w:rStyle w:val="TextoNormalCaracter"/>
        </w:rPr>
        <w:t>-</w:t>
      </w:r>
      <w:r>
        <w:t xml:space="preserve"> Sentencia </w:t>
      </w:r>
      <w:hyperlink w:anchor="SENTENCIA_2007_105" w:history="1">
        <w:r w:rsidRPr="00512048">
          <w:rPr>
            <w:rStyle w:val="TextoNormalCaracter"/>
          </w:rPr>
          <w:t>105/2007</w:t>
        </w:r>
      </w:hyperlink>
      <w:r>
        <w:t>, f. 2.</w:t>
      </w:r>
    </w:p>
    <w:p w:rsidR="00512048" w:rsidRDefault="00512048" w:rsidP="00512048">
      <w:pPr>
        <w:pStyle w:val="SangriaFrancesaArticulo"/>
      </w:pPr>
      <w:r w:rsidRPr="00512048">
        <w:rPr>
          <w:rStyle w:val="TextoNormalNegritaCaracter"/>
        </w:rPr>
        <w:t>Artículo 44.4.</w:t>
      </w:r>
      <w:r w:rsidRPr="00512048">
        <w:rPr>
          <w:rStyle w:val="TextoNormalCaracter"/>
        </w:rPr>
        <w:t>-</w:t>
      </w:r>
      <w:r>
        <w:t xml:space="preserve"> Sentencias </w:t>
      </w:r>
      <w:hyperlink w:anchor="SENTENCIA_2007_110" w:history="1">
        <w:r w:rsidRPr="00512048">
          <w:rPr>
            <w:rStyle w:val="TextoNormalCaracter"/>
          </w:rPr>
          <w:t>110/2007</w:t>
        </w:r>
      </w:hyperlink>
      <w:r>
        <w:t xml:space="preserve">, ff. 1 a 3, 5 a 7, 11, 12, 15, 17; </w:t>
      </w:r>
      <w:hyperlink w:anchor="SENTENCIA_2007_112" w:history="1">
        <w:r w:rsidRPr="00512048">
          <w:rPr>
            <w:rStyle w:val="TextoNormalCaracter"/>
          </w:rPr>
          <w:t>112/2007</w:t>
        </w:r>
      </w:hyperlink>
      <w:r>
        <w:t>, f. 2.</w:t>
      </w:r>
    </w:p>
    <w:p w:rsidR="00512048" w:rsidRDefault="00512048" w:rsidP="00512048">
      <w:pPr>
        <w:pStyle w:val="SangriaFrancesaArticulo"/>
      </w:pPr>
      <w:r w:rsidRPr="00512048">
        <w:rPr>
          <w:rStyle w:val="TextoNormalNegritaCaracter"/>
        </w:rPr>
        <w:t>Artículo 47.</w:t>
      </w:r>
      <w:r w:rsidRPr="00512048">
        <w:rPr>
          <w:rStyle w:val="TextoNormalCaracter"/>
        </w:rPr>
        <w:t>-</w:t>
      </w:r>
      <w:r>
        <w:t xml:space="preserve"> Sentencia </w:t>
      </w:r>
      <w:hyperlink w:anchor="SENTENCIA_2007_110" w:history="1">
        <w:r w:rsidRPr="00512048">
          <w:rPr>
            <w:rStyle w:val="TextoNormalCaracter"/>
          </w:rPr>
          <w:t>110/2007</w:t>
        </w:r>
      </w:hyperlink>
      <w:r>
        <w:t>, f. 9.</w:t>
      </w:r>
    </w:p>
    <w:p w:rsidR="00512048" w:rsidRDefault="00512048" w:rsidP="00512048">
      <w:pPr>
        <w:pStyle w:val="SangriaFrancesaArticulo"/>
      </w:pPr>
      <w:r w:rsidRPr="00512048">
        <w:rPr>
          <w:rStyle w:val="TextoNormalNegritaCaracter"/>
        </w:rPr>
        <w:t>Artículo 47.2.</w:t>
      </w:r>
      <w:r w:rsidRPr="00512048">
        <w:rPr>
          <w:rStyle w:val="TextoNormalCaracter"/>
        </w:rPr>
        <w:t>-</w:t>
      </w:r>
      <w:r>
        <w:t xml:space="preserve"> Sentencias </w:t>
      </w:r>
      <w:hyperlink w:anchor="SENTENCIA_2007_96" w:history="1">
        <w:r w:rsidRPr="00512048">
          <w:rPr>
            <w:rStyle w:val="TextoNormalCaracter"/>
          </w:rPr>
          <w:t>96/2007</w:t>
        </w:r>
      </w:hyperlink>
      <w:r>
        <w:t xml:space="preserve">, f. 6; </w:t>
      </w:r>
      <w:hyperlink w:anchor="SENTENCIA_2007_97" w:history="1">
        <w:r w:rsidRPr="00512048">
          <w:rPr>
            <w:rStyle w:val="TextoNormalCaracter"/>
          </w:rPr>
          <w:t>97/2007</w:t>
        </w:r>
      </w:hyperlink>
      <w:r>
        <w:t xml:space="preserve">, ff. 2, 4, 5; </w:t>
      </w:r>
      <w:hyperlink w:anchor="SENTENCIA_2007_99" w:history="1">
        <w:r w:rsidRPr="00512048">
          <w:rPr>
            <w:rStyle w:val="TextoNormalCaracter"/>
          </w:rPr>
          <w:t>99/2007</w:t>
        </w:r>
      </w:hyperlink>
      <w:r>
        <w:t xml:space="preserve">, f. 6; </w:t>
      </w:r>
      <w:hyperlink w:anchor="SENTENCIA_2007_100" w:history="1">
        <w:r w:rsidRPr="00512048">
          <w:rPr>
            <w:rStyle w:val="TextoNormalCaracter"/>
          </w:rPr>
          <w:t>100/2007</w:t>
        </w:r>
      </w:hyperlink>
      <w:r>
        <w:t xml:space="preserve">, ff. 1, 3, 4; </w:t>
      </w:r>
      <w:hyperlink w:anchor="SENTENCIA_2007_101" w:history="1">
        <w:r w:rsidRPr="00512048">
          <w:rPr>
            <w:rStyle w:val="TextoNormalCaracter"/>
          </w:rPr>
          <w:t>101/2007</w:t>
        </w:r>
      </w:hyperlink>
      <w:r>
        <w:t xml:space="preserve">, f. 4; </w:t>
      </w:r>
      <w:hyperlink w:anchor="SENTENCIA_2007_102" w:history="1">
        <w:r w:rsidRPr="00512048">
          <w:rPr>
            <w:rStyle w:val="TextoNormalCaracter"/>
          </w:rPr>
          <w:t>102/2007</w:t>
        </w:r>
      </w:hyperlink>
      <w:r>
        <w:t xml:space="preserve">, f. 4; </w:t>
      </w:r>
      <w:hyperlink w:anchor="SENTENCIA_2007_104" w:history="1">
        <w:r w:rsidRPr="00512048">
          <w:rPr>
            <w:rStyle w:val="TextoNormalCaracter"/>
          </w:rPr>
          <w:t>104/2007</w:t>
        </w:r>
      </w:hyperlink>
      <w:r>
        <w:t xml:space="preserve">, f. 5; </w:t>
      </w:r>
      <w:hyperlink w:anchor="SENTENCIA_2007_105" w:history="1">
        <w:r w:rsidRPr="00512048">
          <w:rPr>
            <w:rStyle w:val="TextoNormalCaracter"/>
          </w:rPr>
          <w:t>105/2007</w:t>
        </w:r>
      </w:hyperlink>
      <w:r>
        <w:t xml:space="preserve">, f. 4; </w:t>
      </w:r>
      <w:hyperlink w:anchor="SENTENCIA_2007_108" w:history="1">
        <w:r w:rsidRPr="00512048">
          <w:rPr>
            <w:rStyle w:val="TextoNormalCaracter"/>
          </w:rPr>
          <w:t>108/2007</w:t>
        </w:r>
      </w:hyperlink>
      <w:r>
        <w:t xml:space="preserve">, ff. 4, 5; </w:t>
      </w:r>
      <w:hyperlink w:anchor="SENTENCIA_2007_111" w:history="1">
        <w:r w:rsidRPr="00512048">
          <w:rPr>
            <w:rStyle w:val="TextoNormalCaracter"/>
          </w:rPr>
          <w:t>111/2007</w:t>
        </w:r>
      </w:hyperlink>
      <w:r>
        <w:t>, ff. 1, 3, 4.</w:t>
      </w:r>
    </w:p>
    <w:p w:rsidR="00512048" w:rsidRDefault="00512048" w:rsidP="00512048">
      <w:pPr>
        <w:pStyle w:val="SangriaFrancesaArticulo"/>
      </w:pPr>
      <w:r w:rsidRPr="00512048">
        <w:rPr>
          <w:rStyle w:val="TextoNormalNegritaCaracter"/>
        </w:rPr>
        <w:t>Artículo 47.3.</w:t>
      </w:r>
      <w:r w:rsidRPr="00512048">
        <w:rPr>
          <w:rStyle w:val="TextoNormalCaracter"/>
        </w:rPr>
        <w:t>-</w:t>
      </w:r>
      <w:r>
        <w:t xml:space="preserve"> Sentencia </w:t>
      </w:r>
      <w:hyperlink w:anchor="SENTENCIA_2007_112" w:history="1">
        <w:r w:rsidRPr="00512048">
          <w:rPr>
            <w:rStyle w:val="TextoNormalCaracter"/>
          </w:rPr>
          <w:t>112/2007</w:t>
        </w:r>
      </w:hyperlink>
      <w:r>
        <w:t>, f. 2.</w:t>
      </w:r>
    </w:p>
    <w:p w:rsidR="00512048" w:rsidRDefault="00512048" w:rsidP="00512048">
      <w:pPr>
        <w:pStyle w:val="SangriaFrancesaArticulo"/>
      </w:pPr>
      <w:r w:rsidRPr="00512048">
        <w:rPr>
          <w:rStyle w:val="TextoNormalNegritaCaracter"/>
        </w:rPr>
        <w:t>Artículo 47.4.</w:t>
      </w:r>
      <w:r w:rsidRPr="00512048">
        <w:rPr>
          <w:rStyle w:val="TextoNormalCaracter"/>
        </w:rPr>
        <w:t>-</w:t>
      </w:r>
      <w:r>
        <w:t xml:space="preserve"> Sentencias </w:t>
      </w:r>
      <w:hyperlink w:anchor="SENTENCIA_2007_96" w:history="1">
        <w:r w:rsidRPr="00512048">
          <w:rPr>
            <w:rStyle w:val="TextoNormalCaracter"/>
          </w:rPr>
          <w:t>96/2007</w:t>
        </w:r>
      </w:hyperlink>
      <w:r>
        <w:t xml:space="preserve">, f. 5; </w:t>
      </w:r>
      <w:hyperlink w:anchor="SENTENCIA_2007_97" w:history="1">
        <w:r w:rsidRPr="00512048">
          <w:rPr>
            <w:rStyle w:val="TextoNormalCaracter"/>
          </w:rPr>
          <w:t>97/2007</w:t>
        </w:r>
      </w:hyperlink>
      <w:r>
        <w:t xml:space="preserve">, f. 4; </w:t>
      </w:r>
      <w:hyperlink w:anchor="SENTENCIA_2007_99" w:history="1">
        <w:r w:rsidRPr="00512048">
          <w:rPr>
            <w:rStyle w:val="TextoNormalCaracter"/>
          </w:rPr>
          <w:t>99/2007</w:t>
        </w:r>
      </w:hyperlink>
      <w:r>
        <w:t xml:space="preserve">, f. 5; </w:t>
      </w:r>
      <w:hyperlink w:anchor="SENTENCIA_2007_100" w:history="1">
        <w:r w:rsidRPr="00512048">
          <w:rPr>
            <w:rStyle w:val="TextoNormalCaracter"/>
          </w:rPr>
          <w:t>100/2007</w:t>
        </w:r>
      </w:hyperlink>
      <w:r>
        <w:t xml:space="preserve">, f. 3; </w:t>
      </w:r>
      <w:hyperlink w:anchor="SENTENCIA_2007_101" w:history="1">
        <w:r w:rsidRPr="00512048">
          <w:rPr>
            <w:rStyle w:val="TextoNormalCaracter"/>
          </w:rPr>
          <w:t>101/2007</w:t>
        </w:r>
      </w:hyperlink>
      <w:r>
        <w:t xml:space="preserve">, f. 3; </w:t>
      </w:r>
      <w:hyperlink w:anchor="SENTENCIA_2007_102" w:history="1">
        <w:r w:rsidRPr="00512048">
          <w:rPr>
            <w:rStyle w:val="TextoNormalCaracter"/>
          </w:rPr>
          <w:t>102/2007</w:t>
        </w:r>
      </w:hyperlink>
      <w:r>
        <w:t xml:space="preserve">, f. 3; </w:t>
      </w:r>
      <w:hyperlink w:anchor="SENTENCIA_2007_104" w:history="1">
        <w:r w:rsidRPr="00512048">
          <w:rPr>
            <w:rStyle w:val="TextoNormalCaracter"/>
          </w:rPr>
          <w:t>104/2007</w:t>
        </w:r>
      </w:hyperlink>
      <w:r>
        <w:t xml:space="preserve">, f. 4; </w:t>
      </w:r>
      <w:hyperlink w:anchor="SENTENCIA_2007_105" w:history="1">
        <w:r w:rsidRPr="00512048">
          <w:rPr>
            <w:rStyle w:val="TextoNormalCaracter"/>
          </w:rPr>
          <w:t>105/2007</w:t>
        </w:r>
      </w:hyperlink>
      <w:r>
        <w:t xml:space="preserve">, f. 3; </w:t>
      </w:r>
      <w:hyperlink w:anchor="SENTENCIA_2007_108" w:history="1">
        <w:r w:rsidRPr="00512048">
          <w:rPr>
            <w:rStyle w:val="TextoNormalCaracter"/>
          </w:rPr>
          <w:t>108/2007</w:t>
        </w:r>
      </w:hyperlink>
      <w:r>
        <w:t xml:space="preserve">, ff. 3, 4; </w:t>
      </w:r>
      <w:hyperlink w:anchor="SENTENCIA_2007_111" w:history="1">
        <w:r w:rsidRPr="00512048">
          <w:rPr>
            <w:rStyle w:val="TextoNormalCaracter"/>
          </w:rPr>
          <w:t>111/2007</w:t>
        </w:r>
      </w:hyperlink>
      <w:r>
        <w:t>, f. 3.</w:t>
      </w:r>
    </w:p>
    <w:p w:rsidR="00512048" w:rsidRDefault="00512048" w:rsidP="00512048">
      <w:pPr>
        <w:pStyle w:val="SangriaFrancesaArticulo"/>
      </w:pPr>
      <w:r w:rsidRPr="00512048">
        <w:rPr>
          <w:rStyle w:val="TextoNormalNegritaCaracter"/>
        </w:rPr>
        <w:t>Artículo 48.1.</w:t>
      </w:r>
      <w:r w:rsidRPr="00512048">
        <w:rPr>
          <w:rStyle w:val="TextoNormalCaracter"/>
        </w:rPr>
        <w:t>-</w:t>
      </w:r>
      <w:r>
        <w:t xml:space="preserve"> Sentencias </w:t>
      </w:r>
      <w:hyperlink w:anchor="SENTENCIA_2007_96" w:history="1">
        <w:r w:rsidRPr="00512048">
          <w:rPr>
            <w:rStyle w:val="TextoNormalCaracter"/>
          </w:rPr>
          <w:t>96/2007</w:t>
        </w:r>
      </w:hyperlink>
      <w:r>
        <w:t xml:space="preserve">, f. 4; </w:t>
      </w:r>
      <w:hyperlink w:anchor="SENTENCIA_2007_99" w:history="1">
        <w:r w:rsidRPr="00512048">
          <w:rPr>
            <w:rStyle w:val="TextoNormalCaracter"/>
          </w:rPr>
          <w:t>99/2007</w:t>
        </w:r>
      </w:hyperlink>
      <w:r>
        <w:t xml:space="preserve">, f. 4; </w:t>
      </w:r>
      <w:hyperlink w:anchor="SENTENCIA_2007_101" w:history="1">
        <w:r w:rsidRPr="00512048">
          <w:rPr>
            <w:rStyle w:val="TextoNormalCaracter"/>
          </w:rPr>
          <w:t>101/2007</w:t>
        </w:r>
      </w:hyperlink>
      <w:r>
        <w:t xml:space="preserve">, f. 4; </w:t>
      </w:r>
      <w:hyperlink w:anchor="SENTENCIA_2007_102" w:history="1">
        <w:r w:rsidRPr="00512048">
          <w:rPr>
            <w:rStyle w:val="TextoNormalCaracter"/>
          </w:rPr>
          <w:t>102/2007</w:t>
        </w:r>
      </w:hyperlink>
      <w:r>
        <w:t xml:space="preserve">, f. 4; </w:t>
      </w:r>
      <w:hyperlink w:anchor="SENTENCIA_2007_104" w:history="1">
        <w:r w:rsidRPr="00512048">
          <w:rPr>
            <w:rStyle w:val="TextoNormalCaracter"/>
          </w:rPr>
          <w:t>104/2007</w:t>
        </w:r>
      </w:hyperlink>
      <w:r>
        <w:t xml:space="preserve">, f. 3; </w:t>
      </w:r>
      <w:hyperlink w:anchor="SENTENCIA_2007_105" w:history="1">
        <w:r w:rsidRPr="00512048">
          <w:rPr>
            <w:rStyle w:val="TextoNormalCaracter"/>
          </w:rPr>
          <w:t>105/2007</w:t>
        </w:r>
      </w:hyperlink>
      <w:r>
        <w:t xml:space="preserve">, f. 2; </w:t>
      </w:r>
      <w:hyperlink w:anchor="SENTENCIA_2007_109" w:history="1">
        <w:r w:rsidRPr="00512048">
          <w:rPr>
            <w:rStyle w:val="TextoNormalCaracter"/>
          </w:rPr>
          <w:t>109/2007</w:t>
        </w:r>
      </w:hyperlink>
      <w:r>
        <w:t>, f. 3.</w:t>
      </w:r>
    </w:p>
    <w:p w:rsidR="00512048" w:rsidRDefault="00512048" w:rsidP="00512048">
      <w:pPr>
        <w:pStyle w:val="SangriaFrancesaArticulo"/>
      </w:pPr>
      <w:r w:rsidRPr="00512048">
        <w:rPr>
          <w:rStyle w:val="TextoNormalNegritaCaracter"/>
        </w:rPr>
        <w:t>Artículo 49.</w:t>
      </w:r>
      <w:r w:rsidRPr="00512048">
        <w:rPr>
          <w:rStyle w:val="TextoNormalCaracter"/>
        </w:rPr>
        <w:t>-</w:t>
      </w:r>
      <w:r>
        <w:t xml:space="preserve"> Sentencias </w:t>
      </w:r>
      <w:hyperlink w:anchor="SENTENCIA_2007_96" w:history="1">
        <w:r w:rsidRPr="00512048">
          <w:rPr>
            <w:rStyle w:val="TextoNormalCaracter"/>
          </w:rPr>
          <w:t>96/2007</w:t>
        </w:r>
      </w:hyperlink>
      <w:r>
        <w:t xml:space="preserve">, f. 3; </w:t>
      </w:r>
      <w:hyperlink w:anchor="SENTENCIA_2007_97" w:history="1">
        <w:r w:rsidRPr="00512048">
          <w:rPr>
            <w:rStyle w:val="TextoNormalCaracter"/>
          </w:rPr>
          <w:t>97/2007</w:t>
        </w:r>
      </w:hyperlink>
      <w:r>
        <w:t xml:space="preserve">, f. 4; </w:t>
      </w:r>
      <w:hyperlink w:anchor="SENTENCIA_2007_99" w:history="1">
        <w:r w:rsidRPr="00512048">
          <w:rPr>
            <w:rStyle w:val="TextoNormalCaracter"/>
          </w:rPr>
          <w:t>99/2007</w:t>
        </w:r>
      </w:hyperlink>
      <w:r>
        <w:t xml:space="preserve">, ff. 3, 4; </w:t>
      </w:r>
      <w:hyperlink w:anchor="SENTENCIA_2007_101" w:history="1">
        <w:r w:rsidRPr="00512048">
          <w:rPr>
            <w:rStyle w:val="TextoNormalCaracter"/>
          </w:rPr>
          <w:t>101/2007</w:t>
        </w:r>
      </w:hyperlink>
      <w:r>
        <w:t xml:space="preserve">, f. 5; </w:t>
      </w:r>
      <w:hyperlink w:anchor="SENTENCIA_2007_104" w:history="1">
        <w:r w:rsidRPr="00512048">
          <w:rPr>
            <w:rStyle w:val="TextoNormalCaracter"/>
          </w:rPr>
          <w:t>104/2007</w:t>
        </w:r>
      </w:hyperlink>
      <w:r>
        <w:t xml:space="preserve">, f. 3; </w:t>
      </w:r>
      <w:hyperlink w:anchor="SENTENCIA_2007_105" w:history="1">
        <w:r w:rsidRPr="00512048">
          <w:rPr>
            <w:rStyle w:val="TextoNormalCaracter"/>
          </w:rPr>
          <w:t>105/2007</w:t>
        </w:r>
      </w:hyperlink>
      <w:r>
        <w:t xml:space="preserve">, f. 2; </w:t>
      </w:r>
      <w:hyperlink w:anchor="SENTENCIA_2007_110" w:history="1">
        <w:r w:rsidRPr="00512048">
          <w:rPr>
            <w:rStyle w:val="TextoNormalCaracter"/>
          </w:rPr>
          <w:t>110/2007</w:t>
        </w:r>
      </w:hyperlink>
      <w:r>
        <w:t xml:space="preserve">, ff. 1, 3, 6; </w:t>
      </w:r>
      <w:hyperlink w:anchor="SENTENCIA_2007_112" w:history="1">
        <w:r w:rsidRPr="00512048">
          <w:rPr>
            <w:rStyle w:val="TextoNormalCaracter"/>
          </w:rPr>
          <w:t>112/2007</w:t>
        </w:r>
      </w:hyperlink>
      <w:r>
        <w:t>, ff. 2 a 4.</w:t>
      </w:r>
    </w:p>
    <w:p w:rsidR="00512048" w:rsidRDefault="00512048" w:rsidP="00512048">
      <w:pPr>
        <w:pStyle w:val="SangriaIzquierdaArticulo"/>
      </w:pPr>
      <w:r>
        <w:t xml:space="preserve">Auto </w:t>
      </w:r>
      <w:hyperlink w:anchor="AUTO_2007_325" w:history="1">
        <w:r w:rsidRPr="00512048">
          <w:rPr>
            <w:rStyle w:val="TextoNormalCaracter"/>
          </w:rPr>
          <w:t>325/2007</w:t>
        </w:r>
      </w:hyperlink>
      <w:r>
        <w:t>.</w:t>
      </w:r>
    </w:p>
    <w:p w:rsidR="00512048" w:rsidRDefault="00512048" w:rsidP="00512048">
      <w:pPr>
        <w:pStyle w:val="SangriaFrancesaArticulo"/>
      </w:pPr>
      <w:r w:rsidRPr="00512048">
        <w:rPr>
          <w:rStyle w:val="TextoNormalNegritaCaracter"/>
        </w:rPr>
        <w:t>Artículo 49.1.</w:t>
      </w:r>
      <w:r w:rsidRPr="00512048">
        <w:rPr>
          <w:rStyle w:val="TextoNormalCaracter"/>
        </w:rPr>
        <w:t>-</w:t>
      </w:r>
      <w:r>
        <w:t xml:space="preserve"> Sentencias </w:t>
      </w:r>
      <w:hyperlink w:anchor="SENTENCIA_2007_102" w:history="1">
        <w:r w:rsidRPr="00512048">
          <w:rPr>
            <w:rStyle w:val="TextoNormalCaracter"/>
          </w:rPr>
          <w:t>102/2007</w:t>
        </w:r>
      </w:hyperlink>
      <w:r>
        <w:t xml:space="preserve">, f. 5; </w:t>
      </w:r>
      <w:hyperlink w:anchor="SENTENCIA_2007_110" w:history="1">
        <w:r w:rsidRPr="00512048">
          <w:rPr>
            <w:rStyle w:val="TextoNormalCaracter"/>
          </w:rPr>
          <w:t>110/2007</w:t>
        </w:r>
      </w:hyperlink>
      <w:r>
        <w:t>, ff. 3, 6.</w:t>
      </w:r>
    </w:p>
    <w:p w:rsidR="00512048" w:rsidRDefault="00512048" w:rsidP="00512048">
      <w:pPr>
        <w:pStyle w:val="SangriaFrancesaArticulo"/>
      </w:pPr>
      <w:r w:rsidRPr="00512048">
        <w:rPr>
          <w:rStyle w:val="TextoNormalNegritaCaracter"/>
        </w:rPr>
        <w:t>Artículo 49.1.1.</w:t>
      </w:r>
      <w:r w:rsidRPr="00512048">
        <w:rPr>
          <w:rStyle w:val="TextoNormalCaracter"/>
        </w:rPr>
        <w:t>-</w:t>
      </w:r>
      <w:r>
        <w:t xml:space="preserve"> Sentencia </w:t>
      </w:r>
      <w:hyperlink w:anchor="SENTENCIA_2007_99" w:history="1">
        <w:r w:rsidRPr="00512048">
          <w:rPr>
            <w:rStyle w:val="TextoNormalCaracter"/>
          </w:rPr>
          <w:t>99/2007</w:t>
        </w:r>
      </w:hyperlink>
      <w:r>
        <w:t>, f. 3.</w:t>
      </w:r>
    </w:p>
    <w:p w:rsidR="00512048" w:rsidRDefault="00512048" w:rsidP="00512048">
      <w:pPr>
        <w:pStyle w:val="SangriaFrancesaArticulo"/>
      </w:pPr>
      <w:r w:rsidRPr="00512048">
        <w:rPr>
          <w:rStyle w:val="TextoNormalNegritaCaracter"/>
        </w:rPr>
        <w:t>Artículo 49.1.2.</w:t>
      </w:r>
      <w:r w:rsidRPr="00512048">
        <w:rPr>
          <w:rStyle w:val="TextoNormalCaracter"/>
        </w:rPr>
        <w:t>-</w:t>
      </w:r>
      <w:r>
        <w:t xml:space="preserve"> Sentencia </w:t>
      </w:r>
      <w:hyperlink w:anchor="SENTENCIA_2007_99" w:history="1">
        <w:r w:rsidRPr="00512048">
          <w:rPr>
            <w:rStyle w:val="TextoNormalCaracter"/>
          </w:rPr>
          <w:t>99/2007</w:t>
        </w:r>
      </w:hyperlink>
      <w:r>
        <w:t>, f. 3.</w:t>
      </w:r>
    </w:p>
    <w:p w:rsidR="00512048" w:rsidRDefault="00512048" w:rsidP="00512048">
      <w:pPr>
        <w:pStyle w:val="SangriaFrancesaArticulo"/>
      </w:pPr>
      <w:r w:rsidRPr="00512048">
        <w:rPr>
          <w:rStyle w:val="TextoNormalNegritaCaracter"/>
        </w:rPr>
        <w:t>Artículo 49.1.3.</w:t>
      </w:r>
      <w:r w:rsidRPr="00512048">
        <w:rPr>
          <w:rStyle w:val="TextoNormalCaracter"/>
        </w:rPr>
        <w:t>-</w:t>
      </w:r>
      <w:r>
        <w:t xml:space="preserve"> Sentencia </w:t>
      </w:r>
      <w:hyperlink w:anchor="SENTENCIA_2007_99" w:history="1">
        <w:r w:rsidRPr="00512048">
          <w:rPr>
            <w:rStyle w:val="TextoNormalCaracter"/>
          </w:rPr>
          <w:t>99/2007</w:t>
        </w:r>
      </w:hyperlink>
      <w:r>
        <w:t>, f. 3.</w:t>
      </w:r>
    </w:p>
    <w:p w:rsidR="00512048" w:rsidRDefault="00512048" w:rsidP="00512048">
      <w:pPr>
        <w:pStyle w:val="SangriaFrancesaArticulo"/>
      </w:pPr>
      <w:r w:rsidRPr="00512048">
        <w:rPr>
          <w:rStyle w:val="TextoNormalNegritaCaracter"/>
        </w:rPr>
        <w:t>Artículo 49.2.</w:t>
      </w:r>
      <w:r w:rsidRPr="00512048">
        <w:rPr>
          <w:rStyle w:val="TextoNormalCaracter"/>
        </w:rPr>
        <w:t>-</w:t>
      </w:r>
      <w:r>
        <w:t xml:space="preserve"> Sentencias </w:t>
      </w:r>
      <w:hyperlink w:anchor="SENTENCIA_2007_100" w:history="1">
        <w:r w:rsidRPr="00512048">
          <w:rPr>
            <w:rStyle w:val="TextoNormalCaracter"/>
          </w:rPr>
          <w:t>100/2007</w:t>
        </w:r>
      </w:hyperlink>
      <w:r>
        <w:t xml:space="preserve">, f. 2; </w:t>
      </w:r>
      <w:hyperlink w:anchor="SENTENCIA_2007_102" w:history="1">
        <w:r w:rsidRPr="00512048">
          <w:rPr>
            <w:rStyle w:val="TextoNormalCaracter"/>
          </w:rPr>
          <w:t>102/2007</w:t>
        </w:r>
      </w:hyperlink>
      <w:r>
        <w:t>, f. 5.</w:t>
      </w:r>
    </w:p>
    <w:p w:rsidR="00512048" w:rsidRDefault="00512048" w:rsidP="00512048">
      <w:pPr>
        <w:pStyle w:val="SangriaFrancesaArticulo"/>
      </w:pPr>
      <w:r w:rsidRPr="00512048">
        <w:rPr>
          <w:rStyle w:val="TextoNormalNegritaCaracter"/>
        </w:rPr>
        <w:t>Artículo 49.3.</w:t>
      </w:r>
      <w:r w:rsidRPr="00512048">
        <w:rPr>
          <w:rStyle w:val="TextoNormalCaracter"/>
        </w:rPr>
        <w:t>-</w:t>
      </w:r>
      <w:r>
        <w:t xml:space="preserve"> Sentencias </w:t>
      </w:r>
      <w:hyperlink w:anchor="SENTENCIA_2007_100" w:history="1">
        <w:r w:rsidRPr="00512048">
          <w:rPr>
            <w:rStyle w:val="TextoNormalCaracter"/>
          </w:rPr>
          <w:t>100/2007</w:t>
        </w:r>
      </w:hyperlink>
      <w:r>
        <w:t xml:space="preserve">, f. 2; </w:t>
      </w:r>
      <w:hyperlink w:anchor="SENTENCIA_2007_102" w:history="1">
        <w:r w:rsidRPr="00512048">
          <w:rPr>
            <w:rStyle w:val="TextoNormalCaracter"/>
          </w:rPr>
          <w:t>102/2007</w:t>
        </w:r>
      </w:hyperlink>
      <w:r>
        <w:t xml:space="preserve">, f. 5; </w:t>
      </w:r>
      <w:hyperlink w:anchor="SENTENCIA_2007_112" w:history="1">
        <w:r w:rsidRPr="00512048">
          <w:rPr>
            <w:rStyle w:val="TextoNormalCaracter"/>
          </w:rPr>
          <w:t>112/2007</w:t>
        </w:r>
      </w:hyperlink>
      <w:r>
        <w:t>, f. 2.</w:t>
      </w:r>
    </w:p>
    <w:p w:rsidR="00512048" w:rsidRDefault="00512048" w:rsidP="00512048">
      <w:pPr>
        <w:pStyle w:val="SangriaFrancesaArticulo"/>
      </w:pPr>
      <w:r w:rsidRPr="00512048">
        <w:rPr>
          <w:rStyle w:val="TextoNormalNegritaCaracter"/>
        </w:rPr>
        <w:t>Artículo 49.4.</w:t>
      </w:r>
      <w:r w:rsidRPr="00512048">
        <w:rPr>
          <w:rStyle w:val="TextoNormalCaracter"/>
        </w:rPr>
        <w:t>-</w:t>
      </w:r>
      <w:r>
        <w:t xml:space="preserve"> Sentencia </w:t>
      </w:r>
      <w:hyperlink w:anchor="SENTENCIA_2007_112" w:history="1">
        <w:r w:rsidRPr="00512048">
          <w:rPr>
            <w:rStyle w:val="TextoNormalCaracter"/>
          </w:rPr>
          <w:t>112/2007</w:t>
        </w:r>
      </w:hyperlink>
      <w:r>
        <w:t>, f. 2.</w:t>
      </w:r>
    </w:p>
    <w:p w:rsidR="00512048" w:rsidRDefault="00512048" w:rsidP="00512048">
      <w:pPr>
        <w:pStyle w:val="SangriaFrancesaArticulo"/>
      </w:pPr>
      <w:r w:rsidRPr="00512048">
        <w:rPr>
          <w:rStyle w:val="TextoNormalNegritaCaracter"/>
        </w:rPr>
        <w:t>Artículo 49.5.</w:t>
      </w:r>
      <w:r w:rsidRPr="00512048">
        <w:rPr>
          <w:rStyle w:val="TextoNormalCaracter"/>
        </w:rPr>
        <w:t>-</w:t>
      </w:r>
      <w:r>
        <w:t xml:space="preserve"> Sentencia </w:t>
      </w:r>
      <w:hyperlink w:anchor="SENTENCIA_2007_112" w:history="1">
        <w:r w:rsidRPr="00512048">
          <w:rPr>
            <w:rStyle w:val="TextoNormalCaracter"/>
          </w:rPr>
          <w:t>112/2007</w:t>
        </w:r>
      </w:hyperlink>
      <w:r>
        <w:t>, f. 2.</w:t>
      </w:r>
    </w:p>
    <w:p w:rsidR="00512048" w:rsidRDefault="00512048" w:rsidP="00512048">
      <w:pPr>
        <w:pStyle w:val="SangriaFrancesaArticulo"/>
      </w:pPr>
      <w:r w:rsidRPr="00512048">
        <w:rPr>
          <w:rStyle w:val="TextoNormalNegritaCaracter"/>
        </w:rPr>
        <w:t>Artículo 49.5</w:t>
      </w:r>
      <w:r>
        <w:t xml:space="preserve"> </w:t>
      </w:r>
      <w:r w:rsidRPr="00512048">
        <w:rPr>
          <w:rStyle w:val="TextoNormalCaracter"/>
        </w:rPr>
        <w:t>(redactado por la Ley Orgánica 6/2002, de 27 de junio)</w:t>
      </w:r>
      <w:r w:rsidRPr="00512048">
        <w:rPr>
          <w:rStyle w:val="TextoNormalNegritaCaracter"/>
        </w:rPr>
        <w:t>.</w:t>
      </w:r>
      <w:r w:rsidRPr="00512048">
        <w:rPr>
          <w:rStyle w:val="TextoNormalCaracter"/>
        </w:rPr>
        <w:t>-</w:t>
      </w:r>
      <w:r>
        <w:t xml:space="preserve"> Sentencia </w:t>
      </w:r>
      <w:hyperlink w:anchor="SENTENCIA_2007_110" w:history="1">
        <w:r w:rsidRPr="00512048">
          <w:rPr>
            <w:rStyle w:val="TextoNormalCaracter"/>
          </w:rPr>
          <w:t>110/2007</w:t>
        </w:r>
      </w:hyperlink>
      <w:r>
        <w:t>, f. 4.</w:t>
      </w:r>
    </w:p>
    <w:p w:rsidR="00512048" w:rsidRDefault="00512048" w:rsidP="00512048">
      <w:pPr>
        <w:pStyle w:val="SangriaFrancesaArticulo"/>
      </w:pPr>
      <w:r w:rsidRPr="00512048">
        <w:rPr>
          <w:rStyle w:val="TextoNormalNegritaCaracter"/>
        </w:rPr>
        <w:t>Artículo 59.2.</w:t>
      </w:r>
      <w:r w:rsidRPr="00512048">
        <w:rPr>
          <w:rStyle w:val="TextoNormalCaracter"/>
        </w:rPr>
        <w:t>-</w:t>
      </w:r>
      <w:r>
        <w:t xml:space="preserve"> Sentencia </w:t>
      </w:r>
      <w:hyperlink w:anchor="SENTENCIA_2007_97" w:history="1">
        <w:r w:rsidRPr="00512048">
          <w:rPr>
            <w:rStyle w:val="TextoNormalCaracter"/>
          </w:rPr>
          <w:t>97/2007</w:t>
        </w:r>
      </w:hyperlink>
      <w:r>
        <w:t>, f. 3.</w:t>
      </w:r>
    </w:p>
    <w:p w:rsidR="00512048" w:rsidRDefault="00512048" w:rsidP="00512048">
      <w:pPr>
        <w:pStyle w:val="SangriaFrancesaArticulo"/>
      </w:pPr>
      <w:r w:rsidRPr="00512048">
        <w:rPr>
          <w:rStyle w:val="TextoNormalNegritaCaracter"/>
        </w:rPr>
        <w:t>Artículo 59.3.</w:t>
      </w:r>
      <w:r w:rsidRPr="00512048">
        <w:rPr>
          <w:rStyle w:val="TextoNormalCaracter"/>
        </w:rPr>
        <w:t>-</w:t>
      </w:r>
      <w:r>
        <w:t xml:space="preserve"> Sentencia </w:t>
      </w:r>
      <w:hyperlink w:anchor="SENTENCIA_2007_97" w:history="1">
        <w:r w:rsidRPr="00512048">
          <w:rPr>
            <w:rStyle w:val="TextoNormalCaracter"/>
          </w:rPr>
          <w:t>97/2007</w:t>
        </w:r>
      </w:hyperlink>
      <w:r>
        <w:t>, f. 3.</w:t>
      </w:r>
    </w:p>
    <w:p w:rsidR="00512048" w:rsidRDefault="00512048" w:rsidP="00512048">
      <w:pPr>
        <w:pStyle w:val="SangriaFrancesaArticulo"/>
      </w:pPr>
      <w:r w:rsidRPr="00512048">
        <w:rPr>
          <w:rStyle w:val="TextoNormalNegritaCaracter"/>
        </w:rPr>
        <w:t>Artículo 96.</w:t>
      </w:r>
      <w:r w:rsidRPr="00512048">
        <w:rPr>
          <w:rStyle w:val="TextoNormalCaracter"/>
        </w:rPr>
        <w:t>-</w:t>
      </w:r>
      <w:r>
        <w:t xml:space="preserve"> Sentencias </w:t>
      </w:r>
      <w:hyperlink w:anchor="SENTENCIA_2007_169" w:history="1">
        <w:r w:rsidRPr="00512048">
          <w:rPr>
            <w:rStyle w:val="TextoNormalCaracter"/>
          </w:rPr>
          <w:t>169/2007</w:t>
        </w:r>
      </w:hyperlink>
      <w:r>
        <w:t xml:space="preserve">, f. 5; </w:t>
      </w:r>
      <w:hyperlink w:anchor="SENTENCIA_2007_170" w:history="1">
        <w:r w:rsidRPr="00512048">
          <w:rPr>
            <w:rStyle w:val="TextoNormalCaracter"/>
          </w:rPr>
          <w:t>170/2007</w:t>
        </w:r>
      </w:hyperlink>
      <w:r>
        <w:t>, f. 4.</w:t>
      </w:r>
    </w:p>
    <w:p w:rsidR="00512048" w:rsidRDefault="00512048" w:rsidP="00512048">
      <w:pPr>
        <w:pStyle w:val="SangriaFrancesaArticulo"/>
      </w:pPr>
      <w:r w:rsidRPr="00512048">
        <w:rPr>
          <w:rStyle w:val="TextoNormalNegritaCaracter"/>
        </w:rPr>
        <w:t>Artículo 96.2.</w:t>
      </w:r>
      <w:r w:rsidRPr="00512048">
        <w:rPr>
          <w:rStyle w:val="TextoNormalCaracter"/>
        </w:rPr>
        <w:t>-</w:t>
      </w:r>
      <w:r>
        <w:t xml:space="preserve"> Sentencias </w:t>
      </w:r>
      <w:hyperlink w:anchor="SENTENCIA_2007_167" w:history="1">
        <w:r w:rsidRPr="00512048">
          <w:rPr>
            <w:rStyle w:val="TextoNormalCaracter"/>
          </w:rPr>
          <w:t>167/2007</w:t>
        </w:r>
      </w:hyperlink>
      <w:r>
        <w:t xml:space="preserve">, ff. 1, 5 a 9; </w:t>
      </w:r>
      <w:hyperlink w:anchor="SENTENCIA_2007_168" w:history="1">
        <w:r w:rsidRPr="00512048">
          <w:rPr>
            <w:rStyle w:val="TextoNormalCaracter"/>
          </w:rPr>
          <w:t>168/2007</w:t>
        </w:r>
      </w:hyperlink>
      <w:r>
        <w:t xml:space="preserve">, ff. 1 a 5; </w:t>
      </w:r>
      <w:hyperlink w:anchor="SENTENCIA_2007_169" w:history="1">
        <w:r w:rsidRPr="00512048">
          <w:rPr>
            <w:rStyle w:val="TextoNormalCaracter"/>
          </w:rPr>
          <w:t>169/2007</w:t>
        </w:r>
      </w:hyperlink>
      <w:r>
        <w:t xml:space="preserve">, ff. 1, 3 a 7; </w:t>
      </w:r>
      <w:hyperlink w:anchor="SENTENCIA_2007_170" w:history="1">
        <w:r w:rsidRPr="00512048">
          <w:rPr>
            <w:rStyle w:val="TextoNormalCaracter"/>
          </w:rPr>
          <w:t>170/2007</w:t>
        </w:r>
      </w:hyperlink>
      <w:r>
        <w:t>, ff. 1, 3 a 6.</w:t>
      </w:r>
    </w:p>
    <w:p w:rsidR="00512048" w:rsidRDefault="00512048" w:rsidP="00512048">
      <w:pPr>
        <w:pStyle w:val="SangriaIzquierdaArticulo"/>
      </w:pPr>
      <w:r>
        <w:t xml:space="preserve">Auto </w:t>
      </w:r>
      <w:hyperlink w:anchor="AUTO_2007_338" w:history="1">
        <w:r w:rsidRPr="00512048">
          <w:rPr>
            <w:rStyle w:val="TextoNormalCaracter"/>
          </w:rPr>
          <w:t>338/2007</w:t>
        </w:r>
      </w:hyperlink>
      <w:r>
        <w:t>.</w:t>
      </w:r>
    </w:p>
    <w:p w:rsidR="00512048" w:rsidRDefault="00512048" w:rsidP="00512048">
      <w:pPr>
        <w:pStyle w:val="SangriaFrancesaArticulo"/>
      </w:pPr>
      <w:r w:rsidRPr="00512048">
        <w:rPr>
          <w:rStyle w:val="TextoNormalNegritaCaracter"/>
        </w:rPr>
        <w:t>Artículo 96.3.</w:t>
      </w:r>
      <w:r w:rsidRPr="00512048">
        <w:rPr>
          <w:rStyle w:val="TextoNormalCaracter"/>
        </w:rPr>
        <w:t>-</w:t>
      </w:r>
      <w:r>
        <w:t xml:space="preserve"> Sentencias </w:t>
      </w:r>
      <w:hyperlink w:anchor="SENTENCIA_2007_167" w:history="1">
        <w:r w:rsidRPr="00512048">
          <w:rPr>
            <w:rStyle w:val="TextoNormalCaracter"/>
          </w:rPr>
          <w:t>167/2007</w:t>
        </w:r>
      </w:hyperlink>
      <w:r>
        <w:t xml:space="preserve">, f. 7; </w:t>
      </w:r>
      <w:hyperlink w:anchor="SENTENCIA_2007_168" w:history="1">
        <w:r w:rsidRPr="00512048">
          <w:rPr>
            <w:rStyle w:val="TextoNormalCaracter"/>
          </w:rPr>
          <w:t>168/2007</w:t>
        </w:r>
      </w:hyperlink>
      <w:r>
        <w:t xml:space="preserve">, f. 3; </w:t>
      </w:r>
      <w:hyperlink w:anchor="SENTENCIA_2007_169" w:history="1">
        <w:r w:rsidRPr="00512048">
          <w:rPr>
            <w:rStyle w:val="TextoNormalCaracter"/>
          </w:rPr>
          <w:t>169/2007</w:t>
        </w:r>
      </w:hyperlink>
      <w:r>
        <w:t xml:space="preserve">, f. 5; </w:t>
      </w:r>
      <w:hyperlink w:anchor="SENTENCIA_2007_170" w:history="1">
        <w:r w:rsidRPr="00512048">
          <w:rPr>
            <w:rStyle w:val="TextoNormalCaracter"/>
          </w:rPr>
          <w:t>170/2007</w:t>
        </w:r>
      </w:hyperlink>
      <w:r>
        <w:t>, f. 4.</w:t>
      </w:r>
    </w:p>
    <w:p w:rsidR="00512048" w:rsidRDefault="00512048" w:rsidP="00512048">
      <w:pPr>
        <w:pStyle w:val="SangriaFrancesaArticulo"/>
      </w:pPr>
      <w:r w:rsidRPr="00512048">
        <w:rPr>
          <w:rStyle w:val="TextoNormalNegritaCaracter"/>
        </w:rPr>
        <w:lastRenderedPageBreak/>
        <w:t>Artículo 108.2.</w:t>
      </w:r>
      <w:r w:rsidRPr="00512048">
        <w:rPr>
          <w:rStyle w:val="TextoNormalCaracter"/>
        </w:rPr>
        <w:t>-</w:t>
      </w:r>
      <w:r>
        <w:t xml:space="preserve"> Sentencia </w:t>
      </w:r>
      <w:hyperlink w:anchor="SENTENCIA_2007_169" w:history="1">
        <w:r w:rsidRPr="00512048">
          <w:rPr>
            <w:rStyle w:val="TextoNormalCaracter"/>
          </w:rPr>
          <w:t>169/2007</w:t>
        </w:r>
      </w:hyperlink>
      <w:r>
        <w:t>, ff. 1, 2.</w:t>
      </w:r>
    </w:p>
    <w:p w:rsidR="00512048" w:rsidRDefault="00512048" w:rsidP="00512048">
      <w:pPr>
        <w:pStyle w:val="SangriaFrancesaArticulo"/>
      </w:pPr>
      <w:r w:rsidRPr="00512048">
        <w:rPr>
          <w:rStyle w:val="TextoNormalNegritaCaracter"/>
        </w:rPr>
        <w:t>Artículo 108.6.</w:t>
      </w:r>
      <w:r w:rsidRPr="00512048">
        <w:rPr>
          <w:rStyle w:val="TextoNormalCaracter"/>
        </w:rPr>
        <w:t>-</w:t>
      </w:r>
      <w:r>
        <w:t xml:space="preserve"> Sentencia </w:t>
      </w:r>
      <w:hyperlink w:anchor="SENTENCIA_2007_110" w:history="1">
        <w:r w:rsidRPr="00512048">
          <w:rPr>
            <w:rStyle w:val="TextoNormalCaracter"/>
          </w:rPr>
          <w:t>110/2007</w:t>
        </w:r>
      </w:hyperlink>
      <w:r>
        <w:t>, f. 9.</w:t>
      </w:r>
    </w:p>
    <w:p w:rsidR="00512048" w:rsidRDefault="00512048" w:rsidP="00512048">
      <w:pPr>
        <w:pStyle w:val="SangriaFrancesaArticulo"/>
      </w:pPr>
      <w:r w:rsidRPr="00512048">
        <w:rPr>
          <w:rStyle w:val="TextoNormalNegritaCaracter"/>
        </w:rPr>
        <w:t>Artículos 109 a 117.</w:t>
      </w:r>
      <w:r w:rsidRPr="00512048">
        <w:rPr>
          <w:rStyle w:val="TextoNormalCaracter"/>
        </w:rPr>
        <w:t>-</w:t>
      </w:r>
      <w:r>
        <w:t xml:space="preserve"> Auto </w:t>
      </w:r>
      <w:hyperlink w:anchor="AUTO_2007_325" w:history="1">
        <w:r w:rsidRPr="00512048">
          <w:rPr>
            <w:rStyle w:val="TextoNormalCaracter"/>
          </w:rPr>
          <w:t>325/2007</w:t>
        </w:r>
      </w:hyperlink>
      <w:r>
        <w:t>.</w:t>
      </w:r>
    </w:p>
    <w:p w:rsidR="00512048" w:rsidRDefault="00512048" w:rsidP="00512048">
      <w:pPr>
        <w:pStyle w:val="SangriaFrancesaArticulo"/>
      </w:pPr>
      <w:r w:rsidRPr="00512048">
        <w:rPr>
          <w:rStyle w:val="TextoNormalNegritaCaracter"/>
        </w:rPr>
        <w:t>Artículo 114.</w:t>
      </w:r>
      <w:r w:rsidRPr="00512048">
        <w:rPr>
          <w:rStyle w:val="TextoNormalCaracter"/>
        </w:rPr>
        <w:t>-</w:t>
      </w:r>
      <w:r>
        <w:t xml:space="preserve"> Sentencias </w:t>
      </w:r>
      <w:hyperlink w:anchor="SENTENCIA_2007_96" w:history="1">
        <w:r w:rsidRPr="00512048">
          <w:rPr>
            <w:rStyle w:val="TextoNormalCaracter"/>
          </w:rPr>
          <w:t>96/2007</w:t>
        </w:r>
      </w:hyperlink>
      <w:r>
        <w:t xml:space="preserve">, f. 3; </w:t>
      </w:r>
      <w:hyperlink w:anchor="SENTENCIA_2007_99" w:history="1">
        <w:r w:rsidRPr="00512048">
          <w:rPr>
            <w:rStyle w:val="TextoNormalCaracter"/>
          </w:rPr>
          <w:t>99/2007</w:t>
        </w:r>
      </w:hyperlink>
      <w:r>
        <w:t xml:space="preserve">, f. 3; </w:t>
      </w:r>
      <w:hyperlink w:anchor="SENTENCIA_2007_101" w:history="1">
        <w:r w:rsidRPr="00512048">
          <w:rPr>
            <w:rStyle w:val="TextoNormalCaracter"/>
          </w:rPr>
          <w:t>101/2007</w:t>
        </w:r>
      </w:hyperlink>
      <w:r>
        <w:t>, f. 5.</w:t>
      </w:r>
    </w:p>
    <w:p w:rsidR="00512048" w:rsidRDefault="00512048" w:rsidP="00512048">
      <w:pPr>
        <w:pStyle w:val="SangriaFrancesaArticulo"/>
      </w:pPr>
      <w:r w:rsidRPr="00512048">
        <w:rPr>
          <w:rStyle w:val="TextoNormalNegritaCaracter"/>
        </w:rPr>
        <w:t>Artículo 114.2.</w:t>
      </w:r>
      <w:r w:rsidRPr="00512048">
        <w:rPr>
          <w:rStyle w:val="TextoNormalCaracter"/>
        </w:rPr>
        <w:t>-</w:t>
      </w:r>
      <w:r>
        <w:t xml:space="preserve"> Sentencias </w:t>
      </w:r>
      <w:hyperlink w:anchor="SENTENCIA_2007_112" w:history="1">
        <w:r w:rsidRPr="00512048">
          <w:rPr>
            <w:rStyle w:val="TextoNormalCaracter"/>
          </w:rPr>
          <w:t>112/2007</w:t>
        </w:r>
      </w:hyperlink>
      <w:r>
        <w:t xml:space="preserve">, f. 2; </w:t>
      </w:r>
      <w:hyperlink w:anchor="SENTENCIA_2007_170" w:history="1">
        <w:r w:rsidRPr="00512048">
          <w:rPr>
            <w:rStyle w:val="TextoNormalCaracter"/>
          </w:rPr>
          <w:t>170/2007</w:t>
        </w:r>
      </w:hyperlink>
      <w:r>
        <w:t>, f. 2.</w:t>
      </w:r>
    </w:p>
    <w:p w:rsidR="00512048" w:rsidRDefault="00512048" w:rsidP="00512048">
      <w:pPr>
        <w:pStyle w:val="SangriaFrancesaArticulo"/>
      </w:pPr>
      <w:r w:rsidRPr="00512048">
        <w:rPr>
          <w:rStyle w:val="TextoNormalNegritaCaracter"/>
        </w:rPr>
        <w:t>Artículo 163.1 d).</w:t>
      </w:r>
      <w:r w:rsidRPr="00512048">
        <w:rPr>
          <w:rStyle w:val="TextoNormalCaracter"/>
        </w:rPr>
        <w:t>-</w:t>
      </w:r>
      <w:r>
        <w:t xml:space="preserve"> Auto </w:t>
      </w:r>
      <w:hyperlink w:anchor="AUTO_2007_338" w:history="1">
        <w:r w:rsidRPr="00512048">
          <w:rPr>
            <w:rStyle w:val="TextoNormalCaracter"/>
          </w:rPr>
          <w:t>338/2007</w:t>
        </w:r>
      </w:hyperlink>
      <w:r>
        <w:t>.</w:t>
      </w:r>
    </w:p>
    <w:p w:rsidR="00512048" w:rsidRDefault="00512048" w:rsidP="00512048">
      <w:pPr>
        <w:pStyle w:val="SangriaFrancesaArticulo"/>
      </w:pPr>
      <w:r w:rsidRPr="00512048">
        <w:rPr>
          <w:rStyle w:val="TextoNormalNegritaCaracter"/>
        </w:rPr>
        <w:t>Artículo 187.2</w:t>
      </w:r>
      <w:r>
        <w:t xml:space="preserve"> </w:t>
      </w:r>
      <w:r w:rsidRPr="00512048">
        <w:rPr>
          <w:rStyle w:val="TextoNormalCaracter"/>
        </w:rPr>
        <w:t>(redactado por la Ley Orgánica 3/2007, de 22 de marzo)</w:t>
      </w:r>
      <w:r w:rsidRPr="00512048">
        <w:rPr>
          <w:rStyle w:val="TextoNormalNegritaCaracter"/>
        </w:rPr>
        <w:t>.</w:t>
      </w:r>
      <w:r w:rsidRPr="00512048">
        <w:rPr>
          <w:rStyle w:val="TextoNormalCaracter"/>
        </w:rPr>
        <w:t>-</w:t>
      </w:r>
      <w:r>
        <w:t xml:space="preserve"> Sentencias </w:t>
      </w:r>
      <w:hyperlink w:anchor="SENTENCIA_2007_96" w:history="1">
        <w:r w:rsidRPr="00512048">
          <w:rPr>
            <w:rStyle w:val="TextoNormalCaracter"/>
          </w:rPr>
          <w:t>96/2007</w:t>
        </w:r>
      </w:hyperlink>
      <w:r>
        <w:t xml:space="preserve">, f. 4; </w:t>
      </w:r>
      <w:hyperlink w:anchor="SENTENCIA_2007_99" w:history="1">
        <w:r w:rsidRPr="00512048">
          <w:rPr>
            <w:rStyle w:val="TextoNormalCaracter"/>
          </w:rPr>
          <w:t>99/2007</w:t>
        </w:r>
      </w:hyperlink>
      <w:r>
        <w:t xml:space="preserve">, f. 4; </w:t>
      </w:r>
      <w:hyperlink w:anchor="SENTENCIA_2007_101" w:history="1">
        <w:r w:rsidRPr="00512048">
          <w:rPr>
            <w:rStyle w:val="TextoNormalCaracter"/>
          </w:rPr>
          <w:t>101/2007</w:t>
        </w:r>
      </w:hyperlink>
      <w:r>
        <w:t xml:space="preserve">, f. 4; </w:t>
      </w:r>
      <w:hyperlink w:anchor="SENTENCIA_2007_102" w:history="1">
        <w:r w:rsidRPr="00512048">
          <w:rPr>
            <w:rStyle w:val="TextoNormalCaracter"/>
          </w:rPr>
          <w:t>102/2007</w:t>
        </w:r>
      </w:hyperlink>
      <w:r>
        <w:t xml:space="preserve">, f. 4; </w:t>
      </w:r>
      <w:hyperlink w:anchor="SENTENCIA_2007_104" w:history="1">
        <w:r w:rsidRPr="00512048">
          <w:rPr>
            <w:rStyle w:val="TextoNormalCaracter"/>
          </w:rPr>
          <w:t>104/2007</w:t>
        </w:r>
      </w:hyperlink>
      <w:r>
        <w:t xml:space="preserve">, f. 3; </w:t>
      </w:r>
      <w:hyperlink w:anchor="SENTENCIA_2007_105" w:history="1">
        <w:r w:rsidRPr="00512048">
          <w:rPr>
            <w:rStyle w:val="TextoNormalCaracter"/>
          </w:rPr>
          <w:t>105/2007</w:t>
        </w:r>
      </w:hyperlink>
      <w:r>
        <w:t>, f. 2.</w:t>
      </w:r>
    </w:p>
    <w:p w:rsidR="00512048" w:rsidRDefault="00512048" w:rsidP="00512048">
      <w:pPr>
        <w:pStyle w:val="SangriaFrancesaArticulo"/>
      </w:pPr>
      <w:r w:rsidRPr="00512048">
        <w:rPr>
          <w:rStyle w:val="TextoNormalNegritaCaracter"/>
        </w:rPr>
        <w:t>Artículo 187.4.</w:t>
      </w:r>
      <w:r w:rsidRPr="00512048">
        <w:rPr>
          <w:rStyle w:val="TextoNormalCaracter"/>
        </w:rPr>
        <w:t>-</w:t>
      </w:r>
      <w:r>
        <w:t xml:space="preserve"> Sentencia </w:t>
      </w:r>
      <w:hyperlink w:anchor="SENTENCIA_2007_110" w:history="1">
        <w:r w:rsidRPr="00512048">
          <w:rPr>
            <w:rStyle w:val="TextoNormalCaracter"/>
          </w:rPr>
          <w:t>110/2007</w:t>
        </w:r>
      </w:hyperlink>
      <w:r>
        <w:t>, f. 9.</w:t>
      </w:r>
    </w:p>
    <w:p w:rsidR="00512048" w:rsidRDefault="00512048" w:rsidP="00512048">
      <w:pPr>
        <w:pStyle w:val="SangriaFrancesaArticulo"/>
      </w:pPr>
      <w:r w:rsidRPr="00512048">
        <w:rPr>
          <w:rStyle w:val="TextoNormalNegritaCaracter"/>
        </w:rPr>
        <w:t>Artículo 190.</w:t>
      </w:r>
      <w:r w:rsidRPr="00512048">
        <w:rPr>
          <w:rStyle w:val="TextoNormalCaracter"/>
        </w:rPr>
        <w:t>-</w:t>
      </w:r>
      <w:r>
        <w:t xml:space="preserve"> Sentencias </w:t>
      </w:r>
      <w:hyperlink w:anchor="SENTENCIA_2007_167" w:history="1">
        <w:r w:rsidRPr="00512048">
          <w:rPr>
            <w:rStyle w:val="TextoNormalCaracter"/>
          </w:rPr>
          <w:t>167/2007</w:t>
        </w:r>
      </w:hyperlink>
      <w:r>
        <w:t xml:space="preserve">, f. 7; </w:t>
      </w:r>
      <w:hyperlink w:anchor="SENTENCIA_2007_168" w:history="1">
        <w:r w:rsidRPr="00512048">
          <w:rPr>
            <w:rStyle w:val="TextoNormalCaracter"/>
          </w:rPr>
          <w:t>168/2007</w:t>
        </w:r>
      </w:hyperlink>
      <w:r>
        <w:t xml:space="preserve">, f. 3; </w:t>
      </w:r>
      <w:hyperlink w:anchor="SENTENCIA_2007_169" w:history="1">
        <w:r w:rsidRPr="00512048">
          <w:rPr>
            <w:rStyle w:val="TextoNormalCaracter"/>
          </w:rPr>
          <w:t>169/2007</w:t>
        </w:r>
      </w:hyperlink>
      <w:r>
        <w:t xml:space="preserve">, f. 5; </w:t>
      </w:r>
      <w:hyperlink w:anchor="SENTENCIA_2007_170" w:history="1">
        <w:r w:rsidRPr="00512048">
          <w:rPr>
            <w:rStyle w:val="TextoNormalCaracter"/>
          </w:rPr>
          <w:t>170/2007</w:t>
        </w:r>
      </w:hyperlink>
      <w:r>
        <w:t>, f. 4.</w:t>
      </w:r>
    </w:p>
    <w:p w:rsidR="00512048" w:rsidRDefault="00512048" w:rsidP="00512048">
      <w:pPr>
        <w:pStyle w:val="SangriaFrancesaArticulo"/>
      </w:pPr>
      <w:r w:rsidRPr="00512048">
        <w:rPr>
          <w:rStyle w:val="TextoNormalNegritaCaracter"/>
        </w:rPr>
        <w:t>Disposición transitoria séptima</w:t>
      </w:r>
      <w:r>
        <w:t xml:space="preserve"> </w:t>
      </w:r>
      <w:r w:rsidRPr="00512048">
        <w:rPr>
          <w:rStyle w:val="TextoNormalCaracter"/>
        </w:rPr>
        <w:t>(redactada por la Ley Orgánica 3/2007, de 22 de marzo)</w:t>
      </w:r>
      <w:r w:rsidRPr="00512048">
        <w:rPr>
          <w:rStyle w:val="TextoNormalNegritaCaracter"/>
        </w:rPr>
        <w:t>.</w:t>
      </w:r>
      <w:r w:rsidRPr="00512048">
        <w:rPr>
          <w:rStyle w:val="TextoNormalCaracter"/>
        </w:rPr>
        <w:t>-</w:t>
      </w:r>
      <w:r>
        <w:t xml:space="preserve"> Sentencias </w:t>
      </w:r>
      <w:hyperlink w:anchor="SENTENCIA_2007_96" w:history="1">
        <w:r w:rsidRPr="00512048">
          <w:rPr>
            <w:rStyle w:val="TextoNormalCaracter"/>
          </w:rPr>
          <w:t>96/2007</w:t>
        </w:r>
      </w:hyperlink>
      <w:r>
        <w:t xml:space="preserve">, f. 4; </w:t>
      </w:r>
      <w:hyperlink w:anchor="SENTENCIA_2007_99" w:history="1">
        <w:r w:rsidRPr="00512048">
          <w:rPr>
            <w:rStyle w:val="TextoNormalCaracter"/>
          </w:rPr>
          <w:t>99/2007</w:t>
        </w:r>
      </w:hyperlink>
      <w:r>
        <w:t xml:space="preserve">, f. 4; </w:t>
      </w:r>
      <w:hyperlink w:anchor="SENTENCIA_2007_101" w:history="1">
        <w:r w:rsidRPr="00512048">
          <w:rPr>
            <w:rStyle w:val="TextoNormalCaracter"/>
          </w:rPr>
          <w:t>101/2007</w:t>
        </w:r>
      </w:hyperlink>
      <w:r>
        <w:t xml:space="preserve">, f. 2; </w:t>
      </w:r>
      <w:hyperlink w:anchor="SENTENCIA_2007_102" w:history="1">
        <w:r w:rsidRPr="00512048">
          <w:rPr>
            <w:rStyle w:val="TextoNormalCaracter"/>
          </w:rPr>
          <w:t>102/2007</w:t>
        </w:r>
      </w:hyperlink>
      <w:r>
        <w:t xml:space="preserve">, f. 3; </w:t>
      </w:r>
      <w:hyperlink w:anchor="SENTENCIA_2007_104" w:history="1">
        <w:r w:rsidRPr="00512048">
          <w:rPr>
            <w:rStyle w:val="TextoNormalCaracter"/>
          </w:rPr>
          <w:t>104/2007</w:t>
        </w:r>
      </w:hyperlink>
      <w:r>
        <w:t xml:space="preserve">, f. 3; </w:t>
      </w:r>
      <w:hyperlink w:anchor="SENTENCIA_2007_127" w:history="1">
        <w:r w:rsidRPr="00512048">
          <w:rPr>
            <w:rStyle w:val="TextoNormalCaracter"/>
          </w:rPr>
          <w:t>127/2007</w:t>
        </w:r>
      </w:hyperlink>
      <w:r>
        <w:t>, f. 4.</w:t>
      </w:r>
    </w:p>
    <w:p w:rsidR="00512048" w:rsidRDefault="00512048" w:rsidP="00512048">
      <w:pPr>
        <w:pStyle w:val="SangriaFrancesaArticulo"/>
      </w:pPr>
    </w:p>
    <w:p w:rsidR="00512048" w:rsidRDefault="00512048" w:rsidP="00512048">
      <w:pPr>
        <w:pStyle w:val="TextoNormalNegritaCursivandice"/>
      </w:pPr>
      <w:r>
        <w:t>Ley Orgánica 6/1985, de 1 de julio. Poder judicial</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Autos </w:t>
      </w:r>
      <w:hyperlink w:anchor="AUTO_2007_275" w:history="1">
        <w:r w:rsidRPr="00512048">
          <w:rPr>
            <w:rStyle w:val="TextoNormalCaracter"/>
          </w:rPr>
          <w:t>275/2007</w:t>
        </w:r>
      </w:hyperlink>
      <w:r>
        <w:t xml:space="preserve">; </w:t>
      </w:r>
      <w:hyperlink w:anchor="AUTO_2007_319" w:history="1">
        <w:r w:rsidRPr="00512048">
          <w:rPr>
            <w:rStyle w:val="TextoNormalCaracter"/>
          </w:rPr>
          <w:t>319/2007</w:t>
        </w:r>
      </w:hyperlink>
      <w:r>
        <w:t>.</w:t>
      </w:r>
    </w:p>
    <w:p w:rsidR="00512048" w:rsidRDefault="00512048" w:rsidP="00512048">
      <w:pPr>
        <w:pStyle w:val="SangriaFrancesaArticulo"/>
      </w:pPr>
      <w:r w:rsidRPr="00512048">
        <w:rPr>
          <w:rStyle w:val="TextoNormalNegritaCaracter"/>
        </w:rPr>
        <w:t>Libro V.</w:t>
      </w:r>
      <w:r w:rsidRPr="00512048">
        <w:rPr>
          <w:rStyle w:val="TextoNormalCaracter"/>
        </w:rPr>
        <w:t>-</w:t>
      </w:r>
      <w:r>
        <w:t xml:space="preserve"> Sentencia </w:t>
      </w:r>
      <w:hyperlink w:anchor="SENTENCIA_2007_145" w:history="1">
        <w:r w:rsidRPr="00512048">
          <w:rPr>
            <w:rStyle w:val="TextoNormalCaracter"/>
          </w:rPr>
          <w:t>145/2007</w:t>
        </w:r>
      </w:hyperlink>
      <w:r>
        <w:t>, f. 3.</w:t>
      </w:r>
    </w:p>
    <w:p w:rsidR="00512048" w:rsidRDefault="00512048" w:rsidP="00512048">
      <w:pPr>
        <w:pStyle w:val="SangriaFrancesaArticulo"/>
      </w:pPr>
      <w:r w:rsidRPr="00512048">
        <w:rPr>
          <w:rStyle w:val="TextoNormalNegritaCaracter"/>
        </w:rPr>
        <w:t>Artículo 5.3.</w:t>
      </w:r>
      <w:r w:rsidRPr="00512048">
        <w:rPr>
          <w:rStyle w:val="TextoNormalCaracter"/>
        </w:rPr>
        <w:t>-</w:t>
      </w:r>
      <w:r>
        <w:t xml:space="preserve"> Auto </w:t>
      </w:r>
      <w:hyperlink w:anchor="AUTO_2007_328" w:history="1">
        <w:r w:rsidRPr="00512048">
          <w:rPr>
            <w:rStyle w:val="TextoNormalCaracter"/>
          </w:rPr>
          <w:t>328/2007</w:t>
        </w:r>
      </w:hyperlink>
      <w:r>
        <w:t>.</w:t>
      </w:r>
    </w:p>
    <w:p w:rsidR="00512048" w:rsidRDefault="00512048" w:rsidP="00512048">
      <w:pPr>
        <w:pStyle w:val="SangriaFrancesaArticulo"/>
      </w:pPr>
      <w:r w:rsidRPr="00512048">
        <w:rPr>
          <w:rStyle w:val="TextoNormalNegritaCaracter"/>
        </w:rPr>
        <w:t>Artículo 7.3.</w:t>
      </w:r>
      <w:r w:rsidRPr="00512048">
        <w:rPr>
          <w:rStyle w:val="TextoNormalCaracter"/>
        </w:rPr>
        <w:t>-</w:t>
      </w:r>
      <w:r>
        <w:t xml:space="preserve"> Sentencia </w:t>
      </w:r>
      <w:hyperlink w:anchor="SENTENCIA_2007_166" w:history="1">
        <w:r w:rsidRPr="00512048">
          <w:rPr>
            <w:rStyle w:val="TextoNormalCaracter"/>
          </w:rPr>
          <w:t>166/2007</w:t>
        </w:r>
      </w:hyperlink>
      <w:r>
        <w:t>, f. 8.</w:t>
      </w:r>
    </w:p>
    <w:p w:rsidR="00512048" w:rsidRDefault="00512048" w:rsidP="00512048">
      <w:pPr>
        <w:pStyle w:val="SangriaFrancesaArticulo"/>
      </w:pPr>
      <w:r w:rsidRPr="00512048">
        <w:rPr>
          <w:rStyle w:val="TextoNormalNegritaCaracter"/>
        </w:rPr>
        <w:t>Artículo 61.</w:t>
      </w:r>
      <w:r w:rsidRPr="00512048">
        <w:rPr>
          <w:rStyle w:val="TextoNormalCaracter"/>
        </w:rPr>
        <w:t>-</w:t>
      </w:r>
      <w:r>
        <w:t xml:space="preserve"> Sentencias </w:t>
      </w:r>
      <w:hyperlink w:anchor="SENTENCIA_2007_110" w:history="1">
        <w:r w:rsidRPr="00512048">
          <w:rPr>
            <w:rStyle w:val="TextoNormalCaracter"/>
          </w:rPr>
          <w:t>110/2007</w:t>
        </w:r>
      </w:hyperlink>
      <w:r>
        <w:t xml:space="preserve">, ff. 1, 4, 5, 7, 12, 14 a 16; </w:t>
      </w:r>
      <w:hyperlink w:anchor="SENTENCIA_2007_112" w:history="1">
        <w:r w:rsidRPr="00512048">
          <w:rPr>
            <w:rStyle w:val="TextoNormalCaracter"/>
          </w:rPr>
          <w:t>112/2007</w:t>
        </w:r>
      </w:hyperlink>
      <w:r>
        <w:t>, ff. 1 a 8.</w:t>
      </w:r>
    </w:p>
    <w:p w:rsidR="00512048" w:rsidRDefault="00512048" w:rsidP="00512048">
      <w:pPr>
        <w:pStyle w:val="SangriaIzquierdaArticulo"/>
      </w:pPr>
      <w:r>
        <w:t xml:space="preserve">Auto </w:t>
      </w:r>
      <w:hyperlink w:anchor="AUTO_2007_238" w:history="1">
        <w:r w:rsidRPr="00512048">
          <w:rPr>
            <w:rStyle w:val="TextoNormalCaracter"/>
          </w:rPr>
          <w:t>238/2007</w:t>
        </w:r>
      </w:hyperlink>
      <w:r>
        <w:t>.</w:t>
      </w:r>
    </w:p>
    <w:p w:rsidR="00512048" w:rsidRDefault="00512048" w:rsidP="00512048">
      <w:pPr>
        <w:pStyle w:val="SangriaFrancesaArticulo"/>
      </w:pPr>
      <w:r w:rsidRPr="00512048">
        <w:rPr>
          <w:rStyle w:val="TextoNormalNegritaCaracter"/>
        </w:rPr>
        <w:t>Artículo 77.</w:t>
      </w:r>
      <w:r w:rsidRPr="00512048">
        <w:rPr>
          <w:rStyle w:val="TextoNormalCaracter"/>
        </w:rPr>
        <w:t>-</w:t>
      </w:r>
      <w:r>
        <w:t xml:space="preserve"> Sentencia </w:t>
      </w:r>
      <w:hyperlink w:anchor="SENTENCIA_2007_156" w:history="1">
        <w:r w:rsidRPr="00512048">
          <w:rPr>
            <w:rStyle w:val="TextoNormalCaracter"/>
          </w:rPr>
          <w:t>156/2007</w:t>
        </w:r>
      </w:hyperlink>
      <w:r>
        <w:t>, f. 5.</w:t>
      </w:r>
    </w:p>
    <w:p w:rsidR="00512048" w:rsidRDefault="00512048" w:rsidP="00512048">
      <w:pPr>
        <w:pStyle w:val="SangriaFrancesaArticulo"/>
      </w:pPr>
      <w:r w:rsidRPr="00512048">
        <w:rPr>
          <w:rStyle w:val="TextoNormalNegritaCaracter"/>
        </w:rPr>
        <w:t>Artículo 183.</w:t>
      </w:r>
      <w:r w:rsidRPr="00512048">
        <w:rPr>
          <w:rStyle w:val="TextoNormalCaracter"/>
        </w:rPr>
        <w:t>-</w:t>
      </w:r>
      <w:r>
        <w:t xml:space="preserve"> Sentencia </w:t>
      </w:r>
      <w:hyperlink w:anchor="SENTENCIA_2007_122" w:history="1">
        <w:r w:rsidRPr="00512048">
          <w:rPr>
            <w:rStyle w:val="TextoNormalCaracter"/>
          </w:rPr>
          <w:t>122/2007</w:t>
        </w:r>
      </w:hyperlink>
      <w:r>
        <w:t>, ff. 1, 5, 6.</w:t>
      </w:r>
    </w:p>
    <w:p w:rsidR="00512048" w:rsidRDefault="00512048" w:rsidP="00512048">
      <w:pPr>
        <w:pStyle w:val="SangriaFrancesaArticulo"/>
      </w:pPr>
      <w:r w:rsidRPr="00512048">
        <w:rPr>
          <w:rStyle w:val="TextoNormalNegritaCaracter"/>
        </w:rPr>
        <w:t>Artículo 184.</w:t>
      </w:r>
      <w:r w:rsidRPr="00512048">
        <w:rPr>
          <w:rStyle w:val="TextoNormalCaracter"/>
        </w:rPr>
        <w:t>-</w:t>
      </w:r>
      <w:r>
        <w:t xml:space="preserve"> Sentencia </w:t>
      </w:r>
      <w:hyperlink w:anchor="SENTENCIA_2007_122" w:history="1">
        <w:r w:rsidRPr="00512048">
          <w:rPr>
            <w:rStyle w:val="TextoNormalCaracter"/>
          </w:rPr>
          <w:t>122/2007</w:t>
        </w:r>
      </w:hyperlink>
      <w:r>
        <w:t>, ff. 1, 5, 6.</w:t>
      </w:r>
    </w:p>
    <w:p w:rsidR="00512048" w:rsidRDefault="00512048" w:rsidP="00512048">
      <w:pPr>
        <w:pStyle w:val="SangriaFrancesaArticulo"/>
      </w:pPr>
      <w:r w:rsidRPr="00512048">
        <w:rPr>
          <w:rStyle w:val="TextoNormalNegritaCaracter"/>
        </w:rPr>
        <w:t>Artículo 219.</w:t>
      </w:r>
      <w:r w:rsidRPr="00512048">
        <w:rPr>
          <w:rStyle w:val="TextoNormalCaracter"/>
        </w:rPr>
        <w:t>-</w:t>
      </w:r>
      <w:r>
        <w:t xml:space="preserve"> Auto </w:t>
      </w:r>
      <w:hyperlink w:anchor="AUTO_2007_289" w:history="1">
        <w:r w:rsidRPr="00512048">
          <w:rPr>
            <w:rStyle w:val="TextoNormalCaracter"/>
          </w:rPr>
          <w:t>289/2007</w:t>
        </w:r>
      </w:hyperlink>
      <w:r>
        <w:t>.</w:t>
      </w:r>
    </w:p>
    <w:p w:rsidR="00512048" w:rsidRDefault="00512048" w:rsidP="00512048">
      <w:pPr>
        <w:pStyle w:val="SangriaFrancesaArticulo"/>
      </w:pPr>
      <w:r w:rsidRPr="00512048">
        <w:rPr>
          <w:rStyle w:val="TextoNormalNegritaCaracter"/>
        </w:rPr>
        <w:t>Artículo 219.2.</w:t>
      </w:r>
      <w:r w:rsidRPr="00512048">
        <w:rPr>
          <w:rStyle w:val="TextoNormalCaracter"/>
        </w:rPr>
        <w:t>-</w:t>
      </w:r>
      <w:r>
        <w:t xml:space="preserve"> Auto </w:t>
      </w:r>
      <w:hyperlink w:anchor="AUTO_2007_242" w:history="1">
        <w:r w:rsidRPr="00512048">
          <w:rPr>
            <w:rStyle w:val="TextoNormalCaracter"/>
          </w:rPr>
          <w:t>242/2007</w:t>
        </w:r>
      </w:hyperlink>
      <w:r>
        <w:t>.</w:t>
      </w:r>
    </w:p>
    <w:p w:rsidR="00512048" w:rsidRDefault="00512048" w:rsidP="00512048">
      <w:pPr>
        <w:pStyle w:val="SangriaFrancesaArticulo"/>
      </w:pPr>
      <w:r w:rsidRPr="00512048">
        <w:rPr>
          <w:rStyle w:val="TextoNormalNegritaCaracter"/>
        </w:rPr>
        <w:t>Artículo 219.13.</w:t>
      </w:r>
      <w:r w:rsidRPr="00512048">
        <w:rPr>
          <w:rStyle w:val="TextoNormalCaracter"/>
        </w:rPr>
        <w:t>-</w:t>
      </w:r>
      <w:r>
        <w:t xml:space="preserve"> Auto </w:t>
      </w:r>
      <w:hyperlink w:anchor="AUTO_2007_289" w:history="1">
        <w:r w:rsidRPr="00512048">
          <w:rPr>
            <w:rStyle w:val="TextoNormalCaracter"/>
          </w:rPr>
          <w:t>289/2007</w:t>
        </w:r>
      </w:hyperlink>
      <w:r>
        <w:t>.</w:t>
      </w:r>
    </w:p>
    <w:p w:rsidR="00512048" w:rsidRDefault="00512048" w:rsidP="00512048">
      <w:pPr>
        <w:pStyle w:val="SangriaFrancesaArticulo"/>
      </w:pPr>
      <w:r w:rsidRPr="00512048">
        <w:rPr>
          <w:rStyle w:val="TextoNormalNegritaCaracter"/>
        </w:rPr>
        <w:t>Artículo 221.4.</w:t>
      </w:r>
      <w:r w:rsidRPr="00512048">
        <w:rPr>
          <w:rStyle w:val="TextoNormalCaracter"/>
        </w:rPr>
        <w:t>-</w:t>
      </w:r>
      <w:r>
        <w:t xml:space="preserve"> Autos </w:t>
      </w:r>
      <w:hyperlink w:anchor="AUTO_2007_242" w:history="1">
        <w:r w:rsidRPr="00512048">
          <w:rPr>
            <w:rStyle w:val="TextoNormalCaracter"/>
          </w:rPr>
          <w:t>242/2007</w:t>
        </w:r>
      </w:hyperlink>
      <w:r>
        <w:t xml:space="preserve">; </w:t>
      </w:r>
      <w:hyperlink w:anchor="AUTO_2007_334" w:history="1">
        <w:r w:rsidRPr="00512048">
          <w:rPr>
            <w:rStyle w:val="TextoNormalCaracter"/>
          </w:rPr>
          <w:t>334/2007</w:t>
        </w:r>
      </w:hyperlink>
      <w:r>
        <w:t xml:space="preserve">; </w:t>
      </w:r>
      <w:hyperlink w:anchor="AUTO_2007_350" w:history="1">
        <w:r w:rsidRPr="00512048">
          <w:rPr>
            <w:rStyle w:val="TextoNormalCaracter"/>
          </w:rPr>
          <w:t>350/2007</w:t>
        </w:r>
      </w:hyperlink>
      <w:r>
        <w:t>.</w:t>
      </w:r>
    </w:p>
    <w:p w:rsidR="00512048" w:rsidRDefault="00512048" w:rsidP="00512048">
      <w:pPr>
        <w:pStyle w:val="SangriaFrancesaArticulo"/>
      </w:pPr>
      <w:r w:rsidRPr="00512048">
        <w:rPr>
          <w:rStyle w:val="TextoNormalNegritaCaracter"/>
        </w:rPr>
        <w:t>Artículo 228.</w:t>
      </w:r>
      <w:r w:rsidRPr="00512048">
        <w:rPr>
          <w:rStyle w:val="TextoNormalCaracter"/>
        </w:rPr>
        <w:t>-</w:t>
      </w:r>
      <w:r>
        <w:t xml:space="preserve"> Sentencia </w:t>
      </w:r>
      <w:hyperlink w:anchor="SENTENCIA_2007_156" w:history="1">
        <w:r w:rsidRPr="00512048">
          <w:rPr>
            <w:rStyle w:val="TextoNormalCaracter"/>
          </w:rPr>
          <w:t>156/2007</w:t>
        </w:r>
      </w:hyperlink>
      <w:r>
        <w:t>, f. 5.</w:t>
      </w:r>
    </w:p>
    <w:p w:rsidR="00512048" w:rsidRDefault="00512048" w:rsidP="00512048">
      <w:pPr>
        <w:pStyle w:val="SangriaFrancesaArticulo"/>
      </w:pPr>
      <w:r w:rsidRPr="00512048">
        <w:rPr>
          <w:rStyle w:val="TextoNormalNegritaCaracter"/>
        </w:rPr>
        <w:t>Artículo 240</w:t>
      </w:r>
      <w:r>
        <w:t xml:space="preserve"> </w:t>
      </w:r>
      <w:r w:rsidRPr="00512048">
        <w:rPr>
          <w:rStyle w:val="TextoNormalCaracter"/>
        </w:rPr>
        <w:t>(redactado por la Ley Orgánica 5/1997, de 4 de diciembre)</w:t>
      </w:r>
      <w:r w:rsidRPr="00512048">
        <w:rPr>
          <w:rStyle w:val="TextoNormalNegritaCaracter"/>
        </w:rPr>
        <w:t>.</w:t>
      </w:r>
      <w:r w:rsidRPr="00512048">
        <w:rPr>
          <w:rStyle w:val="TextoNormalCaracter"/>
        </w:rPr>
        <w:t>-</w:t>
      </w:r>
      <w:r>
        <w:t xml:space="preserve"> Sentencia </w:t>
      </w:r>
      <w:hyperlink w:anchor="SENTENCIA_2007_135" w:history="1">
        <w:r w:rsidRPr="00512048">
          <w:rPr>
            <w:rStyle w:val="TextoNormalCaracter"/>
          </w:rPr>
          <w:t>135/2007</w:t>
        </w:r>
      </w:hyperlink>
      <w:r>
        <w:t>, f. 4.</w:t>
      </w:r>
    </w:p>
    <w:p w:rsidR="00512048" w:rsidRDefault="00512048" w:rsidP="00512048">
      <w:pPr>
        <w:pStyle w:val="SangriaFrancesaArticulo"/>
      </w:pPr>
      <w:r w:rsidRPr="00512048">
        <w:rPr>
          <w:rStyle w:val="TextoNormalNegritaCaracter"/>
        </w:rPr>
        <w:t>Artículo 240.3</w:t>
      </w:r>
      <w:r>
        <w:t xml:space="preserve"> </w:t>
      </w:r>
      <w:r w:rsidRPr="00512048">
        <w:rPr>
          <w:rStyle w:val="TextoNormalCaracter"/>
        </w:rPr>
        <w:t>(redactado por la Ley Orgánica 13/1999, de 14 de mayo)</w:t>
      </w:r>
      <w:r w:rsidRPr="00512048">
        <w:rPr>
          <w:rStyle w:val="TextoNormalNegritaCaracter"/>
        </w:rPr>
        <w:t>.</w:t>
      </w:r>
      <w:r w:rsidRPr="00512048">
        <w:rPr>
          <w:rStyle w:val="TextoNormalCaracter"/>
        </w:rPr>
        <w:t>-</w:t>
      </w:r>
      <w:r>
        <w:t xml:space="preserve"> Sentencia </w:t>
      </w:r>
      <w:hyperlink w:anchor="SENTENCIA_2007_124" w:history="1">
        <w:r w:rsidRPr="00512048">
          <w:rPr>
            <w:rStyle w:val="TextoNormalCaracter"/>
          </w:rPr>
          <w:t>124/2007</w:t>
        </w:r>
      </w:hyperlink>
      <w:r>
        <w:t>, f. 3.</w:t>
      </w:r>
    </w:p>
    <w:p w:rsidR="00512048" w:rsidRDefault="00512048" w:rsidP="00512048">
      <w:pPr>
        <w:pStyle w:val="SangriaIzquierdaArticulo"/>
      </w:pPr>
      <w:r>
        <w:t xml:space="preserve">Auto </w:t>
      </w:r>
      <w:hyperlink w:anchor="AUTO_2007_256" w:history="1">
        <w:r w:rsidRPr="00512048">
          <w:rPr>
            <w:rStyle w:val="TextoNormalCaracter"/>
          </w:rPr>
          <w:t>256/2007</w:t>
        </w:r>
      </w:hyperlink>
      <w:r>
        <w:t>.</w:t>
      </w:r>
    </w:p>
    <w:p w:rsidR="00512048" w:rsidRDefault="00512048" w:rsidP="00512048">
      <w:pPr>
        <w:pStyle w:val="SangriaFrancesaArticulo"/>
      </w:pPr>
      <w:r w:rsidRPr="00512048">
        <w:rPr>
          <w:rStyle w:val="TextoNormalNegritaCaracter"/>
        </w:rPr>
        <w:t>Artículo 241.</w:t>
      </w:r>
      <w:r w:rsidRPr="00512048">
        <w:rPr>
          <w:rStyle w:val="TextoNormalCaracter"/>
        </w:rPr>
        <w:t>-</w:t>
      </w:r>
      <w:r>
        <w:t xml:space="preserve"> Sentencias </w:t>
      </w:r>
      <w:hyperlink w:anchor="SENTENCIA_2007_96" w:history="1">
        <w:r w:rsidRPr="00512048">
          <w:rPr>
            <w:rStyle w:val="TextoNormalCaracter"/>
          </w:rPr>
          <w:t>96/2007</w:t>
        </w:r>
      </w:hyperlink>
      <w:r>
        <w:t xml:space="preserve">, f. 3; </w:t>
      </w:r>
      <w:hyperlink w:anchor="SENTENCIA_2007_99" w:history="1">
        <w:r w:rsidRPr="00512048">
          <w:rPr>
            <w:rStyle w:val="TextoNormalCaracter"/>
          </w:rPr>
          <w:t>99/2007</w:t>
        </w:r>
      </w:hyperlink>
      <w:r>
        <w:t xml:space="preserve">, f. 3; </w:t>
      </w:r>
      <w:hyperlink w:anchor="SENTENCIA_2007_101" w:history="1">
        <w:r w:rsidRPr="00512048">
          <w:rPr>
            <w:rStyle w:val="TextoNormalCaracter"/>
          </w:rPr>
          <w:t>101/2007</w:t>
        </w:r>
      </w:hyperlink>
      <w:r>
        <w:t xml:space="preserve">, f. 5; </w:t>
      </w:r>
      <w:hyperlink w:anchor="SENTENCIA_2007_135" w:history="1">
        <w:r w:rsidRPr="00512048">
          <w:rPr>
            <w:rStyle w:val="TextoNormalCaracter"/>
          </w:rPr>
          <w:t>135/2007</w:t>
        </w:r>
      </w:hyperlink>
      <w:r>
        <w:t xml:space="preserve">, ff. 5, 6; </w:t>
      </w:r>
      <w:hyperlink w:anchor="SENTENCIA_2007_138" w:history="1">
        <w:r w:rsidRPr="00512048">
          <w:rPr>
            <w:rStyle w:val="TextoNormalCaracter"/>
          </w:rPr>
          <w:t>138/2007</w:t>
        </w:r>
      </w:hyperlink>
      <w:r>
        <w:t xml:space="preserve">, f. 3; </w:t>
      </w:r>
      <w:hyperlink w:anchor="SENTENCIA_2007_143" w:history="1">
        <w:r w:rsidRPr="00512048">
          <w:rPr>
            <w:rStyle w:val="TextoNormalCaracter"/>
          </w:rPr>
          <w:t>143/2007</w:t>
        </w:r>
      </w:hyperlink>
      <w:r>
        <w:t xml:space="preserve">, f. 2; </w:t>
      </w:r>
      <w:hyperlink w:anchor="SENTENCIA_2007_144" w:history="1">
        <w:r w:rsidRPr="00512048">
          <w:rPr>
            <w:rStyle w:val="TextoNormalCaracter"/>
          </w:rPr>
          <w:t>144/2007</w:t>
        </w:r>
      </w:hyperlink>
      <w:r>
        <w:t>, f. 2.</w:t>
      </w:r>
    </w:p>
    <w:p w:rsidR="00512048" w:rsidRDefault="00512048" w:rsidP="00512048">
      <w:pPr>
        <w:pStyle w:val="SangriaIzquierdaArticulo"/>
      </w:pPr>
      <w:r>
        <w:t xml:space="preserve">Autos </w:t>
      </w:r>
      <w:hyperlink w:anchor="AUTO_2007_260" w:history="1">
        <w:r w:rsidRPr="00512048">
          <w:rPr>
            <w:rStyle w:val="TextoNormalCaracter"/>
          </w:rPr>
          <w:t>260/2007</w:t>
        </w:r>
      </w:hyperlink>
      <w:r>
        <w:t xml:space="preserve">; </w:t>
      </w:r>
      <w:hyperlink w:anchor="AUTO_2007_265" w:history="1">
        <w:r w:rsidRPr="00512048">
          <w:rPr>
            <w:rStyle w:val="TextoNormalCaracter"/>
          </w:rPr>
          <w:t>265/2007</w:t>
        </w:r>
      </w:hyperlink>
      <w:r>
        <w:t xml:space="preserve">; </w:t>
      </w:r>
      <w:hyperlink w:anchor="AUTO_2007_281" w:history="1">
        <w:r w:rsidRPr="00512048">
          <w:rPr>
            <w:rStyle w:val="TextoNormalCaracter"/>
          </w:rPr>
          <w:t>281/2007</w:t>
        </w:r>
      </w:hyperlink>
      <w:r>
        <w:t>.</w:t>
      </w:r>
    </w:p>
    <w:p w:rsidR="00512048" w:rsidRDefault="00512048" w:rsidP="00512048">
      <w:pPr>
        <w:pStyle w:val="SangriaFrancesaArticulo"/>
      </w:pPr>
      <w:r w:rsidRPr="00512048">
        <w:rPr>
          <w:rStyle w:val="TextoNormalNegritaCaracter"/>
        </w:rPr>
        <w:t>Artículo 241</w:t>
      </w:r>
      <w:r>
        <w:t xml:space="preserve"> </w:t>
      </w:r>
      <w:r w:rsidRPr="00512048">
        <w:rPr>
          <w:rStyle w:val="TextoNormalCaracter"/>
        </w:rPr>
        <w:t>(redactado por la Ley Orgánica 19/2003, de 23 de diciembre)</w:t>
      </w:r>
      <w:r w:rsidRPr="00512048">
        <w:rPr>
          <w:rStyle w:val="TextoNormalNegritaCaracter"/>
        </w:rPr>
        <w:t>.</w:t>
      </w:r>
      <w:r w:rsidRPr="00512048">
        <w:rPr>
          <w:rStyle w:val="TextoNormalCaracter"/>
        </w:rPr>
        <w:t>-</w:t>
      </w:r>
      <w:r>
        <w:t xml:space="preserve"> Sentencias </w:t>
      </w:r>
      <w:hyperlink w:anchor="SENTENCIA_2007_124" w:history="1">
        <w:r w:rsidRPr="00512048">
          <w:rPr>
            <w:rStyle w:val="TextoNormalCaracter"/>
          </w:rPr>
          <w:t>124/2007</w:t>
        </w:r>
      </w:hyperlink>
      <w:r>
        <w:t xml:space="preserve">, f. 3; </w:t>
      </w:r>
      <w:hyperlink w:anchor="SENTENCIA_2007_135" w:history="1">
        <w:r w:rsidRPr="00512048">
          <w:rPr>
            <w:rStyle w:val="TextoNormalCaracter"/>
          </w:rPr>
          <w:t>135/2007</w:t>
        </w:r>
      </w:hyperlink>
      <w:r>
        <w:t>, f. 4.</w:t>
      </w:r>
    </w:p>
    <w:p w:rsidR="00512048" w:rsidRDefault="00512048" w:rsidP="00512048">
      <w:pPr>
        <w:pStyle w:val="SangriaIzquierdaArticulo"/>
      </w:pPr>
      <w:r>
        <w:t xml:space="preserve">Auto </w:t>
      </w:r>
      <w:hyperlink w:anchor="AUTO_2007_256" w:history="1">
        <w:r w:rsidRPr="00512048">
          <w:rPr>
            <w:rStyle w:val="TextoNormalCaracter"/>
          </w:rPr>
          <w:t>256/2007</w:t>
        </w:r>
      </w:hyperlink>
      <w:r>
        <w:t>.</w:t>
      </w:r>
    </w:p>
    <w:p w:rsidR="00512048" w:rsidRDefault="00512048" w:rsidP="00512048">
      <w:pPr>
        <w:pStyle w:val="SangriaFrancesaArticulo"/>
      </w:pPr>
      <w:r w:rsidRPr="00512048">
        <w:rPr>
          <w:rStyle w:val="TextoNormalNegritaCaracter"/>
        </w:rPr>
        <w:t>Artículo 241</w:t>
      </w:r>
      <w:r>
        <w:t xml:space="preserve"> </w:t>
      </w:r>
      <w:r w:rsidRPr="00512048">
        <w:rPr>
          <w:rStyle w:val="TextoNormalCaracter"/>
        </w:rPr>
        <w:t>(redactado por la Ley Orgánica 6/2007, de 24 de mayo)</w:t>
      </w:r>
      <w:r w:rsidRPr="00512048">
        <w:rPr>
          <w:rStyle w:val="TextoNormalNegritaCaracter"/>
        </w:rPr>
        <w:t>.</w:t>
      </w:r>
      <w:r w:rsidRPr="00512048">
        <w:rPr>
          <w:rStyle w:val="TextoNormalCaracter"/>
        </w:rPr>
        <w:t>-</w:t>
      </w:r>
      <w:r>
        <w:t xml:space="preserve"> Sentencia </w:t>
      </w:r>
      <w:hyperlink w:anchor="SENTENCIA_2007_135" w:history="1">
        <w:r w:rsidRPr="00512048">
          <w:rPr>
            <w:rStyle w:val="TextoNormalCaracter"/>
          </w:rPr>
          <w:t>135/2007</w:t>
        </w:r>
      </w:hyperlink>
      <w:r>
        <w:t>, f. 4.</w:t>
      </w:r>
    </w:p>
    <w:p w:rsidR="00512048" w:rsidRDefault="00512048" w:rsidP="00512048">
      <w:pPr>
        <w:pStyle w:val="SangriaFrancesaArticulo"/>
      </w:pPr>
      <w:r w:rsidRPr="00512048">
        <w:rPr>
          <w:rStyle w:val="TextoNormalNegritaCaracter"/>
        </w:rPr>
        <w:t>Artículo 241.1</w:t>
      </w:r>
      <w:r>
        <w:t xml:space="preserve"> </w:t>
      </w:r>
      <w:r w:rsidRPr="00512048">
        <w:rPr>
          <w:rStyle w:val="TextoNormalCaracter"/>
        </w:rPr>
        <w:t>(redactado por la Ley Orgánica 19/2003 de 23 de diciembre)</w:t>
      </w:r>
      <w:r w:rsidRPr="00512048">
        <w:rPr>
          <w:rStyle w:val="TextoNormalNegritaCaracter"/>
        </w:rPr>
        <w:t>.</w:t>
      </w:r>
      <w:r w:rsidRPr="00512048">
        <w:rPr>
          <w:rStyle w:val="TextoNormalCaracter"/>
        </w:rPr>
        <w:t>-</w:t>
      </w:r>
      <w:r>
        <w:t xml:space="preserve"> Sentencia </w:t>
      </w:r>
      <w:hyperlink w:anchor="SENTENCIA_2007_144" w:history="1">
        <w:r w:rsidRPr="00512048">
          <w:rPr>
            <w:rStyle w:val="TextoNormalCaracter"/>
          </w:rPr>
          <w:t>144/2007</w:t>
        </w:r>
      </w:hyperlink>
      <w:r>
        <w:t>, ff. 1, 2.</w:t>
      </w:r>
    </w:p>
    <w:p w:rsidR="00512048" w:rsidRDefault="00512048" w:rsidP="00512048">
      <w:pPr>
        <w:pStyle w:val="SangriaFrancesaArticulo"/>
      </w:pPr>
      <w:r w:rsidRPr="00512048">
        <w:rPr>
          <w:rStyle w:val="TextoNormalNegritaCaracter"/>
        </w:rPr>
        <w:t>Artículo 241.2</w:t>
      </w:r>
      <w:r>
        <w:t xml:space="preserve"> </w:t>
      </w:r>
      <w:r w:rsidRPr="00512048">
        <w:rPr>
          <w:rStyle w:val="TextoNormalCaracter"/>
        </w:rPr>
        <w:t>(redactado por la Ley Orgánica 19/2003, de 23 de diciembre)</w:t>
      </w:r>
      <w:r w:rsidRPr="00512048">
        <w:rPr>
          <w:rStyle w:val="TextoNormalNegritaCaracter"/>
        </w:rPr>
        <w:t>.</w:t>
      </w:r>
      <w:r w:rsidRPr="00512048">
        <w:rPr>
          <w:rStyle w:val="TextoNormalCaracter"/>
        </w:rPr>
        <w:t>-</w:t>
      </w:r>
      <w:r>
        <w:t xml:space="preserve"> Sentencia </w:t>
      </w:r>
      <w:hyperlink w:anchor="SENTENCIA_2007_135" w:history="1">
        <w:r w:rsidRPr="00512048">
          <w:rPr>
            <w:rStyle w:val="TextoNormalCaracter"/>
          </w:rPr>
          <w:t>135/2007</w:t>
        </w:r>
      </w:hyperlink>
      <w:r>
        <w:t>, f. 2.</w:t>
      </w:r>
    </w:p>
    <w:p w:rsidR="00512048" w:rsidRDefault="00512048" w:rsidP="00512048">
      <w:pPr>
        <w:pStyle w:val="SangriaFrancesaArticulo"/>
      </w:pPr>
      <w:r w:rsidRPr="00512048">
        <w:rPr>
          <w:rStyle w:val="TextoNormalNegritaCaracter"/>
        </w:rPr>
        <w:t>Artículo 245.</w:t>
      </w:r>
      <w:r w:rsidRPr="00512048">
        <w:rPr>
          <w:rStyle w:val="TextoNormalCaracter"/>
        </w:rPr>
        <w:t>-</w:t>
      </w:r>
      <w:r>
        <w:t xml:space="preserve"> Sentencia </w:t>
      </w:r>
      <w:hyperlink w:anchor="SENTENCIA_2007_146" w:history="1">
        <w:r w:rsidRPr="00512048">
          <w:rPr>
            <w:rStyle w:val="TextoNormalCaracter"/>
          </w:rPr>
          <w:t>146/2007</w:t>
        </w:r>
      </w:hyperlink>
      <w:r>
        <w:t>, f. 5.</w:t>
      </w:r>
    </w:p>
    <w:p w:rsidR="00512048" w:rsidRDefault="00512048" w:rsidP="00512048">
      <w:pPr>
        <w:pStyle w:val="SangriaFrancesaArticulo"/>
      </w:pPr>
      <w:r w:rsidRPr="00512048">
        <w:rPr>
          <w:rStyle w:val="TextoNormalNegritaCaracter"/>
        </w:rPr>
        <w:lastRenderedPageBreak/>
        <w:t>Artículo 245.3.</w:t>
      </w:r>
      <w:r w:rsidRPr="00512048">
        <w:rPr>
          <w:rStyle w:val="TextoNormalCaracter"/>
        </w:rPr>
        <w:t>-</w:t>
      </w:r>
      <w:r>
        <w:t xml:space="preserve"> Sentencia </w:t>
      </w:r>
      <w:hyperlink w:anchor="SENTENCIA_2007_91" w:history="1">
        <w:r w:rsidRPr="00512048">
          <w:rPr>
            <w:rStyle w:val="TextoNormalCaracter"/>
          </w:rPr>
          <w:t>91/2007</w:t>
        </w:r>
      </w:hyperlink>
      <w:r>
        <w:t>, f. 4.</w:t>
      </w:r>
    </w:p>
    <w:p w:rsidR="00512048" w:rsidRDefault="00512048" w:rsidP="00512048">
      <w:pPr>
        <w:pStyle w:val="SangriaFrancesaArticulo"/>
      </w:pPr>
      <w:r w:rsidRPr="00512048">
        <w:rPr>
          <w:rStyle w:val="TextoNormalNegritaCaracter"/>
        </w:rPr>
        <w:t>Artículo 248.4.</w:t>
      </w:r>
      <w:r w:rsidRPr="00512048">
        <w:rPr>
          <w:rStyle w:val="TextoNormalCaracter"/>
        </w:rPr>
        <w:t>-</w:t>
      </w:r>
      <w:r>
        <w:t xml:space="preserve"> Auto </w:t>
      </w:r>
      <w:hyperlink w:anchor="AUTO_2007_281" w:history="1">
        <w:r w:rsidRPr="00512048">
          <w:rPr>
            <w:rStyle w:val="TextoNormalCaracter"/>
          </w:rPr>
          <w:t>281/2007</w:t>
        </w:r>
      </w:hyperlink>
      <w:r>
        <w:t>.</w:t>
      </w:r>
    </w:p>
    <w:p w:rsidR="00512048" w:rsidRDefault="00512048" w:rsidP="00512048">
      <w:pPr>
        <w:pStyle w:val="SangriaFrancesaArticulo"/>
      </w:pPr>
      <w:r w:rsidRPr="00512048">
        <w:rPr>
          <w:rStyle w:val="TextoNormalNegritaCaracter"/>
        </w:rPr>
        <w:t>Artículo 260.</w:t>
      </w:r>
      <w:r w:rsidRPr="00512048">
        <w:rPr>
          <w:rStyle w:val="TextoNormalCaracter"/>
        </w:rPr>
        <w:t>-</w:t>
      </w:r>
      <w:r>
        <w:t xml:space="preserve"> Auto </w:t>
      </w:r>
      <w:hyperlink w:anchor="AUTO_2007_289" w:history="1">
        <w:r w:rsidRPr="00512048">
          <w:rPr>
            <w:rStyle w:val="TextoNormalCaracter"/>
          </w:rPr>
          <w:t>289/2007</w:t>
        </w:r>
      </w:hyperlink>
      <w:r>
        <w:t>.</w:t>
      </w:r>
    </w:p>
    <w:p w:rsidR="00512048" w:rsidRDefault="00512048" w:rsidP="00512048">
      <w:pPr>
        <w:pStyle w:val="SangriaFrancesaArticulo"/>
      </w:pPr>
      <w:r w:rsidRPr="00512048">
        <w:rPr>
          <w:rStyle w:val="TextoNormalNegritaCaracter"/>
        </w:rPr>
        <w:t>Artículo 267.</w:t>
      </w:r>
      <w:r w:rsidRPr="00512048">
        <w:rPr>
          <w:rStyle w:val="TextoNormalCaracter"/>
        </w:rPr>
        <w:t>-</w:t>
      </w:r>
      <w:r>
        <w:t xml:space="preserve"> Sentencias </w:t>
      </w:r>
      <w:hyperlink w:anchor="SENTENCIA_2007_144" w:history="1">
        <w:r w:rsidRPr="00512048">
          <w:rPr>
            <w:rStyle w:val="TextoNormalCaracter"/>
          </w:rPr>
          <w:t>144/2007</w:t>
        </w:r>
      </w:hyperlink>
      <w:r>
        <w:t xml:space="preserve">, f. 5; </w:t>
      </w:r>
      <w:hyperlink w:anchor="SENTENCIA_2007_171" w:history="1">
        <w:r w:rsidRPr="00512048">
          <w:rPr>
            <w:rStyle w:val="TextoNormalCaracter"/>
          </w:rPr>
          <w:t>171/2007</w:t>
        </w:r>
      </w:hyperlink>
      <w:r>
        <w:t>, ff. 2 a 4.</w:t>
      </w:r>
    </w:p>
    <w:p w:rsidR="00512048" w:rsidRDefault="00512048" w:rsidP="00512048">
      <w:pPr>
        <w:pStyle w:val="SangriaIzquierdaArticulo"/>
      </w:pPr>
      <w:r>
        <w:t xml:space="preserve">Auto </w:t>
      </w:r>
      <w:hyperlink w:anchor="AUTO_2007_318" w:history="1">
        <w:r w:rsidRPr="00512048">
          <w:rPr>
            <w:rStyle w:val="TextoNormalCaracter"/>
          </w:rPr>
          <w:t>318/2007</w:t>
        </w:r>
      </w:hyperlink>
      <w:r>
        <w:t>.</w:t>
      </w:r>
    </w:p>
    <w:p w:rsidR="00512048" w:rsidRDefault="00512048" w:rsidP="00512048">
      <w:pPr>
        <w:pStyle w:val="SangriaFrancesaArticulo"/>
      </w:pPr>
      <w:r w:rsidRPr="00512048">
        <w:rPr>
          <w:rStyle w:val="TextoNormalNegritaCaracter"/>
        </w:rPr>
        <w:t>Artículo 267.1.</w:t>
      </w:r>
      <w:r w:rsidRPr="00512048">
        <w:rPr>
          <w:rStyle w:val="TextoNormalCaracter"/>
        </w:rPr>
        <w:t>-</w:t>
      </w:r>
      <w:r>
        <w:t xml:space="preserve"> Autos </w:t>
      </w:r>
      <w:hyperlink w:anchor="AUTO_2007_241" w:history="1">
        <w:r w:rsidRPr="00512048">
          <w:rPr>
            <w:rStyle w:val="TextoNormalCaracter"/>
          </w:rPr>
          <w:t>241/2007</w:t>
        </w:r>
      </w:hyperlink>
      <w:r>
        <w:t xml:space="preserve">; </w:t>
      </w:r>
      <w:hyperlink w:anchor="AUTO_2007_318" w:history="1">
        <w:r w:rsidRPr="00512048">
          <w:rPr>
            <w:rStyle w:val="TextoNormalCaracter"/>
          </w:rPr>
          <w:t>318/2007</w:t>
        </w:r>
      </w:hyperlink>
      <w:r>
        <w:t>.</w:t>
      </w:r>
    </w:p>
    <w:p w:rsidR="00512048" w:rsidRDefault="00512048" w:rsidP="00512048">
      <w:pPr>
        <w:pStyle w:val="SangriaFrancesaArticulo"/>
      </w:pPr>
      <w:r w:rsidRPr="00512048">
        <w:rPr>
          <w:rStyle w:val="TextoNormalNegritaCaracter"/>
        </w:rPr>
        <w:t>Artículo 267.3.</w:t>
      </w:r>
      <w:r w:rsidRPr="00512048">
        <w:rPr>
          <w:rStyle w:val="TextoNormalCaracter"/>
        </w:rPr>
        <w:t>-</w:t>
      </w:r>
      <w:r>
        <w:t xml:space="preserve"> Auto </w:t>
      </w:r>
      <w:hyperlink w:anchor="AUTO_2007_241" w:history="1">
        <w:r w:rsidRPr="00512048">
          <w:rPr>
            <w:rStyle w:val="TextoNormalCaracter"/>
          </w:rPr>
          <w:t>241/2007</w:t>
        </w:r>
      </w:hyperlink>
      <w:r>
        <w:t>.</w:t>
      </w:r>
    </w:p>
    <w:p w:rsidR="00512048" w:rsidRDefault="00512048" w:rsidP="00512048">
      <w:pPr>
        <w:pStyle w:val="SangriaFrancesaArticulo"/>
      </w:pPr>
      <w:r w:rsidRPr="00512048">
        <w:rPr>
          <w:rStyle w:val="TextoNormalNegritaCaracter"/>
        </w:rPr>
        <w:t>Artículo 267.5.</w:t>
      </w:r>
      <w:r w:rsidRPr="00512048">
        <w:rPr>
          <w:rStyle w:val="TextoNormalCaracter"/>
        </w:rPr>
        <w:t>-</w:t>
      </w:r>
      <w:r>
        <w:t xml:space="preserve"> Sentencia </w:t>
      </w:r>
      <w:hyperlink w:anchor="SENTENCIA_2007_144" w:history="1">
        <w:r w:rsidRPr="00512048">
          <w:rPr>
            <w:rStyle w:val="TextoNormalCaracter"/>
          </w:rPr>
          <w:t>144/2007</w:t>
        </w:r>
      </w:hyperlink>
      <w:r>
        <w:t>, ff. 1, 5.</w:t>
      </w:r>
    </w:p>
    <w:p w:rsidR="00512048" w:rsidRDefault="00512048" w:rsidP="00512048">
      <w:pPr>
        <w:pStyle w:val="SangriaFrancesaArticulo"/>
      </w:pPr>
      <w:r w:rsidRPr="00512048">
        <w:rPr>
          <w:rStyle w:val="TextoNormalNegritaCaracter"/>
        </w:rPr>
        <w:t>Artículo 272.</w:t>
      </w:r>
      <w:r w:rsidRPr="00512048">
        <w:rPr>
          <w:rStyle w:val="TextoNormalCaracter"/>
        </w:rPr>
        <w:t>-</w:t>
      </w:r>
      <w:r>
        <w:t xml:space="preserve"> Auto </w:t>
      </w:r>
      <w:hyperlink w:anchor="AUTO_2007_234" w:history="1">
        <w:r w:rsidRPr="00512048">
          <w:rPr>
            <w:rStyle w:val="TextoNormalCaracter"/>
          </w:rPr>
          <w:t>234/2007</w:t>
        </w:r>
      </w:hyperlink>
      <w:r>
        <w:t>.</w:t>
      </w:r>
    </w:p>
    <w:p w:rsidR="00512048" w:rsidRDefault="00512048" w:rsidP="00512048">
      <w:pPr>
        <w:pStyle w:val="SangriaFrancesaArticulo"/>
      </w:pPr>
      <w:r w:rsidRPr="00512048">
        <w:rPr>
          <w:rStyle w:val="TextoNormalNegritaCaracter"/>
        </w:rPr>
        <w:t>Artículo 417.7.</w:t>
      </w:r>
      <w:r w:rsidRPr="00512048">
        <w:rPr>
          <w:rStyle w:val="TextoNormalCaracter"/>
        </w:rPr>
        <w:t>-</w:t>
      </w:r>
      <w:r>
        <w:t xml:space="preserve"> Sentencia </w:t>
      </w:r>
      <w:hyperlink w:anchor="SENTENCIA_2007_116" w:history="1">
        <w:r w:rsidRPr="00512048">
          <w:rPr>
            <w:rStyle w:val="TextoNormalCaracter"/>
          </w:rPr>
          <w:t>116/2007</w:t>
        </w:r>
      </w:hyperlink>
      <w:r>
        <w:t>, ff. 1, 3, 4, 6 a 8, 10.</w:t>
      </w:r>
    </w:p>
    <w:p w:rsidR="00512048" w:rsidRDefault="00512048" w:rsidP="00512048">
      <w:pPr>
        <w:pStyle w:val="SangriaFrancesaArticulo"/>
      </w:pPr>
      <w:r w:rsidRPr="00512048">
        <w:rPr>
          <w:rStyle w:val="TextoNormalNegritaCaracter"/>
        </w:rPr>
        <w:t>Artículo 417.8</w:t>
      </w:r>
      <w:r>
        <w:t xml:space="preserve"> </w:t>
      </w:r>
      <w:r w:rsidRPr="00512048">
        <w:rPr>
          <w:rStyle w:val="TextoNormalCaracter"/>
        </w:rPr>
        <w:t>(redactado por la Ley Orgánica 16/1994, de 8 de noviembre)</w:t>
      </w:r>
      <w:r w:rsidRPr="00512048">
        <w:rPr>
          <w:rStyle w:val="TextoNormalNegritaCaracter"/>
        </w:rPr>
        <w:t>.</w:t>
      </w:r>
      <w:r w:rsidRPr="00512048">
        <w:rPr>
          <w:rStyle w:val="TextoNormalCaracter"/>
        </w:rPr>
        <w:t>-</w:t>
      </w:r>
      <w:r>
        <w:t xml:space="preserve"> Sentencia </w:t>
      </w:r>
      <w:hyperlink w:anchor="SENTENCIA_2007_116" w:history="1">
        <w:r w:rsidRPr="00512048">
          <w:rPr>
            <w:rStyle w:val="TextoNormalCaracter"/>
          </w:rPr>
          <w:t>116/2007</w:t>
        </w:r>
      </w:hyperlink>
      <w:r>
        <w:t>, ff. 1 a 7, 9.</w:t>
      </w:r>
    </w:p>
    <w:p w:rsidR="00512048" w:rsidRDefault="00512048" w:rsidP="00512048">
      <w:pPr>
        <w:pStyle w:val="SangriaFrancesaArticulo"/>
      </w:pPr>
      <w:r w:rsidRPr="00512048">
        <w:rPr>
          <w:rStyle w:val="TextoNormalNegritaCaracter"/>
        </w:rPr>
        <w:t>Artículo 448.</w:t>
      </w:r>
      <w:r w:rsidRPr="00512048">
        <w:rPr>
          <w:rStyle w:val="TextoNormalCaracter"/>
        </w:rPr>
        <w:t>-</w:t>
      </w:r>
      <w:r>
        <w:t xml:space="preserve"> Sentencia </w:t>
      </w:r>
      <w:hyperlink w:anchor="SENTENCIA_2007_145" w:history="1">
        <w:r w:rsidRPr="00512048">
          <w:rPr>
            <w:rStyle w:val="TextoNormalCaracter"/>
          </w:rPr>
          <w:t>145/2007</w:t>
        </w:r>
      </w:hyperlink>
      <w:r>
        <w:t>, f. 3.</w:t>
      </w:r>
    </w:p>
    <w:p w:rsidR="00512048" w:rsidRDefault="00512048" w:rsidP="00512048">
      <w:pPr>
        <w:pStyle w:val="SangriaFrancesaArticulo"/>
      </w:pPr>
      <w:r w:rsidRPr="00512048">
        <w:rPr>
          <w:rStyle w:val="TextoNormalNegritaCaracter"/>
        </w:rPr>
        <w:t>Disposición adicional quinta, apartado 3.</w:t>
      </w:r>
      <w:r w:rsidRPr="00512048">
        <w:rPr>
          <w:rStyle w:val="TextoNormalCaracter"/>
        </w:rPr>
        <w:t>-</w:t>
      </w:r>
      <w:r>
        <w:t xml:space="preserve"> Sentencia </w:t>
      </w:r>
      <w:hyperlink w:anchor="SENTENCIA_2007_155" w:history="1">
        <w:r w:rsidRPr="00512048">
          <w:rPr>
            <w:rStyle w:val="TextoNormalCaracter"/>
          </w:rPr>
          <w:t>155/2007</w:t>
        </w:r>
      </w:hyperlink>
      <w:r>
        <w:t>, f. 2.</w:t>
      </w:r>
    </w:p>
    <w:p w:rsidR="00512048" w:rsidRDefault="00512048" w:rsidP="00512048">
      <w:pPr>
        <w:pStyle w:val="SangriaFrancesaArticulo"/>
      </w:pPr>
    </w:p>
    <w:p w:rsidR="00512048" w:rsidRDefault="00512048" w:rsidP="00512048">
      <w:pPr>
        <w:pStyle w:val="TextoNormalNegritaCursivandice"/>
      </w:pPr>
      <w:r>
        <w:t>Ley Orgánica 1/1990, de 3 de octubre. Ordenación general del sistema educativo</w:t>
      </w:r>
    </w:p>
    <w:p w:rsidR="00512048" w:rsidRDefault="00512048" w:rsidP="00512048">
      <w:pPr>
        <w:pStyle w:val="SangriaFrancesaArticulo"/>
      </w:pPr>
      <w:r w:rsidRPr="00512048">
        <w:rPr>
          <w:rStyle w:val="TextoNormalNegritaCaracter"/>
        </w:rPr>
        <w:t>Disposición adicional segunda.</w:t>
      </w:r>
      <w:r w:rsidRPr="00512048">
        <w:rPr>
          <w:rStyle w:val="TextoNormalCaracter"/>
        </w:rPr>
        <w:t>-</w:t>
      </w:r>
      <w:r>
        <w:t xml:space="preserve"> Sentencia </w:t>
      </w:r>
      <w:hyperlink w:anchor="SENTENCIA_2007_128" w:history="1">
        <w:r w:rsidRPr="00512048">
          <w:rPr>
            <w:rStyle w:val="TextoNormalCaracter"/>
          </w:rPr>
          <w:t>128/2007</w:t>
        </w:r>
      </w:hyperlink>
      <w:r>
        <w:t>, f. 7.</w:t>
      </w:r>
    </w:p>
    <w:p w:rsidR="00512048" w:rsidRDefault="00512048" w:rsidP="00512048">
      <w:pPr>
        <w:pStyle w:val="SangriaFrancesaArticulo"/>
      </w:pPr>
      <w:r w:rsidRPr="00512048">
        <w:rPr>
          <w:rStyle w:val="TextoNormalNegritaCaracter"/>
        </w:rPr>
        <w:t>Disposición adicional segunda</w:t>
      </w:r>
      <w:r>
        <w:t xml:space="preserve"> </w:t>
      </w:r>
      <w:r w:rsidRPr="00512048">
        <w:rPr>
          <w:rStyle w:val="TextoNormalCaracter"/>
        </w:rPr>
        <w:t>(redactada por la Ley 50/1998, de 30 de diciembre)</w:t>
      </w:r>
      <w:r w:rsidRPr="00512048">
        <w:rPr>
          <w:rStyle w:val="TextoNormalNegritaCaracter"/>
        </w:rPr>
        <w:t>.</w:t>
      </w:r>
      <w:r w:rsidRPr="00512048">
        <w:rPr>
          <w:rStyle w:val="TextoNormalCaracter"/>
        </w:rPr>
        <w:t>-</w:t>
      </w:r>
      <w:r>
        <w:t xml:space="preserve"> Auto </w:t>
      </w:r>
      <w:hyperlink w:anchor="AUTO_2007_257" w:history="1">
        <w:r w:rsidRPr="00512048">
          <w:rPr>
            <w:rStyle w:val="TextoNormalCaracter"/>
          </w:rPr>
          <w:t>257/2007</w:t>
        </w:r>
      </w:hyperlink>
      <w:r>
        <w:t>.</w:t>
      </w:r>
    </w:p>
    <w:p w:rsidR="00512048" w:rsidRDefault="00512048" w:rsidP="00512048">
      <w:pPr>
        <w:pStyle w:val="SangriaFrancesaArticulo"/>
      </w:pPr>
      <w:r w:rsidRPr="00512048">
        <w:rPr>
          <w:rStyle w:val="TextoNormalNegritaCaracter"/>
        </w:rPr>
        <w:t>Disposición adicional segunda, párrafo 2</w:t>
      </w:r>
      <w:r>
        <w:t xml:space="preserve"> </w:t>
      </w:r>
      <w:r w:rsidRPr="00512048">
        <w:rPr>
          <w:rStyle w:val="TextoNormalCaracter"/>
        </w:rPr>
        <w:t>(redactada por la Ley 50/1998, de 30 de diciembre)</w:t>
      </w:r>
      <w:r w:rsidRPr="00512048">
        <w:rPr>
          <w:rStyle w:val="TextoNormalNegritaCaracter"/>
        </w:rPr>
        <w:t>.</w:t>
      </w:r>
      <w:r w:rsidRPr="00512048">
        <w:rPr>
          <w:rStyle w:val="TextoNormalCaracter"/>
        </w:rPr>
        <w:t>-</w:t>
      </w:r>
      <w:r>
        <w:t xml:space="preserve"> Sentencia </w:t>
      </w:r>
      <w:hyperlink w:anchor="SENTENCIA_2007_128" w:history="1">
        <w:r w:rsidRPr="00512048">
          <w:rPr>
            <w:rStyle w:val="TextoNormalCaracter"/>
          </w:rPr>
          <w:t>128/2007</w:t>
        </w:r>
      </w:hyperlink>
      <w:r>
        <w:t>, f. 5.</w:t>
      </w:r>
    </w:p>
    <w:p w:rsidR="00512048" w:rsidRDefault="00512048" w:rsidP="00512048">
      <w:pPr>
        <w:pStyle w:val="SangriaFrancesaArticulo"/>
      </w:pPr>
    </w:p>
    <w:p w:rsidR="00512048" w:rsidRDefault="00512048" w:rsidP="00512048">
      <w:pPr>
        <w:pStyle w:val="TextoNormalNegritaCursivandice"/>
      </w:pPr>
      <w:r>
        <w:t>Ley Orgánica 5/1992, de 29 de octubre. Regulación del tratamiento automatizado de los datos de carácter personal</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Auto </w:t>
      </w:r>
      <w:hyperlink w:anchor="AUTO_2007_231" w:history="1">
        <w:r w:rsidRPr="00512048">
          <w:rPr>
            <w:rStyle w:val="TextoNormalCaracter"/>
          </w:rPr>
          <w:t>231/2007</w:t>
        </w:r>
      </w:hyperlink>
      <w:r>
        <w:t>.</w:t>
      </w:r>
    </w:p>
    <w:p w:rsidR="00512048" w:rsidRDefault="00512048" w:rsidP="00512048">
      <w:pPr>
        <w:pStyle w:val="SangriaFrancesaArticulo"/>
      </w:pPr>
    </w:p>
    <w:p w:rsidR="00512048" w:rsidRDefault="00512048" w:rsidP="00512048">
      <w:pPr>
        <w:pStyle w:val="TextoNormalNegritaCursivandice"/>
      </w:pPr>
      <w:r>
        <w:t>Ley Orgánica 16/1994, de 8 de noviembre. Reforma la Ley Orgánica 6/1985, de 1 de julio, del Poder judicial</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16" w:history="1">
        <w:r w:rsidRPr="00512048">
          <w:rPr>
            <w:rStyle w:val="TextoNormalCaracter"/>
          </w:rPr>
          <w:t>116/2007</w:t>
        </w:r>
      </w:hyperlink>
      <w:r>
        <w:t>, ff. 1 a 7, 9.</w:t>
      </w:r>
    </w:p>
    <w:p w:rsidR="00512048" w:rsidRDefault="00512048" w:rsidP="00512048">
      <w:pPr>
        <w:pStyle w:val="SangriaFrancesaArticulo"/>
      </w:pPr>
    </w:p>
    <w:p w:rsidR="00512048" w:rsidRDefault="00512048" w:rsidP="00512048">
      <w:pPr>
        <w:pStyle w:val="TextoNormalNegritaCursivandice"/>
      </w:pPr>
      <w:r>
        <w:t>Ley Orgánica 5/1995, de 22 de mayo. Tribunal del Jurado</w:t>
      </w:r>
    </w:p>
    <w:p w:rsidR="00512048" w:rsidRDefault="00512048" w:rsidP="00512048">
      <w:pPr>
        <w:pStyle w:val="SangriaFrancesaArticulo"/>
      </w:pPr>
      <w:r w:rsidRPr="00512048">
        <w:rPr>
          <w:rStyle w:val="TextoNormalNegritaCaracter"/>
        </w:rPr>
        <w:t>Artículo 5.</w:t>
      </w:r>
      <w:r w:rsidRPr="00512048">
        <w:rPr>
          <w:rStyle w:val="TextoNormalCaracter"/>
        </w:rPr>
        <w:t>-</w:t>
      </w:r>
      <w:r>
        <w:t xml:space="preserve"> Sentencia </w:t>
      </w:r>
      <w:hyperlink w:anchor="SENTENCIA_2007_156" w:history="1">
        <w:r w:rsidRPr="00512048">
          <w:rPr>
            <w:rStyle w:val="TextoNormalCaracter"/>
          </w:rPr>
          <w:t>156/2007</w:t>
        </w:r>
      </w:hyperlink>
      <w:r>
        <w:t>, f. 3.</w:t>
      </w:r>
    </w:p>
    <w:p w:rsidR="00512048" w:rsidRDefault="00512048" w:rsidP="00512048">
      <w:pPr>
        <w:pStyle w:val="SangriaFrancesaArticulo"/>
      </w:pPr>
    </w:p>
    <w:p w:rsidR="00512048" w:rsidRDefault="00512048" w:rsidP="00512048">
      <w:pPr>
        <w:pStyle w:val="TextoNormalNegritaCursivandice"/>
      </w:pPr>
      <w:r>
        <w:t>Ley Orgánica 10/1995, de 23 de noviembre. Código penal</w:t>
      </w:r>
    </w:p>
    <w:p w:rsidR="00512048" w:rsidRDefault="00512048" w:rsidP="00512048">
      <w:pPr>
        <w:pStyle w:val="SangriaFrancesaArticulo"/>
      </w:pPr>
      <w:r w:rsidRPr="00512048">
        <w:rPr>
          <w:rStyle w:val="TextoNormalNegritaCaracter"/>
        </w:rPr>
        <w:t>Artículo 14.</w:t>
      </w:r>
      <w:r w:rsidRPr="00512048">
        <w:rPr>
          <w:rStyle w:val="TextoNormalCaracter"/>
        </w:rPr>
        <w:t>-</w:t>
      </w:r>
      <w:r>
        <w:t xml:space="preserve"> Auto </w:t>
      </w:r>
      <w:hyperlink w:anchor="AUTO_2007_245" w:history="1">
        <w:r w:rsidRPr="00512048">
          <w:rPr>
            <w:rStyle w:val="TextoNormalCaracter"/>
          </w:rPr>
          <w:t>245/2007</w:t>
        </w:r>
      </w:hyperlink>
      <w:r>
        <w:t>.</w:t>
      </w:r>
    </w:p>
    <w:p w:rsidR="00512048" w:rsidRDefault="00512048" w:rsidP="00512048">
      <w:pPr>
        <w:pStyle w:val="SangriaFrancesaArticulo"/>
      </w:pPr>
      <w:r w:rsidRPr="00512048">
        <w:rPr>
          <w:rStyle w:val="TextoNormalNegritaCaracter"/>
        </w:rPr>
        <w:t>Artículo 20.7.</w:t>
      </w:r>
      <w:r w:rsidRPr="00512048">
        <w:rPr>
          <w:rStyle w:val="TextoNormalCaracter"/>
        </w:rPr>
        <w:t>-</w:t>
      </w:r>
      <w:r>
        <w:t xml:space="preserve"> Sentencia </w:t>
      </w:r>
      <w:hyperlink w:anchor="SENTENCIA_2007_126" w:history="1">
        <w:r w:rsidRPr="00512048">
          <w:rPr>
            <w:rStyle w:val="TextoNormalCaracter"/>
          </w:rPr>
          <w:t>126/2007</w:t>
        </w:r>
      </w:hyperlink>
      <w:r>
        <w:t>, ff. 1, 5.</w:t>
      </w:r>
    </w:p>
    <w:p w:rsidR="00512048" w:rsidRDefault="00512048" w:rsidP="00512048">
      <w:pPr>
        <w:pStyle w:val="SangriaFrancesaArticulo"/>
      </w:pPr>
      <w:r w:rsidRPr="00512048">
        <w:rPr>
          <w:rStyle w:val="TextoNormalNegritaCaracter"/>
        </w:rPr>
        <w:t>Artículo 21.1.</w:t>
      </w:r>
      <w:r w:rsidRPr="00512048">
        <w:rPr>
          <w:rStyle w:val="TextoNormalCaracter"/>
        </w:rPr>
        <w:t>-</w:t>
      </w:r>
      <w:r>
        <w:t xml:space="preserve"> Auto </w:t>
      </w:r>
      <w:hyperlink w:anchor="AUTO_2007_245" w:history="1">
        <w:r w:rsidRPr="00512048">
          <w:rPr>
            <w:rStyle w:val="TextoNormalCaracter"/>
          </w:rPr>
          <w:t>245/2007</w:t>
        </w:r>
      </w:hyperlink>
      <w:r>
        <w:t>.</w:t>
      </w:r>
    </w:p>
    <w:p w:rsidR="00512048" w:rsidRDefault="00512048" w:rsidP="00512048">
      <w:pPr>
        <w:pStyle w:val="SangriaFrancesaArticulo"/>
      </w:pPr>
      <w:r w:rsidRPr="00512048">
        <w:rPr>
          <w:rStyle w:val="TextoNormalNegritaCaracter"/>
        </w:rPr>
        <w:t>Artículo 70.1.</w:t>
      </w:r>
      <w:r w:rsidRPr="00512048">
        <w:rPr>
          <w:rStyle w:val="TextoNormalCaracter"/>
        </w:rPr>
        <w:t>-</w:t>
      </w:r>
      <w:r>
        <w:t xml:space="preserve"> Auto </w:t>
      </w:r>
      <w:hyperlink w:anchor="AUTO_2007_264" w:history="1">
        <w:r w:rsidRPr="00512048">
          <w:rPr>
            <w:rStyle w:val="TextoNormalCaracter"/>
          </w:rPr>
          <w:t>264/2007</w:t>
        </w:r>
      </w:hyperlink>
      <w:r>
        <w:t>.</w:t>
      </w:r>
    </w:p>
    <w:p w:rsidR="00512048" w:rsidRDefault="00512048" w:rsidP="00512048">
      <w:pPr>
        <w:pStyle w:val="SangriaFrancesaArticulo"/>
      </w:pPr>
      <w:r w:rsidRPr="00512048">
        <w:rPr>
          <w:rStyle w:val="TextoNormalNegritaCaracter"/>
        </w:rPr>
        <w:t>Artículo 77.</w:t>
      </w:r>
      <w:r w:rsidRPr="00512048">
        <w:rPr>
          <w:rStyle w:val="TextoNormalCaracter"/>
        </w:rPr>
        <w:t>-</w:t>
      </w:r>
      <w:r>
        <w:t xml:space="preserve"> Auto </w:t>
      </w:r>
      <w:hyperlink w:anchor="AUTO_2007_264" w:history="1">
        <w:r w:rsidRPr="00512048">
          <w:rPr>
            <w:rStyle w:val="TextoNormalCaracter"/>
          </w:rPr>
          <w:t>264/2007</w:t>
        </w:r>
      </w:hyperlink>
      <w:r>
        <w:t>.</w:t>
      </w:r>
    </w:p>
    <w:p w:rsidR="00512048" w:rsidRDefault="00512048" w:rsidP="00512048">
      <w:pPr>
        <w:pStyle w:val="SangriaFrancesaArticulo"/>
      </w:pPr>
      <w:r w:rsidRPr="00512048">
        <w:rPr>
          <w:rStyle w:val="TextoNormalNegritaCaracter"/>
        </w:rPr>
        <w:t>Artículo 80.</w:t>
      </w:r>
      <w:r w:rsidRPr="00512048">
        <w:rPr>
          <w:rStyle w:val="TextoNormalCaracter"/>
        </w:rPr>
        <w:t>-</w:t>
      </w:r>
      <w:r>
        <w:t xml:space="preserve"> Sentencia </w:t>
      </w:r>
      <w:hyperlink w:anchor="SENTENCIA_2007_176" w:history="1">
        <w:r w:rsidRPr="00512048">
          <w:rPr>
            <w:rStyle w:val="TextoNormalCaracter"/>
          </w:rPr>
          <w:t>176/2007</w:t>
        </w:r>
      </w:hyperlink>
      <w:r>
        <w:t>, f. 3.</w:t>
      </w:r>
    </w:p>
    <w:p w:rsidR="00512048" w:rsidRDefault="00512048" w:rsidP="00512048">
      <w:pPr>
        <w:pStyle w:val="SangriaFrancesaArticulo"/>
      </w:pPr>
      <w:r w:rsidRPr="00512048">
        <w:rPr>
          <w:rStyle w:val="TextoNormalNegritaCaracter"/>
        </w:rPr>
        <w:t>Artículo 81.</w:t>
      </w:r>
      <w:r w:rsidRPr="00512048">
        <w:rPr>
          <w:rStyle w:val="TextoNormalCaracter"/>
        </w:rPr>
        <w:t>-</w:t>
      </w:r>
      <w:r>
        <w:t xml:space="preserve"> Sentencia </w:t>
      </w:r>
      <w:hyperlink w:anchor="SENTENCIA_2007_176" w:history="1">
        <w:r w:rsidRPr="00512048">
          <w:rPr>
            <w:rStyle w:val="TextoNormalCaracter"/>
          </w:rPr>
          <w:t>176/2007</w:t>
        </w:r>
      </w:hyperlink>
      <w:r>
        <w:t>, f. 3.</w:t>
      </w:r>
    </w:p>
    <w:p w:rsidR="00512048" w:rsidRDefault="00512048" w:rsidP="00512048">
      <w:pPr>
        <w:pStyle w:val="SangriaFrancesaArticulo"/>
      </w:pPr>
      <w:r w:rsidRPr="00512048">
        <w:rPr>
          <w:rStyle w:val="TextoNormalNegritaCaracter"/>
        </w:rPr>
        <w:t>Artículo 88.</w:t>
      </w:r>
      <w:r w:rsidRPr="00512048">
        <w:rPr>
          <w:rStyle w:val="TextoNormalCaracter"/>
        </w:rPr>
        <w:t>-</w:t>
      </w:r>
      <w:r>
        <w:t xml:space="preserve"> Sentencia </w:t>
      </w:r>
      <w:hyperlink w:anchor="SENTENCIA_2007_176" w:history="1">
        <w:r w:rsidRPr="00512048">
          <w:rPr>
            <w:rStyle w:val="TextoNormalCaracter"/>
          </w:rPr>
          <w:t>176/2007</w:t>
        </w:r>
      </w:hyperlink>
      <w:r>
        <w:t>, f. 3.</w:t>
      </w:r>
    </w:p>
    <w:p w:rsidR="00512048" w:rsidRDefault="00512048" w:rsidP="00512048">
      <w:pPr>
        <w:pStyle w:val="SangriaFrancesaArticulo"/>
      </w:pPr>
      <w:r w:rsidRPr="00512048">
        <w:rPr>
          <w:rStyle w:val="TextoNormalNegritaCaracter"/>
        </w:rPr>
        <w:t>Artículo 163.1.</w:t>
      </w:r>
      <w:r w:rsidRPr="00512048">
        <w:rPr>
          <w:rStyle w:val="TextoNormalCaracter"/>
        </w:rPr>
        <w:t>-</w:t>
      </w:r>
      <w:r>
        <w:t xml:space="preserve"> Auto </w:t>
      </w:r>
      <w:hyperlink w:anchor="AUTO_2007_264" w:history="1">
        <w:r w:rsidRPr="00512048">
          <w:rPr>
            <w:rStyle w:val="TextoNormalCaracter"/>
          </w:rPr>
          <w:t>264/2007</w:t>
        </w:r>
      </w:hyperlink>
      <w:r>
        <w:t>.</w:t>
      </w:r>
    </w:p>
    <w:p w:rsidR="00512048" w:rsidRDefault="00512048" w:rsidP="00512048">
      <w:pPr>
        <w:pStyle w:val="SangriaFrancesaArticulo"/>
      </w:pPr>
      <w:r w:rsidRPr="00512048">
        <w:rPr>
          <w:rStyle w:val="TextoNormalNegritaCaracter"/>
        </w:rPr>
        <w:t>Artículo 165.</w:t>
      </w:r>
      <w:r w:rsidRPr="00512048">
        <w:rPr>
          <w:rStyle w:val="TextoNormalCaracter"/>
        </w:rPr>
        <w:t>-</w:t>
      </w:r>
      <w:r>
        <w:t xml:space="preserve"> Auto </w:t>
      </w:r>
      <w:hyperlink w:anchor="AUTO_2007_264" w:history="1">
        <w:r w:rsidRPr="00512048">
          <w:rPr>
            <w:rStyle w:val="TextoNormalCaracter"/>
          </w:rPr>
          <w:t>264/2007</w:t>
        </w:r>
      </w:hyperlink>
      <w:r>
        <w:t>.</w:t>
      </w:r>
    </w:p>
    <w:p w:rsidR="00512048" w:rsidRDefault="00512048" w:rsidP="00512048">
      <w:pPr>
        <w:pStyle w:val="SangriaFrancesaArticulo"/>
      </w:pPr>
      <w:r w:rsidRPr="00512048">
        <w:rPr>
          <w:rStyle w:val="TextoNormalNegritaCaracter"/>
        </w:rPr>
        <w:t>Artículo 169.1.</w:t>
      </w:r>
      <w:r w:rsidRPr="00512048">
        <w:rPr>
          <w:rStyle w:val="TextoNormalCaracter"/>
        </w:rPr>
        <w:t>-</w:t>
      </w:r>
      <w:r>
        <w:t xml:space="preserve"> Sentencia </w:t>
      </w:r>
      <w:hyperlink w:anchor="SENTENCIA_2007_138" w:history="1">
        <w:r w:rsidRPr="00512048">
          <w:rPr>
            <w:rStyle w:val="TextoNormalCaracter"/>
          </w:rPr>
          <w:t>138/2007</w:t>
        </w:r>
      </w:hyperlink>
      <w:r>
        <w:t>, f. 3.</w:t>
      </w:r>
    </w:p>
    <w:p w:rsidR="00512048" w:rsidRDefault="00512048" w:rsidP="00512048">
      <w:pPr>
        <w:pStyle w:val="SangriaFrancesaArticulo"/>
      </w:pPr>
      <w:r w:rsidRPr="00512048">
        <w:rPr>
          <w:rStyle w:val="TextoNormalNegritaCaracter"/>
        </w:rPr>
        <w:t>Artículo 188.1.</w:t>
      </w:r>
      <w:r w:rsidRPr="00512048">
        <w:rPr>
          <w:rStyle w:val="TextoNormalCaracter"/>
        </w:rPr>
        <w:t>-</w:t>
      </w:r>
      <w:r>
        <w:t xml:space="preserve"> Auto </w:t>
      </w:r>
      <w:hyperlink w:anchor="AUTO_2007_264" w:history="1">
        <w:r w:rsidRPr="00512048">
          <w:rPr>
            <w:rStyle w:val="TextoNormalCaracter"/>
          </w:rPr>
          <w:t>264/2007</w:t>
        </w:r>
      </w:hyperlink>
      <w:r>
        <w:t>.</w:t>
      </w:r>
    </w:p>
    <w:p w:rsidR="00512048" w:rsidRDefault="00512048" w:rsidP="00512048">
      <w:pPr>
        <w:pStyle w:val="SangriaFrancesaArticulo"/>
      </w:pPr>
      <w:r w:rsidRPr="00512048">
        <w:rPr>
          <w:rStyle w:val="TextoNormalNegritaCaracter"/>
        </w:rPr>
        <w:t>Artículo 188.4.</w:t>
      </w:r>
      <w:r w:rsidRPr="00512048">
        <w:rPr>
          <w:rStyle w:val="TextoNormalCaracter"/>
        </w:rPr>
        <w:t>-</w:t>
      </w:r>
      <w:r>
        <w:t xml:space="preserve"> Auto </w:t>
      </w:r>
      <w:hyperlink w:anchor="AUTO_2007_264" w:history="1">
        <w:r w:rsidRPr="00512048">
          <w:rPr>
            <w:rStyle w:val="TextoNormalCaracter"/>
          </w:rPr>
          <w:t>264/2007</w:t>
        </w:r>
      </w:hyperlink>
      <w:r>
        <w:t>.</w:t>
      </w:r>
    </w:p>
    <w:p w:rsidR="00512048" w:rsidRDefault="00512048" w:rsidP="00512048">
      <w:pPr>
        <w:pStyle w:val="SangriaFrancesaArticulo"/>
      </w:pPr>
      <w:r w:rsidRPr="00512048">
        <w:rPr>
          <w:rStyle w:val="TextoNormalNegritaCaracter"/>
        </w:rPr>
        <w:t>Artículo 270.1.</w:t>
      </w:r>
      <w:r w:rsidRPr="00512048">
        <w:rPr>
          <w:rStyle w:val="TextoNormalCaracter"/>
        </w:rPr>
        <w:t>-</w:t>
      </w:r>
      <w:r>
        <w:t xml:space="preserve"> Sentencia </w:t>
      </w:r>
      <w:hyperlink w:anchor="SENTENCIA_2007_137" w:history="1">
        <w:r w:rsidRPr="00512048">
          <w:rPr>
            <w:rStyle w:val="TextoNormalCaracter"/>
          </w:rPr>
          <w:t>137/2007</w:t>
        </w:r>
      </w:hyperlink>
      <w:r>
        <w:t>, ff. 3, 5.</w:t>
      </w:r>
    </w:p>
    <w:p w:rsidR="00512048" w:rsidRDefault="00512048" w:rsidP="00512048">
      <w:pPr>
        <w:pStyle w:val="SangriaFrancesaArticulo"/>
      </w:pPr>
      <w:r w:rsidRPr="00512048">
        <w:rPr>
          <w:rStyle w:val="TextoNormalNegritaCaracter"/>
        </w:rPr>
        <w:lastRenderedPageBreak/>
        <w:t>Artículo 305</w:t>
      </w:r>
      <w:r>
        <w:t xml:space="preserve"> </w:t>
      </w:r>
      <w:r w:rsidRPr="00512048">
        <w:rPr>
          <w:rStyle w:val="TextoNormalCaracter"/>
        </w:rPr>
        <w:t>(redactado por la Ley Orgánica 15/2003, de 25 de noviembre)</w:t>
      </w:r>
      <w:r w:rsidRPr="00512048">
        <w:rPr>
          <w:rStyle w:val="TextoNormalNegritaCaracter"/>
        </w:rPr>
        <w:t>.</w:t>
      </w:r>
      <w:r w:rsidRPr="00512048">
        <w:rPr>
          <w:rStyle w:val="TextoNormalCaracter"/>
        </w:rPr>
        <w:t>-</w:t>
      </w:r>
      <w:r>
        <w:t xml:space="preserve"> Sentencia </w:t>
      </w:r>
      <w:hyperlink w:anchor="SENTENCIA_2007_142" w:history="1">
        <w:r w:rsidRPr="00512048">
          <w:rPr>
            <w:rStyle w:val="TextoNormalCaracter"/>
          </w:rPr>
          <w:t>142/2007</w:t>
        </w:r>
      </w:hyperlink>
      <w:r>
        <w:t>, f. 2.</w:t>
      </w:r>
    </w:p>
    <w:p w:rsidR="00512048" w:rsidRDefault="00512048" w:rsidP="00512048">
      <w:pPr>
        <w:pStyle w:val="SangriaFrancesaArticulo"/>
      </w:pPr>
      <w:r w:rsidRPr="00512048">
        <w:rPr>
          <w:rStyle w:val="TextoNormalNegritaCaracter"/>
        </w:rPr>
        <w:t>Artículo 368.</w:t>
      </w:r>
      <w:r w:rsidRPr="00512048">
        <w:rPr>
          <w:rStyle w:val="TextoNormalCaracter"/>
        </w:rPr>
        <w:t>-</w:t>
      </w:r>
      <w:r>
        <w:t xml:space="preserve"> Autos </w:t>
      </w:r>
      <w:hyperlink w:anchor="AUTO_2007_245" w:history="1">
        <w:r w:rsidRPr="00512048">
          <w:rPr>
            <w:rStyle w:val="TextoNormalCaracter"/>
          </w:rPr>
          <w:t>245/2007</w:t>
        </w:r>
      </w:hyperlink>
      <w:r>
        <w:t xml:space="preserve">; </w:t>
      </w:r>
      <w:hyperlink w:anchor="AUTO_2007_273" w:history="1">
        <w:r w:rsidRPr="00512048">
          <w:rPr>
            <w:rStyle w:val="TextoNormalCaracter"/>
          </w:rPr>
          <w:t>273/2007</w:t>
        </w:r>
      </w:hyperlink>
      <w:r>
        <w:t xml:space="preserve">; </w:t>
      </w:r>
      <w:hyperlink w:anchor="AUTO_2007_323" w:history="1">
        <w:r w:rsidRPr="00512048">
          <w:rPr>
            <w:rStyle w:val="TextoNormalCaracter"/>
          </w:rPr>
          <w:t>323/2007</w:t>
        </w:r>
      </w:hyperlink>
      <w:r>
        <w:t>.</w:t>
      </w:r>
    </w:p>
    <w:p w:rsidR="00512048" w:rsidRDefault="00512048" w:rsidP="00512048">
      <w:pPr>
        <w:pStyle w:val="SangriaFrancesaArticulo"/>
      </w:pPr>
      <w:r w:rsidRPr="00512048">
        <w:rPr>
          <w:rStyle w:val="TextoNormalNegritaCaracter"/>
        </w:rPr>
        <w:t>Artículo 369.3.</w:t>
      </w:r>
      <w:r w:rsidRPr="00512048">
        <w:rPr>
          <w:rStyle w:val="TextoNormalCaracter"/>
        </w:rPr>
        <w:t>-</w:t>
      </w:r>
      <w:r>
        <w:t xml:space="preserve"> Auto </w:t>
      </w:r>
      <w:hyperlink w:anchor="AUTO_2007_245" w:history="1">
        <w:r w:rsidRPr="00512048">
          <w:rPr>
            <w:rStyle w:val="TextoNormalCaracter"/>
          </w:rPr>
          <w:t>245/2007</w:t>
        </w:r>
      </w:hyperlink>
      <w:r>
        <w:t>.</w:t>
      </w:r>
    </w:p>
    <w:p w:rsidR="00512048" w:rsidRDefault="00512048" w:rsidP="00512048">
      <w:pPr>
        <w:pStyle w:val="SangriaFrancesaArticulo"/>
      </w:pPr>
      <w:r w:rsidRPr="00512048">
        <w:rPr>
          <w:rStyle w:val="TextoNormalNegritaCaracter"/>
        </w:rPr>
        <w:t>Artículo 373.</w:t>
      </w:r>
      <w:r w:rsidRPr="00512048">
        <w:rPr>
          <w:rStyle w:val="TextoNormalCaracter"/>
        </w:rPr>
        <w:t>-</w:t>
      </w:r>
      <w:r>
        <w:t xml:space="preserve"> Auto </w:t>
      </w:r>
      <w:hyperlink w:anchor="AUTO_2007_245" w:history="1">
        <w:r w:rsidRPr="00512048">
          <w:rPr>
            <w:rStyle w:val="TextoNormalCaracter"/>
          </w:rPr>
          <w:t>245/2007</w:t>
        </w:r>
      </w:hyperlink>
      <w:r>
        <w:t>.</w:t>
      </w:r>
    </w:p>
    <w:p w:rsidR="00512048" w:rsidRDefault="00512048" w:rsidP="00512048">
      <w:pPr>
        <w:pStyle w:val="SangriaFrancesaArticulo"/>
      </w:pPr>
      <w:r w:rsidRPr="00512048">
        <w:rPr>
          <w:rStyle w:val="TextoNormalNegritaCaracter"/>
        </w:rPr>
        <w:t>Artículo 379.</w:t>
      </w:r>
      <w:r w:rsidRPr="00512048">
        <w:rPr>
          <w:rStyle w:val="TextoNormalCaracter"/>
        </w:rPr>
        <w:t>-</w:t>
      </w:r>
      <w:r>
        <w:t xml:space="preserve"> Sentencias </w:t>
      </w:r>
      <w:hyperlink w:anchor="SENTENCIA_2007_134" w:history="1">
        <w:r w:rsidRPr="00512048">
          <w:rPr>
            <w:rStyle w:val="TextoNormalCaracter"/>
          </w:rPr>
          <w:t>134/2007</w:t>
        </w:r>
      </w:hyperlink>
      <w:r>
        <w:t xml:space="preserve">, f. 5; </w:t>
      </w:r>
      <w:hyperlink w:anchor="SENTENCIA_2007_164" w:history="1">
        <w:r w:rsidRPr="00512048">
          <w:rPr>
            <w:rStyle w:val="TextoNormalCaracter"/>
          </w:rPr>
          <w:t>164/2007</w:t>
        </w:r>
      </w:hyperlink>
      <w:r>
        <w:t>, ff. 1, 3.</w:t>
      </w:r>
    </w:p>
    <w:p w:rsidR="00512048" w:rsidRDefault="00512048" w:rsidP="00512048">
      <w:pPr>
        <w:pStyle w:val="SangriaFrancesaArticulo"/>
      </w:pPr>
      <w:r w:rsidRPr="00512048">
        <w:rPr>
          <w:rStyle w:val="TextoNormalNegritaCaracter"/>
        </w:rPr>
        <w:t>Artículo 506 bis</w:t>
      </w:r>
      <w:r>
        <w:t xml:space="preserve"> </w:t>
      </w:r>
      <w:r w:rsidRPr="00512048">
        <w:rPr>
          <w:rStyle w:val="TextoNormalCaracter"/>
        </w:rPr>
        <w:t>(redactado por la Ley Orgánica 20/2003, de 23 de diciembre)</w:t>
      </w:r>
      <w:r w:rsidRPr="00512048">
        <w:rPr>
          <w:rStyle w:val="TextoNormalNegritaCaracter"/>
        </w:rPr>
        <w:t>.</w:t>
      </w:r>
      <w:r w:rsidRPr="00512048">
        <w:rPr>
          <w:rStyle w:val="TextoNormalCaracter"/>
        </w:rPr>
        <w:t>-</w:t>
      </w:r>
      <w:r>
        <w:t xml:space="preserve"> Auto </w:t>
      </w:r>
      <w:hyperlink w:anchor="AUTO_2007_311" w:history="1">
        <w:r w:rsidRPr="00512048">
          <w:rPr>
            <w:rStyle w:val="TextoNormalCaracter"/>
          </w:rPr>
          <w:t>311/2007</w:t>
        </w:r>
      </w:hyperlink>
      <w:r>
        <w:t>.</w:t>
      </w:r>
    </w:p>
    <w:p w:rsidR="00512048" w:rsidRDefault="00512048" w:rsidP="00512048">
      <w:pPr>
        <w:pStyle w:val="SangriaFrancesaArticulo"/>
      </w:pPr>
      <w:r w:rsidRPr="00512048">
        <w:rPr>
          <w:rStyle w:val="TextoNormalNegritaCaracter"/>
        </w:rPr>
        <w:t>Artículo 521 bis</w:t>
      </w:r>
      <w:r>
        <w:t xml:space="preserve"> </w:t>
      </w:r>
      <w:r w:rsidRPr="00512048">
        <w:rPr>
          <w:rStyle w:val="TextoNormalCaracter"/>
        </w:rPr>
        <w:t>(redactado por la Ley Orgánica 20/2003, de 23 de diciembre)</w:t>
      </w:r>
      <w:r w:rsidRPr="00512048">
        <w:rPr>
          <w:rStyle w:val="TextoNormalNegritaCaracter"/>
        </w:rPr>
        <w:t>.</w:t>
      </w:r>
      <w:r w:rsidRPr="00512048">
        <w:rPr>
          <w:rStyle w:val="TextoNormalCaracter"/>
        </w:rPr>
        <w:t>-</w:t>
      </w:r>
      <w:r>
        <w:t xml:space="preserve"> Auto </w:t>
      </w:r>
      <w:hyperlink w:anchor="AUTO_2007_311" w:history="1">
        <w:r w:rsidRPr="00512048">
          <w:rPr>
            <w:rStyle w:val="TextoNormalCaracter"/>
          </w:rPr>
          <w:t>311/2007</w:t>
        </w:r>
      </w:hyperlink>
      <w:r>
        <w:t>.</w:t>
      </w:r>
    </w:p>
    <w:p w:rsidR="00512048" w:rsidRDefault="00512048" w:rsidP="00512048">
      <w:pPr>
        <w:pStyle w:val="SangriaFrancesaArticulo"/>
      </w:pPr>
      <w:r w:rsidRPr="00512048">
        <w:rPr>
          <w:rStyle w:val="TextoNormalNegritaCaracter"/>
        </w:rPr>
        <w:t>Artículo 576 bis</w:t>
      </w:r>
      <w:r>
        <w:t xml:space="preserve"> </w:t>
      </w:r>
      <w:r w:rsidRPr="00512048">
        <w:rPr>
          <w:rStyle w:val="TextoNormalCaracter"/>
        </w:rPr>
        <w:t>(redactado por la Ley Orgánica 20/2003, de 23 de diciembre)</w:t>
      </w:r>
      <w:r w:rsidRPr="00512048">
        <w:rPr>
          <w:rStyle w:val="TextoNormalNegritaCaracter"/>
        </w:rPr>
        <w:t>.</w:t>
      </w:r>
      <w:r w:rsidRPr="00512048">
        <w:rPr>
          <w:rStyle w:val="TextoNormalCaracter"/>
        </w:rPr>
        <w:t>-</w:t>
      </w:r>
      <w:r>
        <w:t xml:space="preserve"> Auto </w:t>
      </w:r>
      <w:hyperlink w:anchor="AUTO_2007_311" w:history="1">
        <w:r w:rsidRPr="00512048">
          <w:rPr>
            <w:rStyle w:val="TextoNormalCaracter"/>
          </w:rPr>
          <w:t>311/2007</w:t>
        </w:r>
      </w:hyperlink>
      <w:r>
        <w:t>.</w:t>
      </w:r>
    </w:p>
    <w:p w:rsidR="00512048" w:rsidRDefault="00512048" w:rsidP="00512048">
      <w:pPr>
        <w:pStyle w:val="SangriaFrancesaArticulo"/>
      </w:pPr>
    </w:p>
    <w:p w:rsidR="00512048" w:rsidRDefault="00512048" w:rsidP="00512048">
      <w:pPr>
        <w:pStyle w:val="TextoNormalNegritaCursivandice"/>
      </w:pPr>
      <w:r>
        <w:t>Ley Orgánica 5/1997, de 4 de diciembre. Reforma de la Ley Orgánica 6/1985, de 1 de julio, del Poder judicial</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35" w:history="1">
        <w:r w:rsidRPr="00512048">
          <w:rPr>
            <w:rStyle w:val="TextoNormalCaracter"/>
          </w:rPr>
          <w:t>135/2007</w:t>
        </w:r>
      </w:hyperlink>
      <w:r>
        <w:t>, f. 4.</w:t>
      </w:r>
    </w:p>
    <w:p w:rsidR="00512048" w:rsidRDefault="00512048" w:rsidP="00512048">
      <w:pPr>
        <w:pStyle w:val="SangriaFrancesaArticulo"/>
      </w:pPr>
    </w:p>
    <w:p w:rsidR="00512048" w:rsidRDefault="00512048" w:rsidP="00512048">
      <w:pPr>
        <w:pStyle w:val="TextoNormalNegritaCursivandice"/>
      </w:pPr>
      <w:r>
        <w:t>Ley Orgánica 13/1999, de 14 de mayo. Modificación de los artículos 19 y 240 de la Ley Orgánica 6/1985, de 1 de julio, del Poder judicial</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24" w:history="1">
        <w:r w:rsidRPr="00512048">
          <w:rPr>
            <w:rStyle w:val="TextoNormalCaracter"/>
          </w:rPr>
          <w:t>124/2007</w:t>
        </w:r>
      </w:hyperlink>
      <w:r>
        <w:t>, f. 3.</w:t>
      </w:r>
    </w:p>
    <w:p w:rsidR="00512048" w:rsidRDefault="00512048" w:rsidP="00512048">
      <w:pPr>
        <w:pStyle w:val="SangriaIzquierdaArticulo"/>
      </w:pPr>
      <w:r>
        <w:t xml:space="preserve">Auto </w:t>
      </w:r>
      <w:hyperlink w:anchor="AUTO_2007_256" w:history="1">
        <w:r w:rsidRPr="00512048">
          <w:rPr>
            <w:rStyle w:val="TextoNormalCaracter"/>
          </w:rPr>
          <w:t>256/2007</w:t>
        </w:r>
      </w:hyperlink>
      <w:r>
        <w:t>.</w:t>
      </w:r>
    </w:p>
    <w:p w:rsidR="00512048" w:rsidRDefault="00512048" w:rsidP="00512048">
      <w:pPr>
        <w:pStyle w:val="SangriaIzquierdaArticulo"/>
      </w:pPr>
    </w:p>
    <w:p w:rsidR="00512048" w:rsidRDefault="00512048" w:rsidP="00512048">
      <w:pPr>
        <w:pStyle w:val="TextoNormalNegritaCursivandice"/>
      </w:pPr>
      <w:r>
        <w:t>Ley Orgánica 15/1999, de 13 de diciembre. Protección de datos de carácter personal</w:t>
      </w:r>
    </w:p>
    <w:p w:rsidR="00512048" w:rsidRDefault="00512048" w:rsidP="00512048">
      <w:pPr>
        <w:pStyle w:val="SangriaFrancesaArticulo"/>
      </w:pPr>
      <w:r w:rsidRPr="00512048">
        <w:rPr>
          <w:rStyle w:val="TextoNormalNegritaCaracter"/>
        </w:rPr>
        <w:t>Artículo 45.5.</w:t>
      </w:r>
      <w:r w:rsidRPr="00512048">
        <w:rPr>
          <w:rStyle w:val="TextoNormalCaracter"/>
        </w:rPr>
        <w:t>-</w:t>
      </w:r>
      <w:r>
        <w:t xml:space="preserve"> Auto </w:t>
      </w:r>
      <w:hyperlink w:anchor="AUTO_2007_231" w:history="1">
        <w:r w:rsidRPr="00512048">
          <w:rPr>
            <w:rStyle w:val="TextoNormalCaracter"/>
          </w:rPr>
          <w:t>231/2007</w:t>
        </w:r>
      </w:hyperlink>
      <w:r>
        <w:t>.</w:t>
      </w:r>
    </w:p>
    <w:p w:rsidR="00512048" w:rsidRDefault="00512048" w:rsidP="00512048">
      <w:pPr>
        <w:pStyle w:val="SangriaFrancesaArticulo"/>
      </w:pPr>
    </w:p>
    <w:p w:rsidR="00512048" w:rsidRDefault="00512048" w:rsidP="00512048">
      <w:pPr>
        <w:pStyle w:val="TextoNormalNegritaCursivandice"/>
      </w:pPr>
      <w:r>
        <w:t>Ley Orgánica 6/2002, de 27 de junio. Partidos políticos</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10" w:history="1">
        <w:r w:rsidRPr="00512048">
          <w:rPr>
            <w:rStyle w:val="TextoNormalCaracter"/>
          </w:rPr>
          <w:t>110/2007</w:t>
        </w:r>
      </w:hyperlink>
      <w:r>
        <w:t>, ff. 3 a 5, 11.</w:t>
      </w:r>
    </w:p>
    <w:p w:rsidR="00512048" w:rsidRDefault="00512048" w:rsidP="00512048">
      <w:pPr>
        <w:pStyle w:val="SangriaFrancesaArticulo"/>
      </w:pPr>
      <w:r w:rsidRPr="00512048">
        <w:rPr>
          <w:rStyle w:val="TextoNormalNegritaCaracter"/>
        </w:rPr>
        <w:t>Artículo 12.</w:t>
      </w:r>
      <w:r w:rsidRPr="00512048">
        <w:rPr>
          <w:rStyle w:val="TextoNormalCaracter"/>
        </w:rPr>
        <w:t>-</w:t>
      </w:r>
      <w:r>
        <w:t xml:space="preserve"> Sentencia </w:t>
      </w:r>
      <w:hyperlink w:anchor="SENTENCIA_2007_112" w:history="1">
        <w:r w:rsidRPr="00512048">
          <w:rPr>
            <w:rStyle w:val="TextoNormalCaracter"/>
          </w:rPr>
          <w:t>112/2007</w:t>
        </w:r>
      </w:hyperlink>
      <w:r>
        <w:t>, ff. 4, 5.</w:t>
      </w:r>
    </w:p>
    <w:p w:rsidR="00512048" w:rsidRDefault="00512048" w:rsidP="00512048">
      <w:pPr>
        <w:pStyle w:val="SangriaFrancesaArticulo"/>
      </w:pPr>
      <w:r w:rsidRPr="00512048">
        <w:rPr>
          <w:rStyle w:val="TextoNormalNegritaCaracter"/>
        </w:rPr>
        <w:t>Artículo 12.1 b).</w:t>
      </w:r>
      <w:r w:rsidRPr="00512048">
        <w:rPr>
          <w:rStyle w:val="TextoNormalCaracter"/>
        </w:rPr>
        <w:t>-</w:t>
      </w:r>
      <w:r>
        <w:t xml:space="preserve"> Sentencia </w:t>
      </w:r>
      <w:hyperlink w:anchor="SENTENCIA_2007_112" w:history="1">
        <w:r w:rsidRPr="00512048">
          <w:rPr>
            <w:rStyle w:val="TextoNormalCaracter"/>
          </w:rPr>
          <w:t>112/2007</w:t>
        </w:r>
      </w:hyperlink>
      <w:r>
        <w:t>, ff. 1, 3, 6.</w:t>
      </w:r>
    </w:p>
    <w:p w:rsidR="00512048" w:rsidRDefault="00512048" w:rsidP="00512048">
      <w:pPr>
        <w:pStyle w:val="SangriaFrancesaArticulo"/>
      </w:pPr>
      <w:r w:rsidRPr="00512048">
        <w:rPr>
          <w:rStyle w:val="TextoNormalNegritaCaracter"/>
        </w:rPr>
        <w:t>Artículo 12.2.</w:t>
      </w:r>
      <w:r w:rsidRPr="00512048">
        <w:rPr>
          <w:rStyle w:val="TextoNormalCaracter"/>
        </w:rPr>
        <w:t>-</w:t>
      </w:r>
      <w:r>
        <w:t xml:space="preserve"> Sentencia </w:t>
      </w:r>
      <w:hyperlink w:anchor="SENTENCIA_2007_112" w:history="1">
        <w:r w:rsidRPr="00512048">
          <w:rPr>
            <w:rStyle w:val="TextoNormalCaracter"/>
          </w:rPr>
          <w:t>112/2007</w:t>
        </w:r>
      </w:hyperlink>
      <w:r>
        <w:t>, f. 6.</w:t>
      </w:r>
    </w:p>
    <w:p w:rsidR="00512048" w:rsidRDefault="00512048" w:rsidP="00512048">
      <w:pPr>
        <w:pStyle w:val="SangriaFrancesaArticulo"/>
      </w:pPr>
      <w:r w:rsidRPr="00512048">
        <w:rPr>
          <w:rStyle w:val="TextoNormalNegritaCaracter"/>
        </w:rPr>
        <w:t>Artículo 12.3.</w:t>
      </w:r>
      <w:r w:rsidRPr="00512048">
        <w:rPr>
          <w:rStyle w:val="TextoNormalCaracter"/>
        </w:rPr>
        <w:t>-</w:t>
      </w:r>
      <w:r>
        <w:t xml:space="preserve"> Sentencia </w:t>
      </w:r>
      <w:hyperlink w:anchor="SENTENCIA_2007_112" w:history="1">
        <w:r w:rsidRPr="00512048">
          <w:rPr>
            <w:rStyle w:val="TextoNormalCaracter"/>
          </w:rPr>
          <w:t>112/2007</w:t>
        </w:r>
      </w:hyperlink>
      <w:r>
        <w:t>, ff. 1 a 3, 6.</w:t>
      </w:r>
    </w:p>
    <w:p w:rsidR="00512048" w:rsidRDefault="00512048" w:rsidP="00512048">
      <w:pPr>
        <w:pStyle w:val="SangriaFrancesaArticulo"/>
      </w:pPr>
    </w:p>
    <w:p w:rsidR="00512048" w:rsidRDefault="00512048" w:rsidP="00512048">
      <w:pPr>
        <w:pStyle w:val="TextoNormalNegritaCursivandice"/>
      </w:pPr>
      <w:r>
        <w:t>Ley Orgánica 10/2002, de 23 de diciembre. Calidad de la educación</w:t>
      </w:r>
    </w:p>
    <w:p w:rsidR="00512048" w:rsidRDefault="00512048" w:rsidP="00512048">
      <w:pPr>
        <w:pStyle w:val="SangriaFrancesaArticulo"/>
      </w:pPr>
      <w:r w:rsidRPr="00512048">
        <w:rPr>
          <w:rStyle w:val="TextoNormalNegritaCaracter"/>
        </w:rPr>
        <w:t>Disposición derogatoria única.</w:t>
      </w:r>
      <w:r w:rsidRPr="00512048">
        <w:rPr>
          <w:rStyle w:val="TextoNormalCaracter"/>
        </w:rPr>
        <w:t>-</w:t>
      </w:r>
      <w:r>
        <w:t xml:space="preserve"> Auto </w:t>
      </w:r>
      <w:hyperlink w:anchor="AUTO_2007_257" w:history="1">
        <w:r w:rsidRPr="00512048">
          <w:rPr>
            <w:rStyle w:val="TextoNormalCaracter"/>
          </w:rPr>
          <w:t>257/2007</w:t>
        </w:r>
      </w:hyperlink>
      <w:r>
        <w:t>.</w:t>
      </w:r>
    </w:p>
    <w:p w:rsidR="00512048" w:rsidRDefault="00512048" w:rsidP="00512048">
      <w:pPr>
        <w:pStyle w:val="SangriaFrancesaArticulo"/>
      </w:pPr>
    </w:p>
    <w:p w:rsidR="00512048" w:rsidRDefault="00512048" w:rsidP="00512048">
      <w:pPr>
        <w:pStyle w:val="TextoNormalNegritaCursivandice"/>
      </w:pPr>
      <w:r>
        <w:t>Ley Orgánica 5/2003, de 27 de mayo. Modificación de las Leyes Orgánicas 6/1985, de 1 de julio, del Poder judicial, 1/1979, de 26 de septiembre, general penitenciaria, y Ley 38/1988, de 28 de diciembre, de demarcación y de planta judicial</w:t>
      </w:r>
    </w:p>
    <w:p w:rsidR="00512048" w:rsidRDefault="00512048" w:rsidP="00512048">
      <w:pPr>
        <w:pStyle w:val="SangriaFrancesaArticulo"/>
      </w:pPr>
      <w:r w:rsidRPr="00512048">
        <w:rPr>
          <w:rStyle w:val="TextoNormalNegritaCaracter"/>
        </w:rPr>
        <w:t>Artículo 1.4.</w:t>
      </w:r>
      <w:r w:rsidRPr="00512048">
        <w:rPr>
          <w:rStyle w:val="TextoNormalCaracter"/>
        </w:rPr>
        <w:t>-</w:t>
      </w:r>
      <w:r>
        <w:t xml:space="preserve"> Sentencia </w:t>
      </w:r>
      <w:hyperlink w:anchor="SENTENCIA_2007_155" w:history="1">
        <w:r w:rsidRPr="00512048">
          <w:rPr>
            <w:rStyle w:val="TextoNormalCaracter"/>
          </w:rPr>
          <w:t>155/2007</w:t>
        </w:r>
      </w:hyperlink>
      <w:r>
        <w:t>, f. 2.</w:t>
      </w:r>
    </w:p>
    <w:p w:rsidR="00512048" w:rsidRDefault="00512048" w:rsidP="00512048">
      <w:pPr>
        <w:pStyle w:val="SangriaFrancesaArticulo"/>
      </w:pPr>
    </w:p>
    <w:p w:rsidR="00512048" w:rsidRDefault="00512048" w:rsidP="00512048">
      <w:pPr>
        <w:pStyle w:val="TextoNormalNegritaCursivandice"/>
      </w:pPr>
      <w:r>
        <w:t>Ley Orgánica 15/2003, de 25 de noviembre. Modificación de la Ley Orgánica 10/1995, de 23 de noviembre, del Código penal</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42" w:history="1">
        <w:r w:rsidRPr="00512048">
          <w:rPr>
            <w:rStyle w:val="TextoNormalCaracter"/>
          </w:rPr>
          <w:t>142/2007</w:t>
        </w:r>
      </w:hyperlink>
      <w:r>
        <w:t>, f. 2.</w:t>
      </w:r>
    </w:p>
    <w:p w:rsidR="00512048" w:rsidRDefault="00512048" w:rsidP="00512048">
      <w:pPr>
        <w:pStyle w:val="SangriaFrancesaArticulo"/>
      </w:pPr>
    </w:p>
    <w:p w:rsidR="00512048" w:rsidRDefault="00512048" w:rsidP="00512048">
      <w:pPr>
        <w:pStyle w:val="TextoNormalNegritaCursivandice"/>
      </w:pPr>
      <w:r>
        <w:t>Ley Orgánica 19/2003, de 23 de diciembre. Modificación de la Ley Orgánica 6/1985, de 1 de julio, del Poder Judicial</w:t>
      </w:r>
    </w:p>
    <w:p w:rsidR="00512048" w:rsidRDefault="00512048" w:rsidP="00512048">
      <w:pPr>
        <w:pStyle w:val="SangriaFrancesaArticulo"/>
      </w:pPr>
      <w:r w:rsidRPr="00512048">
        <w:rPr>
          <w:rStyle w:val="TextoNormalNegritaCaracter"/>
        </w:rPr>
        <w:lastRenderedPageBreak/>
        <w:t>En general.</w:t>
      </w:r>
      <w:r w:rsidRPr="00512048">
        <w:rPr>
          <w:rStyle w:val="TextoNormalCaracter"/>
        </w:rPr>
        <w:t>-</w:t>
      </w:r>
      <w:r>
        <w:t xml:space="preserve"> Sentencias </w:t>
      </w:r>
      <w:hyperlink w:anchor="SENTENCIA_2007_124" w:history="1">
        <w:r w:rsidRPr="00512048">
          <w:rPr>
            <w:rStyle w:val="TextoNormalCaracter"/>
          </w:rPr>
          <w:t>124/2007</w:t>
        </w:r>
      </w:hyperlink>
      <w:r>
        <w:t xml:space="preserve">, f. 3; </w:t>
      </w:r>
      <w:hyperlink w:anchor="SENTENCIA_2007_135" w:history="1">
        <w:r w:rsidRPr="00512048">
          <w:rPr>
            <w:rStyle w:val="TextoNormalCaracter"/>
          </w:rPr>
          <w:t>135/2007</w:t>
        </w:r>
      </w:hyperlink>
      <w:r>
        <w:t xml:space="preserve">, f. 4; </w:t>
      </w:r>
      <w:hyperlink w:anchor="SENTENCIA_2007_144" w:history="1">
        <w:r w:rsidRPr="00512048">
          <w:rPr>
            <w:rStyle w:val="TextoNormalCaracter"/>
          </w:rPr>
          <w:t>144/2007</w:t>
        </w:r>
      </w:hyperlink>
      <w:r>
        <w:t>, ff. 1, 2.</w:t>
      </w:r>
    </w:p>
    <w:p w:rsidR="00512048" w:rsidRDefault="00512048" w:rsidP="00512048">
      <w:pPr>
        <w:pStyle w:val="SangriaIzquierdaArticulo"/>
      </w:pPr>
      <w:r>
        <w:t xml:space="preserve">Autos </w:t>
      </w:r>
      <w:hyperlink w:anchor="AUTO_2007_256" w:history="1">
        <w:r w:rsidRPr="00512048">
          <w:rPr>
            <w:rStyle w:val="TextoNormalCaracter"/>
          </w:rPr>
          <w:t>256/2007</w:t>
        </w:r>
      </w:hyperlink>
      <w:r>
        <w:t xml:space="preserve">; </w:t>
      </w:r>
      <w:hyperlink w:anchor="AUTO_2007_289" w:history="1">
        <w:r w:rsidRPr="00512048">
          <w:rPr>
            <w:rStyle w:val="TextoNormalCaracter"/>
          </w:rPr>
          <w:t>289/2007</w:t>
        </w:r>
      </w:hyperlink>
      <w:r>
        <w:t>.</w:t>
      </w:r>
    </w:p>
    <w:p w:rsidR="00512048" w:rsidRDefault="00512048" w:rsidP="00512048">
      <w:pPr>
        <w:pStyle w:val="SangriaIzquierdaArticulo"/>
      </w:pPr>
    </w:p>
    <w:p w:rsidR="00512048" w:rsidRDefault="00512048" w:rsidP="00512048">
      <w:pPr>
        <w:pStyle w:val="TextoNormalNegritaCursivandice"/>
      </w:pPr>
      <w:r>
        <w:t>Ley Orgánica 20/2003, de 23 de diciembre. Modificación de la Ley Orgánica del Poder Judicial y del Código penal</w:t>
      </w:r>
    </w:p>
    <w:p w:rsidR="00512048" w:rsidRDefault="00512048" w:rsidP="00512048">
      <w:pPr>
        <w:pStyle w:val="SangriaFrancesaArticulo"/>
      </w:pPr>
      <w:r w:rsidRPr="00512048">
        <w:rPr>
          <w:rStyle w:val="TextoNormalNegritaCaracter"/>
        </w:rPr>
        <w:t>Artículo 2.</w:t>
      </w:r>
      <w:r w:rsidRPr="00512048">
        <w:rPr>
          <w:rStyle w:val="TextoNormalCaracter"/>
        </w:rPr>
        <w:t>-</w:t>
      </w:r>
      <w:r>
        <w:t xml:space="preserve"> Auto </w:t>
      </w:r>
      <w:hyperlink w:anchor="AUTO_2007_311" w:history="1">
        <w:r w:rsidRPr="00512048">
          <w:rPr>
            <w:rStyle w:val="TextoNormalCaracter"/>
          </w:rPr>
          <w:t>311/2007</w:t>
        </w:r>
      </w:hyperlink>
      <w:r>
        <w:t>.</w:t>
      </w:r>
    </w:p>
    <w:p w:rsidR="00512048" w:rsidRDefault="00512048" w:rsidP="00512048">
      <w:pPr>
        <w:pStyle w:val="SangriaFrancesaArticulo"/>
      </w:pPr>
    </w:p>
    <w:p w:rsidR="00512048" w:rsidRDefault="00512048" w:rsidP="00512048">
      <w:pPr>
        <w:pStyle w:val="TextoNormalNegritaCursivandice"/>
      </w:pPr>
      <w:r>
        <w:t>Ley Orgánica 2/2005, de 22 de junio. Modificación del Código penal</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Auto </w:t>
      </w:r>
      <w:hyperlink w:anchor="AUTO_2007_311" w:history="1">
        <w:r w:rsidRPr="00512048">
          <w:rPr>
            <w:rStyle w:val="TextoNormalCaracter"/>
          </w:rPr>
          <w:t>311/2007</w:t>
        </w:r>
      </w:hyperlink>
      <w:r>
        <w:t>.</w:t>
      </w:r>
    </w:p>
    <w:p w:rsidR="00512048" w:rsidRDefault="00512048" w:rsidP="00512048">
      <w:pPr>
        <w:pStyle w:val="SangriaFrancesaArticulo"/>
      </w:pPr>
    </w:p>
    <w:p w:rsidR="00512048" w:rsidRDefault="00512048" w:rsidP="00512048">
      <w:pPr>
        <w:pStyle w:val="TextoNormalNegritaCursivandice"/>
      </w:pPr>
      <w:r>
        <w:t>Ley Orgánica 3/2007, de 22 de marzo. Igualdad efectiva de mujeres y hombres</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Sentencias </w:t>
      </w:r>
      <w:hyperlink w:anchor="SENTENCIA_2007_96" w:history="1">
        <w:r w:rsidRPr="00512048">
          <w:rPr>
            <w:rStyle w:val="TextoNormalCaracter"/>
          </w:rPr>
          <w:t>96/2007</w:t>
        </w:r>
      </w:hyperlink>
      <w:r>
        <w:t xml:space="preserve">, f. 4; </w:t>
      </w:r>
      <w:hyperlink w:anchor="SENTENCIA_2007_99" w:history="1">
        <w:r w:rsidRPr="00512048">
          <w:rPr>
            <w:rStyle w:val="TextoNormalCaracter"/>
          </w:rPr>
          <w:t>99/2007</w:t>
        </w:r>
      </w:hyperlink>
      <w:r>
        <w:t xml:space="preserve">, f. 4; </w:t>
      </w:r>
      <w:hyperlink w:anchor="SENTENCIA_2007_100" w:history="1">
        <w:r w:rsidRPr="00512048">
          <w:rPr>
            <w:rStyle w:val="TextoNormalCaracter"/>
          </w:rPr>
          <w:t>100/2007</w:t>
        </w:r>
      </w:hyperlink>
      <w:r>
        <w:t xml:space="preserve">, f. 3; </w:t>
      </w:r>
      <w:hyperlink w:anchor="SENTENCIA_2007_101" w:history="1">
        <w:r w:rsidRPr="00512048">
          <w:rPr>
            <w:rStyle w:val="TextoNormalCaracter"/>
          </w:rPr>
          <w:t>101/2007</w:t>
        </w:r>
      </w:hyperlink>
      <w:r>
        <w:t xml:space="preserve">; </w:t>
      </w:r>
      <w:hyperlink w:anchor="SENTENCIA_2007_102" w:history="1">
        <w:r w:rsidRPr="00512048">
          <w:rPr>
            <w:rStyle w:val="TextoNormalCaracter"/>
          </w:rPr>
          <w:t>102/2007</w:t>
        </w:r>
      </w:hyperlink>
      <w:r>
        <w:t xml:space="preserve">, ff. 3, 4; </w:t>
      </w:r>
      <w:hyperlink w:anchor="SENTENCIA_2007_104" w:history="1">
        <w:r w:rsidRPr="00512048">
          <w:rPr>
            <w:rStyle w:val="TextoNormalCaracter"/>
          </w:rPr>
          <w:t>104/2007</w:t>
        </w:r>
      </w:hyperlink>
      <w:r>
        <w:t xml:space="preserve">, ff. 2, 3, 5; </w:t>
      </w:r>
      <w:hyperlink w:anchor="SENTENCIA_2007_105" w:history="1">
        <w:r w:rsidRPr="00512048">
          <w:rPr>
            <w:rStyle w:val="TextoNormalCaracter"/>
          </w:rPr>
          <w:t>105/2007</w:t>
        </w:r>
      </w:hyperlink>
      <w:r>
        <w:t xml:space="preserve">, f. 2; </w:t>
      </w:r>
      <w:hyperlink w:anchor="SENTENCIA_2007_108" w:history="1">
        <w:r w:rsidRPr="00512048">
          <w:rPr>
            <w:rStyle w:val="TextoNormalCaracter"/>
          </w:rPr>
          <w:t>108/2007</w:t>
        </w:r>
      </w:hyperlink>
      <w:r>
        <w:t xml:space="preserve">, ff. 3, 4, VP; </w:t>
      </w:r>
      <w:hyperlink w:anchor="SENTENCIA_2007_111" w:history="1">
        <w:r w:rsidRPr="00512048">
          <w:rPr>
            <w:rStyle w:val="TextoNormalCaracter"/>
          </w:rPr>
          <w:t>111/2007</w:t>
        </w:r>
      </w:hyperlink>
      <w:r>
        <w:t>, f. 3.</w:t>
      </w:r>
    </w:p>
    <w:p w:rsidR="00512048" w:rsidRDefault="00512048" w:rsidP="00512048">
      <w:pPr>
        <w:pStyle w:val="SangriaFrancesaArticulo"/>
      </w:pPr>
      <w:r w:rsidRPr="00512048">
        <w:rPr>
          <w:rStyle w:val="TextoNormalNegritaCaracter"/>
        </w:rPr>
        <w:t>Disposición adicional segunda.</w:t>
      </w:r>
      <w:r w:rsidRPr="00512048">
        <w:rPr>
          <w:rStyle w:val="TextoNormalCaracter"/>
        </w:rPr>
        <w:t>-</w:t>
      </w:r>
      <w:r>
        <w:t xml:space="preserve"> Sentencia </w:t>
      </w:r>
      <w:hyperlink w:anchor="SENTENCIA_2007_127" w:history="1">
        <w:r w:rsidRPr="00512048">
          <w:rPr>
            <w:rStyle w:val="TextoNormalCaracter"/>
          </w:rPr>
          <w:t>127/2007</w:t>
        </w:r>
      </w:hyperlink>
      <w:r>
        <w:t>, f. 4.</w:t>
      </w:r>
    </w:p>
    <w:p w:rsidR="00512048" w:rsidRDefault="00512048" w:rsidP="00512048">
      <w:pPr>
        <w:pStyle w:val="TextoNormal"/>
      </w:pPr>
    </w:p>
    <w:p w:rsidR="00512048" w:rsidRDefault="00512048" w:rsidP="00512048">
      <w:pPr>
        <w:pStyle w:val="SangriaFrancesaArticulo"/>
      </w:pPr>
      <w:bookmarkStart w:id="228" w:name="INDICE22846"/>
    </w:p>
    <w:bookmarkEnd w:id="228"/>
    <w:p w:rsidR="00512048" w:rsidRDefault="00512048" w:rsidP="00512048">
      <w:pPr>
        <w:pStyle w:val="TextoIndiceNivel2"/>
        <w:suppressAutoHyphens/>
      </w:pPr>
      <w:r>
        <w:t>E) Leyes de las Cortes Generales</w:t>
      </w:r>
    </w:p>
    <w:p w:rsidR="00512048" w:rsidRDefault="00512048" w:rsidP="00512048">
      <w:pPr>
        <w:pStyle w:val="TextoIndiceNivel2"/>
      </w:pPr>
    </w:p>
    <w:p w:rsidR="00512048" w:rsidRDefault="00512048" w:rsidP="00512048">
      <w:pPr>
        <w:pStyle w:val="TextoNormalNegritaCursivandice"/>
      </w:pPr>
      <w:r>
        <w:t>Ley 22/1987, de 11 de noviembre. Propiedad intelectual</w:t>
      </w:r>
    </w:p>
    <w:p w:rsidR="00512048" w:rsidRDefault="00512048" w:rsidP="00512048">
      <w:pPr>
        <w:pStyle w:val="SangriaFrancesaArticulo"/>
      </w:pPr>
      <w:r w:rsidRPr="00512048">
        <w:rPr>
          <w:rStyle w:val="TextoNormalNegritaCaracter"/>
        </w:rPr>
        <w:t>Artículo 25.</w:t>
      </w:r>
      <w:r w:rsidRPr="00512048">
        <w:rPr>
          <w:rStyle w:val="TextoNormalCaracter"/>
        </w:rPr>
        <w:t>-</w:t>
      </w:r>
      <w:r>
        <w:t xml:space="preserve"> Auto </w:t>
      </w:r>
      <w:hyperlink w:anchor="AUTO_2007_289" w:history="1">
        <w:r w:rsidRPr="00512048">
          <w:rPr>
            <w:rStyle w:val="TextoNormalCaracter"/>
          </w:rPr>
          <w:t>289/2007</w:t>
        </w:r>
      </w:hyperlink>
      <w:r>
        <w:t>.</w:t>
      </w:r>
    </w:p>
    <w:p w:rsidR="00512048" w:rsidRDefault="00512048" w:rsidP="00512048">
      <w:pPr>
        <w:pStyle w:val="SangriaFrancesaArticulo"/>
      </w:pPr>
      <w:r w:rsidRPr="00512048">
        <w:rPr>
          <w:rStyle w:val="TextoNormalNegritaCaracter"/>
        </w:rPr>
        <w:t>Artículo 135.</w:t>
      </w:r>
      <w:r w:rsidRPr="00512048">
        <w:rPr>
          <w:rStyle w:val="TextoNormalCaracter"/>
        </w:rPr>
        <w:t>-</w:t>
      </w:r>
      <w:r>
        <w:t xml:space="preserve"> Sentencia </w:t>
      </w:r>
      <w:hyperlink w:anchor="SENTENCIA_2007_166" w:history="1">
        <w:r w:rsidRPr="00512048">
          <w:rPr>
            <w:rStyle w:val="TextoNormalCaracter"/>
          </w:rPr>
          <w:t>166/2007</w:t>
        </w:r>
      </w:hyperlink>
      <w:r>
        <w:t>, ff. 1, 6, 8.</w:t>
      </w:r>
    </w:p>
    <w:p w:rsidR="00512048" w:rsidRDefault="00512048" w:rsidP="00512048">
      <w:pPr>
        <w:pStyle w:val="SangriaFrancesaArticulo"/>
      </w:pPr>
    </w:p>
    <w:p w:rsidR="00512048" w:rsidRDefault="00512048" w:rsidP="00512048">
      <w:pPr>
        <w:pStyle w:val="TextoNormalNegritaCursivandice"/>
      </w:pPr>
      <w:r>
        <w:t>Ley 23/1988, de 28 de julio. Modifica la Ley 30/1984, de 2 de agosto, de medidas para la reforma de la función pública</w:t>
      </w:r>
    </w:p>
    <w:p w:rsidR="00512048" w:rsidRDefault="00512048" w:rsidP="00512048">
      <w:pPr>
        <w:pStyle w:val="SangriaFrancesaArticulo"/>
      </w:pPr>
      <w:r w:rsidRPr="00512048">
        <w:rPr>
          <w:rStyle w:val="TextoNormalNegritaCaracter"/>
        </w:rPr>
        <w:t>Disposición adicional decimoquinta.</w:t>
      </w:r>
      <w:r w:rsidRPr="00512048">
        <w:rPr>
          <w:rStyle w:val="TextoNormalCaracter"/>
        </w:rPr>
        <w:t>-</w:t>
      </w:r>
      <w:r>
        <w:t xml:space="preserve"> Sentencia </w:t>
      </w:r>
      <w:hyperlink w:anchor="SENTENCIA_2007_128" w:history="1">
        <w:r w:rsidRPr="00512048">
          <w:rPr>
            <w:rStyle w:val="TextoNormalCaracter"/>
          </w:rPr>
          <w:t>128/2007</w:t>
        </w:r>
      </w:hyperlink>
      <w:r>
        <w:t>, f. 7.</w:t>
      </w:r>
    </w:p>
    <w:p w:rsidR="00512048" w:rsidRDefault="00512048" w:rsidP="00512048">
      <w:pPr>
        <w:pStyle w:val="SangriaFrancesaArticulo"/>
      </w:pPr>
    </w:p>
    <w:p w:rsidR="00512048" w:rsidRDefault="00512048" w:rsidP="00512048">
      <w:pPr>
        <w:pStyle w:val="TextoNormalNegritaCursivandice"/>
      </w:pPr>
      <w:r>
        <w:t>Ley 18/1991, de 6 de junio. Impuesto sobre la renta de las personas físicas</w:t>
      </w:r>
    </w:p>
    <w:p w:rsidR="00512048" w:rsidRDefault="00512048" w:rsidP="00512048">
      <w:pPr>
        <w:pStyle w:val="SangriaFrancesaArticulo"/>
      </w:pPr>
      <w:r w:rsidRPr="00512048">
        <w:rPr>
          <w:rStyle w:val="TextoNormalNegritaCaracter"/>
        </w:rPr>
        <w:t>Artículo 34 b).</w:t>
      </w:r>
      <w:r w:rsidRPr="00512048">
        <w:rPr>
          <w:rStyle w:val="TextoNormalCaracter"/>
        </w:rPr>
        <w:t>-</w:t>
      </w:r>
      <w:r>
        <w:t xml:space="preserve"> Sentencia </w:t>
      </w:r>
      <w:hyperlink w:anchor="SENTENCIA_2007_91" w:history="1">
        <w:r w:rsidRPr="00512048">
          <w:rPr>
            <w:rStyle w:val="TextoNormalCaracter"/>
          </w:rPr>
          <w:t>91/2007</w:t>
        </w:r>
      </w:hyperlink>
      <w:r>
        <w:t>, ff. 1, 3.</w:t>
      </w:r>
    </w:p>
    <w:p w:rsidR="00512048" w:rsidRDefault="00512048" w:rsidP="00512048">
      <w:pPr>
        <w:pStyle w:val="SangriaFrancesaArticulo"/>
      </w:pPr>
      <w:r w:rsidRPr="00512048">
        <w:rPr>
          <w:rStyle w:val="TextoNormalNegritaCaracter"/>
        </w:rPr>
        <w:t>Artículo 34 b) párrafo 1.</w:t>
      </w:r>
      <w:r w:rsidRPr="00512048">
        <w:rPr>
          <w:rStyle w:val="TextoNormalCaracter"/>
        </w:rPr>
        <w:t>-</w:t>
      </w:r>
      <w:r>
        <w:t xml:space="preserve"> Sentencia </w:t>
      </w:r>
      <w:hyperlink w:anchor="SENTENCIA_2007_91" w:history="1">
        <w:r w:rsidRPr="00512048">
          <w:rPr>
            <w:rStyle w:val="TextoNormalCaracter"/>
          </w:rPr>
          <w:t>91/2007</w:t>
        </w:r>
      </w:hyperlink>
      <w:r>
        <w:t>, f. 4.</w:t>
      </w:r>
    </w:p>
    <w:p w:rsidR="00512048" w:rsidRDefault="00512048" w:rsidP="00512048">
      <w:pPr>
        <w:pStyle w:val="SangriaFrancesaArticulo"/>
      </w:pPr>
    </w:p>
    <w:p w:rsidR="00512048" w:rsidRDefault="00512048" w:rsidP="00512048">
      <w:pPr>
        <w:pStyle w:val="TextoNormalNegritaCursivandice"/>
      </w:pPr>
      <w:r>
        <w:t>Ley 20/1991, de 7 de junio. Modificación de los aspectos fiscales de la Ley 30/1972, del régimen económico fiscal de Canarias</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Auto </w:t>
      </w:r>
      <w:hyperlink w:anchor="AUTO_2007_247" w:history="1">
        <w:r w:rsidRPr="00512048">
          <w:rPr>
            <w:rStyle w:val="TextoNormalCaracter"/>
          </w:rPr>
          <w:t>247/2007</w:t>
        </w:r>
      </w:hyperlink>
      <w:r>
        <w:t>.</w:t>
      </w:r>
    </w:p>
    <w:p w:rsidR="00512048" w:rsidRDefault="00512048" w:rsidP="00512048">
      <w:pPr>
        <w:pStyle w:val="SangriaFrancesaArticulo"/>
      </w:pPr>
      <w:r w:rsidRPr="00512048">
        <w:rPr>
          <w:rStyle w:val="TextoNormalNegritaCaracter"/>
        </w:rPr>
        <w:t>Artículo 10.1.27.</w:t>
      </w:r>
      <w:r w:rsidRPr="00512048">
        <w:rPr>
          <w:rStyle w:val="TextoNormalCaracter"/>
        </w:rPr>
        <w:t>-</w:t>
      </w:r>
      <w:r>
        <w:t xml:space="preserve"> Auto </w:t>
      </w:r>
      <w:hyperlink w:anchor="AUTO_2007_247" w:history="1">
        <w:r w:rsidRPr="00512048">
          <w:rPr>
            <w:rStyle w:val="TextoNormalCaracter"/>
          </w:rPr>
          <w:t>247/2007</w:t>
        </w:r>
      </w:hyperlink>
      <w:r>
        <w:t>.</w:t>
      </w:r>
    </w:p>
    <w:p w:rsidR="00512048" w:rsidRDefault="00512048" w:rsidP="00512048">
      <w:pPr>
        <w:pStyle w:val="SangriaFrancesaArticulo"/>
      </w:pPr>
    </w:p>
    <w:p w:rsidR="00512048" w:rsidRDefault="00512048" w:rsidP="00512048">
      <w:pPr>
        <w:pStyle w:val="TextoNormalNegritaCursivandice"/>
      </w:pPr>
      <w:r>
        <w:t>Ley 10/1992, de 30 de abril. Medidas urgentes de reforma procesal</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46" w:history="1">
        <w:r w:rsidRPr="00512048">
          <w:rPr>
            <w:rStyle w:val="TextoNormalCaracter"/>
          </w:rPr>
          <w:t>146/2007</w:t>
        </w:r>
      </w:hyperlink>
      <w:r>
        <w:t>, f. 4.</w:t>
      </w:r>
    </w:p>
    <w:p w:rsidR="00512048" w:rsidRDefault="00512048" w:rsidP="00512048">
      <w:pPr>
        <w:pStyle w:val="SangriaFrancesaArticulo"/>
      </w:pPr>
    </w:p>
    <w:p w:rsidR="00512048" w:rsidRDefault="00512048" w:rsidP="00512048">
      <w:pPr>
        <w:pStyle w:val="TextoNormalNegritaCursivandice"/>
      </w:pPr>
      <w:r>
        <w:t>Ley 30/1992, de 26 de noviembre. Régimen jurídico de las Administraciones públicas y del procedimiento administrativo común</w:t>
      </w:r>
    </w:p>
    <w:p w:rsidR="00512048" w:rsidRDefault="00512048" w:rsidP="00512048">
      <w:pPr>
        <w:pStyle w:val="SangriaFrancesaArticulo"/>
      </w:pPr>
      <w:r w:rsidRPr="00512048">
        <w:rPr>
          <w:rStyle w:val="TextoNormalNegritaCaracter"/>
        </w:rPr>
        <w:t>Artículo 59.</w:t>
      </w:r>
      <w:r w:rsidRPr="00512048">
        <w:rPr>
          <w:rStyle w:val="TextoNormalCaracter"/>
        </w:rPr>
        <w:t>-</w:t>
      </w:r>
      <w:r>
        <w:t xml:space="preserve"> Auto </w:t>
      </w:r>
      <w:hyperlink w:anchor="AUTO_2007_237" w:history="1">
        <w:r w:rsidRPr="00512048">
          <w:rPr>
            <w:rStyle w:val="TextoNormalCaracter"/>
          </w:rPr>
          <w:t>237/2007</w:t>
        </w:r>
      </w:hyperlink>
      <w:r>
        <w:t>.</w:t>
      </w:r>
    </w:p>
    <w:p w:rsidR="00512048" w:rsidRDefault="00512048" w:rsidP="00512048">
      <w:pPr>
        <w:pStyle w:val="SangriaFrancesaArticulo"/>
      </w:pPr>
    </w:p>
    <w:p w:rsidR="00512048" w:rsidRDefault="00512048" w:rsidP="00512048">
      <w:pPr>
        <w:pStyle w:val="TextoNormalNegritaCursivandice"/>
      </w:pPr>
      <w:r>
        <w:t>Ley 37/1992, de 28 de diciembre. Impuesto sobre el valor añadido</w:t>
      </w:r>
    </w:p>
    <w:p w:rsidR="00512048" w:rsidRDefault="00512048" w:rsidP="00512048">
      <w:pPr>
        <w:pStyle w:val="SangriaFrancesaArticulo"/>
      </w:pPr>
      <w:r w:rsidRPr="00512048">
        <w:rPr>
          <w:rStyle w:val="TextoNormalNegritaCaracter"/>
        </w:rPr>
        <w:t>Artículo 9.1 c).</w:t>
      </w:r>
      <w:r w:rsidRPr="00512048">
        <w:rPr>
          <w:rStyle w:val="TextoNormalCaracter"/>
        </w:rPr>
        <w:t>-</w:t>
      </w:r>
      <w:r>
        <w:t xml:space="preserve"> Sentencia </w:t>
      </w:r>
      <w:hyperlink w:anchor="SENTENCIA_2007_144" w:history="1">
        <w:r w:rsidRPr="00512048">
          <w:rPr>
            <w:rStyle w:val="TextoNormalCaracter"/>
          </w:rPr>
          <w:t>144/2007</w:t>
        </w:r>
      </w:hyperlink>
      <w:r>
        <w:t>, f. 1.</w:t>
      </w:r>
    </w:p>
    <w:p w:rsidR="00512048" w:rsidRDefault="00512048" w:rsidP="00512048">
      <w:pPr>
        <w:pStyle w:val="SangriaFrancesaArticulo"/>
      </w:pPr>
      <w:r w:rsidRPr="00512048">
        <w:rPr>
          <w:rStyle w:val="TextoNormalNegritaCaracter"/>
        </w:rPr>
        <w:t>Artículo 92.</w:t>
      </w:r>
      <w:r w:rsidRPr="00512048">
        <w:rPr>
          <w:rStyle w:val="TextoNormalCaracter"/>
        </w:rPr>
        <w:t>-</w:t>
      </w:r>
      <w:r>
        <w:t xml:space="preserve"> Sentencia </w:t>
      </w:r>
      <w:hyperlink w:anchor="SENTENCIA_2007_144" w:history="1">
        <w:r w:rsidRPr="00512048">
          <w:rPr>
            <w:rStyle w:val="TextoNormalCaracter"/>
          </w:rPr>
          <w:t>144/2007</w:t>
        </w:r>
      </w:hyperlink>
      <w:r>
        <w:t>, f. 3.</w:t>
      </w:r>
    </w:p>
    <w:p w:rsidR="00512048" w:rsidRDefault="00512048" w:rsidP="00512048">
      <w:pPr>
        <w:pStyle w:val="SangriaFrancesaArticulo"/>
      </w:pPr>
      <w:r w:rsidRPr="00512048">
        <w:rPr>
          <w:rStyle w:val="TextoNormalNegritaCaracter"/>
        </w:rPr>
        <w:t>Artículo 94.</w:t>
      </w:r>
      <w:r w:rsidRPr="00512048">
        <w:rPr>
          <w:rStyle w:val="TextoNormalCaracter"/>
        </w:rPr>
        <w:t>-</w:t>
      </w:r>
      <w:r>
        <w:t xml:space="preserve"> Sentencia </w:t>
      </w:r>
      <w:hyperlink w:anchor="SENTENCIA_2007_144" w:history="1">
        <w:r w:rsidRPr="00512048">
          <w:rPr>
            <w:rStyle w:val="TextoNormalCaracter"/>
          </w:rPr>
          <w:t>144/2007</w:t>
        </w:r>
      </w:hyperlink>
      <w:r>
        <w:t>, f. 3.</w:t>
      </w:r>
    </w:p>
    <w:p w:rsidR="00512048" w:rsidRDefault="00512048" w:rsidP="00512048">
      <w:pPr>
        <w:pStyle w:val="SangriaFrancesaArticulo"/>
      </w:pPr>
      <w:r w:rsidRPr="00512048">
        <w:rPr>
          <w:rStyle w:val="TextoNormalNegritaCaracter"/>
        </w:rPr>
        <w:lastRenderedPageBreak/>
        <w:t>Artículo 101.</w:t>
      </w:r>
      <w:r w:rsidRPr="00512048">
        <w:rPr>
          <w:rStyle w:val="TextoNormalCaracter"/>
        </w:rPr>
        <w:t>-</w:t>
      </w:r>
      <w:r>
        <w:t xml:space="preserve"> Sentencia </w:t>
      </w:r>
      <w:hyperlink w:anchor="SENTENCIA_2007_144" w:history="1">
        <w:r w:rsidRPr="00512048">
          <w:rPr>
            <w:rStyle w:val="TextoNormalCaracter"/>
          </w:rPr>
          <w:t>144/2007</w:t>
        </w:r>
      </w:hyperlink>
      <w:r>
        <w:t>, ff. 4, 5.</w:t>
      </w:r>
    </w:p>
    <w:p w:rsidR="00512048" w:rsidRDefault="00512048" w:rsidP="00512048">
      <w:pPr>
        <w:pStyle w:val="SangriaFrancesaArticulo"/>
      </w:pPr>
      <w:r w:rsidRPr="00512048">
        <w:rPr>
          <w:rStyle w:val="TextoNormalNegritaCaracter"/>
        </w:rPr>
        <w:t>Artículo 101.1.</w:t>
      </w:r>
      <w:r w:rsidRPr="00512048">
        <w:rPr>
          <w:rStyle w:val="TextoNormalCaracter"/>
        </w:rPr>
        <w:t>-</w:t>
      </w:r>
      <w:r>
        <w:t xml:space="preserve"> Sentencia </w:t>
      </w:r>
      <w:hyperlink w:anchor="SENTENCIA_2007_144" w:history="1">
        <w:r w:rsidRPr="00512048">
          <w:rPr>
            <w:rStyle w:val="TextoNormalCaracter"/>
          </w:rPr>
          <w:t>144/2007</w:t>
        </w:r>
      </w:hyperlink>
      <w:r>
        <w:t>, ff. 1, 5.</w:t>
      </w:r>
    </w:p>
    <w:p w:rsidR="00512048" w:rsidRDefault="00512048" w:rsidP="00512048">
      <w:pPr>
        <w:pStyle w:val="SangriaFrancesaArticulo"/>
      </w:pPr>
      <w:r w:rsidRPr="00512048">
        <w:rPr>
          <w:rStyle w:val="TextoNormalNegritaCaracter"/>
        </w:rPr>
        <w:t>Artículo 104.2.</w:t>
      </w:r>
      <w:r w:rsidRPr="00512048">
        <w:rPr>
          <w:rStyle w:val="TextoNormalCaracter"/>
        </w:rPr>
        <w:t>-</w:t>
      </w:r>
      <w:r>
        <w:t xml:space="preserve"> Sentencia </w:t>
      </w:r>
      <w:hyperlink w:anchor="SENTENCIA_2007_144" w:history="1">
        <w:r w:rsidRPr="00512048">
          <w:rPr>
            <w:rStyle w:val="TextoNormalCaracter"/>
          </w:rPr>
          <w:t>144/2007</w:t>
        </w:r>
      </w:hyperlink>
      <w:r>
        <w:t>, f. 3.</w:t>
      </w:r>
    </w:p>
    <w:p w:rsidR="00512048" w:rsidRDefault="00512048" w:rsidP="00512048">
      <w:pPr>
        <w:pStyle w:val="SangriaFrancesaArticulo"/>
      </w:pPr>
      <w:r w:rsidRPr="00512048">
        <w:rPr>
          <w:rStyle w:val="TextoNormalNegritaCaracter"/>
        </w:rPr>
        <w:t>Artículo 104.3.4.</w:t>
      </w:r>
      <w:r w:rsidRPr="00512048">
        <w:rPr>
          <w:rStyle w:val="TextoNormalCaracter"/>
        </w:rPr>
        <w:t>-</w:t>
      </w:r>
      <w:r>
        <w:t xml:space="preserve"> Sentencia </w:t>
      </w:r>
      <w:hyperlink w:anchor="SENTENCIA_2007_144" w:history="1">
        <w:r w:rsidRPr="00512048">
          <w:rPr>
            <w:rStyle w:val="TextoNormalCaracter"/>
          </w:rPr>
          <w:t>144/2007</w:t>
        </w:r>
      </w:hyperlink>
      <w:r>
        <w:t>, ff. 1, 3.</w:t>
      </w:r>
    </w:p>
    <w:p w:rsidR="00512048" w:rsidRDefault="00512048" w:rsidP="00512048">
      <w:pPr>
        <w:pStyle w:val="SangriaFrancesaArticulo"/>
      </w:pPr>
    </w:p>
    <w:p w:rsidR="00512048" w:rsidRDefault="00512048" w:rsidP="00512048">
      <w:pPr>
        <w:pStyle w:val="TextoNormalNegritaCursivandice"/>
      </w:pPr>
      <w:r>
        <w:t>Ley 26/1994, de 29 de septiembre. Regulación de la situación de la segunda actividad en el Cuerpo nacional de policía</w:t>
      </w:r>
    </w:p>
    <w:p w:rsidR="00512048" w:rsidRDefault="00512048" w:rsidP="00512048">
      <w:pPr>
        <w:pStyle w:val="SangriaFrancesaArticulo"/>
      </w:pPr>
      <w:r w:rsidRPr="00512048">
        <w:rPr>
          <w:rStyle w:val="TextoNormalNegritaCaracter"/>
        </w:rPr>
        <w:t>Artículo 4.1</w:t>
      </w:r>
      <w:r>
        <w:t xml:space="preserve"> </w:t>
      </w:r>
      <w:r w:rsidRPr="00512048">
        <w:rPr>
          <w:rStyle w:val="TextoNormalCaracter"/>
        </w:rPr>
        <w:t>(redactado por la Ley 24/2001, de 27 de diciembre)</w:t>
      </w:r>
      <w:r w:rsidRPr="00512048">
        <w:rPr>
          <w:rStyle w:val="TextoNormalNegritaCaracter"/>
        </w:rPr>
        <w:t>.</w:t>
      </w:r>
      <w:r w:rsidRPr="00512048">
        <w:rPr>
          <w:rStyle w:val="TextoNormalCaracter"/>
        </w:rPr>
        <w:t>-</w:t>
      </w:r>
      <w:r>
        <w:t xml:space="preserve"> Auto </w:t>
      </w:r>
      <w:hyperlink w:anchor="AUTO_2007_352" w:history="1">
        <w:r w:rsidRPr="00512048">
          <w:rPr>
            <w:rStyle w:val="TextoNormalCaracter"/>
          </w:rPr>
          <w:t>352/2007</w:t>
        </w:r>
      </w:hyperlink>
      <w:r>
        <w:t>.</w:t>
      </w:r>
    </w:p>
    <w:p w:rsidR="00512048" w:rsidRDefault="00512048" w:rsidP="00512048">
      <w:pPr>
        <w:pStyle w:val="SangriaFrancesaArticulo"/>
      </w:pPr>
      <w:r w:rsidRPr="00512048">
        <w:rPr>
          <w:rStyle w:val="TextoNormalNegritaCaracter"/>
        </w:rPr>
        <w:t>Disposición transitoria sexta, párrafo tercero</w:t>
      </w:r>
      <w:r>
        <w:t xml:space="preserve"> </w:t>
      </w:r>
      <w:r w:rsidRPr="00512048">
        <w:rPr>
          <w:rStyle w:val="TextoNormalCaracter"/>
        </w:rPr>
        <w:t>(redactada por la Ley 24/2001, de 27 de diciembre)</w:t>
      </w:r>
      <w:r w:rsidRPr="00512048">
        <w:rPr>
          <w:rStyle w:val="TextoNormalNegritaCaracter"/>
        </w:rPr>
        <w:t>.</w:t>
      </w:r>
      <w:r w:rsidRPr="00512048">
        <w:rPr>
          <w:rStyle w:val="TextoNormalCaracter"/>
        </w:rPr>
        <w:t>-</w:t>
      </w:r>
      <w:r>
        <w:t xml:space="preserve"> Autos </w:t>
      </w:r>
      <w:hyperlink w:anchor="AUTO_2007_352" w:history="1">
        <w:r w:rsidRPr="00512048">
          <w:rPr>
            <w:rStyle w:val="TextoNormalCaracter"/>
          </w:rPr>
          <w:t>352/2007</w:t>
        </w:r>
      </w:hyperlink>
      <w:r>
        <w:t xml:space="preserve">; </w:t>
      </w:r>
      <w:hyperlink w:anchor="AUTO_2007_353" w:history="1">
        <w:r w:rsidRPr="00512048">
          <w:rPr>
            <w:rStyle w:val="TextoNormalCaracter"/>
          </w:rPr>
          <w:t>353/2007</w:t>
        </w:r>
      </w:hyperlink>
      <w:r>
        <w:t>.</w:t>
      </w:r>
    </w:p>
    <w:p w:rsidR="00512048" w:rsidRDefault="00512048" w:rsidP="00512048">
      <w:pPr>
        <w:pStyle w:val="SangriaFrancesaArticulo"/>
      </w:pPr>
    </w:p>
    <w:p w:rsidR="00512048" w:rsidRDefault="00512048" w:rsidP="00512048">
      <w:pPr>
        <w:pStyle w:val="TextoNormalNegritaCursivandice"/>
      </w:pPr>
      <w:r>
        <w:t>Ley 27/1995, de 11 de octubre. Incorporación al Derecho español de la Directiva 93/98/CEE del Consejo, de 29 de octubre de 1993, relativa a la armonización del plazo de protección del derecho de autor y de determinados derechos afines</w:t>
      </w:r>
    </w:p>
    <w:p w:rsidR="00512048" w:rsidRDefault="00512048" w:rsidP="00512048">
      <w:pPr>
        <w:pStyle w:val="SangriaFrancesaArticulo"/>
      </w:pPr>
      <w:r w:rsidRPr="00512048">
        <w:rPr>
          <w:rStyle w:val="TextoNormalNegritaCaracter"/>
        </w:rPr>
        <w:t>Disposición final segunda.</w:t>
      </w:r>
      <w:r w:rsidRPr="00512048">
        <w:rPr>
          <w:rStyle w:val="TextoNormalCaracter"/>
        </w:rPr>
        <w:t>-</w:t>
      </w:r>
      <w:r>
        <w:t xml:space="preserve"> Sentencia </w:t>
      </w:r>
      <w:hyperlink w:anchor="SENTENCIA_2007_166" w:history="1">
        <w:r w:rsidRPr="00512048">
          <w:rPr>
            <w:rStyle w:val="TextoNormalCaracter"/>
          </w:rPr>
          <w:t>166/2007</w:t>
        </w:r>
      </w:hyperlink>
      <w:r>
        <w:t>, ff. 1, 8.</w:t>
      </w:r>
    </w:p>
    <w:p w:rsidR="00512048" w:rsidRDefault="00512048" w:rsidP="00512048">
      <w:pPr>
        <w:pStyle w:val="SangriaFrancesaArticulo"/>
      </w:pPr>
    </w:p>
    <w:p w:rsidR="00512048" w:rsidRDefault="00512048" w:rsidP="00512048">
      <w:pPr>
        <w:pStyle w:val="TextoNormalNegritaCursivandice"/>
      </w:pPr>
      <w:r>
        <w:t>Ley 31/1995, de 8 de noviembre. Prevención de riesgos laborales</w:t>
      </w:r>
    </w:p>
    <w:p w:rsidR="00512048" w:rsidRDefault="00512048" w:rsidP="00512048">
      <w:pPr>
        <w:pStyle w:val="SangriaFrancesaArticulo"/>
      </w:pPr>
      <w:r w:rsidRPr="00512048">
        <w:rPr>
          <w:rStyle w:val="TextoNormalNegritaCaracter"/>
        </w:rPr>
        <w:t>Artículo 3.</w:t>
      </w:r>
      <w:r w:rsidRPr="00512048">
        <w:rPr>
          <w:rStyle w:val="TextoNormalCaracter"/>
        </w:rPr>
        <w:t>-</w:t>
      </w:r>
      <w:r>
        <w:t xml:space="preserve"> Sentencia </w:t>
      </w:r>
      <w:hyperlink w:anchor="SENTENCIA_2007_160" w:history="1">
        <w:r w:rsidRPr="00512048">
          <w:rPr>
            <w:rStyle w:val="TextoNormalCaracter"/>
          </w:rPr>
          <w:t>160/2007</w:t>
        </w:r>
      </w:hyperlink>
      <w:r>
        <w:t>, f. 5.</w:t>
      </w:r>
    </w:p>
    <w:p w:rsidR="00512048" w:rsidRDefault="00512048" w:rsidP="00512048">
      <w:pPr>
        <w:pStyle w:val="SangriaFrancesaArticulo"/>
      </w:pPr>
      <w:r w:rsidRPr="00512048">
        <w:rPr>
          <w:rStyle w:val="TextoNormalNegritaCaracter"/>
        </w:rPr>
        <w:t>Artículo 3</w:t>
      </w:r>
      <w:r>
        <w:t xml:space="preserve"> </w:t>
      </w:r>
      <w:r w:rsidRPr="00512048">
        <w:rPr>
          <w:rStyle w:val="TextoNormalCaracter"/>
        </w:rPr>
        <w:t>(redactado por la Ley 31/2006, de 18 de octubre)</w:t>
      </w:r>
      <w:r w:rsidRPr="00512048">
        <w:rPr>
          <w:rStyle w:val="TextoNormalNegritaCaracter"/>
        </w:rPr>
        <w:t>.</w:t>
      </w:r>
      <w:r w:rsidRPr="00512048">
        <w:rPr>
          <w:rStyle w:val="TextoNormalCaracter"/>
        </w:rPr>
        <w:t>-</w:t>
      </w:r>
      <w:r>
        <w:t xml:space="preserve"> Sentencia </w:t>
      </w:r>
      <w:hyperlink w:anchor="SENTENCIA_2007_160" w:history="1">
        <w:r w:rsidRPr="00512048">
          <w:rPr>
            <w:rStyle w:val="TextoNormalCaracter"/>
          </w:rPr>
          <w:t>160/2007</w:t>
        </w:r>
      </w:hyperlink>
      <w:r>
        <w:t>, f. 5.</w:t>
      </w:r>
    </w:p>
    <w:p w:rsidR="00512048" w:rsidRDefault="00512048" w:rsidP="00512048">
      <w:pPr>
        <w:pStyle w:val="SangriaFrancesaArticulo"/>
      </w:pPr>
      <w:r w:rsidRPr="00512048">
        <w:rPr>
          <w:rStyle w:val="TextoNormalNegritaCaracter"/>
        </w:rPr>
        <w:t>Artículo 14.</w:t>
      </w:r>
      <w:r w:rsidRPr="00512048">
        <w:rPr>
          <w:rStyle w:val="TextoNormalCaracter"/>
        </w:rPr>
        <w:t>-</w:t>
      </w:r>
      <w:r>
        <w:t xml:space="preserve"> Sentencia </w:t>
      </w:r>
      <w:hyperlink w:anchor="SENTENCIA_2007_160" w:history="1">
        <w:r w:rsidRPr="00512048">
          <w:rPr>
            <w:rStyle w:val="TextoNormalCaracter"/>
          </w:rPr>
          <w:t>160/2007</w:t>
        </w:r>
      </w:hyperlink>
      <w:r>
        <w:t>, f. 5.</w:t>
      </w:r>
    </w:p>
    <w:p w:rsidR="00512048" w:rsidRDefault="00512048" w:rsidP="00512048">
      <w:pPr>
        <w:pStyle w:val="SangriaFrancesaArticulo"/>
      </w:pPr>
      <w:r w:rsidRPr="00512048">
        <w:rPr>
          <w:rStyle w:val="TextoNormalNegritaCaracter"/>
        </w:rPr>
        <w:t>Artículo 15.</w:t>
      </w:r>
      <w:r w:rsidRPr="00512048">
        <w:rPr>
          <w:rStyle w:val="TextoNormalCaracter"/>
        </w:rPr>
        <w:t>-</w:t>
      </w:r>
      <w:r>
        <w:t xml:space="preserve"> Sentencia </w:t>
      </w:r>
      <w:hyperlink w:anchor="SENTENCIA_2007_160" w:history="1">
        <w:r w:rsidRPr="00512048">
          <w:rPr>
            <w:rStyle w:val="TextoNormalCaracter"/>
          </w:rPr>
          <w:t>160/2007</w:t>
        </w:r>
      </w:hyperlink>
      <w:r>
        <w:t>, f. 5.</w:t>
      </w:r>
    </w:p>
    <w:p w:rsidR="00512048" w:rsidRDefault="00512048" w:rsidP="00512048">
      <w:pPr>
        <w:pStyle w:val="SangriaFrancesaArticulo"/>
      </w:pPr>
    </w:p>
    <w:p w:rsidR="00512048" w:rsidRDefault="00512048" w:rsidP="00512048">
      <w:pPr>
        <w:pStyle w:val="TextoNormalNegritaCursivandice"/>
      </w:pPr>
      <w:r>
        <w:t>Ley 1/1996, de 10 de enero. Asistencia jurídica gratuita</w:t>
      </w:r>
    </w:p>
    <w:p w:rsidR="00512048" w:rsidRDefault="00512048" w:rsidP="00512048">
      <w:pPr>
        <w:pStyle w:val="SangriaFrancesaArticulo"/>
      </w:pPr>
      <w:r w:rsidRPr="00512048">
        <w:rPr>
          <w:rStyle w:val="TextoNormalNegritaCaracter"/>
        </w:rPr>
        <w:t>Artículo 6.</w:t>
      </w:r>
      <w:r w:rsidRPr="00512048">
        <w:rPr>
          <w:rStyle w:val="TextoNormalCaracter"/>
        </w:rPr>
        <w:t>-</w:t>
      </w:r>
      <w:r>
        <w:t xml:space="preserve"> Sentencia </w:t>
      </w:r>
      <w:hyperlink w:anchor="SENTENCIA_2007_135" w:history="1">
        <w:r w:rsidRPr="00512048">
          <w:rPr>
            <w:rStyle w:val="TextoNormalCaracter"/>
          </w:rPr>
          <w:t>135/2007</w:t>
        </w:r>
      </w:hyperlink>
      <w:r>
        <w:t>, f. 2.</w:t>
      </w:r>
    </w:p>
    <w:p w:rsidR="00512048" w:rsidRDefault="00512048" w:rsidP="00512048">
      <w:pPr>
        <w:pStyle w:val="SangriaFrancesaArticulo"/>
      </w:pPr>
      <w:r w:rsidRPr="00512048">
        <w:rPr>
          <w:rStyle w:val="TextoNormalNegritaCaracter"/>
        </w:rPr>
        <w:t>Artículo 16.</w:t>
      </w:r>
      <w:r w:rsidRPr="00512048">
        <w:rPr>
          <w:rStyle w:val="TextoNormalCaracter"/>
        </w:rPr>
        <w:t>-</w:t>
      </w:r>
      <w:r>
        <w:t xml:space="preserve"> Sentencia </w:t>
      </w:r>
      <w:hyperlink w:anchor="SENTENCIA_2007_148" w:history="1">
        <w:r w:rsidRPr="00512048">
          <w:rPr>
            <w:rStyle w:val="TextoNormalCaracter"/>
          </w:rPr>
          <w:t>148/2007</w:t>
        </w:r>
      </w:hyperlink>
      <w:r>
        <w:t>, ff. 2, 3.</w:t>
      </w:r>
    </w:p>
    <w:p w:rsidR="00512048" w:rsidRDefault="00512048" w:rsidP="00512048">
      <w:pPr>
        <w:pStyle w:val="SangriaFrancesaArticulo"/>
      </w:pPr>
    </w:p>
    <w:p w:rsidR="00512048" w:rsidRDefault="00512048" w:rsidP="00512048">
      <w:pPr>
        <w:pStyle w:val="TextoNormalNegritaCursivandice"/>
      </w:pPr>
      <w:r>
        <w:t>Ley 66/1997, de 30 de diciembre. Medidas fiscales, administrativas y del orden social</w:t>
      </w:r>
    </w:p>
    <w:p w:rsidR="00512048" w:rsidRDefault="00512048" w:rsidP="00512048">
      <w:pPr>
        <w:pStyle w:val="SangriaFrancesaArticulo"/>
      </w:pPr>
      <w:r w:rsidRPr="00512048">
        <w:rPr>
          <w:rStyle w:val="TextoNormalNegritaCaracter"/>
        </w:rPr>
        <w:t>Disposición adicional decimotercera.</w:t>
      </w:r>
      <w:r w:rsidRPr="00512048">
        <w:rPr>
          <w:rStyle w:val="TextoNormalCaracter"/>
        </w:rPr>
        <w:t>-</w:t>
      </w:r>
      <w:r>
        <w:t xml:space="preserve"> Auto </w:t>
      </w:r>
      <w:hyperlink w:anchor="AUTO_2007_328" w:history="1">
        <w:r w:rsidRPr="00512048">
          <w:rPr>
            <w:rStyle w:val="TextoNormalCaracter"/>
          </w:rPr>
          <w:t>328/2007</w:t>
        </w:r>
      </w:hyperlink>
      <w:r>
        <w:t>.</w:t>
      </w:r>
    </w:p>
    <w:p w:rsidR="00512048" w:rsidRDefault="00512048" w:rsidP="00512048">
      <w:pPr>
        <w:pStyle w:val="SangriaFrancesaArticulo"/>
      </w:pPr>
    </w:p>
    <w:p w:rsidR="00512048" w:rsidRDefault="00512048" w:rsidP="00512048">
      <w:pPr>
        <w:pStyle w:val="TextoNormalNegritaCursivandice"/>
      </w:pPr>
      <w:r>
        <w:t>Ley 5/1998, de 6 de marzo.  Incorporación al Derecho español de la Directiva 96/9/CE, del Parlamento Europeo y del Consejo, de 11 de marzo de 1996, sobre la protección jurídica de las bases de datos</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66" w:history="1">
        <w:r w:rsidRPr="00512048">
          <w:rPr>
            <w:rStyle w:val="TextoNormalCaracter"/>
          </w:rPr>
          <w:t>166/2007</w:t>
        </w:r>
      </w:hyperlink>
      <w:r>
        <w:t>, f. 7.</w:t>
      </w:r>
    </w:p>
    <w:p w:rsidR="00512048" w:rsidRDefault="00512048" w:rsidP="00512048">
      <w:pPr>
        <w:pStyle w:val="SangriaFrancesaArticulo"/>
      </w:pPr>
      <w:r w:rsidRPr="00512048">
        <w:rPr>
          <w:rStyle w:val="TextoNormalNegritaCaracter"/>
        </w:rPr>
        <w:t>Artículo 6.4.</w:t>
      </w:r>
      <w:r w:rsidRPr="00512048">
        <w:rPr>
          <w:rStyle w:val="TextoNormalCaracter"/>
        </w:rPr>
        <w:t>-</w:t>
      </w:r>
      <w:r>
        <w:t xml:space="preserve"> Sentencia </w:t>
      </w:r>
      <w:hyperlink w:anchor="SENTENCIA_2007_166" w:history="1">
        <w:r w:rsidRPr="00512048">
          <w:rPr>
            <w:rStyle w:val="TextoNormalCaracter"/>
          </w:rPr>
          <w:t>166/2007</w:t>
        </w:r>
      </w:hyperlink>
      <w:r>
        <w:t>, f. 7.</w:t>
      </w:r>
    </w:p>
    <w:p w:rsidR="00512048" w:rsidRDefault="00512048" w:rsidP="00512048">
      <w:pPr>
        <w:pStyle w:val="SangriaFrancesaArticulo"/>
      </w:pPr>
      <w:r w:rsidRPr="00512048">
        <w:rPr>
          <w:rStyle w:val="TextoNormalNegritaCaracter"/>
        </w:rPr>
        <w:t>Artículo 150 párrafo 2.</w:t>
      </w:r>
      <w:r w:rsidRPr="00512048">
        <w:rPr>
          <w:rStyle w:val="TextoNormalCaracter"/>
        </w:rPr>
        <w:t>-</w:t>
      </w:r>
      <w:r>
        <w:t xml:space="preserve"> Auto </w:t>
      </w:r>
      <w:hyperlink w:anchor="AUTO_2007_289" w:history="1">
        <w:r w:rsidRPr="00512048">
          <w:rPr>
            <w:rStyle w:val="TextoNormalCaracter"/>
          </w:rPr>
          <w:t>289/2007</w:t>
        </w:r>
      </w:hyperlink>
      <w:r>
        <w:t>.</w:t>
      </w:r>
    </w:p>
    <w:p w:rsidR="00512048" w:rsidRDefault="00512048" w:rsidP="00512048">
      <w:pPr>
        <w:pStyle w:val="SangriaFrancesaArticulo"/>
      </w:pPr>
    </w:p>
    <w:p w:rsidR="00512048" w:rsidRDefault="00512048" w:rsidP="00512048">
      <w:pPr>
        <w:pStyle w:val="TextoNormalNegritaCursivandice"/>
      </w:pPr>
      <w:r>
        <w:t>Ley 29/1998, de 13 de julio. Jurisdicción contencioso-administrativa</w:t>
      </w:r>
    </w:p>
    <w:p w:rsidR="00512048" w:rsidRDefault="00512048" w:rsidP="00512048">
      <w:pPr>
        <w:pStyle w:val="SangriaFrancesaArticulo"/>
      </w:pPr>
      <w:r w:rsidRPr="00512048">
        <w:rPr>
          <w:rStyle w:val="TextoNormalNegritaCaracter"/>
        </w:rPr>
        <w:t>Artículo 1.1.</w:t>
      </w:r>
      <w:r w:rsidRPr="00512048">
        <w:rPr>
          <w:rStyle w:val="TextoNormalCaracter"/>
        </w:rPr>
        <w:t>-</w:t>
      </w:r>
      <w:r>
        <w:t xml:space="preserve"> Sentencia </w:t>
      </w:r>
      <w:hyperlink w:anchor="SENTENCIA_2007_166" w:history="1">
        <w:r w:rsidRPr="00512048">
          <w:rPr>
            <w:rStyle w:val="TextoNormalCaracter"/>
          </w:rPr>
          <w:t>166/2007</w:t>
        </w:r>
      </w:hyperlink>
      <w:r>
        <w:t>, f. 2.</w:t>
      </w:r>
    </w:p>
    <w:p w:rsidR="00512048" w:rsidRDefault="00512048" w:rsidP="00512048">
      <w:pPr>
        <w:pStyle w:val="SangriaFrancesaArticulo"/>
      </w:pPr>
      <w:r w:rsidRPr="00512048">
        <w:rPr>
          <w:rStyle w:val="TextoNormalNegritaCaracter"/>
        </w:rPr>
        <w:t>Artículo 18.</w:t>
      </w:r>
      <w:r w:rsidRPr="00512048">
        <w:rPr>
          <w:rStyle w:val="TextoNormalCaracter"/>
        </w:rPr>
        <w:t>-</w:t>
      </w:r>
      <w:r>
        <w:t xml:space="preserve"> Sentencia </w:t>
      </w:r>
      <w:hyperlink w:anchor="SENTENCIA_2007_153" w:history="1">
        <w:r w:rsidRPr="00512048">
          <w:rPr>
            <w:rStyle w:val="TextoNormalCaracter"/>
          </w:rPr>
          <w:t>153/2007</w:t>
        </w:r>
      </w:hyperlink>
      <w:r>
        <w:t>, f. 5.</w:t>
      </w:r>
    </w:p>
    <w:p w:rsidR="00512048" w:rsidRDefault="00512048" w:rsidP="00512048">
      <w:pPr>
        <w:pStyle w:val="SangriaFrancesaArticulo"/>
      </w:pPr>
      <w:r w:rsidRPr="00512048">
        <w:rPr>
          <w:rStyle w:val="TextoNormalNegritaCaracter"/>
        </w:rPr>
        <w:t>Artículo 19.1.</w:t>
      </w:r>
      <w:r w:rsidRPr="00512048">
        <w:rPr>
          <w:rStyle w:val="TextoNormalCaracter"/>
        </w:rPr>
        <w:t>-</w:t>
      </w:r>
      <w:r>
        <w:t xml:space="preserve"> Sentencia </w:t>
      </w:r>
      <w:hyperlink w:anchor="SENTENCIA_2007_153" w:history="1">
        <w:r w:rsidRPr="00512048">
          <w:rPr>
            <w:rStyle w:val="TextoNormalCaracter"/>
          </w:rPr>
          <w:t>153/2007</w:t>
        </w:r>
      </w:hyperlink>
      <w:r>
        <w:t>, f. 5.</w:t>
      </w:r>
    </w:p>
    <w:p w:rsidR="00512048" w:rsidRDefault="00512048" w:rsidP="00512048">
      <w:pPr>
        <w:pStyle w:val="SangriaFrancesaArticulo"/>
      </w:pPr>
      <w:r w:rsidRPr="00512048">
        <w:rPr>
          <w:rStyle w:val="TextoNormalNegritaCaracter"/>
        </w:rPr>
        <w:t>Artículo 31.</w:t>
      </w:r>
      <w:r w:rsidRPr="00512048">
        <w:rPr>
          <w:rStyle w:val="TextoNormalCaracter"/>
        </w:rPr>
        <w:t>-</w:t>
      </w:r>
      <w:r>
        <w:t xml:space="preserve"> Sentencia </w:t>
      </w:r>
      <w:hyperlink w:anchor="SENTENCIA_2007_131" w:history="1">
        <w:r w:rsidRPr="00512048">
          <w:rPr>
            <w:rStyle w:val="TextoNormalCaracter"/>
          </w:rPr>
          <w:t>131/2007</w:t>
        </w:r>
      </w:hyperlink>
      <w:r>
        <w:t>, ff. 3, 4.</w:t>
      </w:r>
    </w:p>
    <w:p w:rsidR="00512048" w:rsidRDefault="00512048" w:rsidP="00512048">
      <w:pPr>
        <w:pStyle w:val="SangriaFrancesaArticulo"/>
      </w:pPr>
      <w:r w:rsidRPr="00512048">
        <w:rPr>
          <w:rStyle w:val="TextoNormalNegritaCaracter"/>
        </w:rPr>
        <w:t>Artículo 45.2 c).</w:t>
      </w:r>
      <w:r w:rsidRPr="00512048">
        <w:rPr>
          <w:rStyle w:val="TextoNormalCaracter"/>
        </w:rPr>
        <w:t>-</w:t>
      </w:r>
      <w:r>
        <w:t xml:space="preserve"> Auto </w:t>
      </w:r>
      <w:hyperlink w:anchor="AUTO_2007_318" w:history="1">
        <w:r w:rsidRPr="00512048">
          <w:rPr>
            <w:rStyle w:val="TextoNormalCaracter"/>
          </w:rPr>
          <w:t>318/2007</w:t>
        </w:r>
      </w:hyperlink>
      <w:r>
        <w:t>.</w:t>
      </w:r>
    </w:p>
    <w:p w:rsidR="00512048" w:rsidRDefault="00512048" w:rsidP="00512048">
      <w:pPr>
        <w:pStyle w:val="SangriaFrancesaArticulo"/>
      </w:pPr>
      <w:r w:rsidRPr="00512048">
        <w:rPr>
          <w:rStyle w:val="TextoNormalNegritaCaracter"/>
        </w:rPr>
        <w:t>Artículo 46.1.</w:t>
      </w:r>
      <w:r w:rsidRPr="00512048">
        <w:rPr>
          <w:rStyle w:val="TextoNormalCaracter"/>
        </w:rPr>
        <w:t>-</w:t>
      </w:r>
      <w:r>
        <w:t xml:space="preserve"> Sentencia </w:t>
      </w:r>
      <w:hyperlink w:anchor="SENTENCIA_2007_118" w:history="1">
        <w:r w:rsidRPr="00512048">
          <w:rPr>
            <w:rStyle w:val="TextoNormalCaracter"/>
          </w:rPr>
          <w:t>118/2007</w:t>
        </w:r>
      </w:hyperlink>
      <w:r>
        <w:t>, f. 1.</w:t>
      </w:r>
    </w:p>
    <w:p w:rsidR="00512048" w:rsidRDefault="00512048" w:rsidP="00512048">
      <w:pPr>
        <w:pStyle w:val="SangriaFrancesaArticulo"/>
      </w:pPr>
      <w:r w:rsidRPr="00512048">
        <w:rPr>
          <w:rStyle w:val="TextoNormalNegritaCaracter"/>
        </w:rPr>
        <w:t>Artículo 52.</w:t>
      </w:r>
      <w:r w:rsidRPr="00512048">
        <w:rPr>
          <w:rStyle w:val="TextoNormalCaracter"/>
        </w:rPr>
        <w:t>-</w:t>
      </w:r>
      <w:r>
        <w:t xml:space="preserve"> Sentencia </w:t>
      </w:r>
      <w:hyperlink w:anchor="SENTENCIA_2007_133" w:history="1">
        <w:r w:rsidRPr="00512048">
          <w:rPr>
            <w:rStyle w:val="TextoNormalCaracter"/>
          </w:rPr>
          <w:t>133/2007</w:t>
        </w:r>
      </w:hyperlink>
      <w:r>
        <w:t>, f. 1.</w:t>
      </w:r>
    </w:p>
    <w:p w:rsidR="00512048" w:rsidRDefault="00512048" w:rsidP="00512048">
      <w:pPr>
        <w:pStyle w:val="SangriaFrancesaArticulo"/>
      </w:pPr>
      <w:r w:rsidRPr="00512048">
        <w:rPr>
          <w:rStyle w:val="TextoNormalNegritaCaracter"/>
        </w:rPr>
        <w:t>Artículo 52.2.</w:t>
      </w:r>
      <w:r w:rsidRPr="00512048">
        <w:rPr>
          <w:rStyle w:val="TextoNormalCaracter"/>
        </w:rPr>
        <w:t>-</w:t>
      </w:r>
      <w:r>
        <w:t xml:space="preserve"> Sentencias </w:t>
      </w:r>
      <w:hyperlink w:anchor="SENTENCIA_2007_130" w:history="1">
        <w:r w:rsidRPr="00512048">
          <w:rPr>
            <w:rStyle w:val="TextoNormalCaracter"/>
          </w:rPr>
          <w:t>130/2007</w:t>
        </w:r>
      </w:hyperlink>
      <w:r>
        <w:t xml:space="preserve">, ff. 1, 2, 4; </w:t>
      </w:r>
      <w:hyperlink w:anchor="SENTENCIA_2007_159" w:history="1">
        <w:r w:rsidRPr="00512048">
          <w:rPr>
            <w:rStyle w:val="TextoNormalCaracter"/>
          </w:rPr>
          <w:t>159/2007</w:t>
        </w:r>
      </w:hyperlink>
      <w:r>
        <w:t>, ff. 1 a 3.</w:t>
      </w:r>
    </w:p>
    <w:p w:rsidR="00512048" w:rsidRDefault="00512048" w:rsidP="00512048">
      <w:pPr>
        <w:pStyle w:val="SangriaFrancesaArticulo"/>
      </w:pPr>
      <w:r w:rsidRPr="00512048">
        <w:rPr>
          <w:rStyle w:val="TextoNormalNegritaCaracter"/>
        </w:rPr>
        <w:t>Artículo 79.5.</w:t>
      </w:r>
      <w:r w:rsidRPr="00512048">
        <w:rPr>
          <w:rStyle w:val="TextoNormalCaracter"/>
        </w:rPr>
        <w:t>-</w:t>
      </w:r>
      <w:r>
        <w:t xml:space="preserve"> Auto </w:t>
      </w:r>
      <w:hyperlink w:anchor="AUTO_2007_318" w:history="1">
        <w:r w:rsidRPr="00512048">
          <w:rPr>
            <w:rStyle w:val="TextoNormalCaracter"/>
          </w:rPr>
          <w:t>318/2007</w:t>
        </w:r>
      </w:hyperlink>
      <w:r>
        <w:t>.</w:t>
      </w:r>
    </w:p>
    <w:p w:rsidR="00512048" w:rsidRDefault="00512048" w:rsidP="00512048">
      <w:pPr>
        <w:pStyle w:val="SangriaFrancesaArticulo"/>
      </w:pPr>
      <w:r w:rsidRPr="00512048">
        <w:rPr>
          <w:rStyle w:val="TextoNormalNegritaCaracter"/>
        </w:rPr>
        <w:lastRenderedPageBreak/>
        <w:t>Artículo 86.2 a).</w:t>
      </w:r>
      <w:r w:rsidRPr="00512048">
        <w:rPr>
          <w:rStyle w:val="TextoNormalCaracter"/>
        </w:rPr>
        <w:t>-</w:t>
      </w:r>
      <w:r>
        <w:t xml:space="preserve"> Sentencia </w:t>
      </w:r>
      <w:hyperlink w:anchor="SENTENCIA_2007_147" w:history="1">
        <w:r w:rsidRPr="00512048">
          <w:rPr>
            <w:rStyle w:val="TextoNormalCaracter"/>
          </w:rPr>
          <w:t>147/2007</w:t>
        </w:r>
      </w:hyperlink>
      <w:r>
        <w:t>, f. 2.</w:t>
      </w:r>
    </w:p>
    <w:p w:rsidR="00512048" w:rsidRDefault="00512048" w:rsidP="00512048">
      <w:pPr>
        <w:pStyle w:val="SangriaFrancesaArticulo"/>
      </w:pPr>
      <w:r w:rsidRPr="00512048">
        <w:rPr>
          <w:rStyle w:val="TextoNormalNegritaCaracter"/>
        </w:rPr>
        <w:t>Artículo 95.2 d).</w:t>
      </w:r>
      <w:r w:rsidRPr="00512048">
        <w:rPr>
          <w:rStyle w:val="TextoNormalCaracter"/>
        </w:rPr>
        <w:t>-</w:t>
      </w:r>
      <w:r>
        <w:t xml:space="preserve"> Auto </w:t>
      </w:r>
      <w:hyperlink w:anchor="AUTO_2007_231" w:history="1">
        <w:r w:rsidRPr="00512048">
          <w:rPr>
            <w:rStyle w:val="TextoNormalCaracter"/>
          </w:rPr>
          <w:t>231/2007</w:t>
        </w:r>
      </w:hyperlink>
      <w:r>
        <w:t>.</w:t>
      </w:r>
    </w:p>
    <w:p w:rsidR="00512048" w:rsidRDefault="00512048" w:rsidP="00512048">
      <w:pPr>
        <w:pStyle w:val="SangriaFrancesaArticulo"/>
      </w:pPr>
      <w:r w:rsidRPr="00512048">
        <w:rPr>
          <w:rStyle w:val="TextoNormalNegritaCaracter"/>
        </w:rPr>
        <w:t>Artículo 96.4.</w:t>
      </w:r>
      <w:r w:rsidRPr="00512048">
        <w:rPr>
          <w:rStyle w:val="TextoNormalCaracter"/>
        </w:rPr>
        <w:t>-</w:t>
      </w:r>
      <w:r>
        <w:t xml:space="preserve"> Sentencia </w:t>
      </w:r>
      <w:hyperlink w:anchor="SENTENCIA_2007_147" w:history="1">
        <w:r w:rsidRPr="00512048">
          <w:rPr>
            <w:rStyle w:val="TextoNormalCaracter"/>
          </w:rPr>
          <w:t>147/2007</w:t>
        </w:r>
      </w:hyperlink>
      <w:r>
        <w:t>, f. 2.</w:t>
      </w:r>
    </w:p>
    <w:p w:rsidR="00512048" w:rsidRDefault="00512048" w:rsidP="00512048">
      <w:pPr>
        <w:pStyle w:val="SangriaFrancesaArticulo"/>
      </w:pPr>
      <w:r w:rsidRPr="00512048">
        <w:rPr>
          <w:rStyle w:val="TextoNormalNegritaCaracter"/>
        </w:rPr>
        <w:t>Artículo 104.</w:t>
      </w:r>
      <w:r w:rsidRPr="00512048">
        <w:rPr>
          <w:rStyle w:val="TextoNormalCaracter"/>
        </w:rPr>
        <w:t>-</w:t>
      </w:r>
      <w:r>
        <w:t xml:space="preserve"> Sentencia </w:t>
      </w:r>
      <w:hyperlink w:anchor="SENTENCIA_2007_174" w:history="1">
        <w:r w:rsidRPr="00512048">
          <w:rPr>
            <w:rStyle w:val="TextoNormalCaracter"/>
          </w:rPr>
          <w:t>174/2007</w:t>
        </w:r>
      </w:hyperlink>
      <w:r>
        <w:t>, f. único.</w:t>
      </w:r>
    </w:p>
    <w:p w:rsidR="00512048" w:rsidRDefault="00512048" w:rsidP="00512048">
      <w:pPr>
        <w:pStyle w:val="SangriaFrancesaArticulo"/>
      </w:pPr>
      <w:r w:rsidRPr="00512048">
        <w:rPr>
          <w:rStyle w:val="TextoNormalNegritaCaracter"/>
        </w:rPr>
        <w:t>Artículo 114.1.</w:t>
      </w:r>
      <w:r w:rsidRPr="00512048">
        <w:rPr>
          <w:rStyle w:val="TextoNormalCaracter"/>
        </w:rPr>
        <w:t>-</w:t>
      </w:r>
      <w:r>
        <w:t xml:space="preserve"> Sentencia </w:t>
      </w:r>
      <w:hyperlink w:anchor="SENTENCIA_2007_131" w:history="1">
        <w:r w:rsidRPr="00512048">
          <w:rPr>
            <w:rStyle w:val="TextoNormalCaracter"/>
          </w:rPr>
          <w:t>131/2007</w:t>
        </w:r>
      </w:hyperlink>
      <w:r>
        <w:t>, f. 3.</w:t>
      </w:r>
    </w:p>
    <w:p w:rsidR="00512048" w:rsidRDefault="00512048" w:rsidP="00512048">
      <w:pPr>
        <w:pStyle w:val="SangriaFrancesaArticulo"/>
      </w:pPr>
      <w:r w:rsidRPr="00512048">
        <w:rPr>
          <w:rStyle w:val="TextoNormalNegritaCaracter"/>
        </w:rPr>
        <w:t>Artículo 115.2.</w:t>
      </w:r>
      <w:r w:rsidRPr="00512048">
        <w:rPr>
          <w:rStyle w:val="TextoNormalCaracter"/>
        </w:rPr>
        <w:t>-</w:t>
      </w:r>
      <w:r>
        <w:t xml:space="preserve"> Sentencia </w:t>
      </w:r>
      <w:hyperlink w:anchor="SENTENCIA_2007_131" w:history="1">
        <w:r w:rsidRPr="00512048">
          <w:rPr>
            <w:rStyle w:val="TextoNormalCaracter"/>
          </w:rPr>
          <w:t>131/2007</w:t>
        </w:r>
      </w:hyperlink>
      <w:r>
        <w:t>, ff. 3, 4.</w:t>
      </w:r>
    </w:p>
    <w:p w:rsidR="00512048" w:rsidRDefault="00512048" w:rsidP="00512048">
      <w:pPr>
        <w:pStyle w:val="SangriaFrancesaArticulo"/>
      </w:pPr>
      <w:r w:rsidRPr="00512048">
        <w:rPr>
          <w:rStyle w:val="TextoNormalNegritaCaracter"/>
        </w:rPr>
        <w:t>Artículo 120.</w:t>
      </w:r>
      <w:r w:rsidRPr="00512048">
        <w:rPr>
          <w:rStyle w:val="TextoNormalCaracter"/>
        </w:rPr>
        <w:t>-</w:t>
      </w:r>
      <w:r>
        <w:t xml:space="preserve"> Sentencia </w:t>
      </w:r>
      <w:hyperlink w:anchor="SENTENCIA_2007_131" w:history="1">
        <w:r w:rsidRPr="00512048">
          <w:rPr>
            <w:rStyle w:val="TextoNormalCaracter"/>
          </w:rPr>
          <w:t>131/2007</w:t>
        </w:r>
      </w:hyperlink>
      <w:r>
        <w:t>, f. 3.</w:t>
      </w:r>
    </w:p>
    <w:p w:rsidR="00512048" w:rsidRDefault="00512048" w:rsidP="00512048">
      <w:pPr>
        <w:pStyle w:val="SangriaFrancesaArticulo"/>
      </w:pPr>
      <w:r w:rsidRPr="00512048">
        <w:rPr>
          <w:rStyle w:val="TextoNormalNegritaCaracter"/>
        </w:rPr>
        <w:t>Artículo 128.</w:t>
      </w:r>
      <w:r w:rsidRPr="00512048">
        <w:rPr>
          <w:rStyle w:val="TextoNormalCaracter"/>
        </w:rPr>
        <w:t>-</w:t>
      </w:r>
      <w:r>
        <w:t xml:space="preserve"> Auto </w:t>
      </w:r>
      <w:hyperlink w:anchor="AUTO_2007_318" w:history="1">
        <w:r w:rsidRPr="00512048">
          <w:rPr>
            <w:rStyle w:val="TextoNormalCaracter"/>
          </w:rPr>
          <w:t>318/2007</w:t>
        </w:r>
      </w:hyperlink>
      <w:r>
        <w:t>.</w:t>
      </w:r>
    </w:p>
    <w:p w:rsidR="00512048" w:rsidRDefault="00512048" w:rsidP="00512048">
      <w:pPr>
        <w:pStyle w:val="SangriaFrancesaArticulo"/>
      </w:pPr>
      <w:r w:rsidRPr="00512048">
        <w:rPr>
          <w:rStyle w:val="TextoNormalNegritaCaracter"/>
        </w:rPr>
        <w:t>Artículo 128.1.</w:t>
      </w:r>
      <w:r w:rsidRPr="00512048">
        <w:rPr>
          <w:rStyle w:val="TextoNormalCaracter"/>
        </w:rPr>
        <w:t>-</w:t>
      </w:r>
      <w:r>
        <w:t xml:space="preserve"> Sentencia </w:t>
      </w:r>
      <w:hyperlink w:anchor="SENTENCIA_2007_159" w:history="1">
        <w:r w:rsidRPr="00512048">
          <w:rPr>
            <w:rStyle w:val="TextoNormalCaracter"/>
          </w:rPr>
          <w:t>159/2007</w:t>
        </w:r>
      </w:hyperlink>
      <w:r>
        <w:t>, f. 2.</w:t>
      </w:r>
    </w:p>
    <w:p w:rsidR="00512048" w:rsidRDefault="00512048" w:rsidP="00512048">
      <w:pPr>
        <w:pStyle w:val="SangriaFrancesaArticulo"/>
      </w:pPr>
    </w:p>
    <w:p w:rsidR="00512048" w:rsidRDefault="00512048" w:rsidP="00512048">
      <w:pPr>
        <w:pStyle w:val="TextoNormalNegritaCursivandice"/>
      </w:pPr>
      <w:r>
        <w:t>Ley 50/1998, de 30 de diciembre. Medidas fiscales, administrativas y del orden social</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28" w:history="1">
        <w:r w:rsidRPr="00512048">
          <w:rPr>
            <w:rStyle w:val="TextoNormalCaracter"/>
          </w:rPr>
          <w:t>128/2007</w:t>
        </w:r>
      </w:hyperlink>
      <w:r>
        <w:t>, f. 5.</w:t>
      </w:r>
    </w:p>
    <w:p w:rsidR="00512048" w:rsidRDefault="00512048" w:rsidP="00512048">
      <w:pPr>
        <w:pStyle w:val="SangriaFrancesaArticulo"/>
      </w:pPr>
      <w:r w:rsidRPr="00512048">
        <w:rPr>
          <w:rStyle w:val="TextoNormalNegritaCaracter"/>
        </w:rPr>
        <w:t>Artículo 93.</w:t>
      </w:r>
      <w:r w:rsidRPr="00512048">
        <w:rPr>
          <w:rStyle w:val="TextoNormalCaracter"/>
        </w:rPr>
        <w:t>-</w:t>
      </w:r>
      <w:r>
        <w:t xml:space="preserve"> Auto </w:t>
      </w:r>
      <w:hyperlink w:anchor="AUTO_2007_257" w:history="1">
        <w:r w:rsidRPr="00512048">
          <w:rPr>
            <w:rStyle w:val="TextoNormalCaracter"/>
          </w:rPr>
          <w:t>257/2007</w:t>
        </w:r>
      </w:hyperlink>
      <w:r>
        <w:t>.</w:t>
      </w:r>
    </w:p>
    <w:p w:rsidR="00512048" w:rsidRDefault="00512048" w:rsidP="00512048">
      <w:pPr>
        <w:pStyle w:val="SangriaFrancesaArticulo"/>
      </w:pPr>
    </w:p>
    <w:p w:rsidR="00512048" w:rsidRDefault="00512048" w:rsidP="00512048">
      <w:pPr>
        <w:pStyle w:val="TextoNormalNegritaCursivandice"/>
      </w:pPr>
      <w:r>
        <w:t>Ley 42/1999, de 25 de noviembre.  Régimen del personal del cuerpo de la Guardia Civil</w:t>
      </w:r>
    </w:p>
    <w:p w:rsidR="00512048" w:rsidRDefault="00512048" w:rsidP="00512048">
      <w:pPr>
        <w:pStyle w:val="SangriaFrancesaArticulo"/>
      </w:pPr>
      <w:r w:rsidRPr="00512048">
        <w:rPr>
          <w:rStyle w:val="TextoNormalNegritaCaracter"/>
        </w:rPr>
        <w:t>Artículo 20.2.</w:t>
      </w:r>
      <w:r w:rsidRPr="00512048">
        <w:rPr>
          <w:rStyle w:val="TextoNormalCaracter"/>
        </w:rPr>
        <w:t>-</w:t>
      </w:r>
      <w:r>
        <w:t xml:space="preserve"> Sentencia </w:t>
      </w:r>
      <w:hyperlink w:anchor="SENTENCIA_2007_161" w:history="1">
        <w:r w:rsidRPr="00512048">
          <w:rPr>
            <w:rStyle w:val="TextoNormalCaracter"/>
          </w:rPr>
          <w:t>161/2007</w:t>
        </w:r>
      </w:hyperlink>
      <w:r>
        <w:t>, f. 4.</w:t>
      </w:r>
    </w:p>
    <w:p w:rsidR="00512048" w:rsidRDefault="00512048" w:rsidP="00512048">
      <w:pPr>
        <w:pStyle w:val="SangriaFrancesaArticulo"/>
      </w:pPr>
    </w:p>
    <w:p w:rsidR="00512048" w:rsidRDefault="00512048" w:rsidP="00512048">
      <w:pPr>
        <w:pStyle w:val="TextoNormalNegritaCursivandice"/>
      </w:pPr>
      <w:r>
        <w:t>Ley 1/2000, de 7 de enero. Enjuiciamiento civil</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Auto </w:t>
      </w:r>
      <w:hyperlink w:anchor="AUTO_2007_319" w:history="1">
        <w:r w:rsidRPr="00512048">
          <w:rPr>
            <w:rStyle w:val="TextoNormalCaracter"/>
          </w:rPr>
          <w:t>319/2007</w:t>
        </w:r>
      </w:hyperlink>
      <w:r>
        <w:t>.</w:t>
      </w:r>
    </w:p>
    <w:p w:rsidR="00512048" w:rsidRDefault="00512048" w:rsidP="00512048">
      <w:pPr>
        <w:pStyle w:val="SangriaFrancesaArticulo"/>
      </w:pPr>
      <w:r w:rsidRPr="00512048">
        <w:rPr>
          <w:rStyle w:val="TextoNormalNegritaCaracter"/>
        </w:rPr>
        <w:t>Artículo 1.</w:t>
      </w:r>
      <w:r w:rsidRPr="00512048">
        <w:rPr>
          <w:rStyle w:val="TextoNormalCaracter"/>
        </w:rPr>
        <w:t>-</w:t>
      </w:r>
      <w:r>
        <w:t xml:space="preserve"> Sentencia </w:t>
      </w:r>
      <w:hyperlink w:anchor="SENTENCIA_2007_112" w:history="1">
        <w:r w:rsidRPr="00512048">
          <w:rPr>
            <w:rStyle w:val="TextoNormalCaracter"/>
          </w:rPr>
          <w:t>112/2007</w:t>
        </w:r>
      </w:hyperlink>
      <w:r>
        <w:t>, f. 5.</w:t>
      </w:r>
    </w:p>
    <w:p w:rsidR="00512048" w:rsidRDefault="00512048" w:rsidP="00512048">
      <w:pPr>
        <w:pStyle w:val="SangriaFrancesaArticulo"/>
      </w:pPr>
      <w:r w:rsidRPr="00512048">
        <w:rPr>
          <w:rStyle w:val="TextoNormalNegritaCaracter"/>
        </w:rPr>
        <w:t>Artículo 4.</w:t>
      </w:r>
      <w:r w:rsidRPr="00512048">
        <w:rPr>
          <w:rStyle w:val="TextoNormalCaracter"/>
        </w:rPr>
        <w:t>-</w:t>
      </w:r>
      <w:r>
        <w:t xml:space="preserve"> Sentencia </w:t>
      </w:r>
      <w:hyperlink w:anchor="SENTENCIA_2007_130" w:history="1">
        <w:r w:rsidRPr="00512048">
          <w:rPr>
            <w:rStyle w:val="TextoNormalCaracter"/>
          </w:rPr>
          <w:t>130/2007</w:t>
        </w:r>
      </w:hyperlink>
      <w:r>
        <w:t>, f. 5.</w:t>
      </w:r>
    </w:p>
    <w:p w:rsidR="00512048" w:rsidRDefault="00512048" w:rsidP="00512048">
      <w:pPr>
        <w:pStyle w:val="SangriaFrancesaArticulo"/>
      </w:pPr>
      <w:r w:rsidRPr="00512048">
        <w:rPr>
          <w:rStyle w:val="TextoNormalNegritaCaracter"/>
        </w:rPr>
        <w:t>Artículo 22.1.</w:t>
      </w:r>
      <w:r w:rsidRPr="00512048">
        <w:rPr>
          <w:rStyle w:val="TextoNormalCaracter"/>
        </w:rPr>
        <w:t>-</w:t>
      </w:r>
      <w:r>
        <w:t xml:space="preserve"> Auto </w:t>
      </w:r>
      <w:hyperlink w:anchor="AUTO_2007_338" w:history="1">
        <w:r w:rsidRPr="00512048">
          <w:rPr>
            <w:rStyle w:val="TextoNormalCaracter"/>
          </w:rPr>
          <w:t>338/2007</w:t>
        </w:r>
      </w:hyperlink>
      <w:r>
        <w:t>.</w:t>
      </w:r>
    </w:p>
    <w:p w:rsidR="00512048" w:rsidRDefault="00512048" w:rsidP="00512048">
      <w:pPr>
        <w:pStyle w:val="SangriaFrancesaArticulo"/>
      </w:pPr>
      <w:r w:rsidRPr="00512048">
        <w:rPr>
          <w:rStyle w:val="TextoNormalNegritaCaracter"/>
        </w:rPr>
        <w:t>Artículo 28.1.</w:t>
      </w:r>
      <w:r w:rsidRPr="00512048">
        <w:rPr>
          <w:rStyle w:val="TextoNormalCaracter"/>
        </w:rPr>
        <w:t>-</w:t>
      </w:r>
      <w:r>
        <w:t xml:space="preserve"> Auto </w:t>
      </w:r>
      <w:hyperlink w:anchor="AUTO_2007_234" w:history="1">
        <w:r w:rsidRPr="00512048">
          <w:rPr>
            <w:rStyle w:val="TextoNormalCaracter"/>
          </w:rPr>
          <w:t>234/2007</w:t>
        </w:r>
      </w:hyperlink>
      <w:r>
        <w:t>.</w:t>
      </w:r>
    </w:p>
    <w:p w:rsidR="00512048" w:rsidRDefault="00512048" w:rsidP="00512048">
      <w:pPr>
        <w:pStyle w:val="SangriaFrancesaArticulo"/>
      </w:pPr>
      <w:r w:rsidRPr="00512048">
        <w:rPr>
          <w:rStyle w:val="TextoNormalNegritaCaracter"/>
        </w:rPr>
        <w:t>Artículo 133.1.</w:t>
      </w:r>
      <w:r w:rsidRPr="00512048">
        <w:rPr>
          <w:rStyle w:val="TextoNormalCaracter"/>
        </w:rPr>
        <w:t>-</w:t>
      </w:r>
      <w:r>
        <w:t xml:space="preserve"> Sentencias </w:t>
      </w:r>
      <w:hyperlink w:anchor="SENTENCIA_2007_130" w:history="1">
        <w:r w:rsidRPr="00512048">
          <w:rPr>
            <w:rStyle w:val="TextoNormalCaracter"/>
          </w:rPr>
          <w:t>130/2007</w:t>
        </w:r>
      </w:hyperlink>
      <w:r>
        <w:t xml:space="preserve">, f. 4; </w:t>
      </w:r>
      <w:hyperlink w:anchor="SENTENCIA_2007_159" w:history="1">
        <w:r w:rsidRPr="00512048">
          <w:rPr>
            <w:rStyle w:val="TextoNormalCaracter"/>
          </w:rPr>
          <w:t>159/2007</w:t>
        </w:r>
      </w:hyperlink>
      <w:r>
        <w:t>, f. 3.</w:t>
      </w:r>
    </w:p>
    <w:p w:rsidR="00512048" w:rsidRDefault="00512048" w:rsidP="00512048">
      <w:pPr>
        <w:pStyle w:val="SangriaFrancesaArticulo"/>
      </w:pPr>
      <w:r w:rsidRPr="00512048">
        <w:rPr>
          <w:rStyle w:val="TextoNormalNegritaCaracter"/>
        </w:rPr>
        <w:t>Artículo 135.</w:t>
      </w:r>
      <w:r w:rsidRPr="00512048">
        <w:rPr>
          <w:rStyle w:val="TextoNormalCaracter"/>
        </w:rPr>
        <w:t>-</w:t>
      </w:r>
      <w:r>
        <w:t xml:space="preserve"> Sentencias </w:t>
      </w:r>
      <w:hyperlink w:anchor="SENTENCIA_2007_130" w:history="1">
        <w:r w:rsidRPr="00512048">
          <w:rPr>
            <w:rStyle w:val="TextoNormalCaracter"/>
          </w:rPr>
          <w:t>130/2007</w:t>
        </w:r>
      </w:hyperlink>
      <w:r>
        <w:t xml:space="preserve">, ff. 1, 4; </w:t>
      </w:r>
      <w:hyperlink w:anchor="SENTENCIA_2007_159" w:history="1">
        <w:r w:rsidRPr="00512048">
          <w:rPr>
            <w:rStyle w:val="TextoNormalCaracter"/>
          </w:rPr>
          <w:t>159/2007</w:t>
        </w:r>
      </w:hyperlink>
      <w:r>
        <w:t>, ff. 1, 2.</w:t>
      </w:r>
    </w:p>
    <w:p w:rsidR="00512048" w:rsidRDefault="00512048" w:rsidP="00512048">
      <w:pPr>
        <w:pStyle w:val="SangriaFrancesaArticulo"/>
      </w:pPr>
      <w:r w:rsidRPr="00512048">
        <w:rPr>
          <w:rStyle w:val="TextoNormalNegritaCaracter"/>
        </w:rPr>
        <w:t>Artículo 135.1.</w:t>
      </w:r>
      <w:r w:rsidRPr="00512048">
        <w:rPr>
          <w:rStyle w:val="TextoNormalCaracter"/>
        </w:rPr>
        <w:t>-</w:t>
      </w:r>
      <w:r>
        <w:t xml:space="preserve"> Sentencias </w:t>
      </w:r>
      <w:hyperlink w:anchor="SENTENCIA_2007_130" w:history="1">
        <w:r w:rsidRPr="00512048">
          <w:rPr>
            <w:rStyle w:val="TextoNormalCaracter"/>
          </w:rPr>
          <w:t>130/2007</w:t>
        </w:r>
      </w:hyperlink>
      <w:r>
        <w:t xml:space="preserve">, ff. 2, 4, 5; </w:t>
      </w:r>
      <w:hyperlink w:anchor="SENTENCIA_2007_159" w:history="1">
        <w:r w:rsidRPr="00512048">
          <w:rPr>
            <w:rStyle w:val="TextoNormalCaracter"/>
          </w:rPr>
          <w:t>159/2007</w:t>
        </w:r>
      </w:hyperlink>
      <w:r>
        <w:t>, ff. 1 a 3.</w:t>
      </w:r>
    </w:p>
    <w:p w:rsidR="00512048" w:rsidRDefault="00512048" w:rsidP="00512048">
      <w:pPr>
        <w:pStyle w:val="SangriaFrancesaArticulo"/>
      </w:pPr>
      <w:r w:rsidRPr="00512048">
        <w:rPr>
          <w:rStyle w:val="TextoNormalNegritaCaracter"/>
        </w:rPr>
        <w:t>Artículo 135.2.</w:t>
      </w:r>
      <w:r w:rsidRPr="00512048">
        <w:rPr>
          <w:rStyle w:val="TextoNormalCaracter"/>
        </w:rPr>
        <w:t>-</w:t>
      </w:r>
      <w:r>
        <w:t xml:space="preserve"> Sentencias </w:t>
      </w:r>
      <w:hyperlink w:anchor="SENTENCIA_2007_130" w:history="1">
        <w:r w:rsidRPr="00512048">
          <w:rPr>
            <w:rStyle w:val="TextoNormalCaracter"/>
          </w:rPr>
          <w:t>130/2007</w:t>
        </w:r>
      </w:hyperlink>
      <w:r>
        <w:t xml:space="preserve">, f. 4; </w:t>
      </w:r>
      <w:hyperlink w:anchor="SENTENCIA_2007_159" w:history="1">
        <w:r w:rsidRPr="00512048">
          <w:rPr>
            <w:rStyle w:val="TextoNormalCaracter"/>
          </w:rPr>
          <w:t>159/2007</w:t>
        </w:r>
      </w:hyperlink>
      <w:r>
        <w:t>, f. 3.</w:t>
      </w:r>
    </w:p>
    <w:p w:rsidR="00512048" w:rsidRDefault="00512048" w:rsidP="00512048">
      <w:pPr>
        <w:pStyle w:val="SangriaFrancesaArticulo"/>
      </w:pPr>
      <w:r w:rsidRPr="00512048">
        <w:rPr>
          <w:rStyle w:val="TextoNormalNegritaCaracter"/>
        </w:rPr>
        <w:t>Artículo 166.2.</w:t>
      </w:r>
      <w:r w:rsidRPr="00512048">
        <w:rPr>
          <w:rStyle w:val="TextoNormalCaracter"/>
        </w:rPr>
        <w:t>-</w:t>
      </w:r>
      <w:r>
        <w:t xml:space="preserve"> Sentencia </w:t>
      </w:r>
      <w:hyperlink w:anchor="SENTENCIA_2007_154" w:history="1">
        <w:r w:rsidRPr="00512048">
          <w:rPr>
            <w:rStyle w:val="TextoNormalCaracter"/>
          </w:rPr>
          <w:t>154/2007</w:t>
        </w:r>
      </w:hyperlink>
      <w:r>
        <w:t>, f. 4.</w:t>
      </w:r>
    </w:p>
    <w:p w:rsidR="00512048" w:rsidRDefault="00512048" w:rsidP="00512048">
      <w:pPr>
        <w:pStyle w:val="SangriaFrancesaArticulo"/>
      </w:pPr>
      <w:r w:rsidRPr="00512048">
        <w:rPr>
          <w:rStyle w:val="TextoNormalNegritaCaracter"/>
        </w:rPr>
        <w:t>Artículo 214.1.</w:t>
      </w:r>
      <w:r w:rsidRPr="00512048">
        <w:rPr>
          <w:rStyle w:val="TextoNormalCaracter"/>
        </w:rPr>
        <w:t>-</w:t>
      </w:r>
      <w:r>
        <w:t xml:space="preserve"> Auto </w:t>
      </w:r>
      <w:hyperlink w:anchor="AUTO_2007_241" w:history="1">
        <w:r w:rsidRPr="00512048">
          <w:rPr>
            <w:rStyle w:val="TextoNormalCaracter"/>
          </w:rPr>
          <w:t>241/2007</w:t>
        </w:r>
      </w:hyperlink>
      <w:r>
        <w:t>.</w:t>
      </w:r>
    </w:p>
    <w:p w:rsidR="00512048" w:rsidRDefault="00512048" w:rsidP="00512048">
      <w:pPr>
        <w:pStyle w:val="SangriaFrancesaArticulo"/>
      </w:pPr>
      <w:r w:rsidRPr="00512048">
        <w:rPr>
          <w:rStyle w:val="TextoNormalNegritaCaracter"/>
        </w:rPr>
        <w:t>Artículo 214.3.</w:t>
      </w:r>
      <w:r w:rsidRPr="00512048">
        <w:rPr>
          <w:rStyle w:val="TextoNormalCaracter"/>
        </w:rPr>
        <w:t>-</w:t>
      </w:r>
      <w:r>
        <w:t xml:space="preserve"> Auto </w:t>
      </w:r>
      <w:hyperlink w:anchor="AUTO_2007_241" w:history="1">
        <w:r w:rsidRPr="00512048">
          <w:rPr>
            <w:rStyle w:val="TextoNormalCaracter"/>
          </w:rPr>
          <w:t>241/2007</w:t>
        </w:r>
      </w:hyperlink>
      <w:r>
        <w:t>.</w:t>
      </w:r>
    </w:p>
    <w:p w:rsidR="00512048" w:rsidRDefault="00512048" w:rsidP="00512048">
      <w:pPr>
        <w:pStyle w:val="SangriaFrancesaArticulo"/>
      </w:pPr>
      <w:r w:rsidRPr="00512048">
        <w:rPr>
          <w:rStyle w:val="TextoNormalNegritaCaracter"/>
        </w:rPr>
        <w:t>Artículo 215.</w:t>
      </w:r>
      <w:r w:rsidRPr="00512048">
        <w:rPr>
          <w:rStyle w:val="TextoNormalCaracter"/>
        </w:rPr>
        <w:t>-</w:t>
      </w:r>
      <w:r>
        <w:t xml:space="preserve"> Sentencias </w:t>
      </w:r>
      <w:hyperlink w:anchor="SENTENCIA_2007_135" w:history="1">
        <w:r w:rsidRPr="00512048">
          <w:rPr>
            <w:rStyle w:val="TextoNormalCaracter"/>
          </w:rPr>
          <w:t>135/2007</w:t>
        </w:r>
      </w:hyperlink>
      <w:r>
        <w:t xml:space="preserve">, ff. 5, 6; </w:t>
      </w:r>
      <w:hyperlink w:anchor="SENTENCIA_2007_144" w:history="1">
        <w:r w:rsidRPr="00512048">
          <w:rPr>
            <w:rStyle w:val="TextoNormalCaracter"/>
          </w:rPr>
          <w:t>144/2007</w:t>
        </w:r>
      </w:hyperlink>
      <w:r>
        <w:t>, ff. 1, 2.</w:t>
      </w:r>
    </w:p>
    <w:p w:rsidR="00512048" w:rsidRDefault="00512048" w:rsidP="00512048">
      <w:pPr>
        <w:pStyle w:val="SangriaFrancesaArticulo"/>
      </w:pPr>
      <w:r w:rsidRPr="00512048">
        <w:rPr>
          <w:rStyle w:val="TextoNormalNegritaCaracter"/>
        </w:rPr>
        <w:t>Artículo 215.2.</w:t>
      </w:r>
      <w:r w:rsidRPr="00512048">
        <w:rPr>
          <w:rStyle w:val="TextoNormalCaracter"/>
        </w:rPr>
        <w:t>-</w:t>
      </w:r>
      <w:r>
        <w:t xml:space="preserve"> Sentencia </w:t>
      </w:r>
      <w:hyperlink w:anchor="SENTENCIA_2007_144" w:history="1">
        <w:r w:rsidRPr="00512048">
          <w:rPr>
            <w:rStyle w:val="TextoNormalCaracter"/>
          </w:rPr>
          <w:t>144/2007</w:t>
        </w:r>
      </w:hyperlink>
      <w:r>
        <w:t>, ff. 1, 5.</w:t>
      </w:r>
    </w:p>
    <w:p w:rsidR="00512048" w:rsidRDefault="00512048" w:rsidP="00512048">
      <w:pPr>
        <w:pStyle w:val="SangriaFrancesaArticulo"/>
      </w:pPr>
      <w:r w:rsidRPr="00512048">
        <w:rPr>
          <w:rStyle w:val="TextoNormalNegritaCaracter"/>
        </w:rPr>
        <w:t>Artículo 394.2.</w:t>
      </w:r>
      <w:r w:rsidRPr="00512048">
        <w:rPr>
          <w:rStyle w:val="TextoNormalCaracter"/>
        </w:rPr>
        <w:t>-</w:t>
      </w:r>
      <w:r>
        <w:t xml:space="preserve"> Sentencia </w:t>
      </w:r>
      <w:hyperlink w:anchor="SENTENCIA_2007_120" w:history="1">
        <w:r w:rsidRPr="00512048">
          <w:rPr>
            <w:rStyle w:val="TextoNormalCaracter"/>
          </w:rPr>
          <w:t>120/2007</w:t>
        </w:r>
      </w:hyperlink>
      <w:r>
        <w:t>, f. 3.</w:t>
      </w:r>
    </w:p>
    <w:p w:rsidR="00512048" w:rsidRDefault="00512048" w:rsidP="00512048">
      <w:pPr>
        <w:pStyle w:val="SangriaFrancesaArticulo"/>
      </w:pPr>
      <w:r w:rsidRPr="00512048">
        <w:rPr>
          <w:rStyle w:val="TextoNormalNegritaCaracter"/>
        </w:rPr>
        <w:t>Artículo 435.</w:t>
      </w:r>
      <w:r w:rsidRPr="00512048">
        <w:rPr>
          <w:rStyle w:val="TextoNormalCaracter"/>
        </w:rPr>
        <w:t>-</w:t>
      </w:r>
      <w:r>
        <w:t xml:space="preserve"> Sentencia </w:t>
      </w:r>
      <w:hyperlink w:anchor="SENTENCIA_2007_136" w:history="1">
        <w:r w:rsidRPr="00512048">
          <w:rPr>
            <w:rStyle w:val="TextoNormalCaracter"/>
          </w:rPr>
          <w:t>136/2007</w:t>
        </w:r>
      </w:hyperlink>
      <w:r>
        <w:t>, f. 3.</w:t>
      </w:r>
    </w:p>
    <w:p w:rsidR="00512048" w:rsidRDefault="00512048" w:rsidP="00512048">
      <w:pPr>
        <w:pStyle w:val="SangriaFrancesaArticulo"/>
      </w:pPr>
      <w:r w:rsidRPr="00512048">
        <w:rPr>
          <w:rStyle w:val="TextoNormalNegritaCaracter"/>
        </w:rPr>
        <w:t>Artículo 448.1.</w:t>
      </w:r>
      <w:r w:rsidRPr="00512048">
        <w:rPr>
          <w:rStyle w:val="TextoNormalCaracter"/>
        </w:rPr>
        <w:t>-</w:t>
      </w:r>
      <w:r>
        <w:t xml:space="preserve"> Sentencia </w:t>
      </w:r>
      <w:hyperlink w:anchor="SENTENCIA_2007_177" w:history="1">
        <w:r w:rsidRPr="00512048">
          <w:rPr>
            <w:rStyle w:val="TextoNormalCaracter"/>
          </w:rPr>
          <w:t>177/2007</w:t>
        </w:r>
      </w:hyperlink>
      <w:r>
        <w:t>, f. 2.</w:t>
      </w:r>
    </w:p>
    <w:p w:rsidR="00512048" w:rsidRDefault="00512048" w:rsidP="00512048">
      <w:pPr>
        <w:pStyle w:val="SangriaFrancesaArticulo"/>
      </w:pPr>
      <w:r w:rsidRPr="00512048">
        <w:rPr>
          <w:rStyle w:val="TextoNormalNegritaCaracter"/>
        </w:rPr>
        <w:t>Artículo 451.</w:t>
      </w:r>
      <w:r w:rsidRPr="00512048">
        <w:rPr>
          <w:rStyle w:val="TextoNormalCaracter"/>
        </w:rPr>
        <w:t>-</w:t>
      </w:r>
      <w:r>
        <w:t xml:space="preserve"> Sentencia </w:t>
      </w:r>
      <w:hyperlink w:anchor="SENTENCIA_2007_177" w:history="1">
        <w:r w:rsidRPr="00512048">
          <w:rPr>
            <w:rStyle w:val="TextoNormalCaracter"/>
          </w:rPr>
          <w:t>177/2007</w:t>
        </w:r>
      </w:hyperlink>
      <w:r>
        <w:t>, f. 2.</w:t>
      </w:r>
    </w:p>
    <w:p w:rsidR="00512048" w:rsidRDefault="00512048" w:rsidP="00512048">
      <w:pPr>
        <w:pStyle w:val="SangriaFrancesaArticulo"/>
      </w:pPr>
      <w:r w:rsidRPr="00512048">
        <w:rPr>
          <w:rStyle w:val="TextoNormalNegritaCaracter"/>
        </w:rPr>
        <w:t>Artículo 452.</w:t>
      </w:r>
      <w:r w:rsidRPr="00512048">
        <w:rPr>
          <w:rStyle w:val="TextoNormalCaracter"/>
        </w:rPr>
        <w:t>-</w:t>
      </w:r>
      <w:r>
        <w:t xml:space="preserve"> Sentencia </w:t>
      </w:r>
      <w:hyperlink w:anchor="SENTENCIA_2007_177" w:history="1">
        <w:r w:rsidRPr="00512048">
          <w:rPr>
            <w:rStyle w:val="TextoNormalCaracter"/>
          </w:rPr>
          <w:t>177/2007</w:t>
        </w:r>
      </w:hyperlink>
      <w:r>
        <w:t>, f. 2.</w:t>
      </w:r>
    </w:p>
    <w:p w:rsidR="00512048" w:rsidRDefault="00512048" w:rsidP="00512048">
      <w:pPr>
        <w:pStyle w:val="SangriaFrancesaArticulo"/>
      </w:pPr>
      <w:r w:rsidRPr="00512048">
        <w:rPr>
          <w:rStyle w:val="TextoNormalNegritaCaracter"/>
        </w:rPr>
        <w:t>Artículo 457.</w:t>
      </w:r>
      <w:r w:rsidRPr="00512048">
        <w:rPr>
          <w:rStyle w:val="TextoNormalCaracter"/>
        </w:rPr>
        <w:t>-</w:t>
      </w:r>
      <w:r>
        <w:t xml:space="preserve"> Sentencia </w:t>
      </w:r>
      <w:hyperlink w:anchor="SENTENCIA_2007_93" w:history="1">
        <w:r w:rsidRPr="00512048">
          <w:rPr>
            <w:rStyle w:val="TextoNormalCaracter"/>
          </w:rPr>
          <w:t>93/2007</w:t>
        </w:r>
      </w:hyperlink>
      <w:r>
        <w:t>, f. 3.</w:t>
      </w:r>
    </w:p>
    <w:p w:rsidR="00512048" w:rsidRDefault="00512048" w:rsidP="00512048">
      <w:pPr>
        <w:pStyle w:val="SangriaFrancesaArticulo"/>
      </w:pPr>
      <w:r w:rsidRPr="00512048">
        <w:rPr>
          <w:rStyle w:val="TextoNormalNegritaCaracter"/>
        </w:rPr>
        <w:t>Artículo 458.1.</w:t>
      </w:r>
      <w:r w:rsidRPr="00512048">
        <w:rPr>
          <w:rStyle w:val="TextoNormalCaracter"/>
        </w:rPr>
        <w:t>-</w:t>
      </w:r>
      <w:r>
        <w:t xml:space="preserve"> Sentencia </w:t>
      </w:r>
      <w:hyperlink w:anchor="SENTENCIA_2007_93" w:history="1">
        <w:r w:rsidRPr="00512048">
          <w:rPr>
            <w:rStyle w:val="TextoNormalCaracter"/>
          </w:rPr>
          <w:t>93/2007</w:t>
        </w:r>
      </w:hyperlink>
      <w:r>
        <w:t>, f. 3.</w:t>
      </w:r>
    </w:p>
    <w:p w:rsidR="00512048" w:rsidRDefault="00512048" w:rsidP="00512048">
      <w:pPr>
        <w:pStyle w:val="SangriaFrancesaArticulo"/>
      </w:pPr>
      <w:r w:rsidRPr="00512048">
        <w:rPr>
          <w:rStyle w:val="TextoNormalNegritaCaracter"/>
        </w:rPr>
        <w:t>Artículo 460.2.</w:t>
      </w:r>
      <w:r w:rsidRPr="00512048">
        <w:rPr>
          <w:rStyle w:val="TextoNormalCaracter"/>
        </w:rPr>
        <w:t>-</w:t>
      </w:r>
      <w:r>
        <w:t xml:space="preserve"> Sentencia </w:t>
      </w:r>
      <w:hyperlink w:anchor="SENTENCIA_2007_136" w:history="1">
        <w:r w:rsidRPr="00512048">
          <w:rPr>
            <w:rStyle w:val="TextoNormalCaracter"/>
          </w:rPr>
          <w:t>136/2007</w:t>
        </w:r>
      </w:hyperlink>
      <w:r>
        <w:t>, f. 3.</w:t>
      </w:r>
    </w:p>
    <w:p w:rsidR="00512048" w:rsidRDefault="00512048" w:rsidP="00512048">
      <w:pPr>
        <w:pStyle w:val="SangriaFrancesaArticulo"/>
      </w:pPr>
      <w:r w:rsidRPr="00512048">
        <w:rPr>
          <w:rStyle w:val="TextoNormalNegritaCaracter"/>
        </w:rPr>
        <w:t>Artículo 477.2.</w:t>
      </w:r>
      <w:r w:rsidRPr="00512048">
        <w:rPr>
          <w:rStyle w:val="TextoNormalCaracter"/>
        </w:rPr>
        <w:t>-</w:t>
      </w:r>
      <w:r>
        <w:t xml:space="preserve"> Auto </w:t>
      </w:r>
      <w:hyperlink w:anchor="AUTO_2007_282" w:history="1">
        <w:r w:rsidRPr="00512048">
          <w:rPr>
            <w:rStyle w:val="TextoNormalCaracter"/>
          </w:rPr>
          <w:t>282/2007</w:t>
        </w:r>
      </w:hyperlink>
      <w:r>
        <w:t>.</w:t>
      </w:r>
    </w:p>
    <w:p w:rsidR="00512048" w:rsidRDefault="00512048" w:rsidP="00512048">
      <w:pPr>
        <w:pStyle w:val="SangriaFrancesaArticulo"/>
      </w:pPr>
      <w:r w:rsidRPr="00512048">
        <w:rPr>
          <w:rStyle w:val="TextoNormalNegritaCaracter"/>
        </w:rPr>
        <w:t>Artículo 483.2.1.</w:t>
      </w:r>
      <w:r w:rsidRPr="00512048">
        <w:rPr>
          <w:rStyle w:val="TextoNormalCaracter"/>
        </w:rPr>
        <w:t>-</w:t>
      </w:r>
      <w:r>
        <w:t xml:space="preserve"> Auto </w:t>
      </w:r>
      <w:hyperlink w:anchor="AUTO_2007_282" w:history="1">
        <w:r w:rsidRPr="00512048">
          <w:rPr>
            <w:rStyle w:val="TextoNormalCaracter"/>
          </w:rPr>
          <w:t>282/2007</w:t>
        </w:r>
      </w:hyperlink>
      <w:r>
        <w:t>.</w:t>
      </w:r>
    </w:p>
    <w:p w:rsidR="00512048" w:rsidRDefault="00512048" w:rsidP="00512048">
      <w:pPr>
        <w:pStyle w:val="SangriaFrancesaArticulo"/>
      </w:pPr>
      <w:r w:rsidRPr="00512048">
        <w:rPr>
          <w:rStyle w:val="TextoNormalNegritaCaracter"/>
        </w:rPr>
        <w:t>Artículo 503.</w:t>
      </w:r>
      <w:r w:rsidRPr="00512048">
        <w:rPr>
          <w:rStyle w:val="TextoNormalCaracter"/>
        </w:rPr>
        <w:t>-</w:t>
      </w:r>
      <w:r>
        <w:t xml:space="preserve"> Sentencia </w:t>
      </w:r>
      <w:hyperlink w:anchor="SENTENCIA_2007_166" w:history="1">
        <w:r w:rsidRPr="00512048">
          <w:rPr>
            <w:rStyle w:val="TextoNormalCaracter"/>
          </w:rPr>
          <w:t>166/2007</w:t>
        </w:r>
      </w:hyperlink>
      <w:r>
        <w:t>, f. 3.</w:t>
      </w:r>
    </w:p>
    <w:p w:rsidR="00512048" w:rsidRDefault="00512048" w:rsidP="00512048">
      <w:pPr>
        <w:pStyle w:val="SangriaFrancesaArticulo"/>
      </w:pPr>
      <w:r w:rsidRPr="00512048">
        <w:rPr>
          <w:rStyle w:val="TextoNormalNegritaCaracter"/>
        </w:rPr>
        <w:t>Artículo 559.2 párrafo 2.</w:t>
      </w:r>
      <w:r w:rsidRPr="00512048">
        <w:rPr>
          <w:rStyle w:val="TextoNormalCaracter"/>
        </w:rPr>
        <w:t>-</w:t>
      </w:r>
      <w:r>
        <w:t xml:space="preserve"> Sentencia </w:t>
      </w:r>
      <w:hyperlink w:anchor="SENTENCIA_2007_120" w:history="1">
        <w:r w:rsidRPr="00512048">
          <w:rPr>
            <w:rStyle w:val="TextoNormalCaracter"/>
          </w:rPr>
          <w:t>120/2007</w:t>
        </w:r>
      </w:hyperlink>
      <w:r>
        <w:t>, f. 3.</w:t>
      </w:r>
    </w:p>
    <w:p w:rsidR="00512048" w:rsidRDefault="00512048" w:rsidP="00512048">
      <w:pPr>
        <w:pStyle w:val="SangriaFrancesaArticulo"/>
      </w:pPr>
      <w:r w:rsidRPr="00512048">
        <w:rPr>
          <w:rStyle w:val="TextoNormalNegritaCaracter"/>
        </w:rPr>
        <w:t>Artículo 561.1.</w:t>
      </w:r>
      <w:r w:rsidRPr="00512048">
        <w:rPr>
          <w:rStyle w:val="TextoNormalCaracter"/>
        </w:rPr>
        <w:t>-</w:t>
      </w:r>
      <w:r>
        <w:t xml:space="preserve"> Sentencia </w:t>
      </w:r>
      <w:hyperlink w:anchor="SENTENCIA_2007_120" w:history="1">
        <w:r w:rsidRPr="00512048">
          <w:rPr>
            <w:rStyle w:val="TextoNormalCaracter"/>
          </w:rPr>
          <w:t>120/2007</w:t>
        </w:r>
      </w:hyperlink>
      <w:r>
        <w:t>, f. 3.</w:t>
      </w:r>
    </w:p>
    <w:p w:rsidR="00512048" w:rsidRDefault="00512048" w:rsidP="00512048">
      <w:pPr>
        <w:pStyle w:val="SangriaFrancesaArticulo"/>
      </w:pPr>
      <w:r w:rsidRPr="00512048">
        <w:rPr>
          <w:rStyle w:val="TextoNormalNegritaCaracter"/>
        </w:rPr>
        <w:t>Artículo 561.2.</w:t>
      </w:r>
      <w:r w:rsidRPr="00512048">
        <w:rPr>
          <w:rStyle w:val="TextoNormalCaracter"/>
        </w:rPr>
        <w:t>-</w:t>
      </w:r>
      <w:r>
        <w:t xml:space="preserve"> Sentencia </w:t>
      </w:r>
      <w:hyperlink w:anchor="SENTENCIA_2007_120" w:history="1">
        <w:r w:rsidRPr="00512048">
          <w:rPr>
            <w:rStyle w:val="TextoNormalCaracter"/>
          </w:rPr>
          <w:t>120/2007</w:t>
        </w:r>
      </w:hyperlink>
      <w:r>
        <w:t>, f. 3.</w:t>
      </w:r>
    </w:p>
    <w:p w:rsidR="00512048" w:rsidRDefault="00512048" w:rsidP="00512048">
      <w:pPr>
        <w:pStyle w:val="SangriaFrancesaArticulo"/>
      </w:pPr>
      <w:r w:rsidRPr="00512048">
        <w:rPr>
          <w:rStyle w:val="TextoNormalNegritaCaracter"/>
        </w:rPr>
        <w:lastRenderedPageBreak/>
        <w:t>Artículo 767.4.</w:t>
      </w:r>
      <w:r w:rsidRPr="00512048">
        <w:rPr>
          <w:rStyle w:val="TextoNormalCaracter"/>
        </w:rPr>
        <w:t>-</w:t>
      </w:r>
      <w:r>
        <w:t xml:space="preserve"> Sentencia </w:t>
      </w:r>
      <w:hyperlink w:anchor="SENTENCIA_2007_177" w:history="1">
        <w:r w:rsidRPr="00512048">
          <w:rPr>
            <w:rStyle w:val="TextoNormalCaracter"/>
          </w:rPr>
          <w:t>177/2007</w:t>
        </w:r>
      </w:hyperlink>
      <w:r>
        <w:t>, f. 4.</w:t>
      </w:r>
    </w:p>
    <w:p w:rsidR="00512048" w:rsidRDefault="00512048" w:rsidP="00512048">
      <w:pPr>
        <w:pStyle w:val="SangriaFrancesaArticulo"/>
      </w:pPr>
      <w:r w:rsidRPr="00512048">
        <w:rPr>
          <w:rStyle w:val="TextoNormalNegritaCaracter"/>
        </w:rPr>
        <w:t>Disposición transitoria segunda.</w:t>
      </w:r>
      <w:r w:rsidRPr="00512048">
        <w:rPr>
          <w:rStyle w:val="TextoNormalCaracter"/>
        </w:rPr>
        <w:t>-</w:t>
      </w:r>
      <w:r>
        <w:t xml:space="preserve"> Sentencia </w:t>
      </w:r>
      <w:hyperlink w:anchor="SENTENCIA_2007_166" w:history="1">
        <w:r w:rsidRPr="00512048">
          <w:rPr>
            <w:rStyle w:val="TextoNormalCaracter"/>
          </w:rPr>
          <w:t>166/2007</w:t>
        </w:r>
      </w:hyperlink>
      <w:r>
        <w:t>, f. 4.</w:t>
      </w:r>
    </w:p>
    <w:p w:rsidR="00512048" w:rsidRDefault="00512048" w:rsidP="00512048">
      <w:pPr>
        <w:pStyle w:val="SangriaFrancesaArticulo"/>
      </w:pPr>
      <w:r w:rsidRPr="00512048">
        <w:rPr>
          <w:rStyle w:val="TextoNormalNegritaCaracter"/>
        </w:rPr>
        <w:t>Disposición final segunda, apartado 4.</w:t>
      </w:r>
      <w:r w:rsidRPr="00512048">
        <w:rPr>
          <w:rStyle w:val="TextoNormalCaracter"/>
        </w:rPr>
        <w:t>-</w:t>
      </w:r>
      <w:r>
        <w:t xml:space="preserve"> Sentencia </w:t>
      </w:r>
      <w:hyperlink w:anchor="SENTENCIA_2007_166" w:history="1">
        <w:r w:rsidRPr="00512048">
          <w:rPr>
            <w:rStyle w:val="TextoNormalCaracter"/>
          </w:rPr>
          <w:t>166/2007</w:t>
        </w:r>
      </w:hyperlink>
      <w:r>
        <w:t>, f. 4.</w:t>
      </w:r>
    </w:p>
    <w:p w:rsidR="00512048" w:rsidRDefault="00512048" w:rsidP="00512048">
      <w:pPr>
        <w:pStyle w:val="SangriaFrancesaArticulo"/>
      </w:pPr>
    </w:p>
    <w:p w:rsidR="00512048" w:rsidRDefault="00512048" w:rsidP="00512048">
      <w:pPr>
        <w:pStyle w:val="TextoNormalNegritaCursivandice"/>
      </w:pPr>
      <w:r>
        <w:t>Ley 10/2001, de 5 de julio. Plan hidrológico nacional</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Auto </w:t>
      </w:r>
      <w:hyperlink w:anchor="AUTO_2007_355" w:history="1">
        <w:r w:rsidRPr="00512048">
          <w:rPr>
            <w:rStyle w:val="TextoNormalCaracter"/>
          </w:rPr>
          <w:t>355/2007</w:t>
        </w:r>
      </w:hyperlink>
      <w:r>
        <w:t>.</w:t>
      </w:r>
    </w:p>
    <w:p w:rsidR="00512048" w:rsidRDefault="00512048" w:rsidP="00512048">
      <w:pPr>
        <w:pStyle w:val="SangriaFrancesaArticulo"/>
      </w:pPr>
    </w:p>
    <w:p w:rsidR="00512048" w:rsidRDefault="00512048" w:rsidP="00512048">
      <w:pPr>
        <w:pStyle w:val="TextoNormalNegritaCursivandice"/>
      </w:pPr>
      <w:r>
        <w:t>Ley 24/2001, de 27 de diciembre.  Medidas fiscales, administrativas y del orden social</w:t>
      </w:r>
    </w:p>
    <w:p w:rsidR="00512048" w:rsidRDefault="00512048" w:rsidP="00512048">
      <w:pPr>
        <w:pStyle w:val="SangriaFrancesaArticulo"/>
      </w:pPr>
      <w:r w:rsidRPr="00512048">
        <w:rPr>
          <w:rStyle w:val="TextoNormalNegritaCaracter"/>
        </w:rPr>
        <w:t>Artículo 58.</w:t>
      </w:r>
      <w:r w:rsidRPr="00512048">
        <w:rPr>
          <w:rStyle w:val="TextoNormalCaracter"/>
        </w:rPr>
        <w:t>-</w:t>
      </w:r>
      <w:r>
        <w:t xml:space="preserve"> Autos </w:t>
      </w:r>
      <w:hyperlink w:anchor="AUTO_2007_352" w:history="1">
        <w:r w:rsidRPr="00512048">
          <w:rPr>
            <w:rStyle w:val="TextoNormalCaracter"/>
          </w:rPr>
          <w:t>352/2007</w:t>
        </w:r>
      </w:hyperlink>
      <w:r>
        <w:t xml:space="preserve">; </w:t>
      </w:r>
      <w:hyperlink w:anchor="AUTO_2007_353" w:history="1">
        <w:r w:rsidRPr="00512048">
          <w:rPr>
            <w:rStyle w:val="TextoNormalCaracter"/>
          </w:rPr>
          <w:t>353/2007</w:t>
        </w:r>
      </w:hyperlink>
      <w:r>
        <w:t>.</w:t>
      </w:r>
    </w:p>
    <w:p w:rsidR="00512048" w:rsidRDefault="00512048" w:rsidP="00512048">
      <w:pPr>
        <w:pStyle w:val="SangriaFrancesaArticulo"/>
      </w:pPr>
    </w:p>
    <w:p w:rsidR="00512048" w:rsidRDefault="00512048" w:rsidP="00512048">
      <w:pPr>
        <w:pStyle w:val="TextoNormalNegritaCursivandice"/>
      </w:pPr>
      <w:r>
        <w:t>Ley 44/2002, de 22 de noviembre. Medidas de reforma del sistema financiero</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21" w:history="1">
        <w:r w:rsidRPr="00512048">
          <w:rPr>
            <w:rStyle w:val="TextoNormalCaracter"/>
          </w:rPr>
          <w:t>121/2007</w:t>
        </w:r>
      </w:hyperlink>
      <w:r>
        <w:t>, f. 2.</w:t>
      </w:r>
    </w:p>
    <w:p w:rsidR="00512048" w:rsidRDefault="00512048" w:rsidP="00512048">
      <w:pPr>
        <w:pStyle w:val="SangriaFrancesaArticulo"/>
      </w:pPr>
    </w:p>
    <w:p w:rsidR="00512048" w:rsidRDefault="00512048" w:rsidP="00512048">
      <w:pPr>
        <w:pStyle w:val="TextoNormalNegritaCursivandice"/>
      </w:pPr>
      <w:r>
        <w:t>Ley 53/2002, de 30 de diciembre. Medidas fiscales, administrativas y del orden social</w:t>
      </w:r>
    </w:p>
    <w:p w:rsidR="00512048" w:rsidRDefault="00512048" w:rsidP="00512048">
      <w:pPr>
        <w:pStyle w:val="SangriaFrancesaArticulo"/>
      </w:pPr>
      <w:r w:rsidRPr="00512048">
        <w:rPr>
          <w:rStyle w:val="TextoNormalNegritaCaracter"/>
        </w:rPr>
        <w:t>Artículo 35.</w:t>
      </w:r>
      <w:r w:rsidRPr="00512048">
        <w:rPr>
          <w:rStyle w:val="TextoNormalCaracter"/>
        </w:rPr>
        <w:t>-</w:t>
      </w:r>
      <w:r>
        <w:t xml:space="preserve"> Sentencia </w:t>
      </w:r>
      <w:hyperlink w:anchor="SENTENCIA_2007_93" w:history="1">
        <w:r w:rsidRPr="00512048">
          <w:rPr>
            <w:rStyle w:val="TextoNormalCaracter"/>
          </w:rPr>
          <w:t>93/2007</w:t>
        </w:r>
      </w:hyperlink>
      <w:r>
        <w:t>, ff. 1 a 3.</w:t>
      </w:r>
    </w:p>
    <w:p w:rsidR="00512048" w:rsidRDefault="00512048" w:rsidP="00512048">
      <w:pPr>
        <w:pStyle w:val="SangriaFrancesaArticulo"/>
      </w:pPr>
    </w:p>
    <w:p w:rsidR="00512048" w:rsidRDefault="00512048" w:rsidP="00512048">
      <w:pPr>
        <w:pStyle w:val="TextoNormalNegritaCursivandice"/>
      </w:pPr>
      <w:r>
        <w:t>Ley 3/2003, de 14 de marzo. Orden europea de detención y entrega</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95" w:history="1">
        <w:r w:rsidRPr="00512048">
          <w:rPr>
            <w:rStyle w:val="TextoNormalCaracter"/>
          </w:rPr>
          <w:t>95/2007</w:t>
        </w:r>
      </w:hyperlink>
      <w:r>
        <w:t>, f. 3.</w:t>
      </w:r>
    </w:p>
    <w:p w:rsidR="00512048" w:rsidRDefault="00512048" w:rsidP="00512048">
      <w:pPr>
        <w:pStyle w:val="SangriaFrancesaArticulo"/>
      </w:pPr>
      <w:r w:rsidRPr="00512048">
        <w:rPr>
          <w:rStyle w:val="TextoNormalNegritaCaracter"/>
        </w:rPr>
        <w:t>Artículo 17.1.</w:t>
      </w:r>
      <w:r w:rsidRPr="00512048">
        <w:rPr>
          <w:rStyle w:val="TextoNormalCaracter"/>
        </w:rPr>
        <w:t>-</w:t>
      </w:r>
      <w:r>
        <w:t xml:space="preserve"> Sentencia </w:t>
      </w:r>
      <w:hyperlink w:anchor="SENTENCIA_2007_95" w:history="1">
        <w:r w:rsidRPr="00512048">
          <w:rPr>
            <w:rStyle w:val="TextoNormalCaracter"/>
          </w:rPr>
          <w:t>95/2007</w:t>
        </w:r>
      </w:hyperlink>
      <w:r>
        <w:t>, f. 6.</w:t>
      </w:r>
    </w:p>
    <w:p w:rsidR="00512048" w:rsidRDefault="00512048" w:rsidP="00512048">
      <w:pPr>
        <w:pStyle w:val="SangriaFrancesaArticulo"/>
      </w:pPr>
      <w:r w:rsidRPr="00512048">
        <w:rPr>
          <w:rStyle w:val="TextoNormalNegritaCaracter"/>
        </w:rPr>
        <w:t>Artículo 19.</w:t>
      </w:r>
      <w:r w:rsidRPr="00512048">
        <w:rPr>
          <w:rStyle w:val="TextoNormalCaracter"/>
        </w:rPr>
        <w:t>-</w:t>
      </w:r>
      <w:r>
        <w:t xml:space="preserve"> Sentencia </w:t>
      </w:r>
      <w:hyperlink w:anchor="SENTENCIA_2007_95" w:history="1">
        <w:r w:rsidRPr="00512048">
          <w:rPr>
            <w:rStyle w:val="TextoNormalCaracter"/>
          </w:rPr>
          <w:t>95/2007</w:t>
        </w:r>
      </w:hyperlink>
      <w:r>
        <w:t>, f. 6.</w:t>
      </w:r>
    </w:p>
    <w:p w:rsidR="00512048" w:rsidRDefault="00512048" w:rsidP="00512048">
      <w:pPr>
        <w:pStyle w:val="SangriaFrancesaArticulo"/>
      </w:pPr>
      <w:r w:rsidRPr="00512048">
        <w:rPr>
          <w:rStyle w:val="TextoNormalNegritaCaracter"/>
        </w:rPr>
        <w:t>Artículo 20.</w:t>
      </w:r>
      <w:r w:rsidRPr="00512048">
        <w:rPr>
          <w:rStyle w:val="TextoNormalCaracter"/>
        </w:rPr>
        <w:t>-</w:t>
      </w:r>
      <w:r>
        <w:t xml:space="preserve"> Sentencia </w:t>
      </w:r>
      <w:hyperlink w:anchor="SENTENCIA_2007_95" w:history="1">
        <w:r w:rsidRPr="00512048">
          <w:rPr>
            <w:rStyle w:val="TextoNormalCaracter"/>
          </w:rPr>
          <w:t>95/2007</w:t>
        </w:r>
      </w:hyperlink>
      <w:r>
        <w:t>, f. 6.</w:t>
      </w:r>
    </w:p>
    <w:p w:rsidR="00512048" w:rsidRDefault="00512048" w:rsidP="00512048">
      <w:pPr>
        <w:pStyle w:val="SangriaFrancesaArticulo"/>
      </w:pPr>
    </w:p>
    <w:p w:rsidR="00512048" w:rsidRDefault="00512048" w:rsidP="00512048">
      <w:pPr>
        <w:pStyle w:val="TextoNormalNegritaCursivandice"/>
      </w:pPr>
      <w:r>
        <w:t>Ley 54/2003, de 12 de diciembre. Reforma del marco normativo de la prevención de riesgos laborales</w:t>
      </w:r>
    </w:p>
    <w:p w:rsidR="00512048" w:rsidRDefault="00512048" w:rsidP="00512048">
      <w:pPr>
        <w:pStyle w:val="SangriaFrancesaArticulo"/>
      </w:pPr>
      <w:r w:rsidRPr="00512048">
        <w:rPr>
          <w:rStyle w:val="TextoNormalNegritaCaracter"/>
        </w:rPr>
        <w:t>Artículo 2.1.</w:t>
      </w:r>
      <w:r w:rsidRPr="00512048">
        <w:rPr>
          <w:rStyle w:val="TextoNormalCaracter"/>
        </w:rPr>
        <w:t>-</w:t>
      </w:r>
      <w:r>
        <w:t xml:space="preserve"> Sentencia </w:t>
      </w:r>
      <w:hyperlink w:anchor="SENTENCIA_2007_160" w:history="1">
        <w:r w:rsidRPr="00512048">
          <w:rPr>
            <w:rStyle w:val="TextoNormalCaracter"/>
          </w:rPr>
          <w:t>160/2007</w:t>
        </w:r>
      </w:hyperlink>
      <w:r>
        <w:t>, f. 5.</w:t>
      </w:r>
    </w:p>
    <w:p w:rsidR="00512048" w:rsidRDefault="00512048" w:rsidP="00512048">
      <w:pPr>
        <w:pStyle w:val="SangriaFrancesaArticulo"/>
      </w:pPr>
    </w:p>
    <w:p w:rsidR="00512048" w:rsidRDefault="00512048" w:rsidP="00512048">
      <w:pPr>
        <w:pStyle w:val="TextoNormalNegritaCursivandice"/>
      </w:pPr>
      <w:r>
        <w:t>Ley 11/2005, de 22 de junio. Modificación de la Ley 10/2001, de 5 de julio, del Plan hidrológico nacional</w:t>
      </w:r>
    </w:p>
    <w:p w:rsidR="00512048" w:rsidRDefault="00512048" w:rsidP="00512048">
      <w:pPr>
        <w:pStyle w:val="SangriaFrancesaArticulo"/>
      </w:pPr>
      <w:r w:rsidRPr="00512048">
        <w:rPr>
          <w:rStyle w:val="TextoNormalNegritaCaracter"/>
        </w:rPr>
        <w:t>Exposición de motivos.</w:t>
      </w:r>
      <w:r w:rsidRPr="00512048">
        <w:rPr>
          <w:rStyle w:val="TextoNormalCaracter"/>
        </w:rPr>
        <w:t>-</w:t>
      </w:r>
      <w:r>
        <w:t xml:space="preserve"> Auto </w:t>
      </w:r>
      <w:hyperlink w:anchor="AUTO_2007_355" w:history="1">
        <w:r w:rsidRPr="00512048">
          <w:rPr>
            <w:rStyle w:val="TextoNormalCaracter"/>
          </w:rPr>
          <w:t>355/2007</w:t>
        </w:r>
      </w:hyperlink>
      <w:r>
        <w:t>.</w:t>
      </w:r>
    </w:p>
    <w:p w:rsidR="00512048" w:rsidRDefault="00512048" w:rsidP="00512048">
      <w:pPr>
        <w:pStyle w:val="SangriaFrancesaArticulo"/>
      </w:pPr>
      <w:r w:rsidRPr="00512048">
        <w:rPr>
          <w:rStyle w:val="TextoNormalNegritaCaracter"/>
        </w:rPr>
        <w:t>Anexo III.2 a).</w:t>
      </w:r>
      <w:r w:rsidRPr="00512048">
        <w:rPr>
          <w:rStyle w:val="TextoNormalCaracter"/>
        </w:rPr>
        <w:t>-</w:t>
      </w:r>
      <w:r>
        <w:t xml:space="preserve"> Auto </w:t>
      </w:r>
      <w:hyperlink w:anchor="AUTO_2007_355" w:history="1">
        <w:r w:rsidRPr="00512048">
          <w:rPr>
            <w:rStyle w:val="TextoNormalCaracter"/>
          </w:rPr>
          <w:t>355/2007</w:t>
        </w:r>
      </w:hyperlink>
      <w:r>
        <w:t>.</w:t>
      </w:r>
    </w:p>
    <w:p w:rsidR="00512048" w:rsidRDefault="00512048" w:rsidP="00512048">
      <w:pPr>
        <w:pStyle w:val="SangriaFrancesaArticulo"/>
      </w:pPr>
      <w:r w:rsidRPr="00512048">
        <w:rPr>
          <w:rStyle w:val="TextoNormalNegritaCaracter"/>
        </w:rPr>
        <w:t>Anexo IV.2.1 b).</w:t>
      </w:r>
      <w:r w:rsidRPr="00512048">
        <w:rPr>
          <w:rStyle w:val="TextoNormalCaracter"/>
        </w:rPr>
        <w:t>-</w:t>
      </w:r>
      <w:r>
        <w:t xml:space="preserve"> Auto </w:t>
      </w:r>
      <w:hyperlink w:anchor="AUTO_2007_355" w:history="1">
        <w:r w:rsidRPr="00512048">
          <w:rPr>
            <w:rStyle w:val="TextoNormalCaracter"/>
          </w:rPr>
          <w:t>355/2007</w:t>
        </w:r>
      </w:hyperlink>
      <w:r>
        <w:t>.</w:t>
      </w:r>
    </w:p>
    <w:p w:rsidR="00512048" w:rsidRDefault="00512048" w:rsidP="00512048">
      <w:pPr>
        <w:pStyle w:val="SangriaFrancesaArticulo"/>
      </w:pPr>
    </w:p>
    <w:p w:rsidR="00512048" w:rsidRDefault="00512048" w:rsidP="00512048">
      <w:pPr>
        <w:pStyle w:val="TextoNormalNegritaCursivandice"/>
      </w:pPr>
      <w:r>
        <w:t>Ley 31/2006, de 18 de octubre. Implicación de los trabajadores en las sociedades anónimas y cooperativas europeas</w:t>
      </w:r>
    </w:p>
    <w:p w:rsidR="00512048" w:rsidRDefault="00512048" w:rsidP="00512048">
      <w:pPr>
        <w:pStyle w:val="SangriaFrancesaArticulo"/>
      </w:pPr>
      <w:r w:rsidRPr="00512048">
        <w:rPr>
          <w:rStyle w:val="TextoNormalNegritaCaracter"/>
        </w:rPr>
        <w:t>Disposición final segunda.</w:t>
      </w:r>
      <w:r w:rsidRPr="00512048">
        <w:rPr>
          <w:rStyle w:val="TextoNormalCaracter"/>
        </w:rPr>
        <w:t>-</w:t>
      </w:r>
      <w:r>
        <w:t xml:space="preserve"> Sentencia </w:t>
      </w:r>
      <w:hyperlink w:anchor="SENTENCIA_2007_160" w:history="1">
        <w:r w:rsidRPr="00512048">
          <w:rPr>
            <w:rStyle w:val="TextoNormalCaracter"/>
          </w:rPr>
          <w:t>160/2007</w:t>
        </w:r>
      </w:hyperlink>
      <w:r>
        <w:t>, f. 5.</w:t>
      </w:r>
    </w:p>
    <w:p w:rsidR="00512048" w:rsidRDefault="00512048" w:rsidP="00512048">
      <w:pPr>
        <w:pStyle w:val="TextoNormal"/>
      </w:pPr>
    </w:p>
    <w:p w:rsidR="00512048" w:rsidRDefault="00512048" w:rsidP="00512048">
      <w:pPr>
        <w:pStyle w:val="SangriaFrancesaArticulo"/>
      </w:pPr>
      <w:bookmarkStart w:id="229" w:name="INDICE22847"/>
    </w:p>
    <w:bookmarkEnd w:id="229"/>
    <w:p w:rsidR="00512048" w:rsidRDefault="00512048" w:rsidP="00512048">
      <w:pPr>
        <w:pStyle w:val="TextoIndiceNivel2"/>
        <w:suppressAutoHyphens/>
      </w:pPr>
      <w:r>
        <w:t>F) Reales Decretos Legislativos</w:t>
      </w:r>
    </w:p>
    <w:p w:rsidR="00512048" w:rsidRDefault="00512048" w:rsidP="00512048">
      <w:pPr>
        <w:pStyle w:val="TextoIndiceNivel2"/>
      </w:pPr>
    </w:p>
    <w:p w:rsidR="00512048" w:rsidRDefault="00512048" w:rsidP="00512048">
      <w:pPr>
        <w:pStyle w:val="TextoNormalNegritaCursivandice"/>
      </w:pPr>
      <w:r>
        <w:t>Real Decreto Legislativo 781/1986, de 18 de abril. Texto refundido de las disposiciones legales vigentes en materia de régimen local</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16" w:history="1">
        <w:r w:rsidRPr="00512048">
          <w:rPr>
            <w:rStyle w:val="TextoNormalCaracter"/>
          </w:rPr>
          <w:t>116/2007</w:t>
        </w:r>
      </w:hyperlink>
      <w:r>
        <w:t>, f. 6.</w:t>
      </w:r>
    </w:p>
    <w:p w:rsidR="00512048" w:rsidRDefault="00512048" w:rsidP="00512048">
      <w:pPr>
        <w:pStyle w:val="SangriaFrancesaArticulo"/>
      </w:pPr>
    </w:p>
    <w:p w:rsidR="00512048" w:rsidRDefault="00512048" w:rsidP="00512048">
      <w:pPr>
        <w:pStyle w:val="TextoNormalNegritaCursivandice"/>
      </w:pPr>
      <w:r>
        <w:lastRenderedPageBreak/>
        <w:t>Real Decreto Legislativo 1302/1986, de 28 de junio. Evaluación de impacto ambiental</w:t>
      </w:r>
    </w:p>
    <w:p w:rsidR="00512048" w:rsidRDefault="00512048" w:rsidP="00512048">
      <w:pPr>
        <w:pStyle w:val="SangriaFrancesaArticulo"/>
      </w:pPr>
      <w:r w:rsidRPr="00512048">
        <w:rPr>
          <w:rStyle w:val="TextoNormalNegritaCaracter"/>
        </w:rPr>
        <w:t>Artículo 5.</w:t>
      </w:r>
      <w:r w:rsidRPr="00512048">
        <w:rPr>
          <w:rStyle w:val="TextoNormalCaracter"/>
        </w:rPr>
        <w:t>-</w:t>
      </w:r>
      <w:r>
        <w:t xml:space="preserve"> Auto </w:t>
      </w:r>
      <w:hyperlink w:anchor="AUTO_2007_355" w:history="1">
        <w:r w:rsidRPr="00512048">
          <w:rPr>
            <w:rStyle w:val="TextoNormalCaracter"/>
          </w:rPr>
          <w:t>355/2007</w:t>
        </w:r>
      </w:hyperlink>
      <w:r>
        <w:t>.</w:t>
      </w:r>
    </w:p>
    <w:p w:rsidR="00512048" w:rsidRDefault="00512048" w:rsidP="00512048">
      <w:pPr>
        <w:pStyle w:val="SangriaFrancesaArticulo"/>
      </w:pPr>
      <w:r w:rsidRPr="00512048">
        <w:rPr>
          <w:rStyle w:val="TextoNormalNegritaCaracter"/>
        </w:rPr>
        <w:t>Disposición adicional cuarta.</w:t>
      </w:r>
      <w:r w:rsidRPr="00512048">
        <w:rPr>
          <w:rStyle w:val="TextoNormalCaracter"/>
        </w:rPr>
        <w:t>-</w:t>
      </w:r>
      <w:r>
        <w:t xml:space="preserve"> Auto </w:t>
      </w:r>
      <w:hyperlink w:anchor="AUTO_2007_355" w:history="1">
        <w:r w:rsidRPr="00512048">
          <w:rPr>
            <w:rStyle w:val="TextoNormalCaracter"/>
          </w:rPr>
          <w:t>355/2007</w:t>
        </w:r>
      </w:hyperlink>
      <w:r>
        <w:t>.</w:t>
      </w:r>
    </w:p>
    <w:p w:rsidR="00512048" w:rsidRDefault="00512048" w:rsidP="00512048">
      <w:pPr>
        <w:pStyle w:val="SangriaFrancesaArticulo"/>
      </w:pPr>
    </w:p>
    <w:p w:rsidR="00512048" w:rsidRDefault="00512048" w:rsidP="00512048">
      <w:pPr>
        <w:pStyle w:val="TextoNormalNegritaCursivandice"/>
      </w:pPr>
      <w:r>
        <w:t>Real Decreto Legislativo 339/1990, de 2 de marzo. Texto articulado de la Ley de bases sobre tráfico, circulación de vehículos a motor y seguridad vial</w:t>
      </w:r>
    </w:p>
    <w:p w:rsidR="00512048" w:rsidRDefault="00512048" w:rsidP="00512048">
      <w:pPr>
        <w:pStyle w:val="SangriaFrancesaArticulo"/>
      </w:pPr>
      <w:r w:rsidRPr="00512048">
        <w:rPr>
          <w:rStyle w:val="TextoNormalNegritaCaracter"/>
        </w:rPr>
        <w:t>Artículo 78.1.</w:t>
      </w:r>
      <w:r w:rsidRPr="00512048">
        <w:rPr>
          <w:rStyle w:val="TextoNormalCaracter"/>
        </w:rPr>
        <w:t>-</w:t>
      </w:r>
      <w:r>
        <w:t xml:space="preserve"> Sentencia </w:t>
      </w:r>
      <w:hyperlink w:anchor="SENTENCIA_2007_157" w:history="1">
        <w:r w:rsidRPr="00512048">
          <w:rPr>
            <w:rStyle w:val="TextoNormalCaracter"/>
          </w:rPr>
          <w:t>157/2007</w:t>
        </w:r>
      </w:hyperlink>
      <w:r>
        <w:t>, f. 2.</w:t>
      </w:r>
    </w:p>
    <w:p w:rsidR="00512048" w:rsidRDefault="00512048" w:rsidP="00512048">
      <w:pPr>
        <w:pStyle w:val="SangriaFrancesaArticulo"/>
      </w:pPr>
    </w:p>
    <w:p w:rsidR="00512048" w:rsidRDefault="00512048" w:rsidP="00512048">
      <w:pPr>
        <w:pStyle w:val="TextoNormalNegritaCursivandice"/>
      </w:pPr>
      <w:r>
        <w:t>Real Decreto Legislativo 1/1994, de 20 de junio. Texto refundido de la Ley general de la Seguridad Social</w:t>
      </w:r>
    </w:p>
    <w:p w:rsidR="00512048" w:rsidRDefault="00512048" w:rsidP="00512048">
      <w:pPr>
        <w:pStyle w:val="SangriaFrancesaArticulo"/>
      </w:pPr>
      <w:r w:rsidRPr="00512048">
        <w:rPr>
          <w:rStyle w:val="TextoNormalNegritaCaracter"/>
        </w:rPr>
        <w:t>Artículo 174.2</w:t>
      </w:r>
      <w:r>
        <w:t xml:space="preserve"> </w:t>
      </w:r>
      <w:r w:rsidRPr="00512048">
        <w:rPr>
          <w:rStyle w:val="TextoNormalCaracter"/>
        </w:rPr>
        <w:t>(redactado por la Ley 66/1997, de 30 de diciembre)</w:t>
      </w:r>
      <w:r w:rsidRPr="00512048">
        <w:rPr>
          <w:rStyle w:val="TextoNormalNegritaCaracter"/>
        </w:rPr>
        <w:t>.</w:t>
      </w:r>
      <w:r w:rsidRPr="00512048">
        <w:rPr>
          <w:rStyle w:val="TextoNormalCaracter"/>
        </w:rPr>
        <w:t>-</w:t>
      </w:r>
      <w:r>
        <w:t xml:space="preserve"> Auto </w:t>
      </w:r>
      <w:hyperlink w:anchor="AUTO_2007_328" w:history="1">
        <w:r w:rsidRPr="00512048">
          <w:rPr>
            <w:rStyle w:val="TextoNormalCaracter"/>
          </w:rPr>
          <w:t>328/2007</w:t>
        </w:r>
      </w:hyperlink>
      <w:r>
        <w:t>.</w:t>
      </w:r>
    </w:p>
    <w:p w:rsidR="00512048" w:rsidRDefault="00512048" w:rsidP="00512048">
      <w:pPr>
        <w:pStyle w:val="SangriaFrancesaArticulo"/>
      </w:pPr>
    </w:p>
    <w:p w:rsidR="00512048" w:rsidRDefault="00512048" w:rsidP="00512048">
      <w:pPr>
        <w:pStyle w:val="TextoNormalNegritaCursivandice"/>
      </w:pPr>
      <w:r>
        <w:t>Real Decreto Legislativo 1/1995, de 24 de marzo. Texto refundido de la Ley del estatuto de los trabajadores</w:t>
      </w:r>
    </w:p>
    <w:p w:rsidR="00512048" w:rsidRDefault="00512048" w:rsidP="00512048">
      <w:pPr>
        <w:pStyle w:val="SangriaFrancesaArticulo"/>
      </w:pPr>
      <w:r w:rsidRPr="00512048">
        <w:rPr>
          <w:rStyle w:val="TextoNormalNegritaCaracter"/>
        </w:rPr>
        <w:t>Artículo 3.1 c).</w:t>
      </w:r>
      <w:r w:rsidRPr="00512048">
        <w:rPr>
          <w:rStyle w:val="TextoNormalCaracter"/>
        </w:rPr>
        <w:t>-</w:t>
      </w:r>
      <w:r>
        <w:t xml:space="preserve"> Sentencia </w:t>
      </w:r>
      <w:hyperlink w:anchor="SENTENCIA_2007_125" w:history="1">
        <w:r w:rsidRPr="00512048">
          <w:rPr>
            <w:rStyle w:val="TextoNormalCaracter"/>
          </w:rPr>
          <w:t>125/2007</w:t>
        </w:r>
      </w:hyperlink>
      <w:r>
        <w:t>, f. 4.</w:t>
      </w:r>
    </w:p>
    <w:p w:rsidR="00512048" w:rsidRDefault="00512048" w:rsidP="00512048">
      <w:pPr>
        <w:pStyle w:val="SangriaFrancesaArticulo"/>
      </w:pPr>
      <w:r w:rsidRPr="00512048">
        <w:rPr>
          <w:rStyle w:val="TextoNormalNegritaCaracter"/>
        </w:rPr>
        <w:t>Artículo 5 c).</w:t>
      </w:r>
      <w:r w:rsidRPr="00512048">
        <w:rPr>
          <w:rStyle w:val="TextoNormalCaracter"/>
        </w:rPr>
        <w:t>-</w:t>
      </w:r>
      <w:r>
        <w:t xml:space="preserve"> Sentencia </w:t>
      </w:r>
      <w:hyperlink w:anchor="SENTENCIA_2007_125" w:history="1">
        <w:r w:rsidRPr="00512048">
          <w:rPr>
            <w:rStyle w:val="TextoNormalCaracter"/>
          </w:rPr>
          <w:t>125/2007</w:t>
        </w:r>
      </w:hyperlink>
      <w:r>
        <w:t>, f. 4.</w:t>
      </w:r>
    </w:p>
    <w:p w:rsidR="00512048" w:rsidRDefault="00512048" w:rsidP="00512048">
      <w:pPr>
        <w:pStyle w:val="SangriaFrancesaArticulo"/>
      </w:pPr>
      <w:r w:rsidRPr="00512048">
        <w:rPr>
          <w:rStyle w:val="TextoNormalNegritaCaracter"/>
        </w:rPr>
        <w:t>Artículo 20.1.</w:t>
      </w:r>
      <w:r w:rsidRPr="00512048">
        <w:rPr>
          <w:rStyle w:val="TextoNormalCaracter"/>
        </w:rPr>
        <w:t>-</w:t>
      </w:r>
      <w:r>
        <w:t xml:space="preserve"> Sentencia </w:t>
      </w:r>
      <w:hyperlink w:anchor="SENTENCIA_2007_125" w:history="1">
        <w:r w:rsidRPr="00512048">
          <w:rPr>
            <w:rStyle w:val="TextoNormalCaracter"/>
          </w:rPr>
          <w:t>125/2007</w:t>
        </w:r>
      </w:hyperlink>
      <w:r>
        <w:t>, f. 4.</w:t>
      </w:r>
    </w:p>
    <w:p w:rsidR="00512048" w:rsidRDefault="00512048" w:rsidP="00512048">
      <w:pPr>
        <w:pStyle w:val="SangriaFrancesaArticulo"/>
      </w:pPr>
      <w:r w:rsidRPr="00512048">
        <w:rPr>
          <w:rStyle w:val="TextoNormalNegritaCaracter"/>
        </w:rPr>
        <w:t>Artículo 54.</w:t>
      </w:r>
      <w:r w:rsidRPr="00512048">
        <w:rPr>
          <w:rStyle w:val="TextoNormalCaracter"/>
        </w:rPr>
        <w:t>-</w:t>
      </w:r>
      <w:r>
        <w:t xml:space="preserve"> Sentencia </w:t>
      </w:r>
      <w:hyperlink w:anchor="SENTENCIA_2007_172" w:history="1">
        <w:r w:rsidRPr="00512048">
          <w:rPr>
            <w:rStyle w:val="TextoNormalCaracter"/>
          </w:rPr>
          <w:t>172/2007</w:t>
        </w:r>
      </w:hyperlink>
      <w:r>
        <w:t>, ff. 3, 4.</w:t>
      </w:r>
    </w:p>
    <w:p w:rsidR="00512048" w:rsidRDefault="00512048" w:rsidP="00512048">
      <w:pPr>
        <w:pStyle w:val="SangriaFrancesaArticulo"/>
      </w:pPr>
    </w:p>
    <w:p w:rsidR="00512048" w:rsidRDefault="00512048" w:rsidP="00512048">
      <w:pPr>
        <w:pStyle w:val="TextoNormalNegritaCursivandice"/>
      </w:pPr>
      <w:r>
        <w:t>Real Decreto Legislativo 2/1995, de 7 de abril. Texto refundido de la Ley de  procedimiento laboral</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19" w:history="1">
        <w:r w:rsidRPr="00512048">
          <w:rPr>
            <w:rStyle w:val="TextoNormalCaracter"/>
          </w:rPr>
          <w:t>119/2007</w:t>
        </w:r>
      </w:hyperlink>
      <w:r>
        <w:t>, f. 2.</w:t>
      </w:r>
    </w:p>
    <w:p w:rsidR="00512048" w:rsidRDefault="00512048" w:rsidP="00512048">
      <w:pPr>
        <w:pStyle w:val="SangriaFrancesaArticulo"/>
      </w:pPr>
      <w:r w:rsidRPr="00512048">
        <w:rPr>
          <w:rStyle w:val="TextoNormalNegritaCaracter"/>
        </w:rPr>
        <w:t>Artículo 63.</w:t>
      </w:r>
      <w:r w:rsidRPr="00512048">
        <w:rPr>
          <w:rStyle w:val="TextoNormalCaracter"/>
        </w:rPr>
        <w:t>-</w:t>
      </w:r>
      <w:r>
        <w:t xml:space="preserve"> Sentencia </w:t>
      </w:r>
      <w:hyperlink w:anchor="SENTENCIA_2007_119" w:history="1">
        <w:r w:rsidRPr="00512048">
          <w:rPr>
            <w:rStyle w:val="TextoNormalCaracter"/>
          </w:rPr>
          <w:t>119/2007</w:t>
        </w:r>
      </w:hyperlink>
      <w:r>
        <w:t>, f. 3.</w:t>
      </w:r>
    </w:p>
    <w:p w:rsidR="00512048" w:rsidRDefault="00512048" w:rsidP="00512048">
      <w:pPr>
        <w:pStyle w:val="SangriaFrancesaArticulo"/>
      </w:pPr>
      <w:r w:rsidRPr="00512048">
        <w:rPr>
          <w:rStyle w:val="TextoNormalNegritaCaracter"/>
        </w:rPr>
        <w:t>Artículo 80.</w:t>
      </w:r>
      <w:r w:rsidRPr="00512048">
        <w:rPr>
          <w:rStyle w:val="TextoNormalCaracter"/>
        </w:rPr>
        <w:t>-</w:t>
      </w:r>
      <w:r>
        <w:t xml:space="preserve"> Sentencia </w:t>
      </w:r>
      <w:hyperlink w:anchor="SENTENCIA_2007_119" w:history="1">
        <w:r w:rsidRPr="00512048">
          <w:rPr>
            <w:rStyle w:val="TextoNormalCaracter"/>
          </w:rPr>
          <w:t>119/2007</w:t>
        </w:r>
      </w:hyperlink>
      <w:r>
        <w:t>, f. 3.</w:t>
      </w:r>
    </w:p>
    <w:p w:rsidR="00512048" w:rsidRDefault="00512048" w:rsidP="00512048">
      <w:pPr>
        <w:pStyle w:val="SangriaFrancesaArticulo"/>
      </w:pPr>
      <w:r w:rsidRPr="00512048">
        <w:rPr>
          <w:rStyle w:val="TextoNormalNegritaCaracter"/>
        </w:rPr>
        <w:t>Artículo 80.1.</w:t>
      </w:r>
      <w:r w:rsidRPr="00512048">
        <w:rPr>
          <w:rStyle w:val="TextoNormalCaracter"/>
        </w:rPr>
        <w:t>-</w:t>
      </w:r>
      <w:r>
        <w:t xml:space="preserve"> Sentencia </w:t>
      </w:r>
      <w:hyperlink w:anchor="SENTENCIA_2007_119" w:history="1">
        <w:r w:rsidRPr="00512048">
          <w:rPr>
            <w:rStyle w:val="TextoNormalCaracter"/>
          </w:rPr>
          <w:t>119/2007</w:t>
        </w:r>
      </w:hyperlink>
      <w:r>
        <w:t>, f. 5.</w:t>
      </w:r>
    </w:p>
    <w:p w:rsidR="00512048" w:rsidRDefault="00512048" w:rsidP="00512048">
      <w:pPr>
        <w:pStyle w:val="SangriaFrancesaArticulo"/>
      </w:pPr>
      <w:r w:rsidRPr="00512048">
        <w:rPr>
          <w:rStyle w:val="TextoNormalNegritaCaracter"/>
        </w:rPr>
        <w:t>Artículo 80.1 c).</w:t>
      </w:r>
      <w:r w:rsidRPr="00512048">
        <w:rPr>
          <w:rStyle w:val="TextoNormalCaracter"/>
        </w:rPr>
        <w:t>-</w:t>
      </w:r>
      <w:r>
        <w:t xml:space="preserve"> Sentencia </w:t>
      </w:r>
      <w:hyperlink w:anchor="SENTENCIA_2007_119" w:history="1">
        <w:r w:rsidRPr="00512048">
          <w:rPr>
            <w:rStyle w:val="TextoNormalCaracter"/>
          </w:rPr>
          <w:t>119/2007</w:t>
        </w:r>
      </w:hyperlink>
      <w:r>
        <w:t>, f. 4.</w:t>
      </w:r>
    </w:p>
    <w:p w:rsidR="00512048" w:rsidRDefault="00512048" w:rsidP="00512048">
      <w:pPr>
        <w:pStyle w:val="SangriaFrancesaArticulo"/>
      </w:pPr>
      <w:r w:rsidRPr="00512048">
        <w:rPr>
          <w:rStyle w:val="TextoNormalNegritaCaracter"/>
        </w:rPr>
        <w:t>Artículo 81.</w:t>
      </w:r>
      <w:r w:rsidRPr="00512048">
        <w:rPr>
          <w:rStyle w:val="TextoNormalCaracter"/>
        </w:rPr>
        <w:t>-</w:t>
      </w:r>
      <w:r>
        <w:t xml:space="preserve"> Sentencias </w:t>
      </w:r>
      <w:hyperlink w:anchor="SENTENCIA_2007_119" w:history="1">
        <w:r w:rsidRPr="00512048">
          <w:rPr>
            <w:rStyle w:val="TextoNormalCaracter"/>
          </w:rPr>
          <w:t>119/2007</w:t>
        </w:r>
      </w:hyperlink>
      <w:r>
        <w:t xml:space="preserve">, ff. 3, 5; </w:t>
      </w:r>
      <w:hyperlink w:anchor="SENTENCIA_2007_172" w:history="1">
        <w:r w:rsidRPr="00512048">
          <w:rPr>
            <w:rStyle w:val="TextoNormalCaracter"/>
          </w:rPr>
          <w:t>172/2007</w:t>
        </w:r>
      </w:hyperlink>
      <w:r>
        <w:t>, f. 2.</w:t>
      </w:r>
    </w:p>
    <w:p w:rsidR="00512048" w:rsidRDefault="00512048" w:rsidP="00512048">
      <w:pPr>
        <w:pStyle w:val="SangriaFrancesaArticulo"/>
      </w:pPr>
      <w:r w:rsidRPr="00512048">
        <w:rPr>
          <w:rStyle w:val="TextoNormalNegritaCaracter"/>
        </w:rPr>
        <w:t>Artículo 81.1.</w:t>
      </w:r>
      <w:r w:rsidRPr="00512048">
        <w:rPr>
          <w:rStyle w:val="TextoNormalCaracter"/>
        </w:rPr>
        <w:t>-</w:t>
      </w:r>
      <w:r>
        <w:t xml:space="preserve"> Sentencia </w:t>
      </w:r>
      <w:hyperlink w:anchor="SENTENCIA_2007_119" w:history="1">
        <w:r w:rsidRPr="00512048">
          <w:rPr>
            <w:rStyle w:val="TextoNormalCaracter"/>
          </w:rPr>
          <w:t>119/2007</w:t>
        </w:r>
      </w:hyperlink>
      <w:r>
        <w:t>, ff. 3, 7.</w:t>
      </w:r>
    </w:p>
    <w:p w:rsidR="00512048" w:rsidRDefault="00512048" w:rsidP="00512048">
      <w:pPr>
        <w:pStyle w:val="SangriaFrancesaArticulo"/>
      </w:pPr>
      <w:r w:rsidRPr="00512048">
        <w:rPr>
          <w:rStyle w:val="TextoNormalNegritaCaracter"/>
        </w:rPr>
        <w:t>Artículo 81.2.</w:t>
      </w:r>
      <w:r w:rsidRPr="00512048">
        <w:rPr>
          <w:rStyle w:val="TextoNormalCaracter"/>
        </w:rPr>
        <w:t>-</w:t>
      </w:r>
      <w:r>
        <w:t xml:space="preserve"> Sentencia </w:t>
      </w:r>
      <w:hyperlink w:anchor="SENTENCIA_2007_119" w:history="1">
        <w:r w:rsidRPr="00512048">
          <w:rPr>
            <w:rStyle w:val="TextoNormalCaracter"/>
          </w:rPr>
          <w:t>119/2007</w:t>
        </w:r>
      </w:hyperlink>
      <w:r>
        <w:t>, ff. 3 a 7.</w:t>
      </w:r>
    </w:p>
    <w:p w:rsidR="00512048" w:rsidRDefault="00512048" w:rsidP="00512048">
      <w:pPr>
        <w:pStyle w:val="SangriaFrancesaArticulo"/>
      </w:pPr>
      <w:r w:rsidRPr="00512048">
        <w:rPr>
          <w:rStyle w:val="TextoNormalNegritaCaracter"/>
        </w:rPr>
        <w:t>Artículo 91.2.</w:t>
      </w:r>
      <w:r w:rsidRPr="00512048">
        <w:rPr>
          <w:rStyle w:val="TextoNormalCaracter"/>
        </w:rPr>
        <w:t>-</w:t>
      </w:r>
      <w:r>
        <w:t xml:space="preserve"> Sentencia </w:t>
      </w:r>
      <w:hyperlink w:anchor="SENTENCIA_2007_162" w:history="1">
        <w:r w:rsidRPr="00512048">
          <w:rPr>
            <w:rStyle w:val="TextoNormalCaracter"/>
          </w:rPr>
          <w:t>162/2007</w:t>
        </w:r>
      </w:hyperlink>
      <w:r>
        <w:t>, f. 3.</w:t>
      </w:r>
    </w:p>
    <w:p w:rsidR="00512048" w:rsidRDefault="00512048" w:rsidP="00512048">
      <w:pPr>
        <w:pStyle w:val="SangriaFrancesaArticulo"/>
      </w:pPr>
      <w:r w:rsidRPr="00512048">
        <w:rPr>
          <w:rStyle w:val="TextoNormalNegritaCaracter"/>
        </w:rPr>
        <w:t>Artículo 189.</w:t>
      </w:r>
      <w:r w:rsidRPr="00512048">
        <w:rPr>
          <w:rStyle w:val="TextoNormalCaracter"/>
        </w:rPr>
        <w:t>-</w:t>
      </w:r>
      <w:r>
        <w:t xml:space="preserve"> Sentencia </w:t>
      </w:r>
      <w:hyperlink w:anchor="SENTENCIA_2007_123" w:history="1">
        <w:r w:rsidRPr="00512048">
          <w:rPr>
            <w:rStyle w:val="TextoNormalCaracter"/>
          </w:rPr>
          <w:t>123/2007</w:t>
        </w:r>
      </w:hyperlink>
      <w:r>
        <w:t>, f. 2.</w:t>
      </w:r>
    </w:p>
    <w:p w:rsidR="00512048" w:rsidRDefault="00512048" w:rsidP="00512048">
      <w:pPr>
        <w:pStyle w:val="SangriaFrancesaArticulo"/>
      </w:pPr>
      <w:r w:rsidRPr="00512048">
        <w:rPr>
          <w:rStyle w:val="TextoNormalNegritaCaracter"/>
        </w:rPr>
        <w:t>Artículo 233.1.</w:t>
      </w:r>
      <w:r w:rsidRPr="00512048">
        <w:rPr>
          <w:rStyle w:val="TextoNormalCaracter"/>
        </w:rPr>
        <w:t>-</w:t>
      </w:r>
      <w:r>
        <w:t xml:space="preserve"> Sentencia </w:t>
      </w:r>
      <w:hyperlink w:anchor="SENTENCIA_2007_135" w:history="1">
        <w:r w:rsidRPr="00512048">
          <w:rPr>
            <w:rStyle w:val="TextoNormalCaracter"/>
          </w:rPr>
          <w:t>135/2007</w:t>
        </w:r>
      </w:hyperlink>
      <w:r>
        <w:t>, f. 2.</w:t>
      </w:r>
    </w:p>
    <w:p w:rsidR="00512048" w:rsidRDefault="00512048" w:rsidP="00512048">
      <w:pPr>
        <w:pStyle w:val="SangriaFrancesaArticulo"/>
      </w:pPr>
    </w:p>
    <w:p w:rsidR="00512048" w:rsidRDefault="00512048" w:rsidP="00512048">
      <w:pPr>
        <w:pStyle w:val="TextoNormalNegritaCursivandice"/>
      </w:pPr>
      <w:r>
        <w:t>Real Decreto Legislativo 1/1996, de 12 de abril. Texto refundido de la Ley de propiedad intelectual, regularizando, aclarando y armonizando las disposiciones legales vigentes sobre la materia</w:t>
      </w:r>
    </w:p>
    <w:p w:rsidR="00512048" w:rsidRDefault="00512048" w:rsidP="00512048">
      <w:pPr>
        <w:pStyle w:val="SangriaFrancesaArticulo"/>
      </w:pPr>
      <w:r w:rsidRPr="00512048">
        <w:rPr>
          <w:rStyle w:val="TextoNormalNegritaCaracter"/>
        </w:rPr>
        <w:t>Artículo 145.</w:t>
      </w:r>
      <w:r w:rsidRPr="00512048">
        <w:rPr>
          <w:rStyle w:val="TextoNormalCaracter"/>
        </w:rPr>
        <w:t>-</w:t>
      </w:r>
      <w:r>
        <w:t xml:space="preserve"> Sentencia </w:t>
      </w:r>
      <w:hyperlink w:anchor="SENTENCIA_2007_166" w:history="1">
        <w:r w:rsidRPr="00512048">
          <w:rPr>
            <w:rStyle w:val="TextoNormalCaracter"/>
          </w:rPr>
          <w:t>166/2007</w:t>
        </w:r>
      </w:hyperlink>
      <w:r>
        <w:t>, ff. 3, 4, 7, 8.</w:t>
      </w:r>
    </w:p>
    <w:p w:rsidR="00512048" w:rsidRDefault="00512048" w:rsidP="00512048">
      <w:pPr>
        <w:pStyle w:val="SangriaFrancesaArticulo"/>
      </w:pPr>
      <w:r w:rsidRPr="00512048">
        <w:rPr>
          <w:rStyle w:val="TextoNormalNegritaCaracter"/>
        </w:rPr>
        <w:t>Artículo 145</w:t>
      </w:r>
      <w:r>
        <w:t xml:space="preserve"> </w:t>
      </w:r>
      <w:r w:rsidRPr="00512048">
        <w:rPr>
          <w:rStyle w:val="TextoNormalCaracter"/>
        </w:rPr>
        <w:t>(convertido en artículo 150 tras la renumeración hecha por la Ley 5/1998, de 6 de marzo)</w:t>
      </w:r>
      <w:r w:rsidRPr="00512048">
        <w:rPr>
          <w:rStyle w:val="TextoNormalNegritaCaracter"/>
        </w:rPr>
        <w:t>.</w:t>
      </w:r>
      <w:r w:rsidRPr="00512048">
        <w:rPr>
          <w:rStyle w:val="TextoNormalCaracter"/>
        </w:rPr>
        <w:t>-</w:t>
      </w:r>
      <w:r>
        <w:t xml:space="preserve"> Sentencia </w:t>
      </w:r>
      <w:hyperlink w:anchor="SENTENCIA_2007_166" w:history="1">
        <w:r w:rsidRPr="00512048">
          <w:rPr>
            <w:rStyle w:val="TextoNormalCaracter"/>
          </w:rPr>
          <w:t>166/2007</w:t>
        </w:r>
      </w:hyperlink>
      <w:r>
        <w:t>, ff. 6 a 8.</w:t>
      </w:r>
    </w:p>
    <w:p w:rsidR="00512048" w:rsidRDefault="00512048" w:rsidP="00512048">
      <w:pPr>
        <w:pStyle w:val="SangriaFrancesaArticulo"/>
      </w:pPr>
      <w:r w:rsidRPr="00512048">
        <w:rPr>
          <w:rStyle w:val="TextoNormalNegritaCaracter"/>
        </w:rPr>
        <w:t>Artículo 145 párrafo 2.</w:t>
      </w:r>
      <w:r w:rsidRPr="00512048">
        <w:rPr>
          <w:rStyle w:val="TextoNormalCaracter"/>
        </w:rPr>
        <w:t>-</w:t>
      </w:r>
      <w:r>
        <w:t xml:space="preserve"> Sentencia </w:t>
      </w:r>
      <w:hyperlink w:anchor="SENTENCIA_2007_166" w:history="1">
        <w:r w:rsidRPr="00512048">
          <w:rPr>
            <w:rStyle w:val="TextoNormalCaracter"/>
          </w:rPr>
          <w:t>166/2007</w:t>
        </w:r>
      </w:hyperlink>
      <w:r>
        <w:t>, ff. 4, 6 a 8.</w:t>
      </w:r>
    </w:p>
    <w:p w:rsidR="00512048" w:rsidRDefault="00512048" w:rsidP="00512048">
      <w:pPr>
        <w:pStyle w:val="SangriaFrancesaArticulo"/>
      </w:pPr>
      <w:r w:rsidRPr="00512048">
        <w:rPr>
          <w:rStyle w:val="TextoNormalNegritaCaracter"/>
        </w:rPr>
        <w:t>Artículo 150</w:t>
      </w:r>
      <w:r>
        <w:t xml:space="preserve"> </w:t>
      </w:r>
      <w:r w:rsidRPr="00512048">
        <w:rPr>
          <w:rStyle w:val="TextoNormalCaracter"/>
        </w:rPr>
        <w:t>(redactado por la Ley 1/2000, de 7 de enero)</w:t>
      </w:r>
      <w:r w:rsidRPr="00512048">
        <w:rPr>
          <w:rStyle w:val="TextoNormalNegritaCaracter"/>
        </w:rPr>
        <w:t>.</w:t>
      </w:r>
      <w:r w:rsidRPr="00512048">
        <w:rPr>
          <w:rStyle w:val="TextoNormalCaracter"/>
        </w:rPr>
        <w:t>-</w:t>
      </w:r>
      <w:r>
        <w:t xml:space="preserve"> Sentencia </w:t>
      </w:r>
      <w:hyperlink w:anchor="SENTENCIA_2007_166" w:history="1">
        <w:r w:rsidRPr="00512048">
          <w:rPr>
            <w:rStyle w:val="TextoNormalCaracter"/>
          </w:rPr>
          <w:t>166/2007</w:t>
        </w:r>
      </w:hyperlink>
      <w:r>
        <w:t>, f. 4.</w:t>
      </w:r>
    </w:p>
    <w:p w:rsidR="00512048" w:rsidRDefault="00512048" w:rsidP="00512048">
      <w:pPr>
        <w:pStyle w:val="SangriaFrancesaArticulo"/>
      </w:pPr>
      <w:r w:rsidRPr="00512048">
        <w:rPr>
          <w:rStyle w:val="TextoNormalNegritaCaracter"/>
        </w:rPr>
        <w:t>Artículo 150</w:t>
      </w:r>
      <w:r>
        <w:t xml:space="preserve"> </w:t>
      </w:r>
      <w:r w:rsidRPr="00512048">
        <w:rPr>
          <w:rStyle w:val="TextoNormalCaracter"/>
        </w:rPr>
        <w:t>(redactado por la Ley 5/1998, de 6 de marzo)</w:t>
      </w:r>
      <w:r w:rsidRPr="00512048">
        <w:rPr>
          <w:rStyle w:val="TextoNormalNegritaCaracter"/>
        </w:rPr>
        <w:t>.</w:t>
      </w:r>
      <w:r w:rsidRPr="00512048">
        <w:rPr>
          <w:rStyle w:val="TextoNormalCaracter"/>
        </w:rPr>
        <w:t>-</w:t>
      </w:r>
      <w:r>
        <w:t xml:space="preserve"> Sentencia </w:t>
      </w:r>
      <w:hyperlink w:anchor="SENTENCIA_2007_166" w:history="1">
        <w:r w:rsidRPr="00512048">
          <w:rPr>
            <w:rStyle w:val="TextoNormalCaracter"/>
          </w:rPr>
          <w:t>166/2007</w:t>
        </w:r>
      </w:hyperlink>
      <w:r>
        <w:t>, ff. 1, 3, 4, 7, 8.</w:t>
      </w:r>
    </w:p>
    <w:p w:rsidR="00512048" w:rsidRDefault="00512048" w:rsidP="00512048">
      <w:pPr>
        <w:pStyle w:val="SangriaFrancesaArticulo"/>
      </w:pPr>
      <w:r w:rsidRPr="00512048">
        <w:rPr>
          <w:rStyle w:val="TextoNormalNegritaCaracter"/>
        </w:rPr>
        <w:t>Artículo 150.2</w:t>
      </w:r>
      <w:r>
        <w:t xml:space="preserve"> </w:t>
      </w:r>
      <w:r w:rsidRPr="00512048">
        <w:rPr>
          <w:rStyle w:val="TextoNormalCaracter"/>
        </w:rPr>
        <w:t>(redactado por la Ley 5/1998, de 6 de marzo)</w:t>
      </w:r>
      <w:r w:rsidRPr="00512048">
        <w:rPr>
          <w:rStyle w:val="TextoNormalNegritaCaracter"/>
        </w:rPr>
        <w:t>.</w:t>
      </w:r>
      <w:r w:rsidRPr="00512048">
        <w:rPr>
          <w:rStyle w:val="TextoNormalCaracter"/>
        </w:rPr>
        <w:t>-</w:t>
      </w:r>
      <w:r>
        <w:t xml:space="preserve"> Auto </w:t>
      </w:r>
      <w:hyperlink w:anchor="AUTO_2007_289" w:history="1">
        <w:r w:rsidRPr="00512048">
          <w:rPr>
            <w:rStyle w:val="TextoNormalCaracter"/>
          </w:rPr>
          <w:t>289/2007</w:t>
        </w:r>
      </w:hyperlink>
      <w:r>
        <w:t>.</w:t>
      </w:r>
    </w:p>
    <w:p w:rsidR="00512048" w:rsidRDefault="00512048" w:rsidP="00512048">
      <w:pPr>
        <w:pStyle w:val="SangriaFrancesaArticulo"/>
      </w:pPr>
    </w:p>
    <w:p w:rsidR="00512048" w:rsidRDefault="00512048" w:rsidP="00512048">
      <w:pPr>
        <w:pStyle w:val="TextoNormalNegritaCursivandice"/>
      </w:pPr>
      <w:r>
        <w:t>Real Decreto Legislativo 1/2001, de 20 de julio. Texto refundido de la Ley de aguas</w:t>
      </w:r>
    </w:p>
    <w:p w:rsidR="00512048" w:rsidRDefault="00512048" w:rsidP="00512048">
      <w:pPr>
        <w:pStyle w:val="SangriaFrancesaArticulo"/>
      </w:pPr>
      <w:r w:rsidRPr="00512048">
        <w:rPr>
          <w:rStyle w:val="TextoNormalNegritaCaracter"/>
        </w:rPr>
        <w:lastRenderedPageBreak/>
        <w:t>Artículo 92.</w:t>
      </w:r>
      <w:r w:rsidRPr="00512048">
        <w:rPr>
          <w:rStyle w:val="TextoNormalCaracter"/>
        </w:rPr>
        <w:t>-</w:t>
      </w:r>
      <w:r>
        <w:t xml:space="preserve"> Auto </w:t>
      </w:r>
      <w:hyperlink w:anchor="AUTO_2007_355" w:history="1">
        <w:r w:rsidRPr="00512048">
          <w:rPr>
            <w:rStyle w:val="TextoNormalCaracter"/>
          </w:rPr>
          <w:t>355/2007</w:t>
        </w:r>
      </w:hyperlink>
      <w:r>
        <w:t>.</w:t>
      </w:r>
    </w:p>
    <w:p w:rsidR="00512048" w:rsidRDefault="00512048" w:rsidP="00512048">
      <w:pPr>
        <w:pStyle w:val="TextoNormal"/>
      </w:pPr>
    </w:p>
    <w:p w:rsidR="00512048" w:rsidRDefault="00512048" w:rsidP="00512048">
      <w:pPr>
        <w:pStyle w:val="SangriaFrancesaArticulo"/>
      </w:pPr>
      <w:bookmarkStart w:id="230" w:name="INDICE22848"/>
    </w:p>
    <w:bookmarkEnd w:id="230"/>
    <w:p w:rsidR="00512048" w:rsidRDefault="00512048" w:rsidP="00512048">
      <w:pPr>
        <w:pStyle w:val="TextoIndiceNivel2"/>
        <w:suppressAutoHyphens/>
      </w:pPr>
      <w:r>
        <w:t>G) Reales Decretos-leyes</w:t>
      </w:r>
    </w:p>
    <w:p w:rsidR="00512048" w:rsidRDefault="00512048" w:rsidP="00512048">
      <w:pPr>
        <w:pStyle w:val="TextoIndiceNivel2"/>
      </w:pPr>
    </w:p>
    <w:p w:rsidR="00512048" w:rsidRDefault="00512048" w:rsidP="00512048">
      <w:pPr>
        <w:pStyle w:val="TextoNormalNegritaCursivandice"/>
      </w:pPr>
      <w:r>
        <w:t>Real Decreto-ley 5/2002, de 24 de mayo. Medidas urgentes para la reforma del sistema de protección por desempleo y mejora de la ocupabilidad</w:t>
      </w:r>
    </w:p>
    <w:p w:rsidR="00512048" w:rsidRDefault="00512048" w:rsidP="00512048">
      <w:pPr>
        <w:pStyle w:val="SangriaFrancesaArticulo"/>
      </w:pPr>
      <w:r w:rsidRPr="00512048">
        <w:rPr>
          <w:rStyle w:val="TextoNormalNegritaCaracter"/>
        </w:rPr>
        <w:t>Artículo 2.3.</w:t>
      </w:r>
      <w:r w:rsidRPr="00512048">
        <w:rPr>
          <w:rStyle w:val="TextoNormalCaracter"/>
        </w:rPr>
        <w:t>-</w:t>
      </w:r>
      <w:r>
        <w:t xml:space="preserve"> Auto </w:t>
      </w:r>
      <w:hyperlink w:anchor="AUTO_2007_290" w:history="1">
        <w:r w:rsidRPr="00512048">
          <w:rPr>
            <w:rStyle w:val="TextoNormalCaracter"/>
          </w:rPr>
          <w:t>290/2007</w:t>
        </w:r>
      </w:hyperlink>
      <w:r>
        <w:t>.</w:t>
      </w:r>
    </w:p>
    <w:p w:rsidR="00512048" w:rsidRDefault="00512048" w:rsidP="00512048">
      <w:pPr>
        <w:pStyle w:val="TextoNormal"/>
      </w:pPr>
    </w:p>
    <w:p w:rsidR="00512048" w:rsidRDefault="00512048" w:rsidP="00512048">
      <w:pPr>
        <w:pStyle w:val="SangriaFrancesaArticulo"/>
      </w:pPr>
      <w:bookmarkStart w:id="231" w:name="INDICE22849"/>
    </w:p>
    <w:bookmarkEnd w:id="231"/>
    <w:p w:rsidR="00512048" w:rsidRDefault="00512048" w:rsidP="00512048">
      <w:pPr>
        <w:pStyle w:val="TextoIndiceNivel2"/>
        <w:suppressAutoHyphens/>
      </w:pPr>
      <w:r>
        <w:t>H) Reales Decretos y otras disposiciones generales del Estado</w:t>
      </w:r>
    </w:p>
    <w:p w:rsidR="00512048" w:rsidRDefault="00512048" w:rsidP="00512048">
      <w:pPr>
        <w:pStyle w:val="TextoIndiceNivel2"/>
      </w:pPr>
    </w:p>
    <w:p w:rsidR="00512048" w:rsidRDefault="00512048" w:rsidP="00512048">
      <w:pPr>
        <w:pStyle w:val="TextoNormalNegritaCursivandice"/>
      </w:pPr>
      <w:r>
        <w:t>Real Decreto 1201/1981, de 8 de mayo. Reglamento penitenciario</w:t>
      </w:r>
    </w:p>
    <w:p w:rsidR="00512048" w:rsidRDefault="00512048" w:rsidP="00512048">
      <w:pPr>
        <w:pStyle w:val="SangriaFrancesaArticulo"/>
      </w:pPr>
      <w:r w:rsidRPr="00512048">
        <w:rPr>
          <w:rStyle w:val="TextoNormalNegritaCaracter"/>
        </w:rPr>
        <w:t>Artículo 108 a).</w:t>
      </w:r>
      <w:r w:rsidRPr="00512048">
        <w:rPr>
          <w:rStyle w:val="TextoNormalCaracter"/>
        </w:rPr>
        <w:t>-</w:t>
      </w:r>
      <w:r>
        <w:t xml:space="preserve"> Sentencia </w:t>
      </w:r>
      <w:hyperlink w:anchor="SENTENCIA_2007_124" w:history="1">
        <w:r w:rsidRPr="00512048">
          <w:rPr>
            <w:rStyle w:val="TextoNormalCaracter"/>
          </w:rPr>
          <w:t>124/2007</w:t>
        </w:r>
      </w:hyperlink>
      <w:r>
        <w:t>, ff. 1, 5.</w:t>
      </w:r>
    </w:p>
    <w:p w:rsidR="00512048" w:rsidRDefault="00512048" w:rsidP="00512048">
      <w:pPr>
        <w:pStyle w:val="SangriaFrancesaArticulo"/>
      </w:pPr>
      <w:r w:rsidRPr="00512048">
        <w:rPr>
          <w:rStyle w:val="TextoNormalNegritaCaracter"/>
        </w:rPr>
        <w:t>Artículo 108 c).</w:t>
      </w:r>
      <w:r w:rsidRPr="00512048">
        <w:rPr>
          <w:rStyle w:val="TextoNormalCaracter"/>
        </w:rPr>
        <w:t>-</w:t>
      </w:r>
      <w:r>
        <w:t xml:space="preserve"> Sentencia </w:t>
      </w:r>
      <w:hyperlink w:anchor="SENTENCIA_2007_155" w:history="1">
        <w:r w:rsidRPr="00512048">
          <w:rPr>
            <w:rStyle w:val="TextoNormalCaracter"/>
          </w:rPr>
          <w:t>155/2007</w:t>
        </w:r>
      </w:hyperlink>
      <w:r>
        <w:t>, f. 1.</w:t>
      </w:r>
    </w:p>
    <w:p w:rsidR="00512048" w:rsidRDefault="00512048" w:rsidP="00512048">
      <w:pPr>
        <w:pStyle w:val="SangriaFrancesaArticulo"/>
      </w:pPr>
      <w:r w:rsidRPr="00512048">
        <w:rPr>
          <w:rStyle w:val="TextoNormalNegritaCaracter"/>
        </w:rPr>
        <w:t>Artículo 109 b).</w:t>
      </w:r>
      <w:r w:rsidRPr="00512048">
        <w:rPr>
          <w:rStyle w:val="TextoNormalCaracter"/>
        </w:rPr>
        <w:t>-</w:t>
      </w:r>
      <w:r>
        <w:t xml:space="preserve"> Sentencia </w:t>
      </w:r>
      <w:hyperlink w:anchor="SENTENCIA_2007_124" w:history="1">
        <w:r w:rsidRPr="00512048">
          <w:rPr>
            <w:rStyle w:val="TextoNormalCaracter"/>
          </w:rPr>
          <w:t>124/2007</w:t>
        </w:r>
      </w:hyperlink>
      <w:r>
        <w:t>, f. 1.</w:t>
      </w:r>
    </w:p>
    <w:p w:rsidR="00512048" w:rsidRDefault="00512048" w:rsidP="00512048">
      <w:pPr>
        <w:pStyle w:val="SangriaFrancesaArticulo"/>
      </w:pPr>
      <w:r w:rsidRPr="00512048">
        <w:rPr>
          <w:rStyle w:val="TextoNormalNegritaCaracter"/>
        </w:rPr>
        <w:t>Artículo 242.2 i).</w:t>
      </w:r>
      <w:r w:rsidRPr="00512048">
        <w:rPr>
          <w:rStyle w:val="TextoNormalCaracter"/>
        </w:rPr>
        <w:t>-</w:t>
      </w:r>
      <w:r>
        <w:t xml:space="preserve"> Sentencia </w:t>
      </w:r>
      <w:hyperlink w:anchor="SENTENCIA_2007_124" w:history="1">
        <w:r w:rsidRPr="00512048">
          <w:rPr>
            <w:rStyle w:val="TextoNormalCaracter"/>
          </w:rPr>
          <w:t>124/2007</w:t>
        </w:r>
      </w:hyperlink>
      <w:r>
        <w:t>, f. 3.</w:t>
      </w:r>
    </w:p>
    <w:p w:rsidR="00512048" w:rsidRDefault="00512048" w:rsidP="00512048">
      <w:pPr>
        <w:pStyle w:val="SangriaFrancesaArticulo"/>
      </w:pPr>
    </w:p>
    <w:p w:rsidR="00512048" w:rsidRDefault="00512048" w:rsidP="00512048">
      <w:pPr>
        <w:pStyle w:val="TextoNormalNegritaCursivandice"/>
      </w:pPr>
      <w:r>
        <w:t>Real Decreto 1999/1981, de 20 de agosto. Reglamento de procedimiento en las reclamaciones económico-administrativas</w:t>
      </w:r>
    </w:p>
    <w:p w:rsidR="00512048" w:rsidRDefault="00512048" w:rsidP="00512048">
      <w:pPr>
        <w:pStyle w:val="SangriaFrancesaArticulo"/>
      </w:pPr>
      <w:r w:rsidRPr="00512048">
        <w:rPr>
          <w:rStyle w:val="TextoNormalNegritaCaracter"/>
        </w:rPr>
        <w:t>Artículo 61.</w:t>
      </w:r>
      <w:r w:rsidRPr="00512048">
        <w:rPr>
          <w:rStyle w:val="TextoNormalCaracter"/>
        </w:rPr>
        <w:t>-</w:t>
      </w:r>
      <w:r>
        <w:t xml:space="preserve"> Auto </w:t>
      </w:r>
      <w:hyperlink w:anchor="AUTO_2007_313" w:history="1">
        <w:r w:rsidRPr="00512048">
          <w:rPr>
            <w:rStyle w:val="TextoNormalCaracter"/>
          </w:rPr>
          <w:t>313/2007</w:t>
        </w:r>
      </w:hyperlink>
      <w:r>
        <w:t>.</w:t>
      </w:r>
    </w:p>
    <w:p w:rsidR="00512048" w:rsidRDefault="00512048" w:rsidP="00512048">
      <w:pPr>
        <w:pStyle w:val="SangriaFrancesaArticulo"/>
      </w:pPr>
      <w:r w:rsidRPr="00512048">
        <w:rPr>
          <w:rStyle w:val="TextoNormalNegritaCaracter"/>
        </w:rPr>
        <w:t>Artículo 116.</w:t>
      </w:r>
      <w:r w:rsidRPr="00512048">
        <w:rPr>
          <w:rStyle w:val="TextoNormalCaracter"/>
        </w:rPr>
        <w:t>-</w:t>
      </w:r>
      <w:r>
        <w:t xml:space="preserve"> Auto </w:t>
      </w:r>
      <w:hyperlink w:anchor="AUTO_2007_313" w:history="1">
        <w:r w:rsidRPr="00512048">
          <w:rPr>
            <w:rStyle w:val="TextoNormalCaracter"/>
          </w:rPr>
          <w:t>313/2007</w:t>
        </w:r>
      </w:hyperlink>
      <w:r>
        <w:t>.</w:t>
      </w:r>
    </w:p>
    <w:p w:rsidR="00512048" w:rsidRDefault="00512048" w:rsidP="00512048">
      <w:pPr>
        <w:pStyle w:val="SangriaFrancesaArticulo"/>
      </w:pPr>
    </w:p>
    <w:p w:rsidR="00512048" w:rsidRDefault="00512048" w:rsidP="00512048">
      <w:pPr>
        <w:pStyle w:val="TextoNormalNegritaCursivandice"/>
      </w:pPr>
      <w:r>
        <w:t>Real Decreto 287/1989, de 21 de marzo. Desarrolla el artículo 25 de la Ley 22/1987, de 11 de noviembre, de propiedad intelectual</w:t>
      </w:r>
    </w:p>
    <w:p w:rsidR="00512048" w:rsidRDefault="00512048" w:rsidP="00512048">
      <w:pPr>
        <w:pStyle w:val="SangriaFrancesaArticulo"/>
      </w:pPr>
      <w:r w:rsidRPr="00512048">
        <w:rPr>
          <w:rStyle w:val="TextoNormalNegritaCaracter"/>
        </w:rPr>
        <w:t>Artículos 15 a 17.</w:t>
      </w:r>
      <w:r w:rsidRPr="00512048">
        <w:rPr>
          <w:rStyle w:val="TextoNormalCaracter"/>
        </w:rPr>
        <w:t>-</w:t>
      </w:r>
      <w:r>
        <w:t xml:space="preserve"> Auto </w:t>
      </w:r>
      <w:hyperlink w:anchor="AUTO_2007_289" w:history="1">
        <w:r w:rsidRPr="00512048">
          <w:rPr>
            <w:rStyle w:val="TextoNormalCaracter"/>
          </w:rPr>
          <w:t>289/2007</w:t>
        </w:r>
      </w:hyperlink>
      <w:r>
        <w:t>.</w:t>
      </w:r>
    </w:p>
    <w:p w:rsidR="00512048" w:rsidRDefault="00512048" w:rsidP="00512048">
      <w:pPr>
        <w:pStyle w:val="SangriaFrancesaArticulo"/>
      </w:pPr>
    </w:p>
    <w:p w:rsidR="00512048" w:rsidRDefault="00512048" w:rsidP="00512048">
      <w:pPr>
        <w:pStyle w:val="TextoNormalNegritaCursivandice"/>
      </w:pPr>
      <w:r>
        <w:t>Reglamento del Consejo General del Poder Judicial 5/1995, de 7 de junio. Aspectos accesorios de las actuaciones judiciales</w:t>
      </w:r>
    </w:p>
    <w:p w:rsidR="00512048" w:rsidRDefault="00512048" w:rsidP="00512048">
      <w:pPr>
        <w:pStyle w:val="SangriaFrancesaArticulo"/>
      </w:pPr>
      <w:r w:rsidRPr="00512048">
        <w:rPr>
          <w:rStyle w:val="TextoNormalNegritaCaracter"/>
        </w:rPr>
        <w:t>Artículo 41.</w:t>
      </w:r>
      <w:r w:rsidRPr="00512048">
        <w:rPr>
          <w:rStyle w:val="TextoNormalCaracter"/>
        </w:rPr>
        <w:t>-</w:t>
      </w:r>
      <w:r>
        <w:t xml:space="preserve"> Sentencia </w:t>
      </w:r>
      <w:hyperlink w:anchor="SENTENCIA_2007_159" w:history="1">
        <w:r w:rsidRPr="00512048">
          <w:rPr>
            <w:rStyle w:val="TextoNormalCaracter"/>
          </w:rPr>
          <w:t>159/2007</w:t>
        </w:r>
      </w:hyperlink>
      <w:r>
        <w:t>, f. 3.</w:t>
      </w:r>
    </w:p>
    <w:p w:rsidR="00512048" w:rsidRDefault="00512048" w:rsidP="00512048">
      <w:pPr>
        <w:pStyle w:val="SangriaFrancesaArticulo"/>
      </w:pPr>
    </w:p>
    <w:p w:rsidR="00512048" w:rsidRDefault="00512048" w:rsidP="00512048">
      <w:pPr>
        <w:pStyle w:val="TextoNormalNegritaCursivandice"/>
      </w:pPr>
      <w:r>
        <w:t>Real Decreto 1997/1995, de 7 de diciembre. Medidas para garantizar la biodiversidad, la conservación de los hábitats naturales y la fauna y flora silvestres</w:t>
      </w:r>
    </w:p>
    <w:p w:rsidR="00512048" w:rsidRDefault="00512048" w:rsidP="00512048">
      <w:pPr>
        <w:pStyle w:val="SangriaFrancesaArticulo"/>
      </w:pPr>
      <w:r w:rsidRPr="00512048">
        <w:rPr>
          <w:rStyle w:val="TextoNormalNegritaCaracter"/>
        </w:rPr>
        <w:t>Anexo I.</w:t>
      </w:r>
      <w:r w:rsidRPr="00512048">
        <w:rPr>
          <w:rStyle w:val="TextoNormalCaracter"/>
        </w:rPr>
        <w:t>-</w:t>
      </w:r>
      <w:r>
        <w:t xml:space="preserve"> Auto </w:t>
      </w:r>
      <w:hyperlink w:anchor="AUTO_2007_355" w:history="1">
        <w:r w:rsidRPr="00512048">
          <w:rPr>
            <w:rStyle w:val="TextoNormalCaracter"/>
          </w:rPr>
          <w:t>355/2007</w:t>
        </w:r>
      </w:hyperlink>
      <w:r>
        <w:t>.</w:t>
      </w:r>
    </w:p>
    <w:p w:rsidR="00512048" w:rsidRDefault="00512048" w:rsidP="00512048">
      <w:pPr>
        <w:pStyle w:val="SangriaFrancesaArticulo"/>
      </w:pPr>
    </w:p>
    <w:p w:rsidR="00512048" w:rsidRDefault="00512048" w:rsidP="00512048">
      <w:pPr>
        <w:pStyle w:val="TextoNormalNegritaCursivandice"/>
      </w:pPr>
      <w:r>
        <w:t>Real Decreto 190/1996, de 9 de febrero. Reglamento penitenciario</w:t>
      </w:r>
    </w:p>
    <w:p w:rsidR="00512048" w:rsidRDefault="00512048" w:rsidP="00512048">
      <w:pPr>
        <w:pStyle w:val="SangriaFrancesaArticulo"/>
      </w:pPr>
      <w:r w:rsidRPr="00512048">
        <w:rPr>
          <w:rStyle w:val="TextoNormalNegritaCaracter"/>
        </w:rPr>
        <w:t>Artículos 202 a 206.</w:t>
      </w:r>
      <w:r w:rsidRPr="00512048">
        <w:rPr>
          <w:rStyle w:val="TextoNormalCaracter"/>
        </w:rPr>
        <w:t>-</w:t>
      </w:r>
      <w:r>
        <w:t xml:space="preserve"> Autos </w:t>
      </w:r>
      <w:hyperlink w:anchor="AUTO_2007_314" w:history="1">
        <w:r w:rsidRPr="00512048">
          <w:rPr>
            <w:rStyle w:val="TextoNormalCaracter"/>
          </w:rPr>
          <w:t>314/2007</w:t>
        </w:r>
      </w:hyperlink>
      <w:r>
        <w:t xml:space="preserve">; </w:t>
      </w:r>
      <w:hyperlink w:anchor="AUTO_2007_345" w:history="1">
        <w:r w:rsidRPr="00512048">
          <w:rPr>
            <w:rStyle w:val="TextoNormalCaracter"/>
          </w:rPr>
          <w:t>345/2007</w:t>
        </w:r>
      </w:hyperlink>
      <w:r>
        <w:t>.</w:t>
      </w:r>
    </w:p>
    <w:p w:rsidR="00512048" w:rsidRDefault="00512048" w:rsidP="00512048">
      <w:pPr>
        <w:pStyle w:val="SangriaFrancesaArticulo"/>
      </w:pPr>
    </w:p>
    <w:p w:rsidR="00512048" w:rsidRDefault="00512048" w:rsidP="00512048">
      <w:pPr>
        <w:pStyle w:val="TextoNormalNegritaCursivandice"/>
      </w:pPr>
      <w:r>
        <w:t>Real Decreto 2612/1996, de 20 de diciembre. Modificación del Reglamento de población y demarcación territorial de las entidades locales aprobado por el Real Decreto 1690/1986, de 11 de julio</w:t>
      </w:r>
    </w:p>
    <w:p w:rsidR="00512048" w:rsidRDefault="00512048" w:rsidP="00512048">
      <w:pPr>
        <w:pStyle w:val="SangriaFrancesaArticulo"/>
      </w:pPr>
      <w:r w:rsidRPr="00512048">
        <w:rPr>
          <w:rStyle w:val="TextoNormalNegritaCaracter"/>
        </w:rPr>
        <w:t>Artículos 81, 82.</w:t>
      </w:r>
      <w:r w:rsidRPr="00512048">
        <w:rPr>
          <w:rStyle w:val="TextoNormalCaracter"/>
        </w:rPr>
        <w:t>-</w:t>
      </w:r>
      <w:r>
        <w:t xml:space="preserve"> Sentencia </w:t>
      </w:r>
      <w:hyperlink w:anchor="SENTENCIA_2007_116" w:history="1">
        <w:r w:rsidRPr="00512048">
          <w:rPr>
            <w:rStyle w:val="TextoNormalCaracter"/>
          </w:rPr>
          <w:t>116/2007</w:t>
        </w:r>
      </w:hyperlink>
      <w:r>
        <w:t>, f. 6.</w:t>
      </w:r>
    </w:p>
    <w:p w:rsidR="00512048" w:rsidRDefault="00512048" w:rsidP="00512048">
      <w:pPr>
        <w:pStyle w:val="SangriaFrancesaArticulo"/>
      </w:pPr>
    </w:p>
    <w:p w:rsidR="00512048" w:rsidRDefault="00512048" w:rsidP="00512048">
      <w:pPr>
        <w:pStyle w:val="TextoNormalNegritaCursivandice"/>
      </w:pPr>
      <w:r>
        <w:lastRenderedPageBreak/>
        <w:t>Real Decreto 1645/1997, de 31 de octubre. Declaración oficial de las cifras de población resultantes de la renovación del padrón municipal referidas al 1 de mayo de 1996</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16" w:history="1">
        <w:r w:rsidRPr="00512048">
          <w:rPr>
            <w:rStyle w:val="TextoNormalCaracter"/>
          </w:rPr>
          <w:t>116/2007</w:t>
        </w:r>
      </w:hyperlink>
      <w:r>
        <w:t>, f. 6.</w:t>
      </w:r>
    </w:p>
    <w:p w:rsidR="00512048" w:rsidRDefault="00512048" w:rsidP="00512048">
      <w:pPr>
        <w:pStyle w:val="SangriaFrancesaArticulo"/>
      </w:pPr>
    </w:p>
    <w:p w:rsidR="00512048" w:rsidRDefault="00512048" w:rsidP="00512048">
      <w:pPr>
        <w:pStyle w:val="TextoNormalNegritaCursivandice"/>
      </w:pPr>
      <w:r>
        <w:t>Real Decreto 480/1999, de 18 de marzo. Declaración oficial de las cifras de población resultantes de la revisión del padrón municipal referidas al 1 de enero de 1998</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16" w:history="1">
        <w:r w:rsidRPr="00512048">
          <w:rPr>
            <w:rStyle w:val="TextoNormalCaracter"/>
          </w:rPr>
          <w:t>116/2007</w:t>
        </w:r>
      </w:hyperlink>
      <w:r>
        <w:t>, f. 6.</w:t>
      </w:r>
    </w:p>
    <w:p w:rsidR="00512048" w:rsidRDefault="00512048" w:rsidP="00512048">
      <w:pPr>
        <w:pStyle w:val="SangriaFrancesaArticulo"/>
      </w:pPr>
    </w:p>
    <w:p w:rsidR="00512048" w:rsidRDefault="00512048" w:rsidP="00512048">
      <w:pPr>
        <w:pStyle w:val="TextoNormalNegritaCursivandice"/>
      </w:pPr>
      <w:r>
        <w:t>Real Decreto 3491/2000, de 29 de diciembre. Declaración oficial de las cifras de población resultantes de la revisión del padrón municipal referidas al 1 de enero de 1999</w:t>
      </w:r>
    </w:p>
    <w:p w:rsidR="00512048" w:rsidRDefault="00512048" w:rsidP="00512048">
      <w:pPr>
        <w:pStyle w:val="SangriaFrancesaArticulo"/>
      </w:pPr>
      <w:r w:rsidRPr="00512048">
        <w:rPr>
          <w:rStyle w:val="TextoNormalNegritaCaracter"/>
        </w:rPr>
        <w:t>Artículo 1.</w:t>
      </w:r>
      <w:r w:rsidRPr="00512048">
        <w:rPr>
          <w:rStyle w:val="TextoNormalCaracter"/>
        </w:rPr>
        <w:t>-</w:t>
      </w:r>
      <w:r>
        <w:t xml:space="preserve"> Sentencia </w:t>
      </w:r>
      <w:hyperlink w:anchor="SENTENCIA_2007_116" w:history="1">
        <w:r w:rsidRPr="00512048">
          <w:rPr>
            <w:rStyle w:val="TextoNormalCaracter"/>
          </w:rPr>
          <w:t>116/2007</w:t>
        </w:r>
      </w:hyperlink>
      <w:r>
        <w:t>, f. 10.</w:t>
      </w:r>
    </w:p>
    <w:p w:rsidR="00512048" w:rsidRDefault="00512048" w:rsidP="00512048">
      <w:pPr>
        <w:pStyle w:val="SangriaFrancesaArticulo"/>
      </w:pPr>
    </w:p>
    <w:p w:rsidR="00512048" w:rsidRDefault="00512048" w:rsidP="00512048">
      <w:pPr>
        <w:pStyle w:val="TextoNormalNegritaCursivandice"/>
      </w:pPr>
      <w:r>
        <w:t>Acuerdo del Consejo General del Poder Judicial 3/2001, de 21 de marzo. Modificación del Reglamento 5/1995, de 7 de junio, de los aspectos accesorios de las actuaciones judiciales</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59" w:history="1">
        <w:r w:rsidRPr="00512048">
          <w:rPr>
            <w:rStyle w:val="TextoNormalCaracter"/>
          </w:rPr>
          <w:t>159/2007</w:t>
        </w:r>
      </w:hyperlink>
      <w:r>
        <w:t>, f. 3.</w:t>
      </w:r>
    </w:p>
    <w:p w:rsidR="00512048" w:rsidRDefault="00512048" w:rsidP="00512048">
      <w:pPr>
        <w:pStyle w:val="SangriaFrancesaArticulo"/>
      </w:pPr>
    </w:p>
    <w:p w:rsidR="00512048" w:rsidRDefault="00512048" w:rsidP="00512048">
      <w:pPr>
        <w:pStyle w:val="TextoNormalNegritaCursivandice"/>
      </w:pPr>
      <w:r>
        <w:t>Real Decreto 1301/2006, de 10 de noviembre. Normas de calidad y seguridad para la donación, obtención, evaluación, procesamiento, preservación, almacenamiento y distribución de células y tejidos humanos y aprobación de las normas de coordinación y funcionamiento para su uso en humanos</w:t>
      </w:r>
    </w:p>
    <w:p w:rsidR="00512048" w:rsidRDefault="00512048" w:rsidP="00512048">
      <w:pPr>
        <w:pStyle w:val="SangriaFrancesaArticulo"/>
      </w:pPr>
      <w:r w:rsidRPr="00512048">
        <w:rPr>
          <w:rStyle w:val="TextoNormalNegritaCaracter"/>
        </w:rPr>
        <w:t>Artículos 1, 3 apartado 5, 13, 14 apartado 2, 25, 26 apartados 2 y 4, 28, 30 apartado 2, 35 apartados 4 y 6..</w:t>
      </w:r>
      <w:r w:rsidRPr="00512048">
        <w:rPr>
          <w:rStyle w:val="TextoNormalCaracter"/>
        </w:rPr>
        <w:t>-</w:t>
      </w:r>
      <w:r>
        <w:t xml:space="preserve"> Auto </w:t>
      </w:r>
      <w:hyperlink w:anchor="AUTO_2007_258" w:history="1">
        <w:r w:rsidRPr="00512048">
          <w:rPr>
            <w:rStyle w:val="TextoNormalCaracter"/>
          </w:rPr>
          <w:t>258/2007</w:t>
        </w:r>
      </w:hyperlink>
      <w:r>
        <w:t>.</w:t>
      </w:r>
    </w:p>
    <w:p w:rsidR="00512048" w:rsidRDefault="00512048" w:rsidP="00512048">
      <w:pPr>
        <w:pStyle w:val="SangriaFrancesaArticulo"/>
      </w:pPr>
    </w:p>
    <w:p w:rsidR="00512048" w:rsidRDefault="00512048" w:rsidP="00512048">
      <w:pPr>
        <w:pStyle w:val="TextoNormalNegritaCursivandice"/>
      </w:pPr>
      <w:r>
        <w:t>Real Decreto 444/2007, de 2 de abril. Elecciones locales y a las Asambleas de Ceuta y Melilla para el 27 de mayo de 2007</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Sentencias </w:t>
      </w:r>
      <w:hyperlink w:anchor="SENTENCIA_2007_96" w:history="1">
        <w:r w:rsidRPr="00512048">
          <w:rPr>
            <w:rStyle w:val="TextoNormalCaracter"/>
          </w:rPr>
          <w:t>96/2007</w:t>
        </w:r>
      </w:hyperlink>
      <w:r>
        <w:t xml:space="preserve">, ff. 1, 4; </w:t>
      </w:r>
      <w:hyperlink w:anchor="SENTENCIA_2007_99" w:history="1">
        <w:r w:rsidRPr="00512048">
          <w:rPr>
            <w:rStyle w:val="TextoNormalCaracter"/>
          </w:rPr>
          <w:t>99/2007</w:t>
        </w:r>
      </w:hyperlink>
      <w:r>
        <w:t xml:space="preserve">, ff. 1, 4; </w:t>
      </w:r>
      <w:hyperlink w:anchor="SENTENCIA_2007_100" w:history="1">
        <w:r w:rsidRPr="00512048">
          <w:rPr>
            <w:rStyle w:val="TextoNormalCaracter"/>
          </w:rPr>
          <w:t>100/2007</w:t>
        </w:r>
      </w:hyperlink>
      <w:r>
        <w:t xml:space="preserve">, f. 1; </w:t>
      </w:r>
      <w:hyperlink w:anchor="SENTENCIA_2007_101" w:history="1">
        <w:r w:rsidRPr="00512048">
          <w:rPr>
            <w:rStyle w:val="TextoNormalCaracter"/>
          </w:rPr>
          <w:t>101/2007</w:t>
        </w:r>
      </w:hyperlink>
      <w:r>
        <w:t xml:space="preserve">; </w:t>
      </w:r>
      <w:hyperlink w:anchor="SENTENCIA_2007_102" w:history="1">
        <w:r w:rsidRPr="00512048">
          <w:rPr>
            <w:rStyle w:val="TextoNormalCaracter"/>
          </w:rPr>
          <w:t>102/2007</w:t>
        </w:r>
      </w:hyperlink>
      <w:r>
        <w:t xml:space="preserve">, ff. 1, 3; </w:t>
      </w:r>
      <w:hyperlink w:anchor="SENTENCIA_2007_104" w:history="1">
        <w:r w:rsidRPr="00512048">
          <w:rPr>
            <w:rStyle w:val="TextoNormalCaracter"/>
          </w:rPr>
          <w:t>104/2007</w:t>
        </w:r>
      </w:hyperlink>
      <w:r>
        <w:t xml:space="preserve">, ff. 1, 3; </w:t>
      </w:r>
      <w:hyperlink w:anchor="SENTENCIA_2007_105" w:history="1">
        <w:r w:rsidRPr="00512048">
          <w:rPr>
            <w:rStyle w:val="TextoNormalCaracter"/>
          </w:rPr>
          <w:t>105/2007</w:t>
        </w:r>
      </w:hyperlink>
      <w:r>
        <w:t>, f. 2.</w:t>
      </w:r>
    </w:p>
    <w:p w:rsidR="00512048" w:rsidRDefault="00512048" w:rsidP="00512048">
      <w:pPr>
        <w:pStyle w:val="TextoNormal"/>
      </w:pPr>
    </w:p>
    <w:p w:rsidR="00512048" w:rsidRDefault="00512048" w:rsidP="00512048">
      <w:pPr>
        <w:pStyle w:val="SangriaFrancesaArticulo"/>
      </w:pPr>
      <w:bookmarkStart w:id="232" w:name="INDICE22850"/>
    </w:p>
    <w:bookmarkEnd w:id="232"/>
    <w:p w:rsidR="00512048" w:rsidRDefault="00512048" w:rsidP="00512048">
      <w:pPr>
        <w:pStyle w:val="TextoIndiceNivel2"/>
        <w:suppressAutoHyphens/>
      </w:pPr>
      <w:r>
        <w:t>I) Legislación preconstitucional</w:t>
      </w:r>
    </w:p>
    <w:p w:rsidR="00512048" w:rsidRDefault="00512048" w:rsidP="00512048">
      <w:pPr>
        <w:pStyle w:val="TextoIndiceNivel2"/>
      </w:pPr>
    </w:p>
    <w:p w:rsidR="00512048" w:rsidRDefault="00512048" w:rsidP="00512048">
      <w:pPr>
        <w:pStyle w:val="TextoNormalNegritaCursivandice"/>
      </w:pPr>
      <w:r>
        <w:t>Real Decreto de 3 de febrero de 1881. Ley de enjuiciamiento civil</w:t>
      </w:r>
    </w:p>
    <w:p w:rsidR="00512048" w:rsidRDefault="00512048" w:rsidP="00512048">
      <w:pPr>
        <w:pStyle w:val="SangriaFrancesaArticulo"/>
      </w:pPr>
      <w:r w:rsidRPr="00512048">
        <w:rPr>
          <w:rStyle w:val="TextoNormalNegritaCaracter"/>
        </w:rPr>
        <w:t>Artículo 269.</w:t>
      </w:r>
      <w:r w:rsidRPr="00512048">
        <w:rPr>
          <w:rStyle w:val="TextoNormalCaracter"/>
        </w:rPr>
        <w:t>-</w:t>
      </w:r>
      <w:r>
        <w:t xml:space="preserve"> Sentencia </w:t>
      </w:r>
      <w:hyperlink w:anchor="SENTENCIA_2007_163" w:history="1">
        <w:r w:rsidRPr="00512048">
          <w:rPr>
            <w:rStyle w:val="TextoNormalCaracter"/>
          </w:rPr>
          <w:t>163/2007</w:t>
        </w:r>
      </w:hyperlink>
      <w:r>
        <w:t>, ff. 2, 3.</w:t>
      </w:r>
    </w:p>
    <w:p w:rsidR="00512048" w:rsidRDefault="00512048" w:rsidP="00512048">
      <w:pPr>
        <w:pStyle w:val="SangriaFrancesaArticulo"/>
      </w:pPr>
      <w:r w:rsidRPr="00512048">
        <w:rPr>
          <w:rStyle w:val="TextoNormalNegritaCaracter"/>
        </w:rPr>
        <w:t>Artículo 503.</w:t>
      </w:r>
      <w:r w:rsidRPr="00512048">
        <w:rPr>
          <w:rStyle w:val="TextoNormalCaracter"/>
        </w:rPr>
        <w:t>-</w:t>
      </w:r>
      <w:r>
        <w:t xml:space="preserve"> Sentencia </w:t>
      </w:r>
      <w:hyperlink w:anchor="SENTENCIA_2007_166" w:history="1">
        <w:r w:rsidRPr="00512048">
          <w:rPr>
            <w:rStyle w:val="TextoNormalCaracter"/>
          </w:rPr>
          <w:t>166/2007</w:t>
        </w:r>
      </w:hyperlink>
      <w:r>
        <w:t>, f. 8.</w:t>
      </w:r>
    </w:p>
    <w:p w:rsidR="00512048" w:rsidRDefault="00512048" w:rsidP="00512048">
      <w:pPr>
        <w:pStyle w:val="SangriaFrancesaArticulo"/>
      </w:pPr>
    </w:p>
    <w:p w:rsidR="00512048" w:rsidRDefault="00512048" w:rsidP="00512048">
      <w:pPr>
        <w:pStyle w:val="TextoNormalNegritaCursivandice"/>
      </w:pPr>
      <w:r>
        <w:t>Real Decreto de 14 de septiembre de 1882. Ley de enjuiciamiento criminal</w:t>
      </w:r>
    </w:p>
    <w:p w:rsidR="00512048" w:rsidRDefault="00512048" w:rsidP="00512048">
      <w:pPr>
        <w:pStyle w:val="SangriaFrancesaArticulo"/>
      </w:pPr>
      <w:r w:rsidRPr="00512048">
        <w:rPr>
          <w:rStyle w:val="TextoNormalNegritaCaracter"/>
        </w:rPr>
        <w:t>Artículo 17.5.</w:t>
      </w:r>
      <w:r w:rsidRPr="00512048">
        <w:rPr>
          <w:rStyle w:val="TextoNormalCaracter"/>
        </w:rPr>
        <w:t>-</w:t>
      </w:r>
      <w:r>
        <w:t xml:space="preserve"> Sentencia </w:t>
      </w:r>
      <w:hyperlink w:anchor="SENTENCIA_2007_156" w:history="1">
        <w:r w:rsidRPr="00512048">
          <w:rPr>
            <w:rStyle w:val="TextoNormalCaracter"/>
          </w:rPr>
          <w:t>156/2007</w:t>
        </w:r>
      </w:hyperlink>
      <w:r>
        <w:t>, f. 3.</w:t>
      </w:r>
    </w:p>
    <w:p w:rsidR="00512048" w:rsidRDefault="00512048" w:rsidP="00512048">
      <w:pPr>
        <w:pStyle w:val="SangriaFrancesaArticulo"/>
      </w:pPr>
      <w:r w:rsidRPr="00512048">
        <w:rPr>
          <w:rStyle w:val="TextoNormalNegritaCaracter"/>
        </w:rPr>
        <w:t>Artículo 141.</w:t>
      </w:r>
      <w:r w:rsidRPr="00512048">
        <w:rPr>
          <w:rStyle w:val="TextoNormalCaracter"/>
        </w:rPr>
        <w:t>-</w:t>
      </w:r>
      <w:r>
        <w:t xml:space="preserve"> Sentencias </w:t>
      </w:r>
      <w:hyperlink w:anchor="SENTENCIA_2007_122" w:history="1">
        <w:r w:rsidRPr="00512048">
          <w:rPr>
            <w:rStyle w:val="TextoNormalCaracter"/>
          </w:rPr>
          <w:t>122/2007</w:t>
        </w:r>
      </w:hyperlink>
      <w:r>
        <w:t xml:space="preserve">, ff. 1, 3; </w:t>
      </w:r>
      <w:hyperlink w:anchor="SENTENCIA_2007_146" w:history="1">
        <w:r w:rsidRPr="00512048">
          <w:rPr>
            <w:rStyle w:val="TextoNormalCaracter"/>
          </w:rPr>
          <w:t>146/2007</w:t>
        </w:r>
      </w:hyperlink>
      <w:r>
        <w:t>, f. 5.</w:t>
      </w:r>
    </w:p>
    <w:p w:rsidR="00512048" w:rsidRDefault="00512048" w:rsidP="00512048">
      <w:pPr>
        <w:pStyle w:val="SangriaFrancesaArticulo"/>
      </w:pPr>
      <w:r w:rsidRPr="00512048">
        <w:rPr>
          <w:rStyle w:val="TextoNormalNegritaCaracter"/>
        </w:rPr>
        <w:t>Artículo 212.</w:t>
      </w:r>
      <w:r w:rsidRPr="00512048">
        <w:rPr>
          <w:rStyle w:val="TextoNormalCaracter"/>
        </w:rPr>
        <w:t>-</w:t>
      </w:r>
      <w:r>
        <w:t xml:space="preserve"> Sentencia </w:t>
      </w:r>
      <w:hyperlink w:anchor="SENTENCIA_2007_122" w:history="1">
        <w:r w:rsidRPr="00512048">
          <w:rPr>
            <w:rStyle w:val="TextoNormalCaracter"/>
          </w:rPr>
          <w:t>122/2007</w:t>
        </w:r>
      </w:hyperlink>
      <w:r>
        <w:t>, ff. 1, 5, 6.</w:t>
      </w:r>
    </w:p>
    <w:p w:rsidR="00512048" w:rsidRDefault="00512048" w:rsidP="00512048">
      <w:pPr>
        <w:pStyle w:val="SangriaFrancesaArticulo"/>
      </w:pPr>
      <w:r w:rsidRPr="00512048">
        <w:rPr>
          <w:rStyle w:val="TextoNormalNegritaCaracter"/>
        </w:rPr>
        <w:t>Artículo 213.</w:t>
      </w:r>
      <w:r w:rsidRPr="00512048">
        <w:rPr>
          <w:rStyle w:val="TextoNormalCaracter"/>
        </w:rPr>
        <w:t>-</w:t>
      </w:r>
      <w:r>
        <w:t xml:space="preserve"> Sentencia </w:t>
      </w:r>
      <w:hyperlink w:anchor="SENTENCIA_2007_122" w:history="1">
        <w:r w:rsidRPr="00512048">
          <w:rPr>
            <w:rStyle w:val="TextoNormalCaracter"/>
          </w:rPr>
          <w:t>122/2007</w:t>
        </w:r>
      </w:hyperlink>
      <w:r>
        <w:t>, f. 2.</w:t>
      </w:r>
    </w:p>
    <w:p w:rsidR="00512048" w:rsidRDefault="00512048" w:rsidP="00512048">
      <w:pPr>
        <w:pStyle w:val="SangriaFrancesaArticulo"/>
      </w:pPr>
      <w:r w:rsidRPr="00512048">
        <w:rPr>
          <w:rStyle w:val="TextoNormalNegritaCaracter"/>
        </w:rPr>
        <w:t>Artículo 218.</w:t>
      </w:r>
      <w:r w:rsidRPr="00512048">
        <w:rPr>
          <w:rStyle w:val="TextoNormalCaracter"/>
        </w:rPr>
        <w:t>-</w:t>
      </w:r>
      <w:r>
        <w:t xml:space="preserve"> Sentencia </w:t>
      </w:r>
      <w:hyperlink w:anchor="SENTENCIA_2007_122" w:history="1">
        <w:r w:rsidRPr="00512048">
          <w:rPr>
            <w:rStyle w:val="TextoNormalCaracter"/>
          </w:rPr>
          <w:t>122/2007</w:t>
        </w:r>
      </w:hyperlink>
      <w:r>
        <w:t>, ff. 2, 3.</w:t>
      </w:r>
    </w:p>
    <w:p w:rsidR="00512048" w:rsidRDefault="00512048" w:rsidP="00512048">
      <w:pPr>
        <w:pStyle w:val="SangriaFrancesaArticulo"/>
      </w:pPr>
      <w:r w:rsidRPr="00512048">
        <w:rPr>
          <w:rStyle w:val="TextoNormalNegritaCaracter"/>
        </w:rPr>
        <w:t>Artículo 233.</w:t>
      </w:r>
      <w:r w:rsidRPr="00512048">
        <w:rPr>
          <w:rStyle w:val="TextoNormalCaracter"/>
        </w:rPr>
        <w:t>-</w:t>
      </w:r>
      <w:r>
        <w:t xml:space="preserve"> Sentencia </w:t>
      </w:r>
      <w:hyperlink w:anchor="SENTENCIA_2007_122" w:history="1">
        <w:r w:rsidRPr="00512048">
          <w:rPr>
            <w:rStyle w:val="TextoNormalCaracter"/>
          </w:rPr>
          <w:t>122/2007</w:t>
        </w:r>
      </w:hyperlink>
      <w:r>
        <w:t>, f. 6.</w:t>
      </w:r>
    </w:p>
    <w:p w:rsidR="00512048" w:rsidRDefault="00512048" w:rsidP="00512048">
      <w:pPr>
        <w:pStyle w:val="SangriaFrancesaArticulo"/>
      </w:pPr>
      <w:r w:rsidRPr="00512048">
        <w:rPr>
          <w:rStyle w:val="TextoNormalNegritaCaracter"/>
        </w:rPr>
        <w:lastRenderedPageBreak/>
        <w:t>Artículo 505.</w:t>
      </w:r>
      <w:r w:rsidRPr="00512048">
        <w:rPr>
          <w:rStyle w:val="TextoNormalCaracter"/>
        </w:rPr>
        <w:t>-</w:t>
      </w:r>
      <w:r>
        <w:t xml:space="preserve"> Sentencia </w:t>
      </w:r>
      <w:hyperlink w:anchor="SENTENCIA_2007_152" w:history="1">
        <w:r w:rsidRPr="00512048">
          <w:rPr>
            <w:rStyle w:val="TextoNormalCaracter"/>
          </w:rPr>
          <w:t>152/2007</w:t>
        </w:r>
      </w:hyperlink>
      <w:r>
        <w:t>, f. 2.</w:t>
      </w:r>
    </w:p>
    <w:p w:rsidR="00512048" w:rsidRDefault="00512048" w:rsidP="00512048">
      <w:pPr>
        <w:pStyle w:val="SangriaFrancesaArticulo"/>
      </w:pPr>
      <w:r w:rsidRPr="00512048">
        <w:rPr>
          <w:rStyle w:val="TextoNormalNegritaCaracter"/>
        </w:rPr>
        <w:t>Artículo 637.</w:t>
      </w:r>
      <w:r w:rsidRPr="00512048">
        <w:rPr>
          <w:rStyle w:val="TextoNormalCaracter"/>
        </w:rPr>
        <w:t>-</w:t>
      </w:r>
      <w:r>
        <w:t xml:space="preserve"> Auto </w:t>
      </w:r>
      <w:hyperlink w:anchor="AUTO_2007_246" w:history="1">
        <w:r w:rsidRPr="00512048">
          <w:rPr>
            <w:rStyle w:val="TextoNormalCaracter"/>
          </w:rPr>
          <w:t>246/2007</w:t>
        </w:r>
      </w:hyperlink>
      <w:r>
        <w:t>.</w:t>
      </w:r>
    </w:p>
    <w:p w:rsidR="00512048" w:rsidRDefault="00512048" w:rsidP="00512048">
      <w:pPr>
        <w:pStyle w:val="SangriaFrancesaArticulo"/>
      </w:pPr>
      <w:r w:rsidRPr="00512048">
        <w:rPr>
          <w:rStyle w:val="TextoNormalNegritaCaracter"/>
        </w:rPr>
        <w:t>Artículo 641.</w:t>
      </w:r>
      <w:r w:rsidRPr="00512048">
        <w:rPr>
          <w:rStyle w:val="TextoNormalCaracter"/>
        </w:rPr>
        <w:t>-</w:t>
      </w:r>
      <w:r>
        <w:t xml:space="preserve"> Auto </w:t>
      </w:r>
      <w:hyperlink w:anchor="AUTO_2007_246" w:history="1">
        <w:r w:rsidRPr="00512048">
          <w:rPr>
            <w:rStyle w:val="TextoNormalCaracter"/>
          </w:rPr>
          <w:t>246/2007</w:t>
        </w:r>
      </w:hyperlink>
      <w:r>
        <w:t>.</w:t>
      </w:r>
    </w:p>
    <w:p w:rsidR="00512048" w:rsidRDefault="00512048" w:rsidP="00512048">
      <w:pPr>
        <w:pStyle w:val="SangriaFrancesaArticulo"/>
      </w:pPr>
      <w:r w:rsidRPr="00512048">
        <w:rPr>
          <w:rStyle w:val="TextoNormalNegritaCaracter"/>
        </w:rPr>
        <w:t>Artículo 730.</w:t>
      </w:r>
      <w:r w:rsidRPr="00512048">
        <w:rPr>
          <w:rStyle w:val="TextoNormalCaracter"/>
        </w:rPr>
        <w:t>-</w:t>
      </w:r>
      <w:r>
        <w:t xml:space="preserve"> Auto </w:t>
      </w:r>
      <w:hyperlink w:anchor="AUTO_2007_264" w:history="1">
        <w:r w:rsidRPr="00512048">
          <w:rPr>
            <w:rStyle w:val="TextoNormalCaracter"/>
          </w:rPr>
          <w:t>264/2007</w:t>
        </w:r>
      </w:hyperlink>
      <w:r>
        <w:t>.</w:t>
      </w:r>
    </w:p>
    <w:p w:rsidR="00512048" w:rsidRDefault="00512048" w:rsidP="00512048">
      <w:pPr>
        <w:pStyle w:val="SangriaFrancesaArticulo"/>
      </w:pPr>
      <w:r w:rsidRPr="00512048">
        <w:rPr>
          <w:rStyle w:val="TextoNormalNegritaCaracter"/>
        </w:rPr>
        <w:t>Artículo 741.</w:t>
      </w:r>
      <w:r w:rsidRPr="00512048">
        <w:rPr>
          <w:rStyle w:val="TextoNormalCaracter"/>
        </w:rPr>
        <w:t>-</w:t>
      </w:r>
      <w:r>
        <w:t xml:space="preserve"> Auto </w:t>
      </w:r>
      <w:hyperlink w:anchor="AUTO_2007_245" w:history="1">
        <w:r w:rsidRPr="00512048">
          <w:rPr>
            <w:rStyle w:val="TextoNormalCaracter"/>
          </w:rPr>
          <w:t>245/2007</w:t>
        </w:r>
      </w:hyperlink>
      <w:r>
        <w:t>.</w:t>
      </w:r>
    </w:p>
    <w:p w:rsidR="00512048" w:rsidRDefault="00512048" w:rsidP="00512048">
      <w:pPr>
        <w:pStyle w:val="SangriaFrancesaArticulo"/>
      </w:pPr>
      <w:r w:rsidRPr="00512048">
        <w:rPr>
          <w:rStyle w:val="TextoNormalNegritaCaracter"/>
        </w:rPr>
        <w:t>Artículo 791.2.</w:t>
      </w:r>
      <w:r w:rsidRPr="00512048">
        <w:rPr>
          <w:rStyle w:val="TextoNormalCaracter"/>
        </w:rPr>
        <w:t>-</w:t>
      </w:r>
      <w:r>
        <w:t xml:space="preserve"> Sentencia </w:t>
      </w:r>
      <w:hyperlink w:anchor="SENTENCIA_2007_126" w:history="1">
        <w:r w:rsidRPr="00512048">
          <w:rPr>
            <w:rStyle w:val="TextoNormalCaracter"/>
          </w:rPr>
          <w:t>126/2007</w:t>
        </w:r>
      </w:hyperlink>
      <w:r>
        <w:t>, f. 3.</w:t>
      </w:r>
    </w:p>
    <w:p w:rsidR="00512048" w:rsidRDefault="00512048" w:rsidP="00512048">
      <w:pPr>
        <w:pStyle w:val="SangriaFrancesaArticulo"/>
      </w:pPr>
      <w:r w:rsidRPr="00512048">
        <w:rPr>
          <w:rStyle w:val="TextoNormalNegritaCaracter"/>
        </w:rPr>
        <w:t>Artículo 856.</w:t>
      </w:r>
      <w:r w:rsidRPr="00512048">
        <w:rPr>
          <w:rStyle w:val="TextoNormalCaracter"/>
        </w:rPr>
        <w:t>-</w:t>
      </w:r>
      <w:r>
        <w:t xml:space="preserve"> Sentencia </w:t>
      </w:r>
      <w:hyperlink w:anchor="SENTENCIA_2007_146" w:history="1">
        <w:r w:rsidRPr="00512048">
          <w:rPr>
            <w:rStyle w:val="TextoNormalCaracter"/>
          </w:rPr>
          <w:t>146/2007</w:t>
        </w:r>
      </w:hyperlink>
      <w:r>
        <w:t>, f. 4.</w:t>
      </w:r>
    </w:p>
    <w:p w:rsidR="00512048" w:rsidRDefault="00512048" w:rsidP="00512048">
      <w:pPr>
        <w:pStyle w:val="SangriaFrancesaArticulo"/>
      </w:pPr>
      <w:r w:rsidRPr="00512048">
        <w:rPr>
          <w:rStyle w:val="TextoNormalNegritaCaracter"/>
        </w:rPr>
        <w:t>Artículo 874.</w:t>
      </w:r>
      <w:r w:rsidRPr="00512048">
        <w:rPr>
          <w:rStyle w:val="TextoNormalCaracter"/>
        </w:rPr>
        <w:t>-</w:t>
      </w:r>
      <w:r>
        <w:t xml:space="preserve"> Sentencia </w:t>
      </w:r>
      <w:hyperlink w:anchor="SENTENCIA_2007_146" w:history="1">
        <w:r w:rsidRPr="00512048">
          <w:rPr>
            <w:rStyle w:val="TextoNormalCaracter"/>
          </w:rPr>
          <w:t>146/2007</w:t>
        </w:r>
      </w:hyperlink>
      <w:r>
        <w:t>, f. 4.</w:t>
      </w:r>
    </w:p>
    <w:p w:rsidR="00512048" w:rsidRDefault="00512048" w:rsidP="00512048">
      <w:pPr>
        <w:pStyle w:val="SangriaFrancesaArticulo"/>
      </w:pPr>
      <w:r w:rsidRPr="00512048">
        <w:rPr>
          <w:rStyle w:val="TextoNormalNegritaCaracter"/>
        </w:rPr>
        <w:t>Artículo 954.</w:t>
      </w:r>
      <w:r w:rsidRPr="00512048">
        <w:rPr>
          <w:rStyle w:val="TextoNormalCaracter"/>
        </w:rPr>
        <w:t>-</w:t>
      </w:r>
      <w:r>
        <w:t xml:space="preserve"> Sentencia </w:t>
      </w:r>
      <w:hyperlink w:anchor="SENTENCIA_2007_146" w:history="1">
        <w:r w:rsidRPr="00512048">
          <w:rPr>
            <w:rStyle w:val="TextoNormalCaracter"/>
          </w:rPr>
          <w:t>146/2007</w:t>
        </w:r>
      </w:hyperlink>
      <w:r>
        <w:t>, ff. 1, 4.</w:t>
      </w:r>
    </w:p>
    <w:p w:rsidR="00512048" w:rsidRDefault="00512048" w:rsidP="00512048">
      <w:pPr>
        <w:pStyle w:val="SangriaFrancesaArticulo"/>
      </w:pPr>
      <w:r w:rsidRPr="00512048">
        <w:rPr>
          <w:rStyle w:val="TextoNormalNegritaCaracter"/>
        </w:rPr>
        <w:t>Artículo 955</w:t>
      </w:r>
      <w:r>
        <w:t xml:space="preserve"> </w:t>
      </w:r>
      <w:r w:rsidRPr="00512048">
        <w:rPr>
          <w:rStyle w:val="TextoNormalCaracter"/>
        </w:rPr>
        <w:t>(redactado por la Ley 10/1992, de 30 de abril)</w:t>
      </w:r>
      <w:r w:rsidRPr="00512048">
        <w:rPr>
          <w:rStyle w:val="TextoNormalNegritaCaracter"/>
        </w:rPr>
        <w:t>.</w:t>
      </w:r>
      <w:r w:rsidRPr="00512048">
        <w:rPr>
          <w:rStyle w:val="TextoNormalCaracter"/>
        </w:rPr>
        <w:t>-</w:t>
      </w:r>
      <w:r>
        <w:t xml:space="preserve"> Sentencia </w:t>
      </w:r>
      <w:hyperlink w:anchor="SENTENCIA_2007_146" w:history="1">
        <w:r w:rsidRPr="00512048">
          <w:rPr>
            <w:rStyle w:val="TextoNormalCaracter"/>
          </w:rPr>
          <w:t>146/2007</w:t>
        </w:r>
      </w:hyperlink>
      <w:r>
        <w:t>, f. 4.</w:t>
      </w:r>
    </w:p>
    <w:p w:rsidR="00512048" w:rsidRDefault="00512048" w:rsidP="00512048">
      <w:pPr>
        <w:pStyle w:val="SangriaFrancesaArticulo"/>
      </w:pPr>
      <w:r w:rsidRPr="00512048">
        <w:rPr>
          <w:rStyle w:val="TextoNormalNegritaCaracter"/>
        </w:rPr>
        <w:t>Artículo 957.</w:t>
      </w:r>
      <w:r w:rsidRPr="00512048">
        <w:rPr>
          <w:rStyle w:val="TextoNormalCaracter"/>
        </w:rPr>
        <w:t>-</w:t>
      </w:r>
      <w:r>
        <w:t xml:space="preserve"> Sentencia </w:t>
      </w:r>
      <w:hyperlink w:anchor="SENTENCIA_2007_146" w:history="1">
        <w:r w:rsidRPr="00512048">
          <w:rPr>
            <w:rStyle w:val="TextoNormalCaracter"/>
          </w:rPr>
          <w:t>146/2007</w:t>
        </w:r>
      </w:hyperlink>
      <w:r>
        <w:t>, ff. 4, 5.</w:t>
      </w:r>
    </w:p>
    <w:p w:rsidR="00512048" w:rsidRDefault="00512048" w:rsidP="00512048">
      <w:pPr>
        <w:pStyle w:val="SangriaFrancesaArticulo"/>
      </w:pPr>
    </w:p>
    <w:p w:rsidR="00512048" w:rsidRDefault="00512048" w:rsidP="00512048">
      <w:pPr>
        <w:pStyle w:val="TextoNormalNegritaCursivandice"/>
      </w:pPr>
      <w:r>
        <w:t>Real Decreto de 24 de julio de 1889. Código civil</w:t>
      </w:r>
    </w:p>
    <w:p w:rsidR="00512048" w:rsidRDefault="00512048" w:rsidP="00512048">
      <w:pPr>
        <w:pStyle w:val="SangriaFrancesaArticulo"/>
      </w:pPr>
      <w:r w:rsidRPr="00512048">
        <w:rPr>
          <w:rStyle w:val="TextoNormalNegritaCaracter"/>
        </w:rPr>
        <w:t>Artículo 83.</w:t>
      </w:r>
      <w:r w:rsidRPr="00512048">
        <w:rPr>
          <w:rStyle w:val="TextoNormalCaracter"/>
        </w:rPr>
        <w:t>-</w:t>
      </w:r>
      <w:r>
        <w:t xml:space="preserve"> Auto </w:t>
      </w:r>
      <w:hyperlink w:anchor="AUTO_2007_328" w:history="1">
        <w:r w:rsidRPr="00512048">
          <w:rPr>
            <w:rStyle w:val="TextoNormalCaracter"/>
          </w:rPr>
          <w:t>328/2007</w:t>
        </w:r>
      </w:hyperlink>
      <w:r>
        <w:t>.</w:t>
      </w:r>
    </w:p>
    <w:p w:rsidR="00512048" w:rsidRDefault="00512048" w:rsidP="00512048">
      <w:pPr>
        <w:pStyle w:val="SangriaFrancesaArticulo"/>
      </w:pPr>
    </w:p>
    <w:p w:rsidR="00512048" w:rsidRDefault="00512048" w:rsidP="00512048">
      <w:pPr>
        <w:pStyle w:val="TextoNormalNegritaCursivandice"/>
      </w:pPr>
      <w:r>
        <w:t>Decreto de 8 de febrero de 1946. Texto refundido de la Ley hipotecaria</w:t>
      </w:r>
    </w:p>
    <w:p w:rsidR="00512048" w:rsidRDefault="00512048" w:rsidP="00512048">
      <w:pPr>
        <w:pStyle w:val="SangriaFrancesaArticulo"/>
      </w:pPr>
      <w:r w:rsidRPr="00512048">
        <w:rPr>
          <w:rStyle w:val="TextoNormalNegritaCaracter"/>
        </w:rPr>
        <w:t>Artículo 34.</w:t>
      </w:r>
      <w:r w:rsidRPr="00512048">
        <w:rPr>
          <w:rStyle w:val="TextoNormalCaracter"/>
        </w:rPr>
        <w:t>-</w:t>
      </w:r>
      <w:r>
        <w:t xml:space="preserve"> Auto </w:t>
      </w:r>
      <w:hyperlink w:anchor="AUTO_2007_230" w:history="1">
        <w:r w:rsidRPr="00512048">
          <w:rPr>
            <w:rStyle w:val="TextoNormalCaracter"/>
          </w:rPr>
          <w:t>230/2007</w:t>
        </w:r>
      </w:hyperlink>
      <w:r>
        <w:t>.</w:t>
      </w:r>
    </w:p>
    <w:p w:rsidR="00512048" w:rsidRDefault="00512048" w:rsidP="00512048">
      <w:pPr>
        <w:pStyle w:val="SangriaFrancesaArticulo"/>
      </w:pPr>
    </w:p>
    <w:p w:rsidR="00512048" w:rsidRDefault="00512048" w:rsidP="00512048">
      <w:pPr>
        <w:pStyle w:val="TextoNormalNegritaCursivandice"/>
      </w:pPr>
      <w:r>
        <w:t>Ley de 27 de diciembre de 1956. Jurisdicción contencioso-administrativa</w:t>
      </w:r>
    </w:p>
    <w:p w:rsidR="00512048" w:rsidRDefault="00512048" w:rsidP="00512048">
      <w:pPr>
        <w:pStyle w:val="SangriaFrancesaArticulo"/>
      </w:pPr>
      <w:r w:rsidRPr="00512048">
        <w:rPr>
          <w:rStyle w:val="TextoNormalNegritaCaracter"/>
        </w:rPr>
        <w:t>Artículo 58.2.</w:t>
      </w:r>
      <w:r w:rsidRPr="00512048">
        <w:rPr>
          <w:rStyle w:val="TextoNormalCaracter"/>
        </w:rPr>
        <w:t>-</w:t>
      </w:r>
      <w:r>
        <w:t xml:space="preserve"> Sentencia </w:t>
      </w:r>
      <w:hyperlink w:anchor="SENTENCIA_2007_173" w:history="1">
        <w:r w:rsidRPr="00512048">
          <w:rPr>
            <w:rStyle w:val="TextoNormalCaracter"/>
          </w:rPr>
          <w:t>173/2007</w:t>
        </w:r>
      </w:hyperlink>
      <w:r>
        <w:t>, ff. 1, 2, 4.</w:t>
      </w:r>
    </w:p>
    <w:p w:rsidR="00512048" w:rsidRDefault="00512048" w:rsidP="00512048">
      <w:pPr>
        <w:pStyle w:val="SangriaFrancesaArticulo"/>
      </w:pPr>
    </w:p>
    <w:p w:rsidR="00512048" w:rsidRDefault="00512048" w:rsidP="00512048">
      <w:pPr>
        <w:pStyle w:val="TextoNormalNegritaCursivandice"/>
      </w:pPr>
      <w:r>
        <w:t>Ley de 17 de julio de 1958. Procedimiento administrativo</w:t>
      </w:r>
    </w:p>
    <w:p w:rsidR="00512048" w:rsidRDefault="00512048" w:rsidP="00512048">
      <w:pPr>
        <w:pStyle w:val="SangriaFrancesaArticulo"/>
      </w:pPr>
      <w:r w:rsidRPr="00512048">
        <w:rPr>
          <w:rStyle w:val="TextoNormalNegritaCaracter"/>
        </w:rPr>
        <w:t>Artículo 79.3.</w:t>
      </w:r>
      <w:r w:rsidRPr="00512048">
        <w:rPr>
          <w:rStyle w:val="TextoNormalCaracter"/>
        </w:rPr>
        <w:t>-</w:t>
      </w:r>
      <w:r>
        <w:t xml:space="preserve"> Sentencia </w:t>
      </w:r>
      <w:hyperlink w:anchor="SENTENCIA_2007_173" w:history="1">
        <w:r w:rsidRPr="00512048">
          <w:rPr>
            <w:rStyle w:val="TextoNormalCaracter"/>
          </w:rPr>
          <w:t>173/2007</w:t>
        </w:r>
      </w:hyperlink>
      <w:r>
        <w:t>, f. 1.</w:t>
      </w:r>
    </w:p>
    <w:p w:rsidR="00512048" w:rsidRDefault="00512048" w:rsidP="00512048">
      <w:pPr>
        <w:pStyle w:val="SangriaFrancesaArticulo"/>
      </w:pPr>
      <w:r w:rsidRPr="00512048">
        <w:rPr>
          <w:rStyle w:val="TextoNormalNegritaCaracter"/>
        </w:rPr>
        <w:t>Artículo 79.4.</w:t>
      </w:r>
      <w:r w:rsidRPr="00512048">
        <w:rPr>
          <w:rStyle w:val="TextoNormalCaracter"/>
        </w:rPr>
        <w:t>-</w:t>
      </w:r>
      <w:r>
        <w:t xml:space="preserve"> Sentencia </w:t>
      </w:r>
      <w:hyperlink w:anchor="SENTENCIA_2007_173" w:history="1">
        <w:r w:rsidRPr="00512048">
          <w:rPr>
            <w:rStyle w:val="TextoNormalCaracter"/>
          </w:rPr>
          <w:t>173/2007</w:t>
        </w:r>
      </w:hyperlink>
      <w:r>
        <w:t>, f. 1.</w:t>
      </w:r>
    </w:p>
    <w:p w:rsidR="00512048" w:rsidRDefault="00512048" w:rsidP="00512048">
      <w:pPr>
        <w:pStyle w:val="SangriaFrancesaArticulo"/>
      </w:pPr>
    </w:p>
    <w:p w:rsidR="00512048" w:rsidRDefault="00512048" w:rsidP="00512048">
      <w:pPr>
        <w:pStyle w:val="TextoNormalNegritaCursivandice"/>
      </w:pPr>
      <w:r>
        <w:t>Ley 230/1963, de 28 de diciembre. General tributaria</w:t>
      </w:r>
    </w:p>
    <w:p w:rsidR="00512048" w:rsidRDefault="00512048" w:rsidP="00512048">
      <w:pPr>
        <w:pStyle w:val="SangriaFrancesaArticulo"/>
      </w:pPr>
      <w:r w:rsidRPr="00512048">
        <w:rPr>
          <w:rStyle w:val="TextoNormalNegritaCaracter"/>
        </w:rPr>
        <w:t>Artículo 137 apartados b), d).</w:t>
      </w:r>
      <w:r w:rsidRPr="00512048">
        <w:rPr>
          <w:rStyle w:val="TextoNormalCaracter"/>
        </w:rPr>
        <w:t>-</w:t>
      </w:r>
      <w:r>
        <w:t xml:space="preserve"> Sentencia </w:t>
      </w:r>
      <w:hyperlink w:anchor="SENTENCIA_2007_132" w:history="1">
        <w:r w:rsidRPr="00512048">
          <w:rPr>
            <w:rStyle w:val="TextoNormalCaracter"/>
          </w:rPr>
          <w:t>132/2007</w:t>
        </w:r>
      </w:hyperlink>
      <w:r>
        <w:t>, f. 5.</w:t>
      </w:r>
    </w:p>
    <w:p w:rsidR="00512048" w:rsidRDefault="00512048" w:rsidP="00512048">
      <w:pPr>
        <w:pStyle w:val="SangriaFrancesaArticulo"/>
      </w:pPr>
    </w:p>
    <w:p w:rsidR="00512048" w:rsidRDefault="00512048" w:rsidP="00512048">
      <w:pPr>
        <w:pStyle w:val="TextoNormalNegritaCursivandice"/>
      </w:pPr>
      <w:r>
        <w:t>Decreto 632/1968, de 21 de marzo. Texto refundido de la Ley sobre uso y circulación de vehículos de motor</w:t>
      </w:r>
    </w:p>
    <w:p w:rsidR="00512048" w:rsidRDefault="00512048" w:rsidP="00512048">
      <w:pPr>
        <w:pStyle w:val="SangriaFrancesaArticulo"/>
      </w:pPr>
      <w:r w:rsidRPr="00512048">
        <w:rPr>
          <w:rStyle w:val="TextoNormalNegritaCaracter"/>
        </w:rPr>
        <w:t>Artículo 8.1 e)</w:t>
      </w:r>
      <w:r>
        <w:t xml:space="preserve"> </w:t>
      </w:r>
      <w:r w:rsidRPr="00512048">
        <w:rPr>
          <w:rStyle w:val="TextoNormalCaracter"/>
        </w:rPr>
        <w:t>(redactado por la Ley 44/2002, de 22 de noviembre)</w:t>
      </w:r>
      <w:r w:rsidRPr="00512048">
        <w:rPr>
          <w:rStyle w:val="TextoNormalNegritaCaracter"/>
        </w:rPr>
        <w:t>.</w:t>
      </w:r>
      <w:r w:rsidRPr="00512048">
        <w:rPr>
          <w:rStyle w:val="TextoNormalCaracter"/>
        </w:rPr>
        <w:t>-</w:t>
      </w:r>
      <w:r>
        <w:t xml:space="preserve"> Sentencia </w:t>
      </w:r>
      <w:hyperlink w:anchor="SENTENCIA_2007_121" w:history="1">
        <w:r w:rsidRPr="00512048">
          <w:rPr>
            <w:rStyle w:val="TextoNormalCaracter"/>
          </w:rPr>
          <w:t>121/2007</w:t>
        </w:r>
      </w:hyperlink>
      <w:r>
        <w:t>, f. 2.</w:t>
      </w:r>
    </w:p>
    <w:p w:rsidR="00512048" w:rsidRDefault="00512048" w:rsidP="00512048">
      <w:pPr>
        <w:pStyle w:val="SangriaFrancesaArticulo"/>
      </w:pPr>
    </w:p>
    <w:p w:rsidR="00512048" w:rsidRDefault="00512048" w:rsidP="00512048">
      <w:pPr>
        <w:pStyle w:val="TextoNormalNegritaCursivandice"/>
      </w:pPr>
      <w:r>
        <w:t>Decreto 3154/1968, de 14 de noviembre. Reglamento general de recaudación</w:t>
      </w:r>
    </w:p>
    <w:p w:rsidR="00512048" w:rsidRDefault="00512048" w:rsidP="00512048">
      <w:pPr>
        <w:pStyle w:val="SangriaFrancesaArticulo"/>
      </w:pPr>
      <w:r w:rsidRPr="00512048">
        <w:rPr>
          <w:rStyle w:val="TextoNormalNegritaCaracter"/>
        </w:rPr>
        <w:t>Artículo 99 apartados a), b).</w:t>
      </w:r>
      <w:r w:rsidRPr="00512048">
        <w:rPr>
          <w:rStyle w:val="TextoNormalCaracter"/>
        </w:rPr>
        <w:t>-</w:t>
      </w:r>
      <w:r>
        <w:t xml:space="preserve"> Sentencia </w:t>
      </w:r>
      <w:hyperlink w:anchor="SENTENCIA_2007_132" w:history="1">
        <w:r w:rsidRPr="00512048">
          <w:rPr>
            <w:rStyle w:val="TextoNormalCaracter"/>
          </w:rPr>
          <w:t>132/2007</w:t>
        </w:r>
      </w:hyperlink>
      <w:r>
        <w:t>, f. 5.</w:t>
      </w:r>
    </w:p>
    <w:p w:rsidR="00512048" w:rsidRDefault="00512048" w:rsidP="00512048">
      <w:pPr>
        <w:pStyle w:val="SangriaFrancesaArticulo"/>
      </w:pPr>
    </w:p>
    <w:p w:rsidR="00512048" w:rsidRDefault="00512048" w:rsidP="00512048">
      <w:pPr>
        <w:pStyle w:val="TextoNormalNegritaCursivandice"/>
      </w:pPr>
      <w:r>
        <w:t>Real Decreto-ley 20/1977, de 18 de marzo. Normas electorales</w:t>
      </w:r>
    </w:p>
    <w:p w:rsidR="00512048" w:rsidRDefault="00512048" w:rsidP="00512048">
      <w:pPr>
        <w:pStyle w:val="SangriaFrancesaArticulo"/>
      </w:pPr>
      <w:r w:rsidRPr="00512048">
        <w:rPr>
          <w:rStyle w:val="TextoNormalNegritaCaracter"/>
        </w:rPr>
        <w:t>Artículo 64.2 b).</w:t>
      </w:r>
      <w:r w:rsidRPr="00512048">
        <w:rPr>
          <w:rStyle w:val="TextoNormalCaracter"/>
        </w:rPr>
        <w:t>-</w:t>
      </w:r>
      <w:r>
        <w:t xml:space="preserve"> Sentencias </w:t>
      </w:r>
      <w:hyperlink w:anchor="SENTENCIA_2007_167" w:history="1">
        <w:r w:rsidRPr="00512048">
          <w:rPr>
            <w:rStyle w:val="TextoNormalCaracter"/>
          </w:rPr>
          <w:t>167/2007</w:t>
        </w:r>
      </w:hyperlink>
      <w:r>
        <w:t xml:space="preserve">, f. 7; </w:t>
      </w:r>
      <w:hyperlink w:anchor="SENTENCIA_2007_168" w:history="1">
        <w:r w:rsidRPr="00512048">
          <w:rPr>
            <w:rStyle w:val="TextoNormalCaracter"/>
          </w:rPr>
          <w:t>168/2007</w:t>
        </w:r>
      </w:hyperlink>
      <w:r>
        <w:t xml:space="preserve">, f. 3; </w:t>
      </w:r>
      <w:hyperlink w:anchor="SENTENCIA_2007_169" w:history="1">
        <w:r w:rsidRPr="00512048">
          <w:rPr>
            <w:rStyle w:val="TextoNormalCaracter"/>
          </w:rPr>
          <w:t>169/2007</w:t>
        </w:r>
      </w:hyperlink>
      <w:r>
        <w:t xml:space="preserve">, f. 5; </w:t>
      </w:r>
      <w:hyperlink w:anchor="SENTENCIA_2007_170" w:history="1">
        <w:r w:rsidRPr="00512048">
          <w:rPr>
            <w:rStyle w:val="TextoNormalCaracter"/>
          </w:rPr>
          <w:t>170/2007</w:t>
        </w:r>
      </w:hyperlink>
      <w:r>
        <w:t>, f. 4.</w:t>
      </w:r>
    </w:p>
    <w:p w:rsidR="00512048" w:rsidRDefault="00512048" w:rsidP="00512048">
      <w:pPr>
        <w:pStyle w:val="TextoNormal"/>
      </w:pPr>
    </w:p>
    <w:p w:rsidR="00512048" w:rsidRDefault="00512048" w:rsidP="00512048">
      <w:pPr>
        <w:pStyle w:val="SangriaFrancesaArticulo"/>
      </w:pPr>
      <w:bookmarkStart w:id="233" w:name="INDICE22851"/>
    </w:p>
    <w:bookmarkEnd w:id="233"/>
    <w:p w:rsidR="00512048" w:rsidRDefault="00512048" w:rsidP="00512048">
      <w:pPr>
        <w:pStyle w:val="TextoIndiceNivel2"/>
        <w:suppressAutoHyphens/>
      </w:pPr>
      <w:r>
        <w:t>J) Comunidades y Ciudades Autónomas</w:t>
      </w:r>
    </w:p>
    <w:p w:rsidR="00512048" w:rsidRDefault="00512048" w:rsidP="00512048">
      <w:pPr>
        <w:pStyle w:val="TextoNormal"/>
      </w:pPr>
    </w:p>
    <w:p w:rsidR="00512048" w:rsidRDefault="00512048" w:rsidP="00512048">
      <w:pPr>
        <w:pStyle w:val="TextoNormalNegritaCentrado"/>
        <w:suppressAutoHyphens/>
      </w:pPr>
      <w:r w:rsidRPr="00512048">
        <w:rPr>
          <w:rStyle w:val="TextoNormalNegritaCentradoSombreado"/>
        </w:rPr>
        <w:t>J.1) Andalucía</w:t>
      </w:r>
    </w:p>
    <w:p w:rsidR="00512048" w:rsidRDefault="00512048" w:rsidP="00512048">
      <w:pPr>
        <w:pStyle w:val="TextoNormal"/>
      </w:pPr>
    </w:p>
    <w:p w:rsidR="00512048" w:rsidRDefault="00512048" w:rsidP="00512048">
      <w:pPr>
        <w:pStyle w:val="TextoNormalNegritaCentradoSubrayado"/>
        <w:suppressAutoHyphens/>
      </w:pPr>
      <w:r>
        <w:lastRenderedPageBreak/>
        <w:t>J.1.a) Estatuto de Autonomía</w:t>
      </w:r>
    </w:p>
    <w:p w:rsidR="00512048" w:rsidRDefault="00512048" w:rsidP="00512048">
      <w:pPr>
        <w:pStyle w:val="TextoNormalNegritaCentradoSubrayado"/>
      </w:pPr>
    </w:p>
    <w:p w:rsidR="00512048" w:rsidRDefault="00512048" w:rsidP="00512048">
      <w:pPr>
        <w:pStyle w:val="TextoNormalNegritaCursivandice"/>
      </w:pPr>
      <w:r>
        <w:t>Ley Orgánica 2/2007, de 19 de marzo. Reforma del Estatuto de Autonomía de Andalucía</w:t>
      </w:r>
    </w:p>
    <w:p w:rsidR="00512048" w:rsidRDefault="00512048" w:rsidP="00512048">
      <w:pPr>
        <w:pStyle w:val="SangriaFrancesaArticulo"/>
      </w:pPr>
      <w:r w:rsidRPr="00512048">
        <w:rPr>
          <w:rStyle w:val="TextoNormalNegritaCaracter"/>
        </w:rPr>
        <w:t>Disposición adicional tercera, apartado 2.</w:t>
      </w:r>
      <w:r w:rsidRPr="00512048">
        <w:rPr>
          <w:rStyle w:val="TextoNormalCaracter"/>
        </w:rPr>
        <w:t>-</w:t>
      </w:r>
      <w:r>
        <w:t xml:space="preserve"> Auto </w:t>
      </w:r>
      <w:hyperlink w:anchor="AUTO_2007_329" w:history="1">
        <w:r w:rsidRPr="00512048">
          <w:rPr>
            <w:rStyle w:val="TextoNormalCaracter"/>
          </w:rPr>
          <w:t>329/2007</w:t>
        </w:r>
      </w:hyperlink>
      <w:r>
        <w:t>.</w:t>
      </w:r>
    </w:p>
    <w:p w:rsidR="00512048" w:rsidRDefault="00512048" w:rsidP="00512048">
      <w:pPr>
        <w:pStyle w:val="TextoNormal"/>
      </w:pPr>
    </w:p>
    <w:p w:rsidR="00512048" w:rsidRDefault="00512048" w:rsidP="00512048">
      <w:pPr>
        <w:pStyle w:val="TextoNormalNegritaCentrado"/>
        <w:suppressAutoHyphens/>
      </w:pPr>
      <w:r w:rsidRPr="00512048">
        <w:rPr>
          <w:rStyle w:val="TextoNormalNegritaCentradoSombreado"/>
        </w:rPr>
        <w:t>J.2) Aragón</w:t>
      </w:r>
    </w:p>
    <w:p w:rsidR="00512048" w:rsidRDefault="00512048" w:rsidP="00512048">
      <w:pPr>
        <w:pStyle w:val="TextoNormal"/>
      </w:pPr>
    </w:p>
    <w:p w:rsidR="00512048" w:rsidRDefault="00512048" w:rsidP="00512048">
      <w:pPr>
        <w:pStyle w:val="TextoNormalNegritaCentradoSubrayado"/>
        <w:suppressAutoHyphens/>
      </w:pPr>
      <w:r>
        <w:t>J.2.b) Leyes y disposiciones con fuerza de Ley</w:t>
      </w:r>
    </w:p>
    <w:p w:rsidR="00512048" w:rsidRDefault="00512048" w:rsidP="00512048">
      <w:pPr>
        <w:pStyle w:val="TextoNormalNegritaCentradoSubrayado"/>
      </w:pPr>
    </w:p>
    <w:p w:rsidR="00512048" w:rsidRDefault="00512048" w:rsidP="00512048">
      <w:pPr>
        <w:pStyle w:val="TextoNormalNegritaCursivandice"/>
      </w:pPr>
      <w:r>
        <w:t>Decreto Legislativo de la Diputación General de Aragón 1/1991, de 19 de febrero. Texto refundido de la Ley de ordenación de la función pública de la Comunidad Autónoma de Aragón</w:t>
      </w:r>
    </w:p>
    <w:p w:rsidR="00512048" w:rsidRDefault="00512048" w:rsidP="00512048">
      <w:pPr>
        <w:pStyle w:val="SangriaFrancesaArticulo"/>
      </w:pPr>
      <w:r w:rsidRPr="00512048">
        <w:rPr>
          <w:rStyle w:val="TextoNormalNegritaCaracter"/>
        </w:rPr>
        <w:t>Disposición adicional quinta</w:t>
      </w:r>
      <w:r>
        <w:t xml:space="preserve"> </w:t>
      </w:r>
      <w:r w:rsidRPr="00512048">
        <w:rPr>
          <w:rStyle w:val="TextoNormalCaracter"/>
        </w:rPr>
        <w:t>(redactada por la Ley 13/2000, de 27 de diciembre)</w:t>
      </w:r>
      <w:r w:rsidRPr="00512048">
        <w:rPr>
          <w:rStyle w:val="TextoNormalNegritaCaracter"/>
        </w:rPr>
        <w:t>.</w:t>
      </w:r>
      <w:r w:rsidRPr="00512048">
        <w:rPr>
          <w:rStyle w:val="TextoNormalCaracter"/>
        </w:rPr>
        <w:t>-</w:t>
      </w:r>
      <w:r>
        <w:t xml:space="preserve"> Sentencia </w:t>
      </w:r>
      <w:hyperlink w:anchor="SENTENCIA_2007_129" w:history="1">
        <w:r w:rsidRPr="00512048">
          <w:rPr>
            <w:rStyle w:val="TextoNormalCaracter"/>
          </w:rPr>
          <w:t>129/2007</w:t>
        </w:r>
      </w:hyperlink>
      <w:r>
        <w:t>, f. 3.</w:t>
      </w:r>
    </w:p>
    <w:p w:rsidR="00512048" w:rsidRDefault="00512048" w:rsidP="00512048">
      <w:pPr>
        <w:pStyle w:val="SangriaFrancesaArticulo"/>
      </w:pPr>
    </w:p>
    <w:p w:rsidR="00512048" w:rsidRDefault="00512048" w:rsidP="00512048">
      <w:pPr>
        <w:pStyle w:val="TextoNormalNegritaCursivandice"/>
      </w:pPr>
      <w:r>
        <w:t>Ley de las Cortes de Aragón 13/2000, de 27 de diciembre. Medidas tributarias y administrativas</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29" w:history="1">
        <w:r w:rsidRPr="00512048">
          <w:rPr>
            <w:rStyle w:val="TextoNormalCaracter"/>
          </w:rPr>
          <w:t>129/2007</w:t>
        </w:r>
      </w:hyperlink>
      <w:r>
        <w:t>, f. 3.</w:t>
      </w:r>
    </w:p>
    <w:p w:rsidR="00512048" w:rsidRDefault="00512048" w:rsidP="00512048">
      <w:pPr>
        <w:pStyle w:val="TextoNormal"/>
      </w:pPr>
    </w:p>
    <w:p w:rsidR="00512048" w:rsidRDefault="00512048" w:rsidP="00512048">
      <w:pPr>
        <w:pStyle w:val="TextoNormalNegritaCentrado"/>
        <w:suppressAutoHyphens/>
      </w:pPr>
      <w:r w:rsidRPr="00512048">
        <w:rPr>
          <w:rStyle w:val="TextoNormalNegritaCentradoSombreado"/>
        </w:rPr>
        <w:t>J.3) Baleares</w:t>
      </w:r>
    </w:p>
    <w:p w:rsidR="00512048" w:rsidRDefault="00512048" w:rsidP="00512048">
      <w:pPr>
        <w:pStyle w:val="TextoNormal"/>
      </w:pPr>
    </w:p>
    <w:p w:rsidR="00512048" w:rsidRDefault="00512048" w:rsidP="00512048">
      <w:pPr>
        <w:pStyle w:val="TextoNormalNegritaCentradoSubrayado"/>
        <w:suppressAutoHyphens/>
      </w:pPr>
      <w:r>
        <w:t>J.3.b) Leyes y disposiciones con fuerza de Ley</w:t>
      </w:r>
    </w:p>
    <w:p w:rsidR="00512048" w:rsidRDefault="00512048" w:rsidP="00512048">
      <w:pPr>
        <w:pStyle w:val="TextoNormalNegritaCentradoSubrayado"/>
      </w:pPr>
    </w:p>
    <w:p w:rsidR="00512048" w:rsidRDefault="00512048" w:rsidP="00512048">
      <w:pPr>
        <w:pStyle w:val="TextoNormalNegritaCursivandice"/>
      </w:pPr>
      <w:r>
        <w:t>Ley del Parlamento de las Illes Balears 9/2000, de 27 de octubre. Modificación de la Ley 12/1999, de 23 de diciembre, de medidas tributarias, administrativas y de función pública y económicas</w:t>
      </w:r>
    </w:p>
    <w:p w:rsidR="00512048" w:rsidRDefault="00512048" w:rsidP="00512048">
      <w:pPr>
        <w:pStyle w:val="SangriaFrancesaArticulo"/>
      </w:pPr>
      <w:r w:rsidRPr="00512048">
        <w:rPr>
          <w:rStyle w:val="TextoNormalNegritaCaracter"/>
        </w:rPr>
        <w:t>Artículo único.</w:t>
      </w:r>
      <w:r w:rsidRPr="00512048">
        <w:rPr>
          <w:rStyle w:val="TextoNormalCaracter"/>
        </w:rPr>
        <w:t>-</w:t>
      </w:r>
      <w:r>
        <w:t xml:space="preserve"> Auto </w:t>
      </w:r>
      <w:hyperlink w:anchor="AUTO_2007_326" w:history="1">
        <w:r w:rsidRPr="00512048">
          <w:rPr>
            <w:rStyle w:val="TextoNormalCaracter"/>
          </w:rPr>
          <w:t>326/2007</w:t>
        </w:r>
      </w:hyperlink>
      <w:r>
        <w:t>.</w:t>
      </w:r>
    </w:p>
    <w:p w:rsidR="00512048" w:rsidRDefault="00512048" w:rsidP="00512048">
      <w:pPr>
        <w:pStyle w:val="SangriaFrancesaArticulo"/>
      </w:pPr>
    </w:p>
    <w:p w:rsidR="00512048" w:rsidRDefault="00512048" w:rsidP="00512048">
      <w:pPr>
        <w:pStyle w:val="TextoNormalNegritaCursivandice"/>
      </w:pPr>
      <w:r>
        <w:t>Ley del Parlamento de las Illes Balears 6/2002, de 21 junio. Modificación de la Ley 8/1986, de 2 de noviembre, electoral de la Comunidad Autónoma</w:t>
      </w:r>
    </w:p>
    <w:p w:rsidR="00512048" w:rsidRDefault="00512048" w:rsidP="00512048">
      <w:pPr>
        <w:pStyle w:val="SangriaFrancesaArticulo"/>
      </w:pPr>
      <w:r w:rsidRPr="00512048">
        <w:rPr>
          <w:rStyle w:val="TextoNormalNegritaCaracter"/>
        </w:rPr>
        <w:t>Artículo 1.</w:t>
      </w:r>
      <w:r w:rsidRPr="00512048">
        <w:rPr>
          <w:rStyle w:val="TextoNormalCaracter"/>
        </w:rPr>
        <w:t>-</w:t>
      </w:r>
      <w:r>
        <w:t xml:space="preserve"> Sentencia </w:t>
      </w:r>
      <w:hyperlink w:anchor="SENTENCIA_2007_127" w:history="1">
        <w:r w:rsidRPr="00512048">
          <w:rPr>
            <w:rStyle w:val="TextoNormalCaracter"/>
          </w:rPr>
          <w:t>127/2007</w:t>
        </w:r>
      </w:hyperlink>
      <w:r>
        <w:t>, VP.</w:t>
      </w:r>
    </w:p>
    <w:p w:rsidR="00512048" w:rsidRDefault="00512048" w:rsidP="00512048">
      <w:pPr>
        <w:pStyle w:val="SangriaFrancesaArticulo"/>
      </w:pPr>
    </w:p>
    <w:p w:rsidR="00512048" w:rsidRDefault="00512048" w:rsidP="00512048">
      <w:pPr>
        <w:pStyle w:val="TextoNormalNegritaCursivandice"/>
      </w:pPr>
      <w:r>
        <w:t>Ley del Parlamento de las Illes Balears 16/2006, de 17 de octubre. Régimen jurídico de las licencias integradas de actividad de las Illes Balears</w:t>
      </w:r>
    </w:p>
    <w:p w:rsidR="00512048" w:rsidRDefault="00512048" w:rsidP="00512048">
      <w:pPr>
        <w:pStyle w:val="SangriaFrancesaArticulo"/>
      </w:pPr>
      <w:r w:rsidRPr="00512048">
        <w:rPr>
          <w:rStyle w:val="TextoNormalNegritaCaracter"/>
        </w:rPr>
        <w:t>Disposición derogatoria única, apartado 5.</w:t>
      </w:r>
      <w:r w:rsidRPr="00512048">
        <w:rPr>
          <w:rStyle w:val="TextoNormalCaracter"/>
        </w:rPr>
        <w:t>-</w:t>
      </w:r>
      <w:r>
        <w:t xml:space="preserve"> Auto </w:t>
      </w:r>
      <w:hyperlink w:anchor="AUTO_2007_326" w:history="1">
        <w:r w:rsidRPr="00512048">
          <w:rPr>
            <w:rStyle w:val="TextoNormalCaracter"/>
          </w:rPr>
          <w:t>326/2007</w:t>
        </w:r>
      </w:hyperlink>
      <w:r>
        <w:t>.</w:t>
      </w:r>
    </w:p>
    <w:p w:rsidR="00512048" w:rsidRDefault="00512048" w:rsidP="00512048">
      <w:pPr>
        <w:pStyle w:val="TextoNormal"/>
      </w:pPr>
    </w:p>
    <w:p w:rsidR="00512048" w:rsidRDefault="00512048" w:rsidP="00512048">
      <w:pPr>
        <w:pStyle w:val="TextoNormalNegritaCentrado"/>
        <w:suppressAutoHyphens/>
      </w:pPr>
      <w:r w:rsidRPr="00512048">
        <w:rPr>
          <w:rStyle w:val="TextoNormalNegritaCentradoSombreado"/>
        </w:rPr>
        <w:t>J.4) Castilla-La Mancha</w:t>
      </w:r>
    </w:p>
    <w:p w:rsidR="00512048" w:rsidRDefault="00512048" w:rsidP="00512048">
      <w:pPr>
        <w:pStyle w:val="TextoNormal"/>
      </w:pPr>
    </w:p>
    <w:p w:rsidR="00512048" w:rsidRDefault="00512048" w:rsidP="00512048">
      <w:pPr>
        <w:pStyle w:val="TextoNormalNegritaCentradoSubrayado"/>
        <w:suppressAutoHyphens/>
      </w:pPr>
      <w:r>
        <w:t>J.4.b) Leyes y disposiciones con fuerza de Ley</w:t>
      </w:r>
    </w:p>
    <w:p w:rsidR="00512048" w:rsidRDefault="00512048" w:rsidP="00512048">
      <w:pPr>
        <w:pStyle w:val="TextoNormalNegritaCentradoSubrayado"/>
      </w:pPr>
    </w:p>
    <w:p w:rsidR="00512048" w:rsidRDefault="00512048" w:rsidP="00512048">
      <w:pPr>
        <w:pStyle w:val="TextoNormalNegritaCursivandice"/>
      </w:pPr>
      <w:r>
        <w:lastRenderedPageBreak/>
        <w:t>Ley de las Cortes de Castilla-La Mancha 13/2005, de 29 de diciembre. Presupuestos Generales de la Junta de Comunidades de Castilla-La Mancha para 2006</w:t>
      </w:r>
    </w:p>
    <w:p w:rsidR="00512048" w:rsidRDefault="00512048" w:rsidP="00512048">
      <w:pPr>
        <w:pStyle w:val="SangriaFrancesaArticulo"/>
      </w:pPr>
      <w:r w:rsidRPr="00512048">
        <w:rPr>
          <w:rStyle w:val="TextoNormalNegritaCaracter"/>
        </w:rPr>
        <w:t>Artículo 49.1 a).</w:t>
      </w:r>
      <w:r w:rsidRPr="00512048">
        <w:rPr>
          <w:rStyle w:val="TextoNormalCaracter"/>
        </w:rPr>
        <w:t>-</w:t>
      </w:r>
      <w:r>
        <w:t xml:space="preserve"> Auto </w:t>
      </w:r>
      <w:hyperlink w:anchor="AUTO_2007_322" w:history="1">
        <w:r w:rsidRPr="00512048">
          <w:rPr>
            <w:rStyle w:val="TextoNormalCaracter"/>
          </w:rPr>
          <w:t>322/2007</w:t>
        </w:r>
      </w:hyperlink>
      <w:r>
        <w:t>.</w:t>
      </w:r>
    </w:p>
    <w:p w:rsidR="00512048" w:rsidRDefault="00512048" w:rsidP="00512048">
      <w:pPr>
        <w:pStyle w:val="TextoNormal"/>
      </w:pPr>
    </w:p>
    <w:p w:rsidR="00512048" w:rsidRDefault="00512048" w:rsidP="00512048">
      <w:pPr>
        <w:pStyle w:val="TextoNormalNegritaCentrado"/>
        <w:suppressAutoHyphens/>
      </w:pPr>
      <w:r w:rsidRPr="00512048">
        <w:rPr>
          <w:rStyle w:val="TextoNormalNegritaCentradoSombreado"/>
        </w:rPr>
        <w:t>J.5) Cataluña</w:t>
      </w:r>
    </w:p>
    <w:p w:rsidR="00512048" w:rsidRDefault="00512048" w:rsidP="00512048">
      <w:pPr>
        <w:pStyle w:val="TextoNormal"/>
      </w:pPr>
    </w:p>
    <w:p w:rsidR="00512048" w:rsidRDefault="00512048" w:rsidP="00512048">
      <w:pPr>
        <w:pStyle w:val="TextoNormalNegritaCentradoSubrayado"/>
        <w:suppressAutoHyphens/>
      </w:pPr>
      <w:r>
        <w:t>J.5.a) Estatuto de Autonomía</w:t>
      </w:r>
    </w:p>
    <w:p w:rsidR="00512048" w:rsidRDefault="00512048" w:rsidP="00512048">
      <w:pPr>
        <w:pStyle w:val="TextoNormalNegritaCentradoSubrayado"/>
      </w:pPr>
    </w:p>
    <w:p w:rsidR="00512048" w:rsidRDefault="00512048" w:rsidP="00512048">
      <w:pPr>
        <w:pStyle w:val="TextoNormalNegritaCursivandice"/>
      </w:pPr>
      <w:r>
        <w:t>Ley Orgánica 6/2006, de 19 de julio. Reforma del Estatuto de Autonomía de Cataluña</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Auto </w:t>
      </w:r>
      <w:hyperlink w:anchor="AUTO_2007_261" w:history="1">
        <w:r w:rsidRPr="00512048">
          <w:rPr>
            <w:rStyle w:val="TextoNormalCaracter"/>
          </w:rPr>
          <w:t>261/2007</w:t>
        </w:r>
      </w:hyperlink>
      <w:r>
        <w:t>.</w:t>
      </w:r>
    </w:p>
    <w:p w:rsidR="00512048" w:rsidRDefault="00512048" w:rsidP="00512048">
      <w:pPr>
        <w:pStyle w:val="SangriaFrancesaArticulo"/>
      </w:pPr>
      <w:r w:rsidRPr="00512048">
        <w:rPr>
          <w:rStyle w:val="TextoNormalNegritaCaracter"/>
        </w:rPr>
        <w:t>Artículo 117.</w:t>
      </w:r>
      <w:r w:rsidRPr="00512048">
        <w:rPr>
          <w:rStyle w:val="TextoNormalCaracter"/>
        </w:rPr>
        <w:t>-</w:t>
      </w:r>
      <w:r>
        <w:t xml:space="preserve"> Auto </w:t>
      </w:r>
      <w:hyperlink w:anchor="AUTO_2007_261" w:history="1">
        <w:r w:rsidRPr="00512048">
          <w:rPr>
            <w:rStyle w:val="TextoNormalCaracter"/>
          </w:rPr>
          <w:t>261/2007</w:t>
        </w:r>
      </w:hyperlink>
      <w:r>
        <w:t>.</w:t>
      </w:r>
    </w:p>
    <w:p w:rsidR="00512048" w:rsidRDefault="00512048" w:rsidP="00512048">
      <w:pPr>
        <w:pStyle w:val="SangriaFrancesaArticulo"/>
      </w:pPr>
      <w:r w:rsidRPr="00512048">
        <w:rPr>
          <w:rStyle w:val="TextoNormalNegritaCaracter"/>
        </w:rPr>
        <w:t>Disposición adicional tercera, apartado 1.</w:t>
      </w:r>
      <w:r w:rsidRPr="00512048">
        <w:rPr>
          <w:rStyle w:val="TextoNormalCaracter"/>
        </w:rPr>
        <w:t>-</w:t>
      </w:r>
      <w:r>
        <w:t xml:space="preserve"> Auto </w:t>
      </w:r>
      <w:hyperlink w:anchor="AUTO_2007_329" w:history="1">
        <w:r w:rsidRPr="00512048">
          <w:rPr>
            <w:rStyle w:val="TextoNormalCaracter"/>
          </w:rPr>
          <w:t>329/2007</w:t>
        </w:r>
      </w:hyperlink>
      <w:r>
        <w:t>.</w:t>
      </w:r>
    </w:p>
    <w:p w:rsidR="00512048" w:rsidRDefault="00512048" w:rsidP="00512048">
      <w:pPr>
        <w:pStyle w:val="TextoNormal"/>
      </w:pPr>
    </w:p>
    <w:p w:rsidR="00512048" w:rsidRDefault="00512048" w:rsidP="00512048">
      <w:pPr>
        <w:pStyle w:val="TextoNormalNegritaCentrado"/>
        <w:suppressAutoHyphens/>
      </w:pPr>
      <w:r w:rsidRPr="00512048">
        <w:rPr>
          <w:rStyle w:val="TextoNormalNegritaCentradoSombreado"/>
        </w:rPr>
        <w:t>J.6) Galicia</w:t>
      </w:r>
    </w:p>
    <w:p w:rsidR="00512048" w:rsidRDefault="00512048" w:rsidP="00512048">
      <w:pPr>
        <w:pStyle w:val="TextoNormal"/>
      </w:pPr>
    </w:p>
    <w:p w:rsidR="00512048" w:rsidRDefault="00512048" w:rsidP="00512048">
      <w:pPr>
        <w:pStyle w:val="TextoNormalNegritaCentradoSubrayado"/>
        <w:suppressAutoHyphens/>
      </w:pPr>
      <w:r>
        <w:t>J.6.b) Leyes y disposiciones con fuerza de Ley</w:t>
      </w:r>
    </w:p>
    <w:p w:rsidR="00512048" w:rsidRDefault="00512048" w:rsidP="00512048">
      <w:pPr>
        <w:pStyle w:val="TextoNormalNegritaCentradoSubrayado"/>
      </w:pPr>
    </w:p>
    <w:p w:rsidR="00512048" w:rsidRDefault="00512048" w:rsidP="00512048">
      <w:pPr>
        <w:pStyle w:val="TextoNormalNegritaCursivandice"/>
      </w:pPr>
      <w:r>
        <w:t>Ley del Parlamento de Galicia 5/1998, de 18 de diciembre. Cooperativas de Galicia</w:t>
      </w:r>
    </w:p>
    <w:p w:rsidR="00512048" w:rsidRDefault="00512048" w:rsidP="00512048">
      <w:pPr>
        <w:pStyle w:val="SangriaFrancesaArticulo"/>
      </w:pPr>
      <w:r w:rsidRPr="00512048">
        <w:rPr>
          <w:rStyle w:val="TextoNormalNegritaCaracter"/>
        </w:rPr>
        <w:t>Artículo 108.</w:t>
      </w:r>
      <w:r w:rsidRPr="00512048">
        <w:rPr>
          <w:rStyle w:val="TextoNormalCaracter"/>
        </w:rPr>
        <w:t>-</w:t>
      </w:r>
      <w:r>
        <w:t xml:space="preserve"> Sentencia </w:t>
      </w:r>
      <w:hyperlink w:anchor="SENTENCIA_2007_172" w:history="1">
        <w:r w:rsidRPr="00512048">
          <w:rPr>
            <w:rStyle w:val="TextoNormalCaracter"/>
          </w:rPr>
          <w:t>172/2007</w:t>
        </w:r>
      </w:hyperlink>
      <w:r>
        <w:t>, ff. 3, 4.</w:t>
      </w:r>
    </w:p>
    <w:p w:rsidR="00512048" w:rsidRDefault="00512048" w:rsidP="00512048">
      <w:pPr>
        <w:pStyle w:val="TextoNormal"/>
      </w:pPr>
    </w:p>
    <w:p w:rsidR="00512048" w:rsidRDefault="00512048" w:rsidP="00512048">
      <w:pPr>
        <w:pStyle w:val="TextoNormalNegritaCentrado"/>
        <w:suppressAutoHyphens/>
      </w:pPr>
      <w:r w:rsidRPr="00512048">
        <w:rPr>
          <w:rStyle w:val="TextoNormalNegritaCentradoSombreado"/>
        </w:rPr>
        <w:t>J.7) La Rioja</w:t>
      </w:r>
    </w:p>
    <w:p w:rsidR="00512048" w:rsidRDefault="00512048" w:rsidP="00512048">
      <w:pPr>
        <w:pStyle w:val="TextoNormal"/>
      </w:pPr>
    </w:p>
    <w:p w:rsidR="00512048" w:rsidRDefault="00512048" w:rsidP="00512048">
      <w:pPr>
        <w:pStyle w:val="TextoNormalNegritaCentradoSubrayado"/>
        <w:suppressAutoHyphens/>
      </w:pPr>
      <w:r>
        <w:t>J.7.b) Leyes y disposiciones con fuerza de Ley</w:t>
      </w:r>
    </w:p>
    <w:p w:rsidR="00512048" w:rsidRDefault="00512048" w:rsidP="00512048">
      <w:pPr>
        <w:pStyle w:val="TextoNormalNegritaCentradoSubrayado"/>
      </w:pPr>
    </w:p>
    <w:p w:rsidR="00512048" w:rsidRDefault="00512048" w:rsidP="00512048">
      <w:pPr>
        <w:pStyle w:val="TextoNormalNegritaCursivandice"/>
      </w:pPr>
      <w:r>
        <w:t>Ley del Parlamento de La Rioja 2/2001, de 19 de abril. Reglamento del Parlamento</w:t>
      </w:r>
    </w:p>
    <w:p w:rsidR="00512048" w:rsidRDefault="00512048" w:rsidP="00512048">
      <w:pPr>
        <w:pStyle w:val="SangriaFrancesaArticulo"/>
      </w:pPr>
      <w:r w:rsidRPr="00512048">
        <w:rPr>
          <w:rStyle w:val="TextoNormalNegritaCaracter"/>
        </w:rPr>
        <w:t>Artículo 24.7.</w:t>
      </w:r>
      <w:r w:rsidRPr="00512048">
        <w:rPr>
          <w:rStyle w:val="TextoNormalCaracter"/>
        </w:rPr>
        <w:t>-</w:t>
      </w:r>
      <w:r>
        <w:t xml:space="preserve"> Sentencia </w:t>
      </w:r>
      <w:hyperlink w:anchor="SENTENCIA_2007_141" w:history="1">
        <w:r w:rsidRPr="00512048">
          <w:rPr>
            <w:rStyle w:val="TextoNormalCaracter"/>
          </w:rPr>
          <w:t>141/2007</w:t>
        </w:r>
      </w:hyperlink>
      <w:r>
        <w:t>, f. 5.</w:t>
      </w:r>
    </w:p>
    <w:p w:rsidR="00512048" w:rsidRDefault="00512048" w:rsidP="00512048">
      <w:pPr>
        <w:pStyle w:val="SangriaFrancesaArticulo"/>
      </w:pPr>
      <w:r w:rsidRPr="00512048">
        <w:rPr>
          <w:rStyle w:val="TextoNormalNegritaCaracter"/>
        </w:rPr>
        <w:t>Artículo 26.1.</w:t>
      </w:r>
      <w:r w:rsidRPr="00512048">
        <w:rPr>
          <w:rStyle w:val="TextoNormalCaracter"/>
        </w:rPr>
        <w:t>-</w:t>
      </w:r>
      <w:r>
        <w:t xml:space="preserve"> Sentencia </w:t>
      </w:r>
      <w:hyperlink w:anchor="SENTENCIA_2007_141" w:history="1">
        <w:r w:rsidRPr="00512048">
          <w:rPr>
            <w:rStyle w:val="TextoNormalCaracter"/>
          </w:rPr>
          <w:t>141/2007</w:t>
        </w:r>
      </w:hyperlink>
      <w:r>
        <w:t>, f. 4.</w:t>
      </w:r>
    </w:p>
    <w:p w:rsidR="00512048" w:rsidRDefault="00512048" w:rsidP="00512048">
      <w:pPr>
        <w:pStyle w:val="TextoNormal"/>
      </w:pPr>
    </w:p>
    <w:p w:rsidR="00512048" w:rsidRDefault="00512048" w:rsidP="00512048">
      <w:pPr>
        <w:pStyle w:val="TextoNormalNegritaCentrado"/>
        <w:suppressAutoHyphens/>
      </w:pPr>
      <w:r w:rsidRPr="00512048">
        <w:rPr>
          <w:rStyle w:val="TextoNormalNegritaCentradoSombreado"/>
        </w:rPr>
        <w:t>J.8) Madrid</w:t>
      </w:r>
    </w:p>
    <w:p w:rsidR="00512048" w:rsidRDefault="00512048" w:rsidP="00512048">
      <w:pPr>
        <w:pStyle w:val="TextoNormal"/>
      </w:pPr>
    </w:p>
    <w:p w:rsidR="00512048" w:rsidRDefault="00512048" w:rsidP="00512048">
      <w:pPr>
        <w:pStyle w:val="TextoNormalNegritaCentradoSubrayado"/>
        <w:suppressAutoHyphens/>
      </w:pPr>
      <w:r>
        <w:t>J.8.b) Leyes y disposiciones con fuerza de Ley</w:t>
      </w:r>
    </w:p>
    <w:p w:rsidR="00512048" w:rsidRDefault="00512048" w:rsidP="00512048">
      <w:pPr>
        <w:pStyle w:val="TextoNormalNegritaCentradoSubrayado"/>
      </w:pPr>
    </w:p>
    <w:p w:rsidR="00512048" w:rsidRDefault="00512048" w:rsidP="00512048">
      <w:pPr>
        <w:pStyle w:val="TextoNormalNegritaCursivandice"/>
      </w:pPr>
      <w:r>
        <w:t>Ley de la Asamblea de Madrid 4/1984, de 10 de febrero. Medidas de disciplina urbanística</w:t>
      </w:r>
    </w:p>
    <w:p w:rsidR="00512048" w:rsidRDefault="00512048" w:rsidP="00512048">
      <w:pPr>
        <w:pStyle w:val="SangriaFrancesaArticulo"/>
      </w:pPr>
      <w:r w:rsidRPr="00512048">
        <w:rPr>
          <w:rStyle w:val="TextoNormalNegritaCaracter"/>
        </w:rPr>
        <w:t>Artículo 23.</w:t>
      </w:r>
      <w:r w:rsidRPr="00512048">
        <w:rPr>
          <w:rStyle w:val="TextoNormalCaracter"/>
        </w:rPr>
        <w:t>-</w:t>
      </w:r>
      <w:r>
        <w:t xml:space="preserve"> Auto </w:t>
      </w:r>
      <w:hyperlink w:anchor="AUTO_2007_237" w:history="1">
        <w:r w:rsidRPr="00512048">
          <w:rPr>
            <w:rStyle w:val="TextoNormalCaracter"/>
          </w:rPr>
          <w:t>237/2007</w:t>
        </w:r>
      </w:hyperlink>
      <w:r>
        <w:t>.</w:t>
      </w:r>
    </w:p>
    <w:p w:rsidR="00512048" w:rsidRDefault="00512048" w:rsidP="00512048">
      <w:pPr>
        <w:pStyle w:val="TextoNormal"/>
      </w:pPr>
    </w:p>
    <w:p w:rsidR="00512048" w:rsidRDefault="00512048" w:rsidP="00512048">
      <w:pPr>
        <w:pStyle w:val="TextoNormalNegritaCentrado"/>
        <w:suppressAutoHyphens/>
      </w:pPr>
      <w:r w:rsidRPr="00512048">
        <w:rPr>
          <w:rStyle w:val="TextoNormalNegritaCentradoSombreado"/>
        </w:rPr>
        <w:t>J.9) Valencia</w:t>
      </w:r>
    </w:p>
    <w:p w:rsidR="00512048" w:rsidRDefault="00512048" w:rsidP="00512048">
      <w:pPr>
        <w:pStyle w:val="TextoNormal"/>
      </w:pPr>
    </w:p>
    <w:p w:rsidR="00512048" w:rsidRDefault="00512048" w:rsidP="00512048">
      <w:pPr>
        <w:pStyle w:val="TextoNormalNegritaCentradoSubrayado"/>
        <w:suppressAutoHyphens/>
      </w:pPr>
      <w:r>
        <w:t>J.9.b) Leyes y disposiciones con fuerza de Ley</w:t>
      </w:r>
    </w:p>
    <w:p w:rsidR="00512048" w:rsidRDefault="00512048" w:rsidP="00512048">
      <w:pPr>
        <w:pStyle w:val="TextoNormalNegritaCentradoSubrayado"/>
      </w:pPr>
    </w:p>
    <w:p w:rsidR="00512048" w:rsidRDefault="00512048" w:rsidP="00512048">
      <w:pPr>
        <w:pStyle w:val="TextoNormalNegritaCursivandice"/>
      </w:pPr>
      <w:r>
        <w:t>Ley de las Cortes Valencianas 11/1994, de 27 de diciembre. Espacios naturales protegidos de la Comunidad Valenciana</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Auto </w:t>
      </w:r>
      <w:hyperlink w:anchor="AUTO_2007_355" w:history="1">
        <w:r w:rsidRPr="00512048">
          <w:rPr>
            <w:rStyle w:val="TextoNormalCaracter"/>
          </w:rPr>
          <w:t>355/2007</w:t>
        </w:r>
      </w:hyperlink>
      <w:r>
        <w:t>.</w:t>
      </w:r>
    </w:p>
    <w:p w:rsidR="00512048" w:rsidRDefault="00512048" w:rsidP="00512048">
      <w:pPr>
        <w:pStyle w:val="TextoNormal"/>
      </w:pPr>
    </w:p>
    <w:p w:rsidR="00512048" w:rsidRDefault="00512048" w:rsidP="00512048">
      <w:pPr>
        <w:pStyle w:val="TextoNormalNegritaCentradoSubrayado"/>
        <w:suppressAutoHyphens/>
      </w:pPr>
      <w:r>
        <w:t>J.9.c) Decretos y otras disposiciones reglamentarias</w:t>
      </w:r>
    </w:p>
    <w:p w:rsidR="00512048" w:rsidRDefault="00512048" w:rsidP="00512048">
      <w:pPr>
        <w:pStyle w:val="TextoNormalNegritaCentradoSubrayado"/>
      </w:pPr>
    </w:p>
    <w:p w:rsidR="00512048" w:rsidRDefault="00512048" w:rsidP="00512048">
      <w:pPr>
        <w:pStyle w:val="TextoNormalNegritaCursivandice"/>
      </w:pPr>
      <w:r>
        <w:t>Decreto de la Generalidad Valenciana 49/1995, de 22 de marzo. Plan rector de uso y gestión del Paraje natural de las lagunas de La Mata y Torrevieja</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Auto </w:t>
      </w:r>
      <w:hyperlink w:anchor="AUTO_2007_355" w:history="1">
        <w:r w:rsidRPr="00512048">
          <w:rPr>
            <w:rStyle w:val="TextoNormalCaracter"/>
          </w:rPr>
          <w:t>355/2007</w:t>
        </w:r>
      </w:hyperlink>
      <w:r>
        <w:t>.</w:t>
      </w:r>
    </w:p>
    <w:p w:rsidR="00512048" w:rsidRDefault="00512048" w:rsidP="00512048">
      <w:pPr>
        <w:pStyle w:val="SangriaFrancesaArticulo"/>
      </w:pPr>
    </w:p>
    <w:p w:rsidR="00512048" w:rsidRDefault="00512048" w:rsidP="00512048">
      <w:pPr>
        <w:pStyle w:val="TextoNormalNegritaCursivandice"/>
      </w:pPr>
      <w:r>
        <w:t>Decreto de la Generalidad Valenciana 237/1996, de 10 de diciembre. Declaración del Parque natural de las lagunas de La Mata y Torrevieja</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Auto </w:t>
      </w:r>
      <w:hyperlink w:anchor="AUTO_2007_355" w:history="1">
        <w:r w:rsidRPr="00512048">
          <w:rPr>
            <w:rStyle w:val="TextoNormalCaracter"/>
          </w:rPr>
          <w:t>355/2007</w:t>
        </w:r>
      </w:hyperlink>
      <w:r>
        <w:t>.</w:t>
      </w:r>
    </w:p>
    <w:p w:rsidR="00512048" w:rsidRDefault="00512048" w:rsidP="00512048">
      <w:pPr>
        <w:pStyle w:val="SangriaFrancesaArticulo"/>
      </w:pPr>
    </w:p>
    <w:p w:rsidR="00512048" w:rsidRDefault="00512048" w:rsidP="00512048">
      <w:pPr>
        <w:pStyle w:val="TextoNormalNegritaCursivandice"/>
      </w:pPr>
      <w:r>
        <w:t>Decreto de la Generalidad Valenciana 60/2003, de 13 de mayo. Ordenación de las zonas periféricas de protección del sistema de zonas húmedas del sur de Alicante (salinas de Santa Pola, lagunas de La Mata y Torrevieja y el Fondó)</w:t>
      </w:r>
    </w:p>
    <w:p w:rsidR="00512048" w:rsidRDefault="00512048" w:rsidP="00512048">
      <w:pPr>
        <w:pStyle w:val="SangriaFrancesaArticulo"/>
      </w:pPr>
      <w:r w:rsidRPr="00512048">
        <w:rPr>
          <w:rStyle w:val="TextoNormalNegritaCaracter"/>
        </w:rPr>
        <w:t>Exposición de motivos.</w:t>
      </w:r>
      <w:r w:rsidRPr="00512048">
        <w:rPr>
          <w:rStyle w:val="TextoNormalCaracter"/>
        </w:rPr>
        <w:t>-</w:t>
      </w:r>
      <w:r>
        <w:t xml:space="preserve"> Auto </w:t>
      </w:r>
      <w:hyperlink w:anchor="AUTO_2007_355" w:history="1">
        <w:r w:rsidRPr="00512048">
          <w:rPr>
            <w:rStyle w:val="TextoNormalCaracter"/>
          </w:rPr>
          <w:t>355/2007</w:t>
        </w:r>
      </w:hyperlink>
      <w:r>
        <w:t>.</w:t>
      </w:r>
    </w:p>
    <w:p w:rsidR="00512048" w:rsidRDefault="00512048" w:rsidP="00512048">
      <w:pPr>
        <w:pStyle w:val="SangriaFrancesaArticulo"/>
      </w:pPr>
      <w:r w:rsidRPr="00512048">
        <w:rPr>
          <w:rStyle w:val="TextoNormalNegritaCaracter"/>
        </w:rPr>
        <w:t>Artículo 13.</w:t>
      </w:r>
      <w:r w:rsidRPr="00512048">
        <w:rPr>
          <w:rStyle w:val="TextoNormalCaracter"/>
        </w:rPr>
        <w:t>-</w:t>
      </w:r>
      <w:r>
        <w:t xml:space="preserve"> Auto </w:t>
      </w:r>
      <w:hyperlink w:anchor="AUTO_2007_355" w:history="1">
        <w:r w:rsidRPr="00512048">
          <w:rPr>
            <w:rStyle w:val="TextoNormalCaracter"/>
          </w:rPr>
          <w:t>355/2007</w:t>
        </w:r>
      </w:hyperlink>
      <w:r>
        <w:t>.</w:t>
      </w:r>
    </w:p>
    <w:p w:rsidR="00512048" w:rsidRDefault="00512048" w:rsidP="00512048">
      <w:pPr>
        <w:pStyle w:val="SangriaFrancesaArticulo"/>
      </w:pPr>
    </w:p>
    <w:p w:rsidR="00512048" w:rsidRDefault="00512048" w:rsidP="00512048">
      <w:pPr>
        <w:pStyle w:val="TextoNormalNegritaCursivandice"/>
      </w:pPr>
      <w:r>
        <w:t>Decreto de la Generalidad Valenciana 4/2007, de 2 de abril. Disolución de Les Corts y convocatoria de elecciones a las mismas.</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Auto </w:t>
      </w:r>
      <w:hyperlink w:anchor="AUTO_2007_235" w:history="1">
        <w:r w:rsidRPr="00512048">
          <w:rPr>
            <w:rStyle w:val="TextoNormalCaracter"/>
          </w:rPr>
          <w:t>235/2007</w:t>
        </w:r>
      </w:hyperlink>
      <w:r>
        <w:t>.</w:t>
      </w:r>
    </w:p>
    <w:p w:rsidR="00512048" w:rsidRDefault="00512048" w:rsidP="00512048">
      <w:pPr>
        <w:pStyle w:val="TextoNormal"/>
      </w:pPr>
    </w:p>
    <w:p w:rsidR="00512048" w:rsidRDefault="00512048" w:rsidP="00512048">
      <w:pPr>
        <w:pStyle w:val="TextoNormalNegritaCentradoSubrayado"/>
        <w:suppressAutoHyphens/>
      </w:pPr>
      <w:r>
        <w:t>J.9.d) Normas parlamentarias autonómicas</w:t>
      </w:r>
    </w:p>
    <w:p w:rsidR="00512048" w:rsidRDefault="00512048" w:rsidP="00512048">
      <w:pPr>
        <w:pStyle w:val="TextoNormalNegritaCentradoSubrayado"/>
      </w:pPr>
    </w:p>
    <w:p w:rsidR="00512048" w:rsidRDefault="00512048" w:rsidP="00512048">
      <w:pPr>
        <w:pStyle w:val="TextoNormalNegritaCursivandice"/>
      </w:pPr>
      <w:r>
        <w:t>Reglamento de las Cortes Valencianas. Texto refundido de 31 de mayo de 1989</w:t>
      </w:r>
    </w:p>
    <w:p w:rsidR="00512048" w:rsidRDefault="00512048" w:rsidP="00512048">
      <w:pPr>
        <w:pStyle w:val="SangriaFrancesaArticulo"/>
      </w:pPr>
      <w:r w:rsidRPr="00512048">
        <w:rPr>
          <w:rStyle w:val="TextoNormalNegritaCaracter"/>
        </w:rPr>
        <w:t>Artículo 58.</w:t>
      </w:r>
      <w:r w:rsidRPr="00512048">
        <w:rPr>
          <w:rStyle w:val="TextoNormalCaracter"/>
        </w:rPr>
        <w:t>-</w:t>
      </w:r>
      <w:r>
        <w:t xml:space="preserve"> Auto </w:t>
      </w:r>
      <w:hyperlink w:anchor="AUTO_2007_235" w:history="1">
        <w:r w:rsidRPr="00512048">
          <w:rPr>
            <w:rStyle w:val="TextoNormalCaracter"/>
          </w:rPr>
          <w:t>235/2007</w:t>
        </w:r>
      </w:hyperlink>
      <w:r>
        <w:t>.</w:t>
      </w:r>
    </w:p>
    <w:p w:rsidR="00512048" w:rsidRDefault="00512048" w:rsidP="00512048">
      <w:pPr>
        <w:pStyle w:val="SangriaFrancesaArticulo"/>
      </w:pPr>
      <w:r w:rsidRPr="00512048">
        <w:rPr>
          <w:rStyle w:val="TextoNormalNegritaCaracter"/>
        </w:rPr>
        <w:t>Artículo 183.</w:t>
      </w:r>
      <w:r w:rsidRPr="00512048">
        <w:rPr>
          <w:rStyle w:val="TextoNormalCaracter"/>
        </w:rPr>
        <w:t>-</w:t>
      </w:r>
      <w:r>
        <w:t xml:space="preserve"> Auto </w:t>
      </w:r>
      <w:hyperlink w:anchor="AUTO_2007_235" w:history="1">
        <w:r w:rsidRPr="00512048">
          <w:rPr>
            <w:rStyle w:val="TextoNormalCaracter"/>
          </w:rPr>
          <w:t>235/2007</w:t>
        </w:r>
      </w:hyperlink>
      <w:r>
        <w:t>.</w:t>
      </w:r>
    </w:p>
    <w:p w:rsidR="00512048" w:rsidRDefault="00512048" w:rsidP="00512048">
      <w:pPr>
        <w:pStyle w:val="TextoNormal"/>
      </w:pPr>
    </w:p>
    <w:p w:rsidR="00512048" w:rsidRDefault="00512048" w:rsidP="00512048">
      <w:pPr>
        <w:pStyle w:val="SangriaFrancesaArticulo"/>
      </w:pPr>
      <w:bookmarkStart w:id="234" w:name="INDICE22870"/>
    </w:p>
    <w:bookmarkEnd w:id="234"/>
    <w:p w:rsidR="00512048" w:rsidRDefault="00512048" w:rsidP="00512048">
      <w:pPr>
        <w:pStyle w:val="TextoIndiceNivel2"/>
        <w:suppressAutoHyphens/>
      </w:pPr>
      <w:r>
        <w:t>L) Tratados y acuerdos internacionales</w:t>
      </w:r>
    </w:p>
    <w:p w:rsidR="00512048" w:rsidRDefault="00512048" w:rsidP="00512048">
      <w:pPr>
        <w:pStyle w:val="TextoIndiceNivel2"/>
      </w:pPr>
    </w:p>
    <w:p w:rsidR="00512048" w:rsidRDefault="00512048" w:rsidP="00512048">
      <w:pPr>
        <w:pStyle w:val="TextoNormalNegritaCursivandice"/>
      </w:pPr>
      <w:r>
        <w:t>Declaración universal de derechos humanos de 10 de diciembre de 1948</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10" w:history="1">
        <w:r w:rsidRPr="00512048">
          <w:rPr>
            <w:rStyle w:val="TextoNormalCaracter"/>
          </w:rPr>
          <w:t>110/2007</w:t>
        </w:r>
      </w:hyperlink>
      <w:r>
        <w:t>, f. 2.</w:t>
      </w:r>
    </w:p>
    <w:p w:rsidR="00512048" w:rsidRDefault="00512048" w:rsidP="00512048">
      <w:pPr>
        <w:pStyle w:val="SangriaFrancesaArticulo"/>
      </w:pPr>
    </w:p>
    <w:p w:rsidR="00512048" w:rsidRDefault="00512048" w:rsidP="00512048">
      <w:pPr>
        <w:pStyle w:val="TextoNormalNegritaCursivandice"/>
      </w:pPr>
      <w:r>
        <w:t>Pacto internacional de derechos civiles y políticos. Nueva York, 16 de diciembre de 1966, ratificado por Instrumento de 13 de abril de 1977</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10" w:history="1">
        <w:r w:rsidRPr="00512048">
          <w:rPr>
            <w:rStyle w:val="TextoNormalCaracter"/>
          </w:rPr>
          <w:t>110/2007</w:t>
        </w:r>
      </w:hyperlink>
      <w:r>
        <w:t>, f. 2.</w:t>
      </w:r>
    </w:p>
    <w:p w:rsidR="00512048" w:rsidRDefault="00512048" w:rsidP="00512048">
      <w:pPr>
        <w:pStyle w:val="SangriaFrancesaArticulo"/>
      </w:pPr>
      <w:r w:rsidRPr="00512048">
        <w:rPr>
          <w:rStyle w:val="TextoNormalNegritaCaracter"/>
        </w:rPr>
        <w:t>Artículo 9.3.</w:t>
      </w:r>
      <w:r w:rsidRPr="00512048">
        <w:rPr>
          <w:rStyle w:val="TextoNormalCaracter"/>
        </w:rPr>
        <w:t>-</w:t>
      </w:r>
      <w:r>
        <w:t xml:space="preserve"> Sentencia </w:t>
      </w:r>
      <w:hyperlink w:anchor="SENTENCIA_2007_165" w:history="1">
        <w:r w:rsidRPr="00512048">
          <w:rPr>
            <w:rStyle w:val="TextoNormalCaracter"/>
          </w:rPr>
          <w:t>165/2007</w:t>
        </w:r>
      </w:hyperlink>
      <w:r>
        <w:t>, f. 2.</w:t>
      </w:r>
    </w:p>
    <w:p w:rsidR="00512048" w:rsidRDefault="00512048" w:rsidP="00512048">
      <w:pPr>
        <w:pStyle w:val="SangriaFrancesaArticulo"/>
      </w:pPr>
      <w:r w:rsidRPr="00512048">
        <w:rPr>
          <w:rStyle w:val="TextoNormalNegritaCaracter"/>
        </w:rPr>
        <w:t>Artículo 14.5.</w:t>
      </w:r>
      <w:r w:rsidRPr="00512048">
        <w:rPr>
          <w:rStyle w:val="TextoNormalCaracter"/>
        </w:rPr>
        <w:t>-</w:t>
      </w:r>
      <w:r>
        <w:t xml:space="preserve"> Sentencias </w:t>
      </w:r>
      <w:hyperlink w:anchor="SENTENCIA_2007_110" w:history="1">
        <w:r w:rsidRPr="00512048">
          <w:rPr>
            <w:rStyle w:val="TextoNormalCaracter"/>
          </w:rPr>
          <w:t>110/2007</w:t>
        </w:r>
      </w:hyperlink>
      <w:r>
        <w:t xml:space="preserve">, f. 4; </w:t>
      </w:r>
      <w:hyperlink w:anchor="SENTENCIA_2007_164" w:history="1">
        <w:r w:rsidRPr="00512048">
          <w:rPr>
            <w:rStyle w:val="TextoNormalCaracter"/>
          </w:rPr>
          <w:t>164/2007</w:t>
        </w:r>
      </w:hyperlink>
      <w:r>
        <w:t>, f. 1.</w:t>
      </w:r>
    </w:p>
    <w:p w:rsidR="00512048" w:rsidRDefault="00512048" w:rsidP="00512048">
      <w:pPr>
        <w:pStyle w:val="SangriaFrancesaArticulo"/>
      </w:pPr>
    </w:p>
    <w:p w:rsidR="00512048" w:rsidRDefault="00512048" w:rsidP="00512048">
      <w:pPr>
        <w:pStyle w:val="TextoNormalNegritaCursivandice"/>
      </w:pPr>
      <w:r>
        <w:lastRenderedPageBreak/>
        <w:t>Acuerdo entre el Estado español y la Santa Sede de 3 de enero de 1979. Enseñanza y asuntos culturales, ratificado por Instrumento de 4 de diciembre de 1979</w:t>
      </w:r>
    </w:p>
    <w:p w:rsidR="00512048" w:rsidRDefault="00512048" w:rsidP="00512048">
      <w:pPr>
        <w:pStyle w:val="SangriaFrancesaArticulo"/>
      </w:pPr>
      <w:r w:rsidRPr="00512048">
        <w:rPr>
          <w:rStyle w:val="TextoNormalNegritaCaracter"/>
        </w:rPr>
        <w:t>Artículo III.</w:t>
      </w:r>
      <w:r w:rsidRPr="00512048">
        <w:rPr>
          <w:rStyle w:val="TextoNormalCaracter"/>
        </w:rPr>
        <w:t>-</w:t>
      </w:r>
      <w:r>
        <w:t xml:space="preserve"> Sentencia </w:t>
      </w:r>
      <w:hyperlink w:anchor="SENTENCIA_2007_128" w:history="1">
        <w:r w:rsidRPr="00512048">
          <w:rPr>
            <w:rStyle w:val="TextoNormalCaracter"/>
          </w:rPr>
          <w:t>128/2007</w:t>
        </w:r>
      </w:hyperlink>
      <w:r>
        <w:t>, ff. 5, 7.</w:t>
      </w:r>
    </w:p>
    <w:p w:rsidR="00512048" w:rsidRDefault="00512048" w:rsidP="00512048">
      <w:pPr>
        <w:pStyle w:val="SangriaIzquierdaArticulo"/>
      </w:pPr>
      <w:r>
        <w:t xml:space="preserve">Auto </w:t>
      </w:r>
      <w:hyperlink w:anchor="AUTO_2007_257" w:history="1">
        <w:r w:rsidRPr="00512048">
          <w:rPr>
            <w:rStyle w:val="TextoNormalCaracter"/>
          </w:rPr>
          <w:t>257/2007</w:t>
        </w:r>
      </w:hyperlink>
      <w:r>
        <w:t>.</w:t>
      </w:r>
    </w:p>
    <w:p w:rsidR="00512048" w:rsidRDefault="00512048" w:rsidP="00512048">
      <w:pPr>
        <w:pStyle w:val="SangriaFrancesaArticulo"/>
      </w:pPr>
      <w:r w:rsidRPr="00512048">
        <w:rPr>
          <w:rStyle w:val="TextoNormalNegritaCaracter"/>
        </w:rPr>
        <w:t>Artículo VI.</w:t>
      </w:r>
      <w:r w:rsidRPr="00512048">
        <w:rPr>
          <w:rStyle w:val="TextoNormalCaracter"/>
        </w:rPr>
        <w:t>-</w:t>
      </w:r>
      <w:r>
        <w:t xml:space="preserve"> Sentencia </w:t>
      </w:r>
      <w:hyperlink w:anchor="SENTENCIA_2007_128" w:history="1">
        <w:r w:rsidRPr="00512048">
          <w:rPr>
            <w:rStyle w:val="TextoNormalCaracter"/>
          </w:rPr>
          <w:t>128/2007</w:t>
        </w:r>
      </w:hyperlink>
      <w:r>
        <w:t>, f. 7.</w:t>
      </w:r>
    </w:p>
    <w:p w:rsidR="00512048" w:rsidRDefault="00512048" w:rsidP="00512048">
      <w:pPr>
        <w:pStyle w:val="SangriaIzquierdaArticulo"/>
      </w:pPr>
      <w:r>
        <w:t xml:space="preserve">Auto </w:t>
      </w:r>
      <w:hyperlink w:anchor="AUTO_2007_257" w:history="1">
        <w:r w:rsidRPr="00512048">
          <w:rPr>
            <w:rStyle w:val="TextoNormalCaracter"/>
          </w:rPr>
          <w:t>257/2007</w:t>
        </w:r>
      </w:hyperlink>
      <w:r>
        <w:t>.</w:t>
      </w:r>
    </w:p>
    <w:p w:rsidR="00512048" w:rsidRDefault="00512048" w:rsidP="00512048">
      <w:pPr>
        <w:pStyle w:val="SangriaFrancesaArticulo"/>
      </w:pPr>
      <w:r w:rsidRPr="00512048">
        <w:rPr>
          <w:rStyle w:val="TextoNormalNegritaCaracter"/>
        </w:rPr>
        <w:t>Artículo VII.</w:t>
      </w:r>
      <w:r w:rsidRPr="00512048">
        <w:rPr>
          <w:rStyle w:val="TextoNormalCaracter"/>
        </w:rPr>
        <w:t>-</w:t>
      </w:r>
      <w:r>
        <w:t xml:space="preserve"> Sentencia </w:t>
      </w:r>
      <w:hyperlink w:anchor="SENTENCIA_2007_128" w:history="1">
        <w:r w:rsidRPr="00512048">
          <w:rPr>
            <w:rStyle w:val="TextoNormalCaracter"/>
          </w:rPr>
          <w:t>128/2007</w:t>
        </w:r>
      </w:hyperlink>
      <w:r>
        <w:t>, f. 7.</w:t>
      </w:r>
    </w:p>
    <w:p w:rsidR="00512048" w:rsidRDefault="00512048" w:rsidP="00512048">
      <w:pPr>
        <w:pStyle w:val="SangriaIzquierdaArticulo"/>
      </w:pPr>
      <w:r>
        <w:t xml:space="preserve">Auto </w:t>
      </w:r>
      <w:hyperlink w:anchor="AUTO_2007_257" w:history="1">
        <w:r w:rsidRPr="00512048">
          <w:rPr>
            <w:rStyle w:val="TextoNormalCaracter"/>
          </w:rPr>
          <w:t>257/2007</w:t>
        </w:r>
      </w:hyperlink>
      <w:r>
        <w:t>.</w:t>
      </w:r>
    </w:p>
    <w:p w:rsidR="00512048" w:rsidRDefault="00512048" w:rsidP="00512048">
      <w:pPr>
        <w:pStyle w:val="SangriaIzquierdaArticulo"/>
      </w:pPr>
    </w:p>
    <w:p w:rsidR="00512048" w:rsidRDefault="00512048" w:rsidP="00512048">
      <w:pPr>
        <w:pStyle w:val="TextoNormalNegritaCursivandice"/>
      </w:pPr>
      <w:r>
        <w:t>Declaración de Río sobre el medio ambiente y el desarrollo, proclamada por la Conferencia de Naciones Unidas sobre el medio ambiente y el desarrollo el 14 de junio de 1992</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Auto </w:t>
      </w:r>
      <w:hyperlink w:anchor="AUTO_2007_355" w:history="1">
        <w:r w:rsidRPr="00512048">
          <w:rPr>
            <w:rStyle w:val="TextoNormalCaracter"/>
          </w:rPr>
          <w:t>355/2007</w:t>
        </w:r>
      </w:hyperlink>
      <w:r>
        <w:t>, VP.</w:t>
      </w:r>
    </w:p>
    <w:p w:rsidR="00512048" w:rsidRDefault="00512048" w:rsidP="00512048">
      <w:pPr>
        <w:pStyle w:val="TextoNormal"/>
      </w:pPr>
    </w:p>
    <w:p w:rsidR="00512048" w:rsidRDefault="00512048" w:rsidP="00512048">
      <w:pPr>
        <w:pStyle w:val="SangriaFrancesaArticulo"/>
      </w:pPr>
      <w:bookmarkStart w:id="235" w:name="INDICE22871"/>
    </w:p>
    <w:bookmarkEnd w:id="235"/>
    <w:p w:rsidR="00512048" w:rsidRDefault="00512048" w:rsidP="00512048">
      <w:pPr>
        <w:pStyle w:val="TextoIndiceNivel2"/>
        <w:suppressAutoHyphens/>
      </w:pPr>
      <w:r>
        <w:t>M) Unión Europea</w:t>
      </w:r>
    </w:p>
    <w:p w:rsidR="00512048" w:rsidRDefault="00512048" w:rsidP="00512048">
      <w:pPr>
        <w:pStyle w:val="TextoIndiceNivel2"/>
      </w:pPr>
    </w:p>
    <w:p w:rsidR="00512048" w:rsidRDefault="00512048" w:rsidP="00512048">
      <w:pPr>
        <w:pStyle w:val="TextoNormalNegritaCursivandice"/>
      </w:pPr>
      <w:r>
        <w:t>Tratado constitutivo de la Comunidad Económica Europea, firmado en Roma el 25 de marzo de 1957</w:t>
      </w:r>
    </w:p>
    <w:p w:rsidR="00512048" w:rsidRDefault="00512048" w:rsidP="00512048">
      <w:pPr>
        <w:pStyle w:val="SangriaFrancesaArticulo"/>
      </w:pPr>
      <w:r w:rsidRPr="00512048">
        <w:rPr>
          <w:rStyle w:val="TextoNormalNegritaCaracter"/>
        </w:rPr>
        <w:t>Artículo 174.2.</w:t>
      </w:r>
      <w:r w:rsidRPr="00512048">
        <w:rPr>
          <w:rStyle w:val="TextoNormalCaracter"/>
        </w:rPr>
        <w:t>-</w:t>
      </w:r>
      <w:r>
        <w:t xml:space="preserve"> Auto </w:t>
      </w:r>
      <w:hyperlink w:anchor="AUTO_2007_355" w:history="1">
        <w:r w:rsidRPr="00512048">
          <w:rPr>
            <w:rStyle w:val="TextoNormalCaracter"/>
          </w:rPr>
          <w:t>355/2007</w:t>
        </w:r>
      </w:hyperlink>
      <w:r>
        <w:t>, VP.</w:t>
      </w:r>
    </w:p>
    <w:p w:rsidR="00512048" w:rsidRDefault="00512048" w:rsidP="00512048">
      <w:pPr>
        <w:pStyle w:val="SangriaFrancesaArticulo"/>
      </w:pPr>
    </w:p>
    <w:p w:rsidR="00512048" w:rsidRDefault="00512048" w:rsidP="00512048">
      <w:pPr>
        <w:pStyle w:val="TextoNormalNegritaCursivandice"/>
      </w:pPr>
      <w:r>
        <w:t>Tratado de Maastricht, de 7 de febrero de 1992. Título II Modificación del Tratado constitutivo de la Comunidad Económica Europea</w:t>
      </w:r>
    </w:p>
    <w:p w:rsidR="00512048" w:rsidRDefault="00512048" w:rsidP="00512048">
      <w:pPr>
        <w:pStyle w:val="SangriaFrancesaArticulo"/>
      </w:pPr>
      <w:r w:rsidRPr="00512048">
        <w:rPr>
          <w:rStyle w:val="TextoNormalNegritaCaracter"/>
        </w:rPr>
        <w:t>Artículo 234.</w:t>
      </w:r>
      <w:r w:rsidRPr="00512048">
        <w:rPr>
          <w:rStyle w:val="TextoNormalCaracter"/>
        </w:rPr>
        <w:t>-</w:t>
      </w:r>
      <w:r>
        <w:t xml:space="preserve"> Auto </w:t>
      </w:r>
      <w:hyperlink w:anchor="AUTO_2007_256" w:history="1">
        <w:r w:rsidRPr="00512048">
          <w:rPr>
            <w:rStyle w:val="TextoNormalCaracter"/>
          </w:rPr>
          <w:t>256/2007</w:t>
        </w:r>
      </w:hyperlink>
      <w:r>
        <w:t>.</w:t>
      </w:r>
    </w:p>
    <w:p w:rsidR="00512048" w:rsidRDefault="00512048" w:rsidP="00512048">
      <w:pPr>
        <w:pStyle w:val="SangriaFrancesaArticulo"/>
      </w:pPr>
    </w:p>
    <w:p w:rsidR="00512048" w:rsidRDefault="00512048" w:rsidP="00512048">
      <w:pPr>
        <w:pStyle w:val="TextoNormalNegritaCursivandice"/>
      </w:pPr>
      <w:r>
        <w:t>Directiva 92/43/CEE del Consejo, de 21 de mayo de 1992. Conservación de los hábitats naturales y de la fauna y flora silvestres</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Auto </w:t>
      </w:r>
      <w:hyperlink w:anchor="AUTO_2007_355" w:history="1">
        <w:r w:rsidRPr="00512048">
          <w:rPr>
            <w:rStyle w:val="TextoNormalCaracter"/>
          </w:rPr>
          <w:t>355/2007</w:t>
        </w:r>
      </w:hyperlink>
      <w:r>
        <w:t>.</w:t>
      </w:r>
    </w:p>
    <w:p w:rsidR="00512048" w:rsidRDefault="00512048" w:rsidP="00512048">
      <w:pPr>
        <w:pStyle w:val="TextoNormal"/>
      </w:pPr>
    </w:p>
    <w:p w:rsidR="00512048" w:rsidRDefault="00512048" w:rsidP="00512048">
      <w:pPr>
        <w:pStyle w:val="SangriaFrancesaArticulo"/>
      </w:pPr>
      <w:bookmarkStart w:id="236" w:name="INDICE27994"/>
    </w:p>
    <w:bookmarkEnd w:id="236"/>
    <w:p w:rsidR="00512048" w:rsidRDefault="00512048" w:rsidP="00512048">
      <w:pPr>
        <w:pStyle w:val="TextoIndiceNivel2"/>
        <w:suppressAutoHyphens/>
      </w:pPr>
      <w:r>
        <w:t>N) Consejo de Europa</w:t>
      </w:r>
    </w:p>
    <w:p w:rsidR="00512048" w:rsidRDefault="00512048" w:rsidP="00512048">
      <w:pPr>
        <w:pStyle w:val="TextoIndiceNivel2"/>
      </w:pPr>
    </w:p>
    <w:p w:rsidR="00512048" w:rsidRDefault="00512048" w:rsidP="00512048">
      <w:pPr>
        <w:pStyle w:val="TextoNormalNegritaCursivandice"/>
      </w:pPr>
      <w:r>
        <w:t>Convenio europeo para la protección de los derechos humanos y de las libertades fundamentales. Hecho en Roma el 4 de noviembre de 1950, ratificado por Instrumento de 26 de septiembre de 1979</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10" w:history="1">
        <w:r w:rsidRPr="00512048">
          <w:rPr>
            <w:rStyle w:val="TextoNormalCaracter"/>
          </w:rPr>
          <w:t>110/2007</w:t>
        </w:r>
      </w:hyperlink>
      <w:r>
        <w:t>, f. 2.</w:t>
      </w:r>
    </w:p>
    <w:p w:rsidR="00512048" w:rsidRDefault="00512048" w:rsidP="00512048">
      <w:pPr>
        <w:pStyle w:val="SangriaFrancesaArticulo"/>
      </w:pPr>
      <w:r w:rsidRPr="00512048">
        <w:rPr>
          <w:rStyle w:val="TextoNormalNegritaCaracter"/>
        </w:rPr>
        <w:t>Artículo 5.2.</w:t>
      </w:r>
      <w:r w:rsidRPr="00512048">
        <w:rPr>
          <w:rStyle w:val="TextoNormalCaracter"/>
        </w:rPr>
        <w:t>-</w:t>
      </w:r>
      <w:r>
        <w:t xml:space="preserve"> Sentencia </w:t>
      </w:r>
      <w:hyperlink w:anchor="SENTENCIA_2007_165" w:history="1">
        <w:r w:rsidRPr="00512048">
          <w:rPr>
            <w:rStyle w:val="TextoNormalCaracter"/>
          </w:rPr>
          <w:t>165/2007</w:t>
        </w:r>
      </w:hyperlink>
      <w:r>
        <w:t>, f. 2.</w:t>
      </w:r>
    </w:p>
    <w:p w:rsidR="00512048" w:rsidRDefault="00512048" w:rsidP="00512048">
      <w:pPr>
        <w:pStyle w:val="SangriaFrancesaArticulo"/>
      </w:pPr>
      <w:r w:rsidRPr="00512048">
        <w:rPr>
          <w:rStyle w:val="TextoNormalNegritaCaracter"/>
        </w:rPr>
        <w:t>Artículo 5.3.</w:t>
      </w:r>
      <w:r w:rsidRPr="00512048">
        <w:rPr>
          <w:rStyle w:val="TextoNormalCaracter"/>
        </w:rPr>
        <w:t>-</w:t>
      </w:r>
      <w:r>
        <w:t xml:space="preserve"> Sentencia </w:t>
      </w:r>
      <w:hyperlink w:anchor="SENTENCIA_2007_165" w:history="1">
        <w:r w:rsidRPr="00512048">
          <w:rPr>
            <w:rStyle w:val="TextoNormalCaracter"/>
          </w:rPr>
          <w:t>165/2007</w:t>
        </w:r>
      </w:hyperlink>
      <w:r>
        <w:t>, f. 2.</w:t>
      </w:r>
    </w:p>
    <w:p w:rsidR="00512048" w:rsidRDefault="00512048" w:rsidP="00512048">
      <w:pPr>
        <w:pStyle w:val="SangriaFrancesaArticulo"/>
      </w:pPr>
      <w:r w:rsidRPr="00512048">
        <w:rPr>
          <w:rStyle w:val="TextoNormalNegritaCaracter"/>
        </w:rPr>
        <w:t>Artículo 6.</w:t>
      </w:r>
      <w:r w:rsidRPr="00512048">
        <w:rPr>
          <w:rStyle w:val="TextoNormalCaracter"/>
        </w:rPr>
        <w:t>-</w:t>
      </w:r>
      <w:r>
        <w:t xml:space="preserve"> Sentencia </w:t>
      </w:r>
      <w:hyperlink w:anchor="SENTENCIA_2007_164" w:history="1">
        <w:r w:rsidRPr="00512048">
          <w:rPr>
            <w:rStyle w:val="TextoNormalCaracter"/>
          </w:rPr>
          <w:t>164/2007</w:t>
        </w:r>
      </w:hyperlink>
      <w:r>
        <w:t>, f. 1.</w:t>
      </w:r>
    </w:p>
    <w:p w:rsidR="00512048" w:rsidRDefault="00512048" w:rsidP="00512048">
      <w:pPr>
        <w:pStyle w:val="SangriaFrancesaArticulo"/>
      </w:pPr>
      <w:r w:rsidRPr="00512048">
        <w:rPr>
          <w:rStyle w:val="TextoNormalNegritaCaracter"/>
        </w:rPr>
        <w:t>Artículo 6.1.</w:t>
      </w:r>
      <w:r w:rsidRPr="00512048">
        <w:rPr>
          <w:rStyle w:val="TextoNormalCaracter"/>
        </w:rPr>
        <w:t>-</w:t>
      </w:r>
      <w:r>
        <w:t xml:space="preserve"> Sentencias </w:t>
      </w:r>
      <w:hyperlink w:anchor="SENTENCIA_2007_112" w:history="1">
        <w:r w:rsidRPr="00512048">
          <w:rPr>
            <w:rStyle w:val="TextoNormalCaracter"/>
          </w:rPr>
          <w:t>112/2007</w:t>
        </w:r>
      </w:hyperlink>
      <w:r>
        <w:t xml:space="preserve">, f. 3; </w:t>
      </w:r>
      <w:hyperlink w:anchor="SENTENCIA_2007_134" w:history="1">
        <w:r w:rsidRPr="00512048">
          <w:rPr>
            <w:rStyle w:val="TextoNormalCaracter"/>
          </w:rPr>
          <w:t>134/2007</w:t>
        </w:r>
      </w:hyperlink>
      <w:r>
        <w:t xml:space="preserve">, f. 2; </w:t>
      </w:r>
      <w:hyperlink w:anchor="SENTENCIA_2007_178" w:history="1">
        <w:r w:rsidRPr="00512048">
          <w:rPr>
            <w:rStyle w:val="TextoNormalCaracter"/>
          </w:rPr>
          <w:t>178/2007</w:t>
        </w:r>
      </w:hyperlink>
      <w:r>
        <w:t>, f. 2.</w:t>
      </w:r>
    </w:p>
    <w:p w:rsidR="00512048" w:rsidRDefault="00512048" w:rsidP="00512048">
      <w:pPr>
        <w:pStyle w:val="SangriaFrancesaArticulo"/>
      </w:pPr>
      <w:r w:rsidRPr="00512048">
        <w:rPr>
          <w:rStyle w:val="TextoNormalNegritaCaracter"/>
        </w:rPr>
        <w:t>Artículo 13.</w:t>
      </w:r>
      <w:r w:rsidRPr="00512048">
        <w:rPr>
          <w:rStyle w:val="TextoNormalCaracter"/>
        </w:rPr>
        <w:t>-</w:t>
      </w:r>
      <w:r>
        <w:t xml:space="preserve"> Sentencia </w:t>
      </w:r>
      <w:hyperlink w:anchor="SENTENCIA_2007_164" w:history="1">
        <w:r w:rsidRPr="00512048">
          <w:rPr>
            <w:rStyle w:val="TextoNormalCaracter"/>
          </w:rPr>
          <w:t>164/2007</w:t>
        </w:r>
      </w:hyperlink>
      <w:r>
        <w:t>, f. 1.</w:t>
      </w:r>
    </w:p>
    <w:p w:rsidR="00512048" w:rsidRDefault="00512048" w:rsidP="00512048">
      <w:pPr>
        <w:pStyle w:val="SangriaFrancesaArticulo"/>
      </w:pPr>
      <w:r w:rsidRPr="00512048">
        <w:rPr>
          <w:rStyle w:val="TextoNormalNegritaCaracter"/>
        </w:rPr>
        <w:t>Artículo 14.</w:t>
      </w:r>
      <w:r w:rsidRPr="00512048">
        <w:rPr>
          <w:rStyle w:val="TextoNormalCaracter"/>
        </w:rPr>
        <w:t>-</w:t>
      </w:r>
      <w:r>
        <w:t xml:space="preserve"> Auto </w:t>
      </w:r>
      <w:hyperlink w:anchor="AUTO_2007_328" w:history="1">
        <w:r w:rsidRPr="00512048">
          <w:rPr>
            <w:rStyle w:val="TextoNormalCaracter"/>
          </w:rPr>
          <w:t>328/2007</w:t>
        </w:r>
      </w:hyperlink>
      <w:r>
        <w:t>.</w:t>
      </w:r>
    </w:p>
    <w:p w:rsidR="00512048" w:rsidRDefault="00512048" w:rsidP="00512048">
      <w:pPr>
        <w:pStyle w:val="TextoNormal"/>
      </w:pPr>
    </w:p>
    <w:p w:rsidR="00512048" w:rsidRDefault="00512048" w:rsidP="00512048">
      <w:pPr>
        <w:pStyle w:val="SangriaFrancesaArticulo"/>
      </w:pPr>
      <w:bookmarkStart w:id="237" w:name="INDICE22872"/>
    </w:p>
    <w:bookmarkEnd w:id="237"/>
    <w:p w:rsidR="00512048" w:rsidRDefault="00512048" w:rsidP="00512048">
      <w:pPr>
        <w:pStyle w:val="TextoIndiceNivel2"/>
        <w:suppressAutoHyphens/>
      </w:pPr>
      <w:r>
        <w:lastRenderedPageBreak/>
        <w:t>Ñ) Legislación extranjera</w:t>
      </w:r>
    </w:p>
    <w:p w:rsidR="00512048" w:rsidRDefault="00512048" w:rsidP="00512048">
      <w:pPr>
        <w:pStyle w:val="TextoIndiceNivel2"/>
      </w:pPr>
    </w:p>
    <w:p w:rsidR="00512048" w:rsidRDefault="00512048" w:rsidP="00512048">
      <w:pPr>
        <w:pStyle w:val="TextoNormalNegritaCursivandice"/>
      </w:pPr>
      <w:r>
        <w:t>Codex iuris canonici, 25 de enero de 1983</w:t>
      </w:r>
    </w:p>
    <w:p w:rsidR="00512048" w:rsidRDefault="00512048" w:rsidP="00512048">
      <w:pPr>
        <w:pStyle w:val="SangriaFrancesaArticulo"/>
      </w:pPr>
      <w:r w:rsidRPr="00512048">
        <w:rPr>
          <w:rStyle w:val="TextoNormalNegritaCaracter"/>
        </w:rPr>
        <w:t>Canon 59.</w:t>
      </w:r>
      <w:r w:rsidRPr="00512048">
        <w:rPr>
          <w:rStyle w:val="TextoNormalCaracter"/>
        </w:rPr>
        <w:t>-</w:t>
      </w:r>
      <w:r>
        <w:t xml:space="preserve"> Sentencia </w:t>
      </w:r>
      <w:hyperlink w:anchor="SENTENCIA_2007_128" w:history="1">
        <w:r w:rsidRPr="00512048">
          <w:rPr>
            <w:rStyle w:val="TextoNormalCaracter"/>
          </w:rPr>
          <w:t>128/2007</w:t>
        </w:r>
      </w:hyperlink>
      <w:r>
        <w:t>, ff. 4, 7.</w:t>
      </w:r>
    </w:p>
    <w:p w:rsidR="00512048" w:rsidRDefault="00512048" w:rsidP="00512048">
      <w:pPr>
        <w:pStyle w:val="SangriaFrancesaArticulo"/>
      </w:pPr>
      <w:r w:rsidRPr="00512048">
        <w:rPr>
          <w:rStyle w:val="TextoNormalNegritaCaracter"/>
        </w:rPr>
        <w:t>Cánones 804 a 806.</w:t>
      </w:r>
      <w:r w:rsidRPr="00512048">
        <w:rPr>
          <w:rStyle w:val="TextoNormalCaracter"/>
        </w:rPr>
        <w:t>-</w:t>
      </w:r>
      <w:r>
        <w:t xml:space="preserve"> Sentencia </w:t>
      </w:r>
      <w:hyperlink w:anchor="SENTENCIA_2007_128" w:history="1">
        <w:r w:rsidRPr="00512048">
          <w:rPr>
            <w:rStyle w:val="TextoNormalCaracter"/>
          </w:rPr>
          <w:t>128/2007</w:t>
        </w:r>
      </w:hyperlink>
      <w:r>
        <w:t>, f. 7.</w:t>
      </w:r>
    </w:p>
    <w:p w:rsidR="00512048" w:rsidRDefault="00512048">
      <w:pPr>
        <w:spacing w:after="160" w:line="259" w:lineRule="auto"/>
        <w:rPr>
          <w:rFonts w:ascii="Times New Roman" w:eastAsia="Times New Roman" w:hAnsi="Times New Roman" w:cs="Times New Roman"/>
          <w:sz w:val="24"/>
          <w:szCs w:val="24"/>
          <w:lang w:eastAsia="es-ES"/>
        </w:rPr>
      </w:pPr>
      <w:r>
        <w:br w:type="page"/>
      </w:r>
    </w:p>
    <w:p w:rsidR="00512048" w:rsidRDefault="00512048" w:rsidP="00512048">
      <w:pPr>
        <w:pStyle w:val="SangriaFrancesaArticulo"/>
      </w:pPr>
    </w:p>
    <w:p w:rsidR="00512048" w:rsidRDefault="00512048" w:rsidP="00512048">
      <w:pPr>
        <w:pStyle w:val="TextoNormal"/>
      </w:pPr>
    </w:p>
    <w:p w:rsidR="00512048" w:rsidRDefault="00512048" w:rsidP="00512048">
      <w:pPr>
        <w:pStyle w:val="TextoNormal"/>
      </w:pPr>
    </w:p>
    <w:p w:rsidR="00512048" w:rsidRDefault="00512048" w:rsidP="00512048">
      <w:pPr>
        <w:pStyle w:val="TextoNormal"/>
      </w:pPr>
    </w:p>
    <w:p w:rsidR="00F26144" w:rsidRDefault="00512048" w:rsidP="00512048">
      <w:pPr>
        <w:pStyle w:val="Ttulondice"/>
        <w:suppressAutoHyphens/>
      </w:pPr>
      <w:r>
        <w:t xml:space="preserve">6. ÍNDICE DE </w:t>
      </w:r>
      <w:r w:rsidR="00F26144" w:rsidRPr="00F26144">
        <w:t xml:space="preserve">RESOLUCIONES </w:t>
      </w:r>
    </w:p>
    <w:p w:rsidR="00512048" w:rsidRDefault="00F26144" w:rsidP="00512048">
      <w:pPr>
        <w:pStyle w:val="Ttulondice"/>
        <w:suppressAutoHyphens/>
      </w:pPr>
      <w:r w:rsidRPr="00F26144">
        <w:t>JUDICIALES DE OTROS TRIBUNALES</w:t>
      </w: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suppressAutoHyphens/>
      </w:pPr>
    </w:p>
    <w:p w:rsidR="00512048" w:rsidRDefault="00512048" w:rsidP="00512048">
      <w:pPr>
        <w:pStyle w:val="TextoNormal"/>
      </w:pPr>
    </w:p>
    <w:p w:rsidR="00512048" w:rsidRDefault="00512048" w:rsidP="00512048">
      <w:pPr>
        <w:pStyle w:val="TextoNormal"/>
      </w:pPr>
      <w:bookmarkStart w:id="238" w:name="INDICE22805"/>
      <w:bookmarkEnd w:id="238"/>
    </w:p>
    <w:p w:rsidR="00512048" w:rsidRDefault="00512048" w:rsidP="00512048">
      <w:pPr>
        <w:pStyle w:val="TextoIndiceNivel2"/>
        <w:suppressAutoHyphens/>
      </w:pPr>
      <w:r>
        <w:t>A) Tribunal Europeo de Derechos Humanos</w:t>
      </w:r>
    </w:p>
    <w:p w:rsidR="00512048" w:rsidRDefault="00512048" w:rsidP="00512048">
      <w:pPr>
        <w:pStyle w:val="TextoIndiceNivel2"/>
      </w:pPr>
    </w:p>
    <w:p w:rsidR="00512048" w:rsidRDefault="00512048" w:rsidP="00512048">
      <w:pPr>
        <w:pStyle w:val="TextoNormalNegritaCursivandice"/>
      </w:pPr>
      <w:r>
        <w:t>Sentencia del Tribunal Europeo de Derechos Humanos de 27 de junio de 1968 (Neumeister c. Austria)</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Sentencias </w:t>
      </w:r>
      <w:hyperlink w:anchor="SENTENCIA_2007_149" w:history="1">
        <w:r w:rsidRPr="00512048">
          <w:rPr>
            <w:rStyle w:val="TextoNormalCaracter"/>
          </w:rPr>
          <w:t>149/2007</w:t>
        </w:r>
      </w:hyperlink>
      <w:r>
        <w:t xml:space="preserve">, f. 2; </w:t>
      </w:r>
      <w:hyperlink w:anchor="SENTENCIA_2007_151" w:history="1">
        <w:r w:rsidRPr="00512048">
          <w:rPr>
            <w:rStyle w:val="TextoNormalCaracter"/>
          </w:rPr>
          <w:t>151/2007</w:t>
        </w:r>
      </w:hyperlink>
      <w:r>
        <w:t xml:space="preserve">, f. 2; </w:t>
      </w:r>
      <w:hyperlink w:anchor="SENTENCIA_2007_152" w:history="1">
        <w:r w:rsidRPr="00512048">
          <w:rPr>
            <w:rStyle w:val="TextoNormalCaracter"/>
          </w:rPr>
          <w:t>152/2007</w:t>
        </w:r>
      </w:hyperlink>
      <w:r>
        <w:t>, f. 3.</w:t>
      </w:r>
    </w:p>
    <w:p w:rsidR="00512048" w:rsidRDefault="00512048" w:rsidP="00512048">
      <w:pPr>
        <w:pStyle w:val="SangriaFrancesaArticulo"/>
      </w:pPr>
    </w:p>
    <w:p w:rsidR="00512048" w:rsidRDefault="00512048" w:rsidP="00512048">
      <w:pPr>
        <w:pStyle w:val="TextoNormalNegritaCursivandice"/>
      </w:pPr>
      <w:r>
        <w:t>Sentencia del Tribunal Europeo de Derechos Humanos de 27 de junio de 1968 (Wemhoff c. Alemania)</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Sentencias </w:t>
      </w:r>
      <w:hyperlink w:anchor="SENTENCIA_2007_149" w:history="1">
        <w:r w:rsidRPr="00512048">
          <w:rPr>
            <w:rStyle w:val="TextoNormalCaracter"/>
          </w:rPr>
          <w:t>149/2007</w:t>
        </w:r>
      </w:hyperlink>
      <w:r>
        <w:t xml:space="preserve">, f. 2; </w:t>
      </w:r>
      <w:hyperlink w:anchor="SENTENCIA_2007_151" w:history="1">
        <w:r w:rsidRPr="00512048">
          <w:rPr>
            <w:rStyle w:val="TextoNormalCaracter"/>
          </w:rPr>
          <w:t>151/2007</w:t>
        </w:r>
      </w:hyperlink>
      <w:r>
        <w:t xml:space="preserve">, f. 2; </w:t>
      </w:r>
      <w:hyperlink w:anchor="SENTENCIA_2007_152" w:history="1">
        <w:r w:rsidRPr="00512048">
          <w:rPr>
            <w:rStyle w:val="TextoNormalCaracter"/>
          </w:rPr>
          <w:t>152/2007</w:t>
        </w:r>
      </w:hyperlink>
      <w:r>
        <w:t>, f. 3.</w:t>
      </w:r>
    </w:p>
    <w:p w:rsidR="00512048" w:rsidRDefault="00512048" w:rsidP="00512048">
      <w:pPr>
        <w:pStyle w:val="SangriaFrancesaArticulo"/>
      </w:pPr>
    </w:p>
    <w:p w:rsidR="00512048" w:rsidRDefault="00512048" w:rsidP="00512048">
      <w:pPr>
        <w:pStyle w:val="TextoNormalNegritaCursivandice"/>
      </w:pPr>
      <w:r>
        <w:t>Sentencia del Tribunal Europeo de Derechos Humanos de 10 de noviembre de 1969 (Matznetter c. Austria)</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Sentencias </w:t>
      </w:r>
      <w:hyperlink w:anchor="SENTENCIA_2007_149" w:history="1">
        <w:r w:rsidRPr="00512048">
          <w:rPr>
            <w:rStyle w:val="TextoNormalCaracter"/>
          </w:rPr>
          <w:t>149/2007</w:t>
        </w:r>
      </w:hyperlink>
      <w:r>
        <w:t xml:space="preserve">, f. 2; </w:t>
      </w:r>
      <w:hyperlink w:anchor="SENTENCIA_2007_151" w:history="1">
        <w:r w:rsidRPr="00512048">
          <w:rPr>
            <w:rStyle w:val="TextoNormalCaracter"/>
          </w:rPr>
          <w:t>151/2007</w:t>
        </w:r>
      </w:hyperlink>
      <w:r>
        <w:t xml:space="preserve">, f. 2; </w:t>
      </w:r>
      <w:hyperlink w:anchor="SENTENCIA_2007_152" w:history="1">
        <w:r w:rsidRPr="00512048">
          <w:rPr>
            <w:rStyle w:val="TextoNormalCaracter"/>
          </w:rPr>
          <w:t>152/2007</w:t>
        </w:r>
      </w:hyperlink>
      <w:r>
        <w:t>, f. 3.</w:t>
      </w:r>
    </w:p>
    <w:p w:rsidR="00512048" w:rsidRDefault="00512048" w:rsidP="00512048">
      <w:pPr>
        <w:pStyle w:val="SangriaFrancesaArticulo"/>
      </w:pPr>
    </w:p>
    <w:p w:rsidR="00512048" w:rsidRDefault="00512048" w:rsidP="00512048">
      <w:pPr>
        <w:pStyle w:val="TextoNormalNegritaCursivandice"/>
      </w:pPr>
      <w:r>
        <w:t>Sentencia del Tribunal Europeo de Derechos Humanos de 9 de octubre de 1979 (Airey c. Irlanda)</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46" w:history="1">
        <w:r w:rsidRPr="00512048">
          <w:rPr>
            <w:rStyle w:val="TextoNormalCaracter"/>
          </w:rPr>
          <w:t>146/2007</w:t>
        </w:r>
      </w:hyperlink>
      <w:r>
        <w:t>, f. 3.</w:t>
      </w:r>
    </w:p>
    <w:p w:rsidR="00512048" w:rsidRDefault="00512048" w:rsidP="00512048">
      <w:pPr>
        <w:pStyle w:val="SangriaIzquierdaArticulo"/>
      </w:pPr>
      <w:r>
        <w:t xml:space="preserve">Auto </w:t>
      </w:r>
      <w:hyperlink w:anchor="AUTO_2007_255" w:history="1">
        <w:r w:rsidRPr="00512048">
          <w:rPr>
            <w:rStyle w:val="TextoNormalCaracter"/>
          </w:rPr>
          <w:t>255/2007</w:t>
        </w:r>
      </w:hyperlink>
      <w:r>
        <w:t>.</w:t>
      </w:r>
    </w:p>
    <w:p w:rsidR="00512048" w:rsidRDefault="00512048" w:rsidP="00512048">
      <w:pPr>
        <w:pStyle w:val="SangriaIzquierdaArticulo"/>
      </w:pPr>
    </w:p>
    <w:p w:rsidR="00512048" w:rsidRDefault="00512048" w:rsidP="00512048">
      <w:pPr>
        <w:pStyle w:val="TextoNormalNegritaCursivandice"/>
      </w:pPr>
      <w:r>
        <w:t>Sentencia del Tribunal Europeo de Derechos Humanos de 13 de mayo de 1980 (Artico c. Italia)</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46" w:history="1">
        <w:r w:rsidRPr="00512048">
          <w:rPr>
            <w:rStyle w:val="TextoNormalCaracter"/>
          </w:rPr>
          <w:t>146/2007</w:t>
        </w:r>
      </w:hyperlink>
      <w:r>
        <w:t>, f. 3.</w:t>
      </w:r>
    </w:p>
    <w:p w:rsidR="00512048" w:rsidRDefault="00512048" w:rsidP="00512048">
      <w:pPr>
        <w:pStyle w:val="SangriaFrancesaArticulo"/>
      </w:pPr>
    </w:p>
    <w:p w:rsidR="00512048" w:rsidRDefault="00512048" w:rsidP="00512048">
      <w:pPr>
        <w:pStyle w:val="TextoNormalNegritaCursivandice"/>
      </w:pPr>
      <w:r>
        <w:t>Sentencia del Tribunal Europeo de Derechos Humanos de 6 de noviembre de 1980 (Van Oosterwijk c. Bélgica)</w:t>
      </w:r>
    </w:p>
    <w:p w:rsidR="00512048" w:rsidRDefault="00512048" w:rsidP="00512048">
      <w:pPr>
        <w:pStyle w:val="SangriaFrancesaArticulo"/>
      </w:pPr>
      <w:r w:rsidRPr="00512048">
        <w:rPr>
          <w:rStyle w:val="TextoNormalNegritaCaracter"/>
        </w:rPr>
        <w:t>§ 34.</w:t>
      </w:r>
      <w:r w:rsidRPr="00512048">
        <w:rPr>
          <w:rStyle w:val="TextoNormalCaracter"/>
        </w:rPr>
        <w:t>-</w:t>
      </w:r>
      <w:r>
        <w:t xml:space="preserve"> Sentencia </w:t>
      </w:r>
      <w:r w:rsidRPr="00512048">
        <w:rPr>
          <w:rStyle w:val="TextoNormalCaracter"/>
        </w:rPr>
        <w:fldChar w:fldCharType="begin">
          <w:fldData xml:space="preserve">CNDJ6nn5us4RjIIAqgBLqQsCAAAACAAAABAAAABTAFUATQBBAFIASQBPAFMASQBOAEQASQBDAEUA
UwAAAA==
</w:fldData>
        </w:fldChar>
      </w:r>
      <w:r w:rsidRPr="00512048">
        <w:rPr>
          <w:rStyle w:val="TextoNormalCaracter"/>
        </w:rPr>
        <w:instrText xml:space="preserve"> HYPERL</w:instrText>
      </w:r>
      <w:r w:rsidR="005E2304">
        <w:rPr>
          <w:rStyle w:val="TextoNormalCaracter"/>
        </w:rPr>
        <w:fldChar w:fldCharType="begin"/>
      </w:r>
      <w:r w:rsidR="005E2304">
        <w:rPr>
          <w:rStyle w:val="TextoNormalCaracter"/>
        </w:rPr>
        <w:instrText xml:space="preserve"> PAGEREF SUMARIOSINDICES \h </w:instrText>
      </w:r>
      <w:r w:rsidR="005E2304">
        <w:rPr>
          <w:rStyle w:val="TextoNormalCaracter"/>
        </w:rPr>
      </w:r>
      <w:r w:rsidR="005E2304">
        <w:rPr>
          <w:rStyle w:val="TextoNormalCaracter"/>
        </w:rPr>
        <w:fldChar w:fldCharType="separate"/>
      </w:r>
      <w:r w:rsidR="00993288">
        <w:rPr>
          <w:rStyle w:val="TextoNormalCaracter"/>
          <w:noProof/>
        </w:rPr>
        <w:instrText>2</w:instrText>
      </w:r>
      <w:r w:rsidR="005E2304">
        <w:rPr>
          <w:rStyle w:val="TextoNormalCaracter"/>
        </w:rPr>
        <w:fldChar w:fldCharType="end"/>
      </w:r>
      <w:r w:rsidRPr="00512048">
        <w:rPr>
          <w:rStyle w:val="TextoNormalCaracter"/>
        </w:rPr>
        <w:instrText xml:space="preserve">INK  \l "SENTENCIA_2007_156" </w:instrText>
      </w:r>
      <w:r w:rsidRPr="00512048">
        <w:rPr>
          <w:rStyle w:val="TextoNormalCaracter"/>
        </w:rPr>
      </w:r>
      <w:r w:rsidRPr="00512048">
        <w:rPr>
          <w:rStyle w:val="TextoNormalCaracter"/>
        </w:rPr>
        <w:fldChar w:fldCharType="separate"/>
      </w:r>
      <w:r w:rsidR="005E2304">
        <w:rPr>
          <w:rStyle w:val="TextoNormalCaracter"/>
          <w:b/>
          <w:bCs/>
        </w:rPr>
        <w:t>¡Error! Marcador no definido.</w:t>
      </w:r>
      <w:r w:rsidRPr="00512048">
        <w:rPr>
          <w:rStyle w:val="TextoNormalCaracter"/>
        </w:rPr>
        <w:fldChar w:fldCharType="end"/>
      </w:r>
      <w:r>
        <w:t>, f. 5.</w:t>
      </w:r>
    </w:p>
    <w:p w:rsidR="00512048" w:rsidRDefault="00512048" w:rsidP="00512048">
      <w:pPr>
        <w:pStyle w:val="SangriaFrancesaArticulo"/>
      </w:pPr>
    </w:p>
    <w:p w:rsidR="00512048" w:rsidRDefault="00512048" w:rsidP="00512048">
      <w:pPr>
        <w:pStyle w:val="TextoNormalNegritaCursivandice"/>
      </w:pPr>
      <w:r>
        <w:lastRenderedPageBreak/>
        <w:t>Sentencia del Tribunal Europeo de Derechos Humanos de 25 de abril de 1983 (Pakelli c. Alemania)</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46" w:history="1">
        <w:r w:rsidRPr="00512048">
          <w:rPr>
            <w:rStyle w:val="TextoNormalCaracter"/>
          </w:rPr>
          <w:t>146/2007</w:t>
        </w:r>
      </w:hyperlink>
      <w:r>
        <w:t>, f. 3.</w:t>
      </w:r>
    </w:p>
    <w:p w:rsidR="00512048" w:rsidRDefault="00512048" w:rsidP="00512048">
      <w:pPr>
        <w:pStyle w:val="SangriaIzquierdaArticulo"/>
      </w:pPr>
      <w:r>
        <w:t xml:space="preserve">Auto </w:t>
      </w:r>
      <w:hyperlink w:anchor="AUTO_2007_255" w:history="1">
        <w:r w:rsidRPr="00512048">
          <w:rPr>
            <w:rStyle w:val="TextoNormalCaracter"/>
          </w:rPr>
          <w:t>255/2007</w:t>
        </w:r>
      </w:hyperlink>
      <w:r>
        <w:t>.</w:t>
      </w:r>
    </w:p>
    <w:p w:rsidR="00512048" w:rsidRDefault="00512048" w:rsidP="00512048">
      <w:pPr>
        <w:pStyle w:val="SangriaIzquierdaArticulo"/>
      </w:pPr>
    </w:p>
    <w:p w:rsidR="00512048" w:rsidRDefault="00512048" w:rsidP="00512048">
      <w:pPr>
        <w:pStyle w:val="TextoNormalNegritaCursivandice"/>
      </w:pPr>
      <w:r>
        <w:t>Sentencia del Tribunal Europeo de Derechos Humanos de 26 de mayo de 1988 (Ekbatani c. Suecia)</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34" w:history="1">
        <w:r w:rsidRPr="00512048">
          <w:rPr>
            <w:rStyle w:val="TextoNormalCaracter"/>
          </w:rPr>
          <w:t>134/2007</w:t>
        </w:r>
      </w:hyperlink>
      <w:r>
        <w:t>, f. 2.</w:t>
      </w:r>
    </w:p>
    <w:p w:rsidR="00512048" w:rsidRDefault="00512048" w:rsidP="00512048">
      <w:pPr>
        <w:pStyle w:val="SangriaFrancesaArticulo"/>
      </w:pPr>
    </w:p>
    <w:p w:rsidR="00512048" w:rsidRDefault="00512048" w:rsidP="00512048">
      <w:pPr>
        <w:pStyle w:val="TextoNormalNegritaCursivandice"/>
      </w:pPr>
      <w:r>
        <w:t>Sentencia del Tribunal Europeo de Derechos Humanos de 22 de febrero de 1989 (Barfod c. Dinamarca)</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45" w:history="1">
        <w:r w:rsidRPr="00512048">
          <w:rPr>
            <w:rStyle w:val="TextoNormalCaracter"/>
          </w:rPr>
          <w:t>145/2007</w:t>
        </w:r>
      </w:hyperlink>
      <w:r>
        <w:t>, f. 3.</w:t>
      </w:r>
    </w:p>
    <w:p w:rsidR="00512048" w:rsidRDefault="00512048" w:rsidP="00512048">
      <w:pPr>
        <w:pStyle w:val="SangriaFrancesaArticulo"/>
      </w:pPr>
    </w:p>
    <w:p w:rsidR="00512048" w:rsidRDefault="00512048" w:rsidP="00512048">
      <w:pPr>
        <w:pStyle w:val="TextoNormalNegritaCursivandice"/>
      </w:pPr>
      <w:r>
        <w:t>Sentencia del Tribunal Europeo de Derechos Humanos de 7 de julio de 1989 (Soering c. Reino Unido)</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40" w:history="1">
        <w:r w:rsidRPr="00512048">
          <w:rPr>
            <w:rStyle w:val="TextoNormalCaracter"/>
          </w:rPr>
          <w:t>140/2007</w:t>
        </w:r>
      </w:hyperlink>
      <w:r>
        <w:t>, f. 2.</w:t>
      </w:r>
    </w:p>
    <w:p w:rsidR="00512048" w:rsidRDefault="00512048" w:rsidP="00512048">
      <w:pPr>
        <w:pStyle w:val="SangriaFrancesaArticulo"/>
      </w:pPr>
    </w:p>
    <w:p w:rsidR="00512048" w:rsidRDefault="00512048" w:rsidP="00512048">
      <w:pPr>
        <w:pStyle w:val="TextoNormalNegritaCursivandice"/>
      </w:pPr>
      <w:r>
        <w:t>Sentencia del Tribunal Europeo de Derechos Humanos de 23 de mayo de 1991 (Oberschlick c. Austria)</w:t>
      </w:r>
    </w:p>
    <w:p w:rsidR="00512048" w:rsidRDefault="00512048" w:rsidP="00512048">
      <w:pPr>
        <w:pStyle w:val="SangriaFrancesaArticulo"/>
      </w:pPr>
      <w:r w:rsidRPr="00512048">
        <w:rPr>
          <w:rStyle w:val="TextoNormalNegritaCaracter"/>
        </w:rPr>
        <w:t>§§ 48 a 52.</w:t>
      </w:r>
      <w:r w:rsidRPr="00512048">
        <w:rPr>
          <w:rStyle w:val="TextoNormalCaracter"/>
        </w:rPr>
        <w:t>-</w:t>
      </w:r>
      <w:r>
        <w:t xml:space="preserve"> Sentencia </w:t>
      </w:r>
      <w:hyperlink w:anchor="SENTENCIA_2007_156" w:history="1">
        <w:r w:rsidRPr="00512048">
          <w:rPr>
            <w:rStyle w:val="TextoNormalCaracter"/>
          </w:rPr>
          <w:t>156/2007</w:t>
        </w:r>
      </w:hyperlink>
      <w:r>
        <w:t>, f. 6.</w:t>
      </w:r>
    </w:p>
    <w:p w:rsidR="00512048" w:rsidRDefault="00512048" w:rsidP="00512048">
      <w:pPr>
        <w:pStyle w:val="SangriaFrancesaArticulo"/>
      </w:pPr>
    </w:p>
    <w:p w:rsidR="00512048" w:rsidRDefault="00512048" w:rsidP="00512048">
      <w:pPr>
        <w:pStyle w:val="TextoNormalNegritaCursivandice"/>
      </w:pPr>
      <w:r>
        <w:t>Sentencia del Tribunal Europeo de Derechos Humanos de 23 de septiembre de 1994 (Jersild c. Dinamarca)</w:t>
      </w:r>
    </w:p>
    <w:p w:rsidR="00512048" w:rsidRDefault="00512048" w:rsidP="00512048">
      <w:pPr>
        <w:pStyle w:val="SangriaFrancesaArticulo"/>
      </w:pPr>
      <w:r w:rsidRPr="00512048">
        <w:rPr>
          <w:rStyle w:val="TextoNormalNegritaCaracter"/>
        </w:rPr>
        <w:t>§ 31.</w:t>
      </w:r>
      <w:r w:rsidRPr="00512048">
        <w:rPr>
          <w:rStyle w:val="TextoNormalCaracter"/>
        </w:rPr>
        <w:t>-</w:t>
      </w:r>
      <w:r>
        <w:t xml:space="preserve"> Sentencia </w:t>
      </w:r>
      <w:hyperlink w:anchor="SENTENCIA_2007_139" w:history="1">
        <w:r w:rsidRPr="00512048">
          <w:rPr>
            <w:rStyle w:val="TextoNormalCaracter"/>
          </w:rPr>
          <w:t>139/2007</w:t>
        </w:r>
      </w:hyperlink>
      <w:r>
        <w:t>, f. 11.</w:t>
      </w:r>
    </w:p>
    <w:p w:rsidR="00512048" w:rsidRDefault="00512048" w:rsidP="00512048">
      <w:pPr>
        <w:pStyle w:val="SangriaFrancesaArticulo"/>
      </w:pPr>
    </w:p>
    <w:p w:rsidR="00512048" w:rsidRDefault="00512048" w:rsidP="00512048">
      <w:pPr>
        <w:pStyle w:val="TextoNormalNegritaCursivandice"/>
      </w:pPr>
      <w:r>
        <w:t>Sentencia del Tribunal Europeo de Derechos Humanos de 9 de diciembre de 1994 (Hiro Balani c. España)</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Sentencias </w:t>
      </w:r>
      <w:hyperlink w:anchor="SENTENCIA_2007_138" w:history="1">
        <w:r w:rsidRPr="00512048">
          <w:rPr>
            <w:rStyle w:val="TextoNormalCaracter"/>
          </w:rPr>
          <w:t>138/2007</w:t>
        </w:r>
      </w:hyperlink>
      <w:r>
        <w:t xml:space="preserve">, f. 2; </w:t>
      </w:r>
      <w:hyperlink w:anchor="SENTENCIA_2007_144" w:history="1">
        <w:r w:rsidRPr="00512048">
          <w:rPr>
            <w:rStyle w:val="TextoNormalCaracter"/>
          </w:rPr>
          <w:t>144/2007</w:t>
        </w:r>
      </w:hyperlink>
      <w:r>
        <w:t>, f. 4.</w:t>
      </w:r>
    </w:p>
    <w:p w:rsidR="00512048" w:rsidRDefault="00512048" w:rsidP="00512048">
      <w:pPr>
        <w:pStyle w:val="SangriaFrancesaArticulo"/>
      </w:pPr>
    </w:p>
    <w:p w:rsidR="00512048" w:rsidRDefault="00512048" w:rsidP="00512048">
      <w:pPr>
        <w:pStyle w:val="TextoNormalNegritaCursivandice"/>
      </w:pPr>
      <w:r>
        <w:t>Sentencia del Tribunal Europeo de Derechos Humanos de 9 de diciembre de 1994 (Ruiz Torija c. España)</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Sentencias </w:t>
      </w:r>
      <w:hyperlink w:anchor="SENTENCIA_2007_138" w:history="1">
        <w:r w:rsidRPr="00512048">
          <w:rPr>
            <w:rStyle w:val="TextoNormalCaracter"/>
          </w:rPr>
          <w:t>138/2007</w:t>
        </w:r>
      </w:hyperlink>
      <w:r>
        <w:t xml:space="preserve">, f. 2; </w:t>
      </w:r>
      <w:hyperlink w:anchor="SENTENCIA_2007_144" w:history="1">
        <w:r w:rsidRPr="00512048">
          <w:rPr>
            <w:rStyle w:val="TextoNormalCaracter"/>
          </w:rPr>
          <w:t>144/2007</w:t>
        </w:r>
      </w:hyperlink>
      <w:r>
        <w:t xml:space="preserve">, f. 4; </w:t>
      </w:r>
      <w:hyperlink w:anchor="SENTENCIA_2007_167" w:history="1">
        <w:r w:rsidRPr="00512048">
          <w:rPr>
            <w:rStyle w:val="TextoNormalCaracter"/>
          </w:rPr>
          <w:t>167/2007</w:t>
        </w:r>
      </w:hyperlink>
      <w:r>
        <w:t>, f. 2.</w:t>
      </w:r>
    </w:p>
    <w:p w:rsidR="00512048" w:rsidRDefault="00512048" w:rsidP="00512048">
      <w:pPr>
        <w:pStyle w:val="SangriaFrancesaArticulo"/>
      </w:pPr>
    </w:p>
    <w:p w:rsidR="00512048" w:rsidRDefault="00512048" w:rsidP="00512048">
      <w:pPr>
        <w:pStyle w:val="TextoNormalNegritaCursivandice"/>
      </w:pPr>
      <w:r>
        <w:t>Sentencia del Tribunal Europeo de Derechos Humanos de 23 de febrero de 1995 (Gasus Dosier-und Fördertechnik Gmbh c. Países Bajos)</w:t>
      </w:r>
    </w:p>
    <w:p w:rsidR="00512048" w:rsidRDefault="00512048" w:rsidP="00512048">
      <w:pPr>
        <w:pStyle w:val="SangriaFrancesaArticulo"/>
      </w:pPr>
      <w:r w:rsidRPr="00512048">
        <w:rPr>
          <w:rStyle w:val="TextoNormalNegritaCaracter"/>
        </w:rPr>
        <w:t>§ 48.</w:t>
      </w:r>
      <w:r w:rsidRPr="00512048">
        <w:rPr>
          <w:rStyle w:val="TextoNormalCaracter"/>
        </w:rPr>
        <w:t>-</w:t>
      </w:r>
      <w:r>
        <w:t xml:space="preserve"> Sentencia </w:t>
      </w:r>
      <w:hyperlink w:anchor="SENTENCIA_2007_156" w:history="1">
        <w:r w:rsidRPr="00512048">
          <w:rPr>
            <w:rStyle w:val="TextoNormalCaracter"/>
          </w:rPr>
          <w:t>156/2007</w:t>
        </w:r>
      </w:hyperlink>
      <w:r>
        <w:t>, f. 5.</w:t>
      </w:r>
    </w:p>
    <w:p w:rsidR="00512048" w:rsidRDefault="00512048" w:rsidP="00512048">
      <w:pPr>
        <w:pStyle w:val="SangriaFrancesaArticulo"/>
      </w:pPr>
      <w:r w:rsidRPr="00512048">
        <w:rPr>
          <w:rStyle w:val="TextoNormalNegritaCaracter"/>
        </w:rPr>
        <w:t>§ 49.</w:t>
      </w:r>
      <w:r w:rsidRPr="00512048">
        <w:rPr>
          <w:rStyle w:val="TextoNormalCaracter"/>
        </w:rPr>
        <w:t>-</w:t>
      </w:r>
      <w:r>
        <w:t xml:space="preserve"> Sentencia </w:t>
      </w:r>
      <w:hyperlink w:anchor="SENTENCIA_2007_156" w:history="1">
        <w:r w:rsidRPr="00512048">
          <w:rPr>
            <w:rStyle w:val="TextoNormalCaracter"/>
          </w:rPr>
          <w:t>156/2007</w:t>
        </w:r>
      </w:hyperlink>
      <w:r>
        <w:t>, f. 5.</w:t>
      </w:r>
    </w:p>
    <w:p w:rsidR="00512048" w:rsidRDefault="00512048" w:rsidP="00512048">
      <w:pPr>
        <w:pStyle w:val="SangriaFrancesaArticulo"/>
      </w:pPr>
    </w:p>
    <w:p w:rsidR="00512048" w:rsidRDefault="00512048" w:rsidP="00512048">
      <w:pPr>
        <w:pStyle w:val="TextoNormalNegritaCursivandice"/>
      </w:pPr>
      <w:r>
        <w:t>Sentencia del Tribunal Europeo de Derechos Humanos de 19 de febrero de 1996 (Botten c. Noruega)</w:t>
      </w:r>
    </w:p>
    <w:p w:rsidR="00512048" w:rsidRDefault="00512048" w:rsidP="00512048">
      <w:pPr>
        <w:pStyle w:val="SangriaFrancesaArticulo"/>
      </w:pPr>
      <w:r w:rsidRPr="00512048">
        <w:rPr>
          <w:rStyle w:val="TextoNormalNegritaCaracter"/>
        </w:rPr>
        <w:t>§ 36.</w:t>
      </w:r>
      <w:r w:rsidRPr="00512048">
        <w:rPr>
          <w:rStyle w:val="TextoNormalCaracter"/>
        </w:rPr>
        <w:t>-</w:t>
      </w:r>
      <w:r>
        <w:t xml:space="preserve"> Sentencia </w:t>
      </w:r>
      <w:hyperlink w:anchor="SENTENCIA_2007_156" w:history="1">
        <w:r w:rsidRPr="00512048">
          <w:rPr>
            <w:rStyle w:val="TextoNormalCaracter"/>
          </w:rPr>
          <w:t>156/2007</w:t>
        </w:r>
      </w:hyperlink>
      <w:r>
        <w:t>, f. 5.</w:t>
      </w:r>
    </w:p>
    <w:p w:rsidR="00512048" w:rsidRDefault="00512048" w:rsidP="00512048">
      <w:pPr>
        <w:pStyle w:val="SangriaFrancesaArticulo"/>
      </w:pPr>
    </w:p>
    <w:p w:rsidR="00512048" w:rsidRDefault="00512048" w:rsidP="00512048">
      <w:pPr>
        <w:pStyle w:val="TextoNormalNegritaCursivandice"/>
      </w:pPr>
      <w:r>
        <w:t>Sentencia del Tribunal Europeo de Derechos Humanos de 7 de agosto de 1996 (Ferrantelli y Santangelo c. Italia)</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56" w:history="1">
        <w:r w:rsidRPr="00512048">
          <w:rPr>
            <w:rStyle w:val="TextoNormalCaracter"/>
          </w:rPr>
          <w:t>156/2007</w:t>
        </w:r>
      </w:hyperlink>
      <w:r>
        <w:t>, f. 6.</w:t>
      </w:r>
    </w:p>
    <w:p w:rsidR="00512048" w:rsidRDefault="00512048" w:rsidP="00512048">
      <w:pPr>
        <w:pStyle w:val="SangriaFrancesaArticulo"/>
      </w:pPr>
    </w:p>
    <w:p w:rsidR="00512048" w:rsidRDefault="00512048" w:rsidP="00512048">
      <w:pPr>
        <w:pStyle w:val="TextoNormalNegritaCursivandice"/>
      </w:pPr>
      <w:r>
        <w:lastRenderedPageBreak/>
        <w:t>Sentencia del Tribunal Europeo de Derechos Humanos de 17 de diciembre de 1996 (Ahmed c. Austria)</w:t>
      </w:r>
    </w:p>
    <w:p w:rsidR="00512048" w:rsidRDefault="00512048" w:rsidP="00512048">
      <w:pPr>
        <w:pStyle w:val="SangriaFrancesaArticulo"/>
      </w:pPr>
      <w:r w:rsidRPr="00512048">
        <w:rPr>
          <w:rStyle w:val="TextoNormalNegritaCaracter"/>
        </w:rPr>
        <w:t>§ 39.</w:t>
      </w:r>
      <w:r w:rsidRPr="00512048">
        <w:rPr>
          <w:rStyle w:val="TextoNormalCaracter"/>
        </w:rPr>
        <w:t>-</w:t>
      </w:r>
      <w:r>
        <w:t xml:space="preserve"> Sentencia </w:t>
      </w:r>
      <w:hyperlink w:anchor="SENTENCIA_2007_140" w:history="1">
        <w:r w:rsidRPr="00512048">
          <w:rPr>
            <w:rStyle w:val="TextoNormalCaracter"/>
          </w:rPr>
          <w:t>140/2007</w:t>
        </w:r>
      </w:hyperlink>
      <w:r>
        <w:t>, f. 2.</w:t>
      </w:r>
    </w:p>
    <w:p w:rsidR="00512048" w:rsidRDefault="00512048" w:rsidP="00512048">
      <w:pPr>
        <w:pStyle w:val="SangriaFrancesaArticulo"/>
      </w:pPr>
    </w:p>
    <w:p w:rsidR="00512048" w:rsidRDefault="00512048" w:rsidP="00512048">
      <w:pPr>
        <w:pStyle w:val="TextoNormalNegritaCursivandice"/>
      </w:pPr>
      <w:r>
        <w:t>Sentencia del Tribunal Europeo de Derechos Humanos de 26 de agosto de 1997 (De Haan c. Holanda)</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56" w:history="1">
        <w:r w:rsidRPr="00512048">
          <w:rPr>
            <w:rStyle w:val="TextoNormalCaracter"/>
          </w:rPr>
          <w:t>156/2007</w:t>
        </w:r>
      </w:hyperlink>
      <w:r>
        <w:t>, f. 6.</w:t>
      </w:r>
    </w:p>
    <w:p w:rsidR="00512048" w:rsidRDefault="00512048" w:rsidP="00512048">
      <w:pPr>
        <w:pStyle w:val="SangriaFrancesaArticulo"/>
      </w:pPr>
    </w:p>
    <w:p w:rsidR="00512048" w:rsidRDefault="00512048" w:rsidP="00512048">
      <w:pPr>
        <w:pStyle w:val="TextoNormalNegritaCursivandice"/>
      </w:pPr>
      <w:r>
        <w:t>Sentencia del Tribunal Europeo de Derechos Humanos de 28 de octubre de 1998 (Castillo Algar c. España)</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56" w:history="1">
        <w:r w:rsidRPr="00512048">
          <w:rPr>
            <w:rStyle w:val="TextoNormalCaracter"/>
          </w:rPr>
          <w:t>156/2007</w:t>
        </w:r>
      </w:hyperlink>
      <w:r>
        <w:t>, f. 6.</w:t>
      </w:r>
    </w:p>
    <w:p w:rsidR="00512048" w:rsidRDefault="00512048" w:rsidP="00512048">
      <w:pPr>
        <w:pStyle w:val="SangriaFrancesaArticulo"/>
      </w:pPr>
      <w:r w:rsidRPr="00512048">
        <w:rPr>
          <w:rStyle w:val="TextoNormalNegritaCaracter"/>
        </w:rPr>
        <w:t>§ 35.</w:t>
      </w:r>
      <w:r w:rsidRPr="00512048">
        <w:rPr>
          <w:rStyle w:val="TextoNormalCaracter"/>
        </w:rPr>
        <w:t>-</w:t>
      </w:r>
      <w:r>
        <w:t xml:space="preserve"> Sentencia </w:t>
      </w:r>
      <w:hyperlink w:anchor="SENTENCIA_2007_156" w:history="1">
        <w:r w:rsidRPr="00512048">
          <w:rPr>
            <w:rStyle w:val="TextoNormalCaracter"/>
          </w:rPr>
          <w:t>156/2007</w:t>
        </w:r>
      </w:hyperlink>
      <w:r>
        <w:t>, f. 5.</w:t>
      </w:r>
    </w:p>
    <w:p w:rsidR="00512048" w:rsidRDefault="00512048" w:rsidP="00512048">
      <w:pPr>
        <w:pStyle w:val="SangriaFrancesaArticulo"/>
      </w:pPr>
    </w:p>
    <w:p w:rsidR="00512048" w:rsidRDefault="00512048" w:rsidP="00512048">
      <w:pPr>
        <w:pStyle w:val="TextoNormalNegritaCursivandice"/>
      </w:pPr>
      <w:r>
        <w:t>Sentencia del Tribunal Europeo de Derechos Humanos de 8 de febrero de 2000 (Cooke c. Austria)</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34" w:history="1">
        <w:r w:rsidRPr="00512048">
          <w:rPr>
            <w:rStyle w:val="TextoNormalCaracter"/>
          </w:rPr>
          <w:t>134/2007</w:t>
        </w:r>
      </w:hyperlink>
      <w:r>
        <w:t>, f. 2.</w:t>
      </w:r>
    </w:p>
    <w:p w:rsidR="00512048" w:rsidRDefault="00512048" w:rsidP="00512048">
      <w:pPr>
        <w:pStyle w:val="SangriaFrancesaArticulo"/>
      </w:pPr>
    </w:p>
    <w:p w:rsidR="00512048" w:rsidRDefault="00512048" w:rsidP="00512048">
      <w:pPr>
        <w:pStyle w:val="TextoNormalNegritaCursivandice"/>
      </w:pPr>
      <w:r>
        <w:t>Sentencia del Tribunal Europeo de Derechos Humanos de 8 de febrero de 2000 (Stefanelli c. San Marino)</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34" w:history="1">
        <w:r w:rsidRPr="00512048">
          <w:rPr>
            <w:rStyle w:val="TextoNormalCaracter"/>
          </w:rPr>
          <w:t>134/2007</w:t>
        </w:r>
      </w:hyperlink>
      <w:r>
        <w:t>, f. 2.</w:t>
      </w:r>
    </w:p>
    <w:p w:rsidR="00512048" w:rsidRDefault="00512048" w:rsidP="00512048">
      <w:pPr>
        <w:pStyle w:val="SangriaFrancesaArticulo"/>
      </w:pPr>
    </w:p>
    <w:p w:rsidR="00512048" w:rsidRDefault="00512048" w:rsidP="00512048">
      <w:pPr>
        <w:pStyle w:val="TextoNormalNegritaCursivandice"/>
      </w:pPr>
      <w:r>
        <w:t>Auto del Tribunal Europeo de Derechos Humanos de 2 de marzo de 2000 (Garrido Guerrero c. España)</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56" w:history="1">
        <w:r w:rsidRPr="00512048">
          <w:rPr>
            <w:rStyle w:val="TextoNormalCaracter"/>
          </w:rPr>
          <w:t>156/2007</w:t>
        </w:r>
      </w:hyperlink>
      <w:r>
        <w:t>, f. 6.</w:t>
      </w:r>
    </w:p>
    <w:p w:rsidR="00512048" w:rsidRDefault="00512048" w:rsidP="00512048">
      <w:pPr>
        <w:pStyle w:val="SangriaFrancesaArticulo"/>
      </w:pPr>
    </w:p>
    <w:p w:rsidR="00512048" w:rsidRDefault="00512048" w:rsidP="00512048">
      <w:pPr>
        <w:pStyle w:val="TextoNormalNegritaCursivandice"/>
      </w:pPr>
      <w:r>
        <w:t>Sentencia del Tribunal Europeo de Derechos Humanos de 27 de junio de 2000 (Constantinescu c. Rumania)</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34" w:history="1">
        <w:r w:rsidRPr="00512048">
          <w:rPr>
            <w:rStyle w:val="TextoNormalCaracter"/>
          </w:rPr>
          <w:t>134/2007</w:t>
        </w:r>
      </w:hyperlink>
      <w:r>
        <w:t>, f. 2.</w:t>
      </w:r>
    </w:p>
    <w:p w:rsidR="00512048" w:rsidRDefault="00512048" w:rsidP="00512048">
      <w:pPr>
        <w:pStyle w:val="SangriaFrancesaArticulo"/>
      </w:pPr>
    </w:p>
    <w:p w:rsidR="00512048" w:rsidRDefault="00512048" w:rsidP="00512048">
      <w:pPr>
        <w:pStyle w:val="TextoNormalNegritaCursivandice"/>
      </w:pPr>
      <w:r>
        <w:t>Sentencia del Tribunal Europeo de Derechos Humanos de 11 de julio de 2000 (G.H.H. y otros c. Turquía)</w:t>
      </w:r>
    </w:p>
    <w:p w:rsidR="00512048" w:rsidRDefault="00512048" w:rsidP="00512048">
      <w:pPr>
        <w:pStyle w:val="SangriaFrancesaArticulo"/>
      </w:pPr>
      <w:r w:rsidRPr="00512048">
        <w:rPr>
          <w:rStyle w:val="TextoNormalNegritaCaracter"/>
        </w:rPr>
        <w:t>§ 35.</w:t>
      </w:r>
      <w:r w:rsidRPr="00512048">
        <w:rPr>
          <w:rStyle w:val="TextoNormalCaracter"/>
        </w:rPr>
        <w:t>-</w:t>
      </w:r>
      <w:r>
        <w:t xml:space="preserve"> Sentencia </w:t>
      </w:r>
      <w:hyperlink w:anchor="SENTENCIA_2007_140" w:history="1">
        <w:r w:rsidRPr="00512048">
          <w:rPr>
            <w:rStyle w:val="TextoNormalCaracter"/>
          </w:rPr>
          <w:t>140/2007</w:t>
        </w:r>
      </w:hyperlink>
      <w:r>
        <w:t>, f. 2.</w:t>
      </w:r>
    </w:p>
    <w:p w:rsidR="00512048" w:rsidRDefault="00512048" w:rsidP="00512048">
      <w:pPr>
        <w:pStyle w:val="SangriaFrancesaArticulo"/>
      </w:pPr>
    </w:p>
    <w:p w:rsidR="00512048" w:rsidRDefault="00512048" w:rsidP="00512048">
      <w:pPr>
        <w:pStyle w:val="TextoNormalNegritaCursivandice"/>
      </w:pPr>
      <w:r>
        <w:t>Sentencia del Tribunal Europeo de Derechos Humanos de 25 de julio de 2000 (Tierce y otros c. San Marino)</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Sentencia </w:t>
      </w:r>
      <w:hyperlink w:anchor="SENTENCIA_2007_134" w:history="1">
        <w:r w:rsidRPr="00512048">
          <w:rPr>
            <w:rStyle w:val="TextoNormalCaracter"/>
          </w:rPr>
          <w:t>134/2007</w:t>
        </w:r>
      </w:hyperlink>
      <w:r>
        <w:t>, f. 2.</w:t>
      </w:r>
    </w:p>
    <w:p w:rsidR="00512048" w:rsidRDefault="00512048" w:rsidP="00512048">
      <w:pPr>
        <w:pStyle w:val="TextoNormal"/>
      </w:pPr>
    </w:p>
    <w:p w:rsidR="00512048" w:rsidRDefault="00512048" w:rsidP="00512048">
      <w:pPr>
        <w:pStyle w:val="SangriaFrancesaArticulo"/>
      </w:pPr>
      <w:bookmarkStart w:id="239" w:name="INDICE22924"/>
    </w:p>
    <w:bookmarkEnd w:id="239"/>
    <w:p w:rsidR="00512048" w:rsidRDefault="00512048" w:rsidP="00512048">
      <w:pPr>
        <w:pStyle w:val="TextoIndiceNivel2"/>
        <w:suppressAutoHyphens/>
      </w:pPr>
      <w:r>
        <w:t>B) Tribunales de Justicia de las Comunidades Europeas y de la Unión Europea</w:t>
      </w:r>
    </w:p>
    <w:p w:rsidR="00512048" w:rsidRDefault="00512048" w:rsidP="00512048">
      <w:pPr>
        <w:pStyle w:val="TextoIndiceNivel2"/>
      </w:pPr>
    </w:p>
    <w:p w:rsidR="00512048" w:rsidRDefault="00512048" w:rsidP="00512048">
      <w:pPr>
        <w:pStyle w:val="TextoNormalNegritaCursivandice"/>
      </w:pPr>
      <w:r>
        <w:t>Sentencia del Tribunal de Justicia de las Comunidades Europeas de 24 de noviembre de 1993 (Armand Mondiet SA c. Armement Islais SARL, asunto C-405/92)</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Auto </w:t>
      </w:r>
      <w:hyperlink w:anchor="AUTO_2007_355" w:history="1">
        <w:r w:rsidRPr="00512048">
          <w:rPr>
            <w:rStyle w:val="TextoNormalCaracter"/>
          </w:rPr>
          <w:t>355/2007</w:t>
        </w:r>
      </w:hyperlink>
      <w:r>
        <w:t>.</w:t>
      </w:r>
    </w:p>
    <w:p w:rsidR="00512048" w:rsidRDefault="00512048" w:rsidP="00512048">
      <w:pPr>
        <w:pStyle w:val="SangriaFrancesaArticulo"/>
      </w:pPr>
    </w:p>
    <w:p w:rsidR="00512048" w:rsidRDefault="00512048" w:rsidP="00512048">
      <w:pPr>
        <w:pStyle w:val="TextoNormalNegritaCursivandice"/>
      </w:pPr>
      <w:r>
        <w:lastRenderedPageBreak/>
        <w:t>Sentencia del Tribunal de Justicia de las Comunidades Europeas de 5 de mayo de 1998 (Reino Unido c. Comisión, asunto C-180/96)</w:t>
      </w:r>
    </w:p>
    <w:p w:rsidR="00512048" w:rsidRDefault="00512048" w:rsidP="00512048">
      <w:pPr>
        <w:pStyle w:val="SangriaFrancesaArticulo"/>
      </w:pPr>
      <w:r w:rsidRPr="00512048">
        <w:rPr>
          <w:rStyle w:val="TextoNormalNegritaCaracter"/>
        </w:rPr>
        <w:t>En general.</w:t>
      </w:r>
      <w:r w:rsidRPr="00512048">
        <w:rPr>
          <w:rStyle w:val="TextoNormalCaracter"/>
        </w:rPr>
        <w:t>-</w:t>
      </w:r>
      <w:r>
        <w:t xml:space="preserve"> Auto </w:t>
      </w:r>
      <w:hyperlink w:anchor="AUTO_2007_355" w:history="1">
        <w:r w:rsidRPr="00512048">
          <w:rPr>
            <w:rStyle w:val="TextoNormalCaracter"/>
          </w:rPr>
          <w:t>355/2007</w:t>
        </w:r>
      </w:hyperlink>
      <w:r>
        <w:t>.</w:t>
      </w:r>
    </w:p>
    <w:p w:rsidR="00512048" w:rsidRDefault="00512048" w:rsidP="00512048">
      <w:pPr>
        <w:pStyle w:val="SangriaFrancesaArticulo"/>
      </w:pPr>
    </w:p>
    <w:p w:rsidR="00512048" w:rsidRDefault="00512048" w:rsidP="00512048">
      <w:pPr>
        <w:pStyle w:val="TextoNormalNegritaCursivandice"/>
      </w:pPr>
      <w:r>
        <w:t>Sentencia del Tribunal de Justicia de las Comunidades Europeas de 5 de mayo de 1998 (The Queen c. Ministry of Agriculture, Fisheries and Food, Commissioners of Customs &amp; Excise, ex parte National Farmers´ Union y otros, asunto C-157/96)</w:t>
      </w:r>
    </w:p>
    <w:p w:rsidR="00512048" w:rsidRDefault="00512048" w:rsidP="00512048">
      <w:pPr>
        <w:pStyle w:val="SangriaFrancesaArticulo"/>
      </w:pPr>
      <w:r>
        <w:t xml:space="preserve">Auto </w:t>
      </w:r>
      <w:hyperlink w:anchor="AUTO_2007_355" w:history="1">
        <w:r w:rsidRPr="00512048">
          <w:rPr>
            <w:rStyle w:val="TextoNormalCaracter"/>
          </w:rPr>
          <w:t>355/2007</w:t>
        </w:r>
      </w:hyperlink>
      <w:r>
        <w:t>.</w:t>
      </w:r>
    </w:p>
    <w:p w:rsidR="00512048" w:rsidRDefault="00512048" w:rsidP="00512048">
      <w:pPr>
        <w:pStyle w:val="TextoNormal"/>
      </w:pPr>
    </w:p>
    <w:p w:rsidR="00512048" w:rsidRDefault="00512048" w:rsidP="00512048">
      <w:pPr>
        <w:pStyle w:val="SangriaFrancesaArticulo"/>
      </w:pPr>
      <w:bookmarkStart w:id="240" w:name="INDICE22925"/>
    </w:p>
    <w:bookmarkEnd w:id="240"/>
    <w:p w:rsidR="00512048" w:rsidRDefault="00512048" w:rsidP="00512048">
      <w:pPr>
        <w:pStyle w:val="TextoIndiceNivel2"/>
        <w:suppressAutoHyphens/>
      </w:pPr>
      <w:r>
        <w:t>C) Tribunal Supremo</w:t>
      </w:r>
    </w:p>
    <w:p w:rsidR="00512048" w:rsidRDefault="00512048" w:rsidP="00512048">
      <w:pPr>
        <w:pStyle w:val="TextoIndiceNivel2"/>
      </w:pPr>
    </w:p>
    <w:p w:rsidR="00512048" w:rsidRDefault="00512048" w:rsidP="00512048">
      <w:pPr>
        <w:pStyle w:val="TextoNormalNegritaCursivandice"/>
      </w:pPr>
      <w:r>
        <w:t>Sentencia de la Sala de lo Penal del Tribunal Supremo de 20 de enero de 2004 (recurso de casación núm. 346-2002)</w:t>
      </w:r>
    </w:p>
    <w:p w:rsidR="00512048" w:rsidRDefault="00512048" w:rsidP="00512048">
      <w:pPr>
        <w:pStyle w:val="SangriaFrancesaArticulo"/>
      </w:pPr>
      <w:r>
        <w:t xml:space="preserve">Sentencia </w:t>
      </w:r>
      <w:hyperlink w:anchor="SENTENCIA_2007_156" w:history="1">
        <w:r w:rsidRPr="00512048">
          <w:rPr>
            <w:rStyle w:val="TextoNormalCaracter"/>
          </w:rPr>
          <w:t>156/2007</w:t>
        </w:r>
      </w:hyperlink>
      <w:r>
        <w:t xml:space="preserve"> (anula).</w:t>
      </w:r>
    </w:p>
    <w:p w:rsidR="00512048" w:rsidRDefault="00512048" w:rsidP="00512048">
      <w:pPr>
        <w:pStyle w:val="SangriaFrancesaArticulo"/>
      </w:pPr>
    </w:p>
    <w:p w:rsidR="00512048" w:rsidRDefault="00512048" w:rsidP="00512048">
      <w:pPr>
        <w:pStyle w:val="TextoNormalNegritaCursivandice"/>
      </w:pPr>
      <w:r>
        <w:t>Sentencia de la Sala de lo Civil del Tribunal Supremo de 25 de octubre de 2004 (recurso de casación núm. 1336-1999)</w:t>
      </w:r>
    </w:p>
    <w:p w:rsidR="00512048" w:rsidRDefault="00512048" w:rsidP="00512048">
      <w:pPr>
        <w:pStyle w:val="SangriaFrancesaArticulo"/>
      </w:pPr>
      <w:r>
        <w:t xml:space="preserve">Sentencia </w:t>
      </w:r>
      <w:hyperlink w:anchor="SENTENCIA_2007_139" w:history="1">
        <w:r w:rsidRPr="00512048">
          <w:rPr>
            <w:rStyle w:val="TextoNormalCaracter"/>
          </w:rPr>
          <w:t>139/2007</w:t>
        </w:r>
      </w:hyperlink>
      <w:r>
        <w:t xml:space="preserve"> (anula).</w:t>
      </w:r>
    </w:p>
    <w:p w:rsidR="00512048" w:rsidRDefault="00512048">
      <w:pPr>
        <w:spacing w:after="160" w:line="259" w:lineRule="auto"/>
        <w:rPr>
          <w:rFonts w:ascii="Times New Roman" w:eastAsia="Times New Roman" w:hAnsi="Times New Roman" w:cs="Times New Roman"/>
          <w:sz w:val="24"/>
          <w:szCs w:val="24"/>
          <w:lang w:eastAsia="es-ES"/>
        </w:rPr>
      </w:pPr>
      <w:r>
        <w:br w:type="page"/>
      </w:r>
    </w:p>
    <w:p w:rsidR="00512048" w:rsidRDefault="00512048" w:rsidP="00512048">
      <w:pPr>
        <w:pStyle w:val="SangriaFrancesaArticulo"/>
      </w:pPr>
      <w:bookmarkStart w:id="241" w:name="DESCRIPTOR1"/>
      <w:bookmarkStart w:id="242" w:name="DESCRIPTOR2"/>
      <w:bookmarkStart w:id="243" w:name="DESCRIPTOR3"/>
      <w:bookmarkStart w:id="244" w:name="DESCRIPTOR4"/>
      <w:bookmarkStart w:id="245" w:name="DESCRIPTOR5"/>
      <w:bookmarkStart w:id="246" w:name="DESCRIPTOR6"/>
      <w:bookmarkStart w:id="247" w:name="DESCRIPTOR7"/>
      <w:bookmarkStart w:id="248" w:name="DESCRIPTOR8"/>
      <w:bookmarkStart w:id="249" w:name="DESCRIPTOR9"/>
      <w:bookmarkStart w:id="250" w:name="DESCRIPTOR10"/>
      <w:bookmarkStart w:id="251" w:name="DESCRIPTOR11"/>
      <w:bookmarkStart w:id="252" w:name="DESCRIPTOR12"/>
      <w:bookmarkStart w:id="253" w:name="DESCRIPTOR13"/>
      <w:bookmarkStart w:id="254" w:name="DESCRIPTOR14"/>
      <w:bookmarkStart w:id="255" w:name="DESCRIPTOR15"/>
      <w:bookmarkStart w:id="256" w:name="DESCRIPTOR16"/>
      <w:bookmarkStart w:id="257" w:name="DESCRIPTOR17"/>
      <w:bookmarkStart w:id="258" w:name="DESCRIPTOR18"/>
      <w:bookmarkStart w:id="259" w:name="DESCRIPTOR19"/>
      <w:bookmarkStart w:id="260" w:name="DESCRIPTOR20"/>
      <w:bookmarkStart w:id="261" w:name="DESCRIPTOR21"/>
      <w:bookmarkStart w:id="262" w:name="DESCRIPTOR22"/>
      <w:bookmarkStart w:id="263" w:name="DESCRIPTOR23"/>
      <w:bookmarkStart w:id="264" w:name="DESCRIPTOR24"/>
      <w:bookmarkStart w:id="265" w:name="DESCRIPTOR25"/>
      <w:bookmarkStart w:id="266" w:name="DESCRIPTOR26"/>
      <w:bookmarkStart w:id="267" w:name="DESCRIPTOR27"/>
      <w:bookmarkStart w:id="268" w:name="DESCRIPTOR28"/>
      <w:bookmarkStart w:id="269" w:name="DESCRIPTOR29"/>
      <w:bookmarkStart w:id="270" w:name="DESCRIPTOR30"/>
      <w:bookmarkStart w:id="271" w:name="DESCRIPTOR31"/>
      <w:bookmarkStart w:id="272" w:name="DESCRIPTOR32"/>
      <w:bookmarkStart w:id="273" w:name="DESCRIPTOR33"/>
      <w:bookmarkStart w:id="274" w:name="DESCRIPTOR34"/>
      <w:bookmarkStart w:id="275" w:name="DESCRIPTOR35"/>
      <w:bookmarkStart w:id="276" w:name="DESCRIPTOR36"/>
      <w:bookmarkStart w:id="277" w:name="DESCRIPTOR37"/>
      <w:bookmarkStart w:id="278" w:name="DESCRIPTOR38"/>
      <w:bookmarkStart w:id="279" w:name="DESCRIPTOR39"/>
      <w:bookmarkStart w:id="280" w:name="DESCRIPTOR40"/>
      <w:bookmarkStart w:id="281" w:name="DESCRIPTOR41"/>
      <w:bookmarkStart w:id="282" w:name="DESCRIPTOR42"/>
      <w:bookmarkStart w:id="283" w:name="DESCRIPTOR43"/>
      <w:bookmarkStart w:id="284" w:name="DESCRIPTOR44"/>
      <w:bookmarkStart w:id="285" w:name="DESCRIPTOR45"/>
      <w:bookmarkStart w:id="286" w:name="DESCRIPTOR46"/>
      <w:bookmarkStart w:id="287" w:name="DESCRIPTOR47"/>
      <w:bookmarkStart w:id="288" w:name="DESCRIPTOR48"/>
      <w:bookmarkStart w:id="289" w:name="DESCRIPTOR49"/>
      <w:bookmarkStart w:id="290" w:name="DESCRIPTOR50"/>
      <w:bookmarkStart w:id="291" w:name="DESCRIPTOR51"/>
      <w:bookmarkStart w:id="292" w:name="DESCRIPTOR52"/>
      <w:bookmarkStart w:id="293" w:name="DESCRIPTOR53"/>
      <w:bookmarkStart w:id="294" w:name="DESCRIPTOR54"/>
      <w:bookmarkStart w:id="295" w:name="DESCRIPTOR55"/>
      <w:bookmarkStart w:id="296" w:name="DESCRIPTOR56"/>
      <w:bookmarkStart w:id="297" w:name="DESCRIPTOR57"/>
      <w:bookmarkStart w:id="298" w:name="DESCRIPTOR58"/>
      <w:bookmarkStart w:id="299" w:name="DESCRIPTOR59"/>
      <w:bookmarkStart w:id="300" w:name="DESCRIPTOR60"/>
      <w:bookmarkStart w:id="301" w:name="DESCRIPTOR61"/>
      <w:bookmarkStart w:id="302" w:name="DESCRIPTOR62"/>
      <w:bookmarkStart w:id="303" w:name="DESCRIPTOR63"/>
      <w:bookmarkStart w:id="304" w:name="DESCRIPTOR64"/>
      <w:bookmarkStart w:id="305" w:name="DESCRIPTOR65"/>
      <w:bookmarkStart w:id="306" w:name="DESCRIPTOR66"/>
      <w:bookmarkStart w:id="307" w:name="DESCRIPTOR67"/>
      <w:bookmarkStart w:id="308" w:name="DESCRIPTOR68"/>
      <w:bookmarkStart w:id="309" w:name="DESCRIPTOR69"/>
      <w:bookmarkStart w:id="310" w:name="DESCRIPTOR70"/>
      <w:bookmarkStart w:id="311" w:name="DESCRIPTOR71"/>
      <w:bookmarkStart w:id="312" w:name="DESCRIPTOR72"/>
      <w:bookmarkStart w:id="313" w:name="DESCRIPTOR73"/>
      <w:bookmarkStart w:id="314" w:name="DESCRIPTOR74"/>
      <w:bookmarkStart w:id="315" w:name="DESCRIPTOR75"/>
      <w:bookmarkStart w:id="316" w:name="DESCRIPTOR76"/>
      <w:bookmarkStart w:id="317" w:name="DESCRIPTOR77"/>
      <w:bookmarkStart w:id="318" w:name="DESCRIPTOR78"/>
      <w:bookmarkStart w:id="319" w:name="DESCRIPTOR79"/>
      <w:bookmarkStart w:id="320" w:name="DESCRIPTOR80"/>
      <w:bookmarkStart w:id="321" w:name="DESCRIPTOR81"/>
      <w:bookmarkStart w:id="322" w:name="DESCRIPTOR82"/>
      <w:bookmarkStart w:id="323" w:name="DESCRIPTOR83"/>
      <w:bookmarkStart w:id="324" w:name="DESCRIPTOR84"/>
      <w:bookmarkStart w:id="325" w:name="DESCRIPTOR85"/>
      <w:bookmarkStart w:id="326" w:name="DESCRIPTOR86"/>
      <w:bookmarkStart w:id="327" w:name="DESCRIPTOR87"/>
      <w:bookmarkStart w:id="328" w:name="DESCRIPTOR88"/>
      <w:bookmarkStart w:id="329" w:name="DESCRIPTOR89"/>
      <w:bookmarkStart w:id="330" w:name="DESCRIPTOR90"/>
      <w:bookmarkStart w:id="331" w:name="DESCRIPTOR91"/>
      <w:bookmarkStart w:id="332" w:name="DESCRIPTOR92"/>
      <w:bookmarkStart w:id="333" w:name="DESCRIPTOR93"/>
      <w:bookmarkStart w:id="334" w:name="DESCRIPTOR94"/>
      <w:bookmarkStart w:id="335" w:name="DESCRIPTOR95"/>
      <w:bookmarkStart w:id="336" w:name="DESCRIPTOR96"/>
      <w:bookmarkStart w:id="337" w:name="DESCRIPTOR97"/>
      <w:bookmarkStart w:id="338" w:name="DESCRIPTOR98"/>
      <w:bookmarkStart w:id="339" w:name="DESCRIPTOR99"/>
      <w:bookmarkStart w:id="340" w:name="DESCRIPTOR100"/>
      <w:bookmarkStart w:id="341" w:name="DESCRIPTOR101"/>
      <w:bookmarkStart w:id="342" w:name="DESCRIPTOR102"/>
      <w:bookmarkStart w:id="343" w:name="DESCRIPTOR103"/>
      <w:bookmarkStart w:id="344" w:name="DESCRIPTOR104"/>
      <w:bookmarkStart w:id="345" w:name="DESCRIPTOR105"/>
      <w:bookmarkStart w:id="346" w:name="DESCRIPTOR106"/>
      <w:bookmarkStart w:id="347" w:name="DESCRIPTOR107"/>
      <w:bookmarkStart w:id="348" w:name="DESCRIPTOR108"/>
      <w:bookmarkStart w:id="349" w:name="DESCRIPTOR109"/>
      <w:bookmarkStart w:id="350" w:name="DESCRIPTOR110"/>
      <w:bookmarkStart w:id="351" w:name="DESCRIPTOR111"/>
      <w:bookmarkStart w:id="352" w:name="DESCRIPTOR112"/>
      <w:bookmarkStart w:id="353" w:name="DESCRIPTOR113"/>
      <w:bookmarkStart w:id="354" w:name="DESCRIPTOR114"/>
      <w:bookmarkStart w:id="355" w:name="DESCRIPTOR115"/>
      <w:bookmarkStart w:id="356" w:name="DESCRIPTOR116"/>
      <w:bookmarkStart w:id="357" w:name="DESCRIPTOR117"/>
      <w:bookmarkStart w:id="358" w:name="DESCRIPTOR118"/>
      <w:bookmarkStart w:id="359" w:name="DESCRIPTOR119"/>
      <w:bookmarkStart w:id="360" w:name="DESCRIPTOR120"/>
      <w:bookmarkStart w:id="361" w:name="DESCRIPTOR121"/>
      <w:bookmarkStart w:id="362" w:name="DESCRIPTOR122"/>
      <w:bookmarkStart w:id="363" w:name="DESCRIPTOR123"/>
      <w:bookmarkStart w:id="364" w:name="DESCRIPTOR124"/>
      <w:bookmarkStart w:id="365" w:name="DESCRIPTOR125"/>
      <w:bookmarkStart w:id="366" w:name="DESCRIPTOR126"/>
      <w:bookmarkStart w:id="367" w:name="DESCRIPTOR127"/>
      <w:bookmarkStart w:id="368" w:name="DESCRIPTOR128"/>
      <w:bookmarkStart w:id="369" w:name="DESCRIPTOR129"/>
      <w:bookmarkStart w:id="370" w:name="DESCRIPTOR130"/>
      <w:bookmarkStart w:id="371" w:name="DESCRIPTOR131"/>
      <w:bookmarkStart w:id="372" w:name="DESCRIPTOR132"/>
      <w:bookmarkStart w:id="373" w:name="DESCRIPTOR133"/>
      <w:bookmarkStart w:id="374" w:name="DESCRIPTOR134"/>
      <w:bookmarkStart w:id="375" w:name="DESCRIPTOR135"/>
      <w:bookmarkStart w:id="376" w:name="DESCRIPTOR136"/>
      <w:bookmarkStart w:id="377" w:name="DESCRIPTOR137"/>
      <w:bookmarkStart w:id="378" w:name="DESCRIPTOR138"/>
      <w:bookmarkStart w:id="379" w:name="DESCRIPTOR139"/>
      <w:bookmarkStart w:id="380" w:name="DESCRIPTOR140"/>
      <w:bookmarkStart w:id="381" w:name="DESCRIPTOR141"/>
      <w:bookmarkStart w:id="382" w:name="DESCRIPTOR142"/>
      <w:bookmarkStart w:id="383" w:name="DESCRIPTOR143"/>
      <w:bookmarkStart w:id="384" w:name="DESCRIPTOR144"/>
      <w:bookmarkStart w:id="385" w:name="DESCRIPTOR145"/>
      <w:bookmarkStart w:id="386" w:name="DESCRIPTOR146"/>
      <w:bookmarkStart w:id="387" w:name="DESCRIPTOR147"/>
      <w:bookmarkStart w:id="388" w:name="DESCRIPTOR148"/>
      <w:bookmarkStart w:id="389" w:name="DESCRIPTOR149"/>
      <w:bookmarkStart w:id="390" w:name="DESCRIPTOR150"/>
      <w:bookmarkStart w:id="391" w:name="DESCRIPTOR151"/>
      <w:bookmarkStart w:id="392" w:name="DESCRIPTOR152"/>
      <w:bookmarkStart w:id="393" w:name="DESCRIPTOR153"/>
      <w:bookmarkStart w:id="394" w:name="DESCRIPTOR154"/>
      <w:bookmarkStart w:id="395" w:name="DESCRIPTOR155"/>
      <w:bookmarkStart w:id="396" w:name="DESCRIPTOR156"/>
      <w:bookmarkStart w:id="397" w:name="DESCRIPTOR157"/>
      <w:bookmarkStart w:id="398" w:name="DESCRIPTOR158"/>
      <w:bookmarkStart w:id="399" w:name="DESCRIPTOR159"/>
      <w:bookmarkStart w:id="400" w:name="DESCRIPTOR160"/>
      <w:bookmarkStart w:id="401" w:name="DESCRIPTOR161"/>
      <w:bookmarkStart w:id="402" w:name="DESCRIPTOR162"/>
      <w:bookmarkStart w:id="403" w:name="DESCRIPTOR163"/>
      <w:bookmarkStart w:id="404" w:name="DESCRIPTOR164"/>
      <w:bookmarkStart w:id="405" w:name="DESCRIPTOR165"/>
      <w:bookmarkStart w:id="406" w:name="DESCRIPTOR166"/>
      <w:bookmarkStart w:id="407" w:name="DESCRIPTOR167"/>
      <w:bookmarkStart w:id="408" w:name="DESCRIPTOR168"/>
      <w:bookmarkStart w:id="409" w:name="DESCRIPTOR169"/>
      <w:bookmarkStart w:id="410" w:name="DESCRIPTOR170"/>
      <w:bookmarkStart w:id="411" w:name="DESCRIPTOR171"/>
      <w:bookmarkStart w:id="412" w:name="DESCRIPTOR172"/>
      <w:bookmarkStart w:id="413" w:name="DESCRIPTOR173"/>
      <w:bookmarkStart w:id="414" w:name="DESCRIPTOR174"/>
      <w:bookmarkStart w:id="415" w:name="DESCRIPTOR175"/>
      <w:bookmarkStart w:id="416" w:name="DESCRIPTOR176"/>
      <w:bookmarkStart w:id="417" w:name="DESCRIPTOR177"/>
      <w:bookmarkStart w:id="418" w:name="DESCRIPTOR178"/>
      <w:bookmarkStart w:id="419" w:name="DESCRIPTOR179"/>
      <w:bookmarkStart w:id="420" w:name="DESCRIPTOR180"/>
      <w:bookmarkStart w:id="421" w:name="DESCRIPTOR181"/>
      <w:bookmarkStart w:id="422" w:name="DESCRIPTOR182"/>
      <w:bookmarkStart w:id="423" w:name="DESCRIPTOR183"/>
      <w:bookmarkStart w:id="424" w:name="DESCRIPTOR184"/>
      <w:bookmarkStart w:id="425" w:name="DESCRIPTOR185"/>
      <w:bookmarkStart w:id="426" w:name="DESCRIPTOR186"/>
      <w:bookmarkStart w:id="427" w:name="DESCRIPTOR187"/>
      <w:bookmarkStart w:id="428" w:name="DESCRIPTOR188"/>
      <w:bookmarkStart w:id="429" w:name="DESCRIPTOR189"/>
      <w:bookmarkStart w:id="430" w:name="DESCRIPTOR190"/>
      <w:bookmarkStart w:id="431" w:name="DESCRIPTOR191"/>
      <w:bookmarkStart w:id="432" w:name="DESCRIPTOR192"/>
      <w:bookmarkStart w:id="433" w:name="DESCRIPTOR193"/>
      <w:bookmarkStart w:id="434" w:name="DESCRIPTOR194"/>
      <w:bookmarkStart w:id="435" w:name="DESCRIPTOR195"/>
      <w:bookmarkStart w:id="436" w:name="DESCRIPTOR196"/>
      <w:bookmarkStart w:id="437" w:name="DESCRIPTOR197"/>
      <w:bookmarkStart w:id="438" w:name="DESCRIPTOR198"/>
      <w:bookmarkStart w:id="439" w:name="DESCRIPTOR199"/>
      <w:bookmarkStart w:id="440" w:name="DESCRIPTOR200"/>
      <w:bookmarkStart w:id="441" w:name="DESCRIPTOR201"/>
      <w:bookmarkStart w:id="442" w:name="DESCRIPTOR202"/>
      <w:bookmarkStart w:id="443" w:name="DESCRIPTOR203"/>
      <w:bookmarkStart w:id="444" w:name="DESCRIPTOR204"/>
      <w:bookmarkStart w:id="445" w:name="DESCRIPTOR205"/>
      <w:bookmarkStart w:id="446" w:name="DESCRIPTOR206"/>
      <w:bookmarkStart w:id="447" w:name="DESCRIPTOR207"/>
      <w:bookmarkStart w:id="448" w:name="DESCRIPTOR208"/>
      <w:bookmarkStart w:id="449" w:name="DESCRIPTOR209"/>
      <w:bookmarkStart w:id="450" w:name="DESCRIPTOR210"/>
      <w:bookmarkStart w:id="451" w:name="DESCRIPTOR211"/>
      <w:bookmarkStart w:id="452" w:name="DESCRIPTOR212"/>
      <w:bookmarkStart w:id="453" w:name="DESCRIPTOR213"/>
      <w:bookmarkStart w:id="454" w:name="DESCRIPTOR214"/>
      <w:bookmarkStart w:id="455" w:name="DESCRIPTOR215"/>
      <w:bookmarkStart w:id="456" w:name="DESCRIPTOR216"/>
      <w:bookmarkStart w:id="457" w:name="DESCRIPTOR217"/>
      <w:bookmarkStart w:id="458" w:name="DESCRIPTOR218"/>
      <w:bookmarkStart w:id="459" w:name="DESCRIPTOR219"/>
      <w:bookmarkStart w:id="460" w:name="DESCRIPTOR220"/>
      <w:bookmarkStart w:id="461" w:name="DESCRIPTOR221"/>
      <w:bookmarkStart w:id="462" w:name="DESCRIPTOR222"/>
      <w:bookmarkStart w:id="463" w:name="DESCRIPTOR223"/>
      <w:bookmarkStart w:id="464" w:name="DESCRIPTOR224"/>
      <w:bookmarkStart w:id="465" w:name="DESCRIPTOR225"/>
      <w:bookmarkStart w:id="466" w:name="DESCRIPTOR226"/>
      <w:bookmarkStart w:id="467" w:name="DESCRIPTOR227"/>
      <w:bookmarkStart w:id="468" w:name="DESCRIPTOR228"/>
      <w:bookmarkStart w:id="469" w:name="DESCRIPTOR229"/>
      <w:bookmarkStart w:id="470" w:name="DESCRIPTOR230"/>
      <w:bookmarkStart w:id="471" w:name="DESCRIPTOR231"/>
      <w:bookmarkStart w:id="472" w:name="DESCRIPTOR232"/>
      <w:bookmarkStart w:id="473" w:name="DESCRIPTOR233"/>
      <w:bookmarkStart w:id="474" w:name="DESCRIPTOR234"/>
      <w:bookmarkStart w:id="475" w:name="DESCRIPTOR235"/>
      <w:bookmarkStart w:id="476" w:name="DESCRIPTOR236"/>
      <w:bookmarkStart w:id="477" w:name="DESCRIPTOR237"/>
      <w:bookmarkStart w:id="478" w:name="DESCRIPTOR238"/>
      <w:bookmarkStart w:id="479" w:name="DESCRIPTOR239"/>
      <w:bookmarkStart w:id="480" w:name="DESCRIPTOR240"/>
      <w:bookmarkStart w:id="481" w:name="DESCRIPTOR241"/>
      <w:bookmarkStart w:id="482" w:name="DESCRIPTOR242"/>
      <w:bookmarkStart w:id="483" w:name="DESCRIPTOR243"/>
      <w:bookmarkStart w:id="484" w:name="DESCRIPTOR244"/>
      <w:bookmarkStart w:id="485" w:name="DESCRIPTOR245"/>
      <w:bookmarkStart w:id="486" w:name="DESCRIPTOR246"/>
      <w:bookmarkStart w:id="487" w:name="DESCRIPTOR247"/>
      <w:bookmarkStart w:id="488" w:name="DESCRIPTOR248"/>
      <w:bookmarkStart w:id="489" w:name="DESCRIPTOR249"/>
      <w:bookmarkStart w:id="490" w:name="DESCRIPTOR250"/>
      <w:bookmarkStart w:id="491" w:name="DESCRIPTOR251"/>
      <w:bookmarkStart w:id="492" w:name="DESCRIPTOR252"/>
      <w:bookmarkStart w:id="493" w:name="DESCRIPTOR253"/>
      <w:bookmarkStart w:id="494" w:name="DESCRIPTOR254"/>
      <w:bookmarkStart w:id="495" w:name="DESCRIPTOR255"/>
      <w:bookmarkStart w:id="496" w:name="DESCRIPTOR256"/>
      <w:bookmarkStart w:id="497" w:name="DESCRIPTOR257"/>
      <w:bookmarkStart w:id="498" w:name="DESCRIPTOR258"/>
      <w:bookmarkStart w:id="499" w:name="DESCRIPTOR259"/>
      <w:bookmarkStart w:id="500" w:name="DESCRIPTOR260"/>
      <w:bookmarkStart w:id="501" w:name="DESCRIPTOR261"/>
      <w:bookmarkStart w:id="502" w:name="DESCRIPTOR262"/>
      <w:bookmarkStart w:id="503" w:name="DESCRIPTOR263"/>
      <w:bookmarkStart w:id="504" w:name="DESCRIPTOR264"/>
      <w:bookmarkStart w:id="505" w:name="DESCRIPTOR265"/>
      <w:bookmarkStart w:id="506" w:name="DESCRIPTOR266"/>
      <w:bookmarkStart w:id="507" w:name="DESCRIPTOR267"/>
      <w:bookmarkStart w:id="508" w:name="DESCRIPTOR268"/>
      <w:bookmarkStart w:id="509" w:name="DESCRIPTOR269"/>
      <w:bookmarkStart w:id="510" w:name="DESCRIPTOR270"/>
      <w:bookmarkStart w:id="511" w:name="DESCRIPTOR271"/>
      <w:bookmarkStart w:id="512" w:name="DESCRIPTOR272"/>
      <w:bookmarkStart w:id="513" w:name="DESCRIPTOR273"/>
      <w:bookmarkStart w:id="514" w:name="DESCRIPTOR274"/>
      <w:bookmarkStart w:id="515" w:name="DESCRIPTOR275"/>
      <w:bookmarkStart w:id="516" w:name="DESCRIPTOR276"/>
      <w:bookmarkStart w:id="517" w:name="DESCRIPTOR277"/>
      <w:bookmarkStart w:id="518" w:name="DESCRIPTOR278"/>
      <w:bookmarkStart w:id="519" w:name="DESCRIPTOR279"/>
      <w:bookmarkStart w:id="520" w:name="DESCRIPTOR280"/>
      <w:bookmarkStart w:id="521" w:name="DESCRIPTOR281"/>
      <w:bookmarkStart w:id="522" w:name="DESCRIPTOR282"/>
      <w:bookmarkStart w:id="523" w:name="DESCRIPTOR283"/>
      <w:bookmarkStart w:id="524" w:name="DESCRIPTOR284"/>
      <w:bookmarkStart w:id="525" w:name="DESCRIPTOR285"/>
      <w:bookmarkStart w:id="526" w:name="DESCRIPTOR286"/>
      <w:bookmarkStart w:id="527" w:name="DESCRIPTOR287"/>
      <w:bookmarkStart w:id="528" w:name="DESCRIPTOR288"/>
      <w:bookmarkStart w:id="529" w:name="DESCRIPTOR289"/>
      <w:bookmarkStart w:id="530" w:name="DESCRIPTOR290"/>
      <w:bookmarkStart w:id="531" w:name="DESCRIPTOR291"/>
      <w:bookmarkStart w:id="532" w:name="DESCRIPTOR292"/>
      <w:bookmarkStart w:id="533" w:name="DESCRIPTOR293"/>
      <w:bookmarkStart w:id="534" w:name="DESCRIPTOR294"/>
      <w:bookmarkStart w:id="535" w:name="DESCRIPTOR295"/>
      <w:bookmarkStart w:id="536" w:name="DESCRIPTOR296"/>
      <w:bookmarkStart w:id="537" w:name="DESCRIPTOR297"/>
      <w:bookmarkStart w:id="538" w:name="DESCRIPTOR298"/>
      <w:bookmarkStart w:id="539" w:name="DESCRIPTOR299"/>
      <w:bookmarkStart w:id="540" w:name="DESCRIPTOR300"/>
      <w:bookmarkStart w:id="541" w:name="DESCRIPTOR301"/>
      <w:bookmarkStart w:id="542" w:name="DESCRIPTOR302"/>
      <w:bookmarkStart w:id="543" w:name="DESCRIPTOR303"/>
      <w:bookmarkStart w:id="544" w:name="DESCRIPTOR304"/>
      <w:bookmarkStart w:id="545" w:name="DESCRIPTOR305"/>
      <w:bookmarkStart w:id="546" w:name="DESCRIPTOR306"/>
      <w:bookmarkStart w:id="547" w:name="DESCRIPTOR307"/>
      <w:bookmarkStart w:id="548" w:name="DESCRIPTOR308"/>
      <w:bookmarkStart w:id="549" w:name="DESCRIPTOR309"/>
      <w:bookmarkStart w:id="550" w:name="DESCRIPTOR310"/>
      <w:bookmarkStart w:id="551" w:name="DESCRIPTOR311"/>
      <w:bookmarkStart w:id="552" w:name="DESCRIPTOR312"/>
      <w:bookmarkStart w:id="553" w:name="DESCRIPTOR313"/>
      <w:bookmarkStart w:id="554" w:name="DESCRIPTOR314"/>
      <w:bookmarkStart w:id="555" w:name="DESCRIPTOR315"/>
      <w:bookmarkStart w:id="556" w:name="DESCRIPTOR316"/>
      <w:bookmarkStart w:id="557" w:name="DESCRIPTOR317"/>
      <w:bookmarkStart w:id="558" w:name="DESCRIPTOR318"/>
      <w:bookmarkStart w:id="559" w:name="DESCRIPTOR319"/>
      <w:bookmarkStart w:id="560" w:name="DESCRIPTOR320"/>
      <w:bookmarkStart w:id="561" w:name="DESCRIPTOR321"/>
      <w:bookmarkStart w:id="562" w:name="DESCRIPTOR322"/>
      <w:bookmarkStart w:id="563" w:name="DESCRIPTOR323"/>
      <w:bookmarkStart w:id="564" w:name="DESCRIPTOR324"/>
      <w:bookmarkStart w:id="565" w:name="DESCRIPTOR325"/>
      <w:bookmarkStart w:id="566" w:name="DESCRIPTOR326"/>
      <w:bookmarkStart w:id="567" w:name="DESCRIPTOR327"/>
      <w:bookmarkStart w:id="568" w:name="DESCRIPTOR328"/>
      <w:bookmarkStart w:id="569" w:name="DESCRIPTOR329"/>
      <w:bookmarkStart w:id="570" w:name="DESCRIPTOR330"/>
      <w:bookmarkStart w:id="571" w:name="DESCRIPTOR331"/>
      <w:bookmarkStart w:id="572" w:name="DESCRIPTOR332"/>
      <w:bookmarkStart w:id="573" w:name="DESCRIPTOR333"/>
      <w:bookmarkStart w:id="574" w:name="DESCRIPTOR334"/>
      <w:bookmarkStart w:id="575" w:name="DESCRIPTOR335"/>
      <w:bookmarkStart w:id="576" w:name="DESCRIPTOR336"/>
      <w:bookmarkStart w:id="577" w:name="DESCRIPTOR337"/>
      <w:bookmarkStart w:id="578" w:name="DESCRIPTOR338"/>
      <w:bookmarkStart w:id="579" w:name="DESCRIPTOR339"/>
      <w:bookmarkStart w:id="580" w:name="DESCRIPTOR340"/>
      <w:bookmarkStart w:id="581" w:name="DESCRIPTOR341"/>
      <w:bookmarkStart w:id="582" w:name="DESCRIPTOR342"/>
      <w:bookmarkStart w:id="583" w:name="DESCRIPTOR343"/>
      <w:bookmarkStart w:id="584" w:name="DESCRIPTOR344"/>
      <w:bookmarkStart w:id="585" w:name="DESCRIPTOR345"/>
      <w:bookmarkStart w:id="586" w:name="DESCRIPTOR346"/>
      <w:bookmarkStart w:id="587" w:name="DESCRIPTOR347"/>
      <w:bookmarkStart w:id="588" w:name="DESCRIPTOR348"/>
      <w:bookmarkStart w:id="589" w:name="DESCRIPTOR349"/>
      <w:bookmarkStart w:id="590" w:name="DESCRIPTOR350"/>
      <w:bookmarkStart w:id="591" w:name="DESCRIPTOR351"/>
      <w:bookmarkStart w:id="592" w:name="DESCRIPTOR352"/>
      <w:bookmarkStart w:id="593" w:name="DESCRIPTOR353"/>
      <w:bookmarkStart w:id="594" w:name="DESCRIPTOR354"/>
      <w:bookmarkStart w:id="595" w:name="DESCRIPTOR355"/>
      <w:bookmarkStart w:id="596" w:name="DESCRIPTOR356"/>
      <w:bookmarkStart w:id="597" w:name="DESCRIPTOR357"/>
      <w:bookmarkStart w:id="598" w:name="DESCRIPTOR358"/>
      <w:bookmarkStart w:id="599" w:name="DESCRIPTOR359"/>
      <w:bookmarkStart w:id="600" w:name="DESCRIPTOR360"/>
      <w:bookmarkStart w:id="601" w:name="DESCRIPTOR361"/>
      <w:bookmarkStart w:id="602" w:name="DESCRIPTOR362"/>
      <w:bookmarkStart w:id="603" w:name="DESCRIPTOR363"/>
      <w:bookmarkStart w:id="604" w:name="DESCRIPTOR364"/>
      <w:bookmarkStart w:id="605" w:name="DESCRIPTOR365"/>
      <w:bookmarkStart w:id="606" w:name="DESCRIPTOR366"/>
      <w:bookmarkStart w:id="607" w:name="DESCRIPTOR367"/>
      <w:bookmarkStart w:id="608" w:name="DESCRIPTOR368"/>
      <w:bookmarkStart w:id="609" w:name="DESCRIPTOR369"/>
      <w:bookmarkStart w:id="610" w:name="DESCRIPTOR370"/>
      <w:bookmarkStart w:id="611" w:name="DESCRIPTOR371"/>
      <w:bookmarkStart w:id="612" w:name="DESCRIPTOR372"/>
      <w:bookmarkStart w:id="613" w:name="DESCRIPTOR373"/>
      <w:bookmarkStart w:id="614" w:name="DESCRIPTOR374"/>
      <w:bookmarkStart w:id="615" w:name="DESCRIPTOR375"/>
      <w:bookmarkStart w:id="616" w:name="DESCRIPTOR376"/>
      <w:bookmarkStart w:id="617" w:name="DESCRIPTOR377"/>
      <w:bookmarkStart w:id="618" w:name="DESCRIPTOR378"/>
      <w:bookmarkStart w:id="619" w:name="DESCRIPTOR379"/>
      <w:bookmarkStart w:id="620" w:name="DESCRIPTOR380"/>
      <w:bookmarkStart w:id="621" w:name="DESCRIPTOR381"/>
      <w:bookmarkStart w:id="622" w:name="DESCRIPTOR382"/>
      <w:bookmarkStart w:id="623" w:name="DESCRIPTOR383"/>
      <w:bookmarkStart w:id="624" w:name="DESCRIPTOR384"/>
      <w:bookmarkStart w:id="625" w:name="DESCRIPTOR385"/>
      <w:bookmarkStart w:id="626" w:name="DESCRIPTOR386"/>
      <w:bookmarkStart w:id="627" w:name="DESCRIPTOR387"/>
      <w:bookmarkStart w:id="628" w:name="DESCRIPTOR388"/>
      <w:bookmarkStart w:id="629" w:name="DESCRIPTOR389"/>
      <w:bookmarkStart w:id="630" w:name="DESCRIPTOR390"/>
      <w:bookmarkStart w:id="631" w:name="DESCRIPTOR391"/>
      <w:bookmarkStart w:id="632" w:name="DESCRIPTOR392"/>
      <w:bookmarkStart w:id="633" w:name="DESCRIPTOR393"/>
      <w:bookmarkStart w:id="634" w:name="DESCRIPTOR394"/>
      <w:bookmarkStart w:id="635" w:name="DESCRIPTOR395"/>
      <w:bookmarkStart w:id="636" w:name="DESCRIPTOR396"/>
      <w:bookmarkStart w:id="637" w:name="DESCRIPTOR397"/>
      <w:bookmarkStart w:id="638" w:name="DESCRIPTOR398"/>
      <w:bookmarkStart w:id="639" w:name="DESCRIPTOR399"/>
      <w:bookmarkStart w:id="640" w:name="DESCRIPTOR400"/>
      <w:bookmarkStart w:id="641" w:name="DESCRIPTOR401"/>
      <w:bookmarkStart w:id="642" w:name="DESCRIPTOR402"/>
      <w:bookmarkStart w:id="643" w:name="DESCRIPTOR403"/>
      <w:bookmarkStart w:id="644" w:name="DESCRIPTOR404"/>
      <w:bookmarkStart w:id="645" w:name="DESCRIPTOR405"/>
      <w:bookmarkStart w:id="646" w:name="DESCRIPTOR406"/>
      <w:bookmarkStart w:id="647" w:name="DESCRIPTOR407"/>
      <w:bookmarkStart w:id="648" w:name="DESCRIPTOR408"/>
      <w:bookmarkStart w:id="649" w:name="DESCRIPTOR409"/>
      <w:bookmarkStart w:id="650" w:name="DESCRIPTOR410"/>
      <w:bookmarkStart w:id="651" w:name="DESCRIPTOR411"/>
      <w:bookmarkStart w:id="652" w:name="DESCRIPTOR412"/>
      <w:bookmarkStart w:id="653" w:name="DESCRIPTOR413"/>
      <w:bookmarkStart w:id="654" w:name="DESCRIPTOR414"/>
      <w:bookmarkStart w:id="655" w:name="DESCRIPTOR415"/>
      <w:bookmarkStart w:id="656" w:name="DESCRIPTOR416"/>
      <w:bookmarkStart w:id="657" w:name="DESCRIPTOR417"/>
      <w:bookmarkStart w:id="658" w:name="DESCRIPTOR418"/>
      <w:bookmarkStart w:id="659" w:name="DESCRIPTOR419"/>
      <w:bookmarkStart w:id="660" w:name="DESCRIPTOR420"/>
      <w:bookmarkStart w:id="661" w:name="DESCRIPTOR421"/>
      <w:bookmarkStart w:id="662" w:name="DESCRIPTOR422"/>
      <w:bookmarkStart w:id="663" w:name="DESCRIPTOR423"/>
      <w:bookmarkStart w:id="664" w:name="DESCRIPTOR424"/>
      <w:bookmarkStart w:id="665" w:name="DESCRIPTOR425"/>
      <w:bookmarkStart w:id="666" w:name="DESCRIPTOR426"/>
      <w:bookmarkStart w:id="667" w:name="DESCRIPTOR427"/>
      <w:bookmarkStart w:id="668" w:name="DESCRIPTOR428"/>
      <w:bookmarkStart w:id="669" w:name="DESCRIPTOR429"/>
      <w:bookmarkStart w:id="670" w:name="DESCRIPTOR430"/>
      <w:bookmarkStart w:id="671" w:name="DESCRIPTOR431"/>
      <w:bookmarkStart w:id="672" w:name="DESCRIPTOR432"/>
      <w:bookmarkStart w:id="673" w:name="DESCRIPTOR433"/>
      <w:bookmarkStart w:id="674" w:name="DESCRIPTOR434"/>
      <w:bookmarkStart w:id="675" w:name="DESCRIPTOR435"/>
      <w:bookmarkStart w:id="676" w:name="DESCRIPTOR436"/>
      <w:bookmarkStart w:id="677" w:name="DESCRIPTOR437"/>
      <w:bookmarkStart w:id="678" w:name="DESCRIPTOR438"/>
      <w:bookmarkStart w:id="679" w:name="DESCRIPTOR439"/>
      <w:bookmarkStart w:id="680" w:name="DESCRIPTOR440"/>
      <w:bookmarkStart w:id="681" w:name="DESCRIPTOR441"/>
      <w:bookmarkStart w:id="682" w:name="DESCRIPTOR442"/>
      <w:bookmarkStart w:id="683" w:name="DESCRIPTOR443"/>
      <w:bookmarkStart w:id="684" w:name="DESCRIPTOR444"/>
      <w:bookmarkStart w:id="685" w:name="DESCRIPTOR445"/>
      <w:bookmarkStart w:id="686" w:name="DESCRIPTOR446"/>
      <w:bookmarkStart w:id="687" w:name="DESCRIPTOR447"/>
      <w:bookmarkStart w:id="688" w:name="DESCRIPTOR448"/>
      <w:bookmarkStart w:id="689" w:name="DESCRIPTOR449"/>
      <w:bookmarkStart w:id="690" w:name="DESCRIPTOR450"/>
      <w:bookmarkStart w:id="691" w:name="DESCRIPTOR451"/>
      <w:bookmarkStart w:id="692" w:name="DESCRIPTOR452"/>
      <w:bookmarkStart w:id="693" w:name="DESCRIPTOR453"/>
      <w:bookmarkStart w:id="694" w:name="DESCRIPTOR454"/>
      <w:bookmarkStart w:id="695" w:name="DESCRIPTOR455"/>
      <w:bookmarkStart w:id="696" w:name="DESCRIPTOR456"/>
      <w:bookmarkStart w:id="697" w:name="DESCRIPTOR457"/>
      <w:bookmarkStart w:id="698" w:name="DESCRIPTOR458"/>
      <w:bookmarkStart w:id="699" w:name="DESCRIPTOR459"/>
      <w:bookmarkStart w:id="700" w:name="DESCRIPTOR460"/>
      <w:bookmarkStart w:id="701" w:name="DESCRIPTOR461"/>
      <w:bookmarkStart w:id="702" w:name="DESCRIPTOR462"/>
      <w:bookmarkStart w:id="703" w:name="DESCRIPTOR463"/>
      <w:bookmarkStart w:id="704" w:name="DESCRIPTOR464"/>
      <w:bookmarkStart w:id="705" w:name="DESCRIPTOR465"/>
      <w:bookmarkStart w:id="706" w:name="DESCRIPTOR466"/>
      <w:bookmarkStart w:id="707" w:name="DESCRIPTOR467"/>
      <w:bookmarkStart w:id="708" w:name="DESCRIPTOR468"/>
      <w:bookmarkStart w:id="709" w:name="DESCRIPTOR469"/>
      <w:bookmarkStart w:id="710" w:name="DESCRIPTOR470"/>
      <w:bookmarkStart w:id="711" w:name="DESCRIPTOR471"/>
      <w:bookmarkStart w:id="712" w:name="DESCRIPTOR472"/>
      <w:bookmarkStart w:id="713" w:name="DESCRIPTOR473"/>
      <w:bookmarkStart w:id="714" w:name="DESCRIPTOR474"/>
      <w:bookmarkStart w:id="715" w:name="DESCRIPTOR475"/>
      <w:bookmarkStart w:id="716" w:name="DESCRIPTOR476"/>
      <w:bookmarkStart w:id="717" w:name="DESCRIPTOR477"/>
      <w:bookmarkStart w:id="718" w:name="DESCRIPTOR478"/>
      <w:bookmarkStart w:id="719" w:name="DESCRIPTOR479"/>
      <w:bookmarkStart w:id="720" w:name="DESCRIPTOR480"/>
      <w:bookmarkStart w:id="721" w:name="INDICE5ALFABETICO"/>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p w:rsidR="00CA5193" w:rsidRDefault="00CA5193" w:rsidP="00CA5193">
      <w:pPr>
        <w:pStyle w:val="TextoNormal"/>
      </w:pPr>
    </w:p>
    <w:p w:rsidR="00CA5193" w:rsidRDefault="00CA5193" w:rsidP="00CA5193">
      <w:pPr>
        <w:pStyle w:val="TextoNormal"/>
      </w:pPr>
    </w:p>
    <w:p w:rsidR="00CA5193" w:rsidRDefault="00CA5193" w:rsidP="00CA5193">
      <w:pPr>
        <w:pStyle w:val="TextoNormal"/>
      </w:pPr>
    </w:p>
    <w:p w:rsidR="00CA5193" w:rsidRDefault="00CA5193" w:rsidP="00CA5193">
      <w:pPr>
        <w:pStyle w:val="Ttulondice"/>
      </w:pPr>
      <w:r>
        <w:t>7. ÍNDICE ANALÍTICO</w:t>
      </w:r>
    </w:p>
    <w:p w:rsidR="00CA5193" w:rsidRDefault="00CA5193" w:rsidP="00CA5193">
      <w:pPr>
        <w:pStyle w:val="TextoNormal"/>
      </w:pPr>
    </w:p>
    <w:p w:rsidR="00CA5193" w:rsidRDefault="00CA5193" w:rsidP="00CA5193">
      <w:pPr>
        <w:pStyle w:val="Ttulondice"/>
      </w:pPr>
    </w:p>
    <w:p w:rsidR="00CA5193" w:rsidRDefault="00CA5193" w:rsidP="00CA5193">
      <w:pPr>
        <w:pStyle w:val="Ttulondice"/>
      </w:pPr>
    </w:p>
    <w:p w:rsidR="00CA5193" w:rsidRDefault="00CA5193" w:rsidP="00CA5193">
      <w:pPr>
        <w:pStyle w:val="Ttulondice"/>
      </w:pPr>
    </w:p>
    <w:p w:rsidR="00CA5193" w:rsidRDefault="00CA5193" w:rsidP="00CA5193">
      <w:pPr>
        <w:pStyle w:val="Ttulondice"/>
      </w:pPr>
    </w:p>
    <w:p w:rsidR="00CA5193" w:rsidRDefault="00CA5193" w:rsidP="00CA5193">
      <w:pPr>
        <w:pStyle w:val="Ttulondice"/>
      </w:pPr>
    </w:p>
    <w:p w:rsidR="00CA5193" w:rsidRDefault="00CA5193" w:rsidP="00CA5193">
      <w:pPr>
        <w:pStyle w:val="Ttulondice"/>
      </w:pPr>
    </w:p>
    <w:p w:rsidR="00CA5193" w:rsidRDefault="00CA5193" w:rsidP="00CA5193">
      <w:pPr>
        <w:pStyle w:val="Ttulondice"/>
      </w:pPr>
    </w:p>
    <w:p w:rsidR="00CA5193" w:rsidRDefault="00CA5193" w:rsidP="00CA5193">
      <w:pPr>
        <w:pStyle w:val="TextoNormalNegritaCentrado"/>
      </w:pPr>
      <w:r>
        <w:t>A</w:t>
      </w:r>
    </w:p>
    <w:p w:rsidR="00CA5193" w:rsidRDefault="00CA5193" w:rsidP="00CA5193">
      <w:pPr>
        <w:pStyle w:val="TextoNormalNegritaCentrado"/>
      </w:pPr>
    </w:p>
    <w:p w:rsidR="00CA5193" w:rsidRDefault="00CA5193" w:rsidP="00CA5193">
      <w:pPr>
        <w:pStyle w:val="TextoNormalNegritaCentrado"/>
      </w:pPr>
    </w:p>
    <w:p w:rsidR="00CA5193" w:rsidRDefault="00CA5193" w:rsidP="00CA5193">
      <w:pPr>
        <w:pStyle w:val="TextoNormalNegritaCentrado"/>
      </w:pPr>
    </w:p>
    <w:p w:rsidR="00CA5193" w:rsidRPr="00CA5193" w:rsidRDefault="00CA5193" w:rsidP="00CA5193">
      <w:pPr>
        <w:pStyle w:val="TextoNormalSangraFrancesa"/>
        <w:rPr>
          <w:rStyle w:val="TextoNormalCaracter"/>
        </w:rPr>
      </w:pPr>
      <w:bookmarkStart w:id="722" w:name="DESCRIPTORALFABETICO235"/>
      <w:r w:rsidRPr="00CA5193">
        <w:rPr>
          <w:rStyle w:val="TextoNormalNegritaCaracter"/>
        </w:rPr>
        <w:t>Abastecimiento de agua</w:t>
      </w:r>
      <w:bookmarkEnd w:id="722"/>
      <w:r w:rsidRPr="00CA5193">
        <w:rPr>
          <w:rStyle w:val="TextoNormalCaracter"/>
        </w:rPr>
        <w:t xml:space="preserve">, Auto </w:t>
      </w:r>
      <w:hyperlink w:anchor="AUTO_2007_355" w:history="1">
        <w:r w:rsidRPr="00CA5193">
          <w:rPr>
            <w:rStyle w:val="TextoNormalCaracter"/>
          </w:rPr>
          <w:t>355/2007</w:t>
        </w:r>
      </w:hyperlink>
      <w:r w:rsidRPr="00CA5193">
        <w:rPr>
          <w:rStyle w:val="TextoNormalCaracter"/>
        </w:rPr>
        <w:t>.</w:t>
      </w:r>
    </w:p>
    <w:p w:rsidR="00CA5193" w:rsidRPr="00CA5193" w:rsidRDefault="00CA5193" w:rsidP="00CA5193">
      <w:pPr>
        <w:pStyle w:val="TextoNormalSangraFrancesa"/>
        <w:rPr>
          <w:rStyle w:val="TextoNormalCaracter"/>
        </w:rPr>
      </w:pPr>
      <w:bookmarkStart w:id="723" w:name="DESCRIPTORALFABETICO408"/>
      <w:r w:rsidRPr="00CA5193">
        <w:rPr>
          <w:rStyle w:val="TextoNormalNegritaCaracter"/>
        </w:rPr>
        <w:t>Abogados</w:t>
      </w:r>
      <w:bookmarkEnd w:id="723"/>
      <w:r w:rsidRPr="00CA5193">
        <w:rPr>
          <w:rStyle w:val="TextoNormalCaracter"/>
        </w:rPr>
        <w:t xml:space="preserve">, Sentencia </w:t>
      </w:r>
      <w:hyperlink w:anchor="SENTENCIA_2007_145" w:history="1">
        <w:r w:rsidRPr="00CA5193">
          <w:rPr>
            <w:rStyle w:val="TextoNormalCaracter"/>
          </w:rPr>
          <w:t>145/2007</w:t>
        </w:r>
      </w:hyperlink>
      <w:r w:rsidRPr="00CA5193">
        <w:rPr>
          <w:rStyle w:val="TextoNormalCaracter"/>
        </w:rPr>
        <w:t>, f. 4.</w:t>
      </w:r>
    </w:p>
    <w:p w:rsidR="00CA5193" w:rsidRPr="00CA5193" w:rsidRDefault="00CA5193" w:rsidP="00CA5193">
      <w:pPr>
        <w:pStyle w:val="TextoNormalSangraFrancesa"/>
        <w:rPr>
          <w:rStyle w:val="TextoNormalCaracter"/>
        </w:rPr>
      </w:pPr>
      <w:bookmarkStart w:id="724" w:name="DESCRIPTORALFABETICO132"/>
      <w:r w:rsidRPr="00CA5193">
        <w:rPr>
          <w:rStyle w:val="TextoNormalNegritaCaracter"/>
        </w:rPr>
        <w:t>Abstención de magistrados del Tribunal Constitucional</w:t>
      </w:r>
      <w:bookmarkEnd w:id="724"/>
      <w:r w:rsidRPr="00CA5193">
        <w:rPr>
          <w:rStyle w:val="TextoNormalCaracter"/>
        </w:rPr>
        <w:t xml:space="preserve">, </w:t>
      </w:r>
    </w:p>
    <w:p w:rsidR="00CA5193" w:rsidRPr="00CA5193" w:rsidRDefault="00CA5193" w:rsidP="00CA5193">
      <w:pPr>
        <w:pStyle w:val="TextoNormalSangraFrancesa"/>
        <w:rPr>
          <w:rStyle w:val="TextoNormalCaracter"/>
        </w:rPr>
      </w:pPr>
      <w:r w:rsidRPr="00CA5193">
        <w:rPr>
          <w:rStyle w:val="TextoNormalCursivaCaracter"/>
        </w:rPr>
        <w:t xml:space="preserve">    Acepta, </w:t>
      </w:r>
      <w:r w:rsidRPr="00CA5193">
        <w:rPr>
          <w:rStyle w:val="TextoNormalCaracter"/>
        </w:rPr>
        <w:t xml:space="preserve">Autos </w:t>
      </w:r>
      <w:hyperlink w:anchor="AUTO_2007_334" w:history="1">
        <w:r w:rsidRPr="00CA5193">
          <w:rPr>
            <w:rStyle w:val="TextoNormalCaracter"/>
          </w:rPr>
          <w:t>334/2007</w:t>
        </w:r>
      </w:hyperlink>
      <w:r w:rsidRPr="00CA5193">
        <w:rPr>
          <w:rStyle w:val="TextoNormalCaracter"/>
        </w:rPr>
        <w:t xml:space="preserve">; </w:t>
      </w:r>
      <w:hyperlink w:anchor="AUTO_2007_350" w:history="1">
        <w:r w:rsidRPr="00CA5193">
          <w:rPr>
            <w:rStyle w:val="TextoNormalCaracter"/>
          </w:rPr>
          <w:t>350/2007</w:t>
        </w:r>
      </w:hyperlink>
      <w:r w:rsidRPr="00CA5193">
        <w:rPr>
          <w:rStyle w:val="TextoNormalCaracter"/>
        </w:rPr>
        <w:t>.</w:t>
      </w:r>
    </w:p>
    <w:p w:rsidR="00CA5193" w:rsidRPr="00CA5193" w:rsidRDefault="00CA5193" w:rsidP="00CA5193">
      <w:pPr>
        <w:pStyle w:val="TextoNormalSangraFrancesa"/>
        <w:rPr>
          <w:rStyle w:val="TextoNormalCaracter"/>
        </w:rPr>
      </w:pPr>
      <w:r w:rsidRPr="00CA5193">
        <w:rPr>
          <w:rStyle w:val="TextoNormalCursivaCaracter"/>
        </w:rPr>
        <w:t xml:space="preserve">    Deniega, </w:t>
      </w:r>
      <w:r w:rsidRPr="00CA5193">
        <w:rPr>
          <w:rStyle w:val="TextoNormalCaracter"/>
        </w:rPr>
        <w:t xml:space="preserve">Autos </w:t>
      </w:r>
      <w:hyperlink w:anchor="AUTO_2007_242" w:history="1">
        <w:r w:rsidRPr="00CA5193">
          <w:rPr>
            <w:rStyle w:val="TextoNormalCaracter"/>
          </w:rPr>
          <w:t>242/2007</w:t>
        </w:r>
      </w:hyperlink>
      <w:r w:rsidRPr="00CA5193">
        <w:rPr>
          <w:rStyle w:val="TextoNormalCaracter"/>
        </w:rPr>
        <w:t xml:space="preserve">; </w:t>
      </w:r>
      <w:hyperlink w:anchor="AUTO_2007_289" w:history="1">
        <w:r w:rsidRPr="00CA5193">
          <w:rPr>
            <w:rStyle w:val="TextoNormalCaracter"/>
          </w:rPr>
          <w:t>289/2007</w:t>
        </w:r>
      </w:hyperlink>
      <w:r w:rsidRPr="00CA5193">
        <w:rPr>
          <w:rStyle w:val="TextoNormalCaracter"/>
        </w:rPr>
        <w:t>.</w:t>
      </w:r>
    </w:p>
    <w:p w:rsidR="00CA5193" w:rsidRPr="00CA5193" w:rsidRDefault="00CA5193" w:rsidP="00CA5193">
      <w:pPr>
        <w:pStyle w:val="TextoNormalSangraFrancesa"/>
        <w:rPr>
          <w:rStyle w:val="TextoNormalCaracter"/>
        </w:rPr>
      </w:pPr>
      <w:bookmarkStart w:id="725" w:name="DESCRIPTORALFABETICO254"/>
      <w:r w:rsidRPr="00CA5193">
        <w:rPr>
          <w:rStyle w:val="TextoNormalNegritaCaracter"/>
        </w:rPr>
        <w:t>Acceso a la función pública</w:t>
      </w:r>
      <w:bookmarkEnd w:id="725"/>
      <w:r w:rsidRPr="00CA5193">
        <w:rPr>
          <w:rStyle w:val="TextoNormalCaracter"/>
        </w:rPr>
        <w:t xml:space="preserve">, Sentencia </w:t>
      </w:r>
      <w:hyperlink w:anchor="SENTENCIA_2007_129" w:history="1">
        <w:r w:rsidRPr="00CA5193">
          <w:rPr>
            <w:rStyle w:val="TextoNormalCaracter"/>
          </w:rPr>
          <w:t>129/2007</w:t>
        </w:r>
      </w:hyperlink>
      <w:r w:rsidRPr="00CA5193">
        <w:rPr>
          <w:rStyle w:val="TextoNormalCaracter"/>
        </w:rPr>
        <w:t>, f. 2.</w:t>
      </w:r>
    </w:p>
    <w:p w:rsidR="00CA5193" w:rsidRPr="00CA5193" w:rsidRDefault="00CA5193" w:rsidP="00CA5193">
      <w:pPr>
        <w:pStyle w:val="TextoNormalSangraFrancesa"/>
        <w:rPr>
          <w:rStyle w:val="TextoNormalCaracter"/>
        </w:rPr>
      </w:pPr>
      <w:bookmarkStart w:id="726" w:name="DESCRIPTORALFABETICO49"/>
      <w:r w:rsidRPr="00CA5193">
        <w:rPr>
          <w:rStyle w:val="TextoNormalNegritaCaracter"/>
        </w:rPr>
        <w:t>Acceso a la justicia</w:t>
      </w:r>
      <w:bookmarkEnd w:id="726"/>
      <w:r w:rsidRPr="00CA5193">
        <w:rPr>
          <w:rStyle w:val="TextoNormalCaracter"/>
        </w:rPr>
        <w:t xml:space="preserve">, Sentencias </w:t>
      </w:r>
      <w:hyperlink w:anchor="SENTENCIA_2007_119" w:history="1">
        <w:r w:rsidRPr="00CA5193">
          <w:rPr>
            <w:rStyle w:val="TextoNormalCaracter"/>
          </w:rPr>
          <w:t>119/2007</w:t>
        </w:r>
      </w:hyperlink>
      <w:r w:rsidRPr="00CA5193">
        <w:rPr>
          <w:rStyle w:val="TextoNormalCaracter"/>
        </w:rPr>
        <w:t xml:space="preserve">, ff. 1, 3 a 7; </w:t>
      </w:r>
      <w:hyperlink w:anchor="SENTENCIA_2007_130" w:history="1">
        <w:r w:rsidRPr="00CA5193">
          <w:rPr>
            <w:rStyle w:val="TextoNormalCaracter"/>
          </w:rPr>
          <w:t>130/2007</w:t>
        </w:r>
      </w:hyperlink>
      <w:r w:rsidRPr="00CA5193">
        <w:rPr>
          <w:rStyle w:val="TextoNormalCaracter"/>
        </w:rPr>
        <w:t xml:space="preserve">, f. 4; </w:t>
      </w:r>
      <w:hyperlink w:anchor="SENTENCIA_2007_131" w:history="1">
        <w:r w:rsidRPr="00CA5193">
          <w:rPr>
            <w:rStyle w:val="TextoNormalCaracter"/>
          </w:rPr>
          <w:t>131/2007</w:t>
        </w:r>
      </w:hyperlink>
      <w:r w:rsidRPr="00CA5193">
        <w:rPr>
          <w:rStyle w:val="TextoNormalCaracter"/>
        </w:rPr>
        <w:t xml:space="preserve">, f. 2; </w:t>
      </w:r>
      <w:hyperlink w:anchor="SENTENCIA_2007_133" w:history="1">
        <w:r w:rsidRPr="00CA5193">
          <w:rPr>
            <w:rStyle w:val="TextoNormalCaracter"/>
          </w:rPr>
          <w:t>133/2007</w:t>
        </w:r>
      </w:hyperlink>
      <w:r w:rsidRPr="00CA5193">
        <w:rPr>
          <w:rStyle w:val="TextoNormalCaracter"/>
        </w:rPr>
        <w:t xml:space="preserve">, f. 2; </w:t>
      </w:r>
      <w:hyperlink w:anchor="SENTENCIA_2007_148" w:history="1">
        <w:r w:rsidRPr="00CA5193">
          <w:rPr>
            <w:rStyle w:val="TextoNormalCaracter"/>
          </w:rPr>
          <w:t>148/2007</w:t>
        </w:r>
      </w:hyperlink>
      <w:r w:rsidRPr="00CA5193">
        <w:rPr>
          <w:rStyle w:val="TextoNormalCaracter"/>
        </w:rPr>
        <w:t xml:space="preserve">, ff. 2, 3; </w:t>
      </w:r>
      <w:hyperlink w:anchor="SENTENCIA_2007_159" w:history="1">
        <w:r w:rsidRPr="00CA5193">
          <w:rPr>
            <w:rStyle w:val="TextoNormalCaracter"/>
          </w:rPr>
          <w:t>159/2007</w:t>
        </w:r>
      </w:hyperlink>
      <w:r w:rsidRPr="00CA5193">
        <w:rPr>
          <w:rStyle w:val="TextoNormalCaracter"/>
        </w:rPr>
        <w:t xml:space="preserve">, ff. 2, 3; </w:t>
      </w:r>
      <w:hyperlink w:anchor="SENTENCIA_2007_172" w:history="1">
        <w:r w:rsidRPr="00CA5193">
          <w:rPr>
            <w:rStyle w:val="TextoNormalCaracter"/>
          </w:rPr>
          <w:t>172/2007</w:t>
        </w:r>
      </w:hyperlink>
      <w:r w:rsidRPr="00CA5193">
        <w:rPr>
          <w:rStyle w:val="TextoNormalCaracter"/>
        </w:rPr>
        <w:t xml:space="preserve">, ff. 2, 4; </w:t>
      </w:r>
      <w:hyperlink w:anchor="SENTENCIA_2007_173" w:history="1">
        <w:r w:rsidRPr="00CA5193">
          <w:rPr>
            <w:rStyle w:val="TextoNormalCaracter"/>
          </w:rPr>
          <w:t>173/2007</w:t>
        </w:r>
      </w:hyperlink>
      <w:r w:rsidRPr="00CA5193">
        <w:rPr>
          <w:rStyle w:val="TextoNormalCaracter"/>
        </w:rPr>
        <w:t>, f. 4.</w:t>
      </w:r>
    </w:p>
    <w:p w:rsidR="00CA5193" w:rsidRPr="00CA5193" w:rsidRDefault="00CA5193" w:rsidP="00CA5193">
      <w:pPr>
        <w:pStyle w:val="TextoNormalSangraFrancesa"/>
        <w:rPr>
          <w:rStyle w:val="TextoNormalCaracter"/>
        </w:rPr>
      </w:pPr>
      <w:r w:rsidRPr="00CA5193">
        <w:rPr>
          <w:rStyle w:val="TextoNormalCursivaCaracter"/>
        </w:rPr>
        <w:t xml:space="preserve">    Respetado, </w:t>
      </w:r>
      <w:r w:rsidRPr="00CA5193">
        <w:rPr>
          <w:rStyle w:val="TextoNormalCaracter"/>
        </w:rPr>
        <w:t xml:space="preserve">Sentencias </w:t>
      </w:r>
      <w:hyperlink w:anchor="SENTENCIA_2007_131" w:history="1">
        <w:r w:rsidRPr="00CA5193">
          <w:rPr>
            <w:rStyle w:val="TextoNormalCaracter"/>
          </w:rPr>
          <w:t>131/2007</w:t>
        </w:r>
      </w:hyperlink>
      <w:r w:rsidRPr="00CA5193">
        <w:rPr>
          <w:rStyle w:val="TextoNormalCaracter"/>
        </w:rPr>
        <w:t xml:space="preserve">, f. 2; </w:t>
      </w:r>
      <w:hyperlink w:anchor="SENTENCIA_2007_173" w:history="1">
        <w:r w:rsidRPr="00CA5193">
          <w:rPr>
            <w:rStyle w:val="TextoNormalCaracter"/>
          </w:rPr>
          <w:t>173/2007</w:t>
        </w:r>
      </w:hyperlink>
      <w:r w:rsidRPr="00CA5193">
        <w:rPr>
          <w:rStyle w:val="TextoNormalCaracter"/>
        </w:rPr>
        <w:t>, f. 4.</w:t>
      </w:r>
    </w:p>
    <w:p w:rsidR="00CA5193" w:rsidRPr="00CA5193" w:rsidRDefault="00CA5193" w:rsidP="00CA5193">
      <w:pPr>
        <w:pStyle w:val="TextoNormalSangraFrancesa"/>
        <w:rPr>
          <w:rStyle w:val="TextoNormalCaracter"/>
        </w:rPr>
      </w:pPr>
      <w:r w:rsidRPr="00CA5193">
        <w:rPr>
          <w:rStyle w:val="TextoNormalCursivaCaracter"/>
        </w:rPr>
        <w:t xml:space="preserve">    Vulnerado, </w:t>
      </w:r>
      <w:r w:rsidRPr="00CA5193">
        <w:rPr>
          <w:rStyle w:val="TextoNormalCaracter"/>
        </w:rPr>
        <w:t xml:space="preserve">Sentencias </w:t>
      </w:r>
      <w:hyperlink w:anchor="SENTENCIA_2007_119" w:history="1">
        <w:r w:rsidRPr="00CA5193">
          <w:rPr>
            <w:rStyle w:val="TextoNormalCaracter"/>
          </w:rPr>
          <w:t>119/2007</w:t>
        </w:r>
      </w:hyperlink>
      <w:r w:rsidRPr="00CA5193">
        <w:rPr>
          <w:rStyle w:val="TextoNormalCaracter"/>
        </w:rPr>
        <w:t xml:space="preserve">, ff. 3, 7; </w:t>
      </w:r>
      <w:hyperlink w:anchor="SENTENCIA_2007_130" w:history="1">
        <w:r w:rsidRPr="00CA5193">
          <w:rPr>
            <w:rStyle w:val="TextoNormalCaracter"/>
          </w:rPr>
          <w:t>130/2007</w:t>
        </w:r>
      </w:hyperlink>
      <w:r w:rsidRPr="00CA5193">
        <w:rPr>
          <w:rStyle w:val="TextoNormalCaracter"/>
        </w:rPr>
        <w:t xml:space="preserve">, f. 4; </w:t>
      </w:r>
      <w:hyperlink w:anchor="SENTENCIA_2007_148" w:history="1">
        <w:r w:rsidRPr="00CA5193">
          <w:rPr>
            <w:rStyle w:val="TextoNormalCaracter"/>
          </w:rPr>
          <w:t>148/2007</w:t>
        </w:r>
      </w:hyperlink>
      <w:r w:rsidRPr="00CA5193">
        <w:rPr>
          <w:rStyle w:val="TextoNormalCaracter"/>
        </w:rPr>
        <w:t xml:space="preserve">, f. 3; </w:t>
      </w:r>
      <w:hyperlink w:anchor="SENTENCIA_2007_153" w:history="1">
        <w:r w:rsidRPr="00CA5193">
          <w:rPr>
            <w:rStyle w:val="TextoNormalCaracter"/>
          </w:rPr>
          <w:t>153/2007</w:t>
        </w:r>
      </w:hyperlink>
      <w:r w:rsidRPr="00CA5193">
        <w:rPr>
          <w:rStyle w:val="TextoNormalCaracter"/>
        </w:rPr>
        <w:t xml:space="preserve">, ff. 3, 7; </w:t>
      </w:r>
      <w:hyperlink w:anchor="SENTENCIA_2007_159" w:history="1">
        <w:r w:rsidRPr="00CA5193">
          <w:rPr>
            <w:rStyle w:val="TextoNormalCaracter"/>
          </w:rPr>
          <w:t>159/2007</w:t>
        </w:r>
      </w:hyperlink>
      <w:r w:rsidRPr="00CA5193">
        <w:rPr>
          <w:rStyle w:val="TextoNormalCaracter"/>
        </w:rPr>
        <w:t xml:space="preserve">, ff. 2, 3; </w:t>
      </w:r>
      <w:hyperlink w:anchor="SENTENCIA_2007_172" w:history="1">
        <w:r w:rsidRPr="00CA5193">
          <w:rPr>
            <w:rStyle w:val="TextoNormalCaracter"/>
          </w:rPr>
          <w:t>172/2007</w:t>
        </w:r>
      </w:hyperlink>
      <w:r w:rsidRPr="00CA5193">
        <w:rPr>
          <w:rStyle w:val="TextoNormalCaracter"/>
        </w:rPr>
        <w:t>, f. 4.</w:t>
      </w:r>
    </w:p>
    <w:p w:rsidR="00CA5193" w:rsidRPr="00CA5193" w:rsidRDefault="00CA5193" w:rsidP="00CA5193">
      <w:pPr>
        <w:pStyle w:val="TextoNormalSangraFrancesa"/>
        <w:rPr>
          <w:rStyle w:val="TextoNormalCaracter"/>
        </w:rPr>
      </w:pPr>
      <w:bookmarkStart w:id="727" w:name="DESCRIPTORALFABETICO50"/>
      <w:r w:rsidRPr="00CA5193">
        <w:rPr>
          <w:rStyle w:val="TextoNormalNegritaCaracter"/>
        </w:rPr>
        <w:t>Acceso a la justicia penal</w:t>
      </w:r>
      <w:bookmarkEnd w:id="727"/>
      <w:r w:rsidRPr="00CA5193">
        <w:rPr>
          <w:rStyle w:val="TextoNormalCaracter"/>
        </w:rPr>
        <w:t xml:space="preserve">, Auto </w:t>
      </w:r>
      <w:hyperlink w:anchor="AUTO_2007_246" w:history="1">
        <w:r w:rsidRPr="00CA5193">
          <w:rPr>
            <w:rStyle w:val="TextoNormalCaracter"/>
          </w:rPr>
          <w:t>246/2007</w:t>
        </w:r>
      </w:hyperlink>
      <w:r w:rsidRPr="00CA5193">
        <w:rPr>
          <w:rStyle w:val="TextoNormalCaracter"/>
        </w:rPr>
        <w:t>.</w:t>
      </w:r>
    </w:p>
    <w:p w:rsidR="00CA5193" w:rsidRPr="00CA5193" w:rsidRDefault="00CA5193" w:rsidP="00CA5193">
      <w:pPr>
        <w:pStyle w:val="TextoNormalSangraFrancesa"/>
        <w:rPr>
          <w:rStyle w:val="TextoNormalCaracter"/>
        </w:rPr>
      </w:pPr>
      <w:r w:rsidRPr="00CA5193">
        <w:rPr>
          <w:rStyle w:val="TextoNormalCursivaCaracter"/>
        </w:rPr>
        <w:t xml:space="preserve">    Respetado, </w:t>
      </w:r>
      <w:r w:rsidRPr="00CA5193">
        <w:rPr>
          <w:rStyle w:val="TextoNormalCaracter"/>
        </w:rPr>
        <w:t xml:space="preserve">Auto </w:t>
      </w:r>
      <w:hyperlink w:anchor="AUTO_2007_246" w:history="1">
        <w:r w:rsidRPr="00CA5193">
          <w:rPr>
            <w:rStyle w:val="TextoNormalCaracter"/>
          </w:rPr>
          <w:t>246/2007</w:t>
        </w:r>
      </w:hyperlink>
      <w:r w:rsidRPr="00CA5193">
        <w:rPr>
          <w:rStyle w:val="TextoNormalCaracter"/>
        </w:rPr>
        <w:t>.</w:t>
      </w:r>
    </w:p>
    <w:p w:rsidR="00CA5193" w:rsidRPr="00CA5193" w:rsidRDefault="00CA5193" w:rsidP="00CA5193">
      <w:pPr>
        <w:pStyle w:val="TextoNormalSangraFrancesa"/>
        <w:rPr>
          <w:rStyle w:val="TextoNormalCaracter"/>
        </w:rPr>
      </w:pPr>
      <w:bookmarkStart w:id="728" w:name="DESCRIPTORALFABETICO52"/>
      <w:r w:rsidRPr="00CA5193">
        <w:rPr>
          <w:rStyle w:val="TextoNormalNegritaCaracter"/>
        </w:rPr>
        <w:t>Acceso al proceso</w:t>
      </w:r>
      <w:bookmarkEnd w:id="728"/>
      <w:r w:rsidRPr="00CA5193">
        <w:rPr>
          <w:rStyle w:val="TextoNormalCaracter"/>
        </w:rPr>
        <w:t xml:space="preserve">, </w:t>
      </w:r>
    </w:p>
    <w:p w:rsidR="00CA5193" w:rsidRPr="00CA5193" w:rsidRDefault="00CA5193" w:rsidP="00CA5193">
      <w:pPr>
        <w:pStyle w:val="TextoNormalSangraFrancesa"/>
        <w:rPr>
          <w:rStyle w:val="TextoNormalCaracter"/>
        </w:rPr>
      </w:pPr>
      <w:r w:rsidRPr="00CA5193">
        <w:rPr>
          <w:rStyle w:val="TextoNormalCursivaCaracter"/>
        </w:rPr>
        <w:t xml:space="preserve">    Vulnerado, </w:t>
      </w:r>
      <w:r w:rsidRPr="00CA5193">
        <w:rPr>
          <w:rStyle w:val="TextoNormalCaracter"/>
        </w:rPr>
        <w:t xml:space="preserve">Sentencia </w:t>
      </w:r>
      <w:hyperlink w:anchor="SENTENCIA_2007_154" w:history="1">
        <w:r w:rsidRPr="00CA5193">
          <w:rPr>
            <w:rStyle w:val="TextoNormalCaracter"/>
          </w:rPr>
          <w:t>154/2007</w:t>
        </w:r>
      </w:hyperlink>
      <w:r w:rsidRPr="00CA5193">
        <w:rPr>
          <w:rStyle w:val="TextoNormalCaracter"/>
        </w:rPr>
        <w:t>, f. 4.</w:t>
      </w:r>
    </w:p>
    <w:p w:rsidR="00CA5193" w:rsidRPr="00CA5193" w:rsidRDefault="00CA5193" w:rsidP="00CA5193">
      <w:pPr>
        <w:pStyle w:val="TextoNormalSangraFrancesa"/>
        <w:rPr>
          <w:rStyle w:val="TextoNormalNegritaCaracter"/>
        </w:rPr>
      </w:pPr>
      <w:r w:rsidRPr="00CA5193">
        <w:rPr>
          <w:rStyle w:val="TextoNormalCursivaCaracter"/>
        </w:rPr>
        <w:t>Acceso al proceso legalmente debido</w:t>
      </w:r>
      <w:r>
        <w:t xml:space="preserve"> véase </w:t>
      </w:r>
      <w:hyperlink w:anchor="DESCRIPTORALFABETICO52" w:history="1">
        <w:r w:rsidRPr="00CA5193">
          <w:rPr>
            <w:rStyle w:val="TextoNormalNegritaCaracter"/>
          </w:rPr>
          <w:t>Acceso al proceso</w:t>
        </w:r>
      </w:hyperlink>
    </w:p>
    <w:p w:rsidR="00CA5193" w:rsidRPr="00CA5193" w:rsidRDefault="00CA5193" w:rsidP="00CA5193">
      <w:pPr>
        <w:pStyle w:val="TextoNormalSangraFrancesa"/>
        <w:rPr>
          <w:rStyle w:val="TextoNormalCaracter"/>
        </w:rPr>
      </w:pPr>
      <w:bookmarkStart w:id="729" w:name="DESCRIPTORALFABETICO53"/>
      <w:r w:rsidRPr="00CA5193">
        <w:rPr>
          <w:rStyle w:val="TextoNormalNegritaCaracter"/>
        </w:rPr>
        <w:t>Acceso al recurso legal</w:t>
      </w:r>
      <w:bookmarkEnd w:id="729"/>
      <w:r w:rsidRPr="00CA5193">
        <w:rPr>
          <w:rStyle w:val="TextoNormalCaracter"/>
        </w:rPr>
        <w:t xml:space="preserve">, Sentencia </w:t>
      </w:r>
      <w:hyperlink w:anchor="SENTENCIA_2007_155" w:history="1">
        <w:r w:rsidRPr="00CA5193">
          <w:rPr>
            <w:rStyle w:val="TextoNormalCaracter"/>
          </w:rPr>
          <w:t>155/2007</w:t>
        </w:r>
      </w:hyperlink>
      <w:r w:rsidRPr="00CA5193">
        <w:rPr>
          <w:rStyle w:val="TextoNormalCaracter"/>
        </w:rPr>
        <w:t>, f. 2.</w:t>
      </w:r>
    </w:p>
    <w:p w:rsidR="00CA5193" w:rsidRPr="00CA5193" w:rsidRDefault="00CA5193" w:rsidP="00CA5193">
      <w:pPr>
        <w:pStyle w:val="TextoNormalSangraFrancesa"/>
        <w:rPr>
          <w:rStyle w:val="TextoNormalCaracter"/>
        </w:rPr>
      </w:pPr>
      <w:r w:rsidRPr="00CA5193">
        <w:rPr>
          <w:rStyle w:val="TextoNormalCaracter"/>
        </w:rPr>
        <w:t xml:space="preserve">    Auto </w:t>
      </w:r>
      <w:hyperlink w:anchor="AUTO_2007_282" w:history="1">
        <w:r w:rsidRPr="00CA5193">
          <w:rPr>
            <w:rStyle w:val="TextoNormalCaracter"/>
          </w:rPr>
          <w:t>282/2007</w:t>
        </w:r>
      </w:hyperlink>
      <w:r w:rsidRPr="00CA5193">
        <w:rPr>
          <w:rStyle w:val="TextoNormalCaracter"/>
        </w:rPr>
        <w:t>.</w:t>
      </w:r>
    </w:p>
    <w:p w:rsidR="00CA5193" w:rsidRPr="00CA5193" w:rsidRDefault="00CA5193" w:rsidP="00CA5193">
      <w:pPr>
        <w:pStyle w:val="TextoNormalSangraFrancesa"/>
        <w:rPr>
          <w:rStyle w:val="TextoNormalCaracter"/>
        </w:rPr>
      </w:pPr>
      <w:bookmarkStart w:id="730" w:name="DESCRIPTORALFABETICO54"/>
      <w:r w:rsidRPr="00CA5193">
        <w:rPr>
          <w:rStyle w:val="TextoNormalNegritaCaracter"/>
        </w:rPr>
        <w:t>Acceso al recurso penal</w:t>
      </w:r>
      <w:bookmarkEnd w:id="730"/>
      <w:r w:rsidRPr="00CA5193">
        <w:rPr>
          <w:rStyle w:val="TextoNormalCaracter"/>
        </w:rPr>
        <w:t xml:space="preserve">, Sentencia </w:t>
      </w:r>
      <w:hyperlink w:anchor="SENTENCIA_2007_122" w:history="1">
        <w:r w:rsidRPr="00CA5193">
          <w:rPr>
            <w:rStyle w:val="TextoNormalCaracter"/>
          </w:rPr>
          <w:t>122/2007</w:t>
        </w:r>
      </w:hyperlink>
      <w:r w:rsidRPr="00CA5193">
        <w:rPr>
          <w:rStyle w:val="TextoNormalCaracter"/>
        </w:rPr>
        <w:t>, ff. 4, 6.</w:t>
      </w:r>
    </w:p>
    <w:p w:rsidR="00CA5193" w:rsidRPr="00CA5193" w:rsidRDefault="00CA5193" w:rsidP="00CA5193">
      <w:pPr>
        <w:pStyle w:val="TextoNormalSangraFrancesa"/>
        <w:rPr>
          <w:rStyle w:val="TextoNormalCaracter"/>
        </w:rPr>
      </w:pPr>
      <w:r w:rsidRPr="00CA5193">
        <w:rPr>
          <w:rStyle w:val="TextoNormalCursivaCaracter"/>
        </w:rPr>
        <w:t xml:space="preserve">    Vulnerado, </w:t>
      </w:r>
      <w:r w:rsidRPr="00CA5193">
        <w:rPr>
          <w:rStyle w:val="TextoNormalCaracter"/>
        </w:rPr>
        <w:t xml:space="preserve">Sentencia </w:t>
      </w:r>
      <w:hyperlink w:anchor="SENTENCIA_2007_122" w:history="1">
        <w:r w:rsidRPr="00CA5193">
          <w:rPr>
            <w:rStyle w:val="TextoNormalCaracter"/>
          </w:rPr>
          <w:t>122/2007</w:t>
        </w:r>
      </w:hyperlink>
      <w:r w:rsidRPr="00CA5193">
        <w:rPr>
          <w:rStyle w:val="TextoNormalCaracter"/>
        </w:rPr>
        <w:t>, ff. 4, 6.</w:t>
      </w:r>
    </w:p>
    <w:p w:rsidR="00CA5193" w:rsidRPr="00CA5193" w:rsidRDefault="00CA5193" w:rsidP="00CA5193">
      <w:pPr>
        <w:pStyle w:val="TextoNormalSangraFrancesa"/>
        <w:rPr>
          <w:rStyle w:val="TextoNormalCaracter"/>
        </w:rPr>
      </w:pPr>
      <w:bookmarkStart w:id="731" w:name="DESCRIPTORALFABETICO415"/>
      <w:r w:rsidRPr="00CA5193">
        <w:rPr>
          <w:rStyle w:val="TextoNormalNegritaCaracter"/>
        </w:rPr>
        <w:t>Aclaración de sentencia civil que altera el fallo</w:t>
      </w:r>
      <w:bookmarkEnd w:id="731"/>
      <w:r w:rsidRPr="00CA5193">
        <w:rPr>
          <w:rStyle w:val="TextoNormalCaracter"/>
        </w:rPr>
        <w:t xml:space="preserve">, Sentencia </w:t>
      </w:r>
      <w:hyperlink w:anchor="SENTENCIA_2007_171" w:history="1">
        <w:r w:rsidRPr="00CA5193">
          <w:rPr>
            <w:rStyle w:val="TextoNormalCaracter"/>
          </w:rPr>
          <w:t>171/2007</w:t>
        </w:r>
      </w:hyperlink>
      <w:r w:rsidRPr="00CA5193">
        <w:rPr>
          <w:rStyle w:val="TextoNormalCaracter"/>
        </w:rPr>
        <w:t>, f. 4.</w:t>
      </w:r>
    </w:p>
    <w:p w:rsidR="00CA5193" w:rsidRPr="00CA5193" w:rsidRDefault="00CA5193" w:rsidP="00CA5193">
      <w:pPr>
        <w:pStyle w:val="TextoNormalSangraFrancesa"/>
        <w:rPr>
          <w:rStyle w:val="TextoNormalCaracter"/>
        </w:rPr>
      </w:pPr>
      <w:bookmarkStart w:id="732" w:name="DESCRIPTORALFABETICO183"/>
      <w:r w:rsidRPr="00CA5193">
        <w:rPr>
          <w:rStyle w:val="TextoNormalNegritaCaracter"/>
        </w:rPr>
        <w:t>Aclaración de sentencias del Tribunal Constitucional</w:t>
      </w:r>
      <w:bookmarkEnd w:id="732"/>
      <w:r w:rsidRPr="00CA5193">
        <w:rPr>
          <w:rStyle w:val="TextoNormalCaracter"/>
        </w:rPr>
        <w:t xml:space="preserve">, Auto </w:t>
      </w:r>
      <w:hyperlink w:anchor="AUTO_2007_285" w:history="1">
        <w:r w:rsidRPr="00CA5193">
          <w:rPr>
            <w:rStyle w:val="TextoNormalCaracter"/>
          </w:rPr>
          <w:t>285/2007</w:t>
        </w:r>
      </w:hyperlink>
      <w:r w:rsidRPr="00CA5193">
        <w:rPr>
          <w:rStyle w:val="TextoNormalCaracter"/>
        </w:rPr>
        <w:t>.</w:t>
      </w:r>
    </w:p>
    <w:p w:rsidR="00CA5193" w:rsidRPr="00CA5193" w:rsidRDefault="00CA5193" w:rsidP="00CA5193">
      <w:pPr>
        <w:pStyle w:val="TextoNormalSangraFrancesa"/>
        <w:rPr>
          <w:rStyle w:val="TextoNormalCaracter"/>
        </w:rPr>
      </w:pPr>
      <w:bookmarkStart w:id="733" w:name="DESCRIPTORALFABETICO184"/>
      <w:r w:rsidRPr="00CA5193">
        <w:rPr>
          <w:rStyle w:val="TextoNormalNegritaCaracter"/>
        </w:rPr>
        <w:t>Aclaración improcedente</w:t>
      </w:r>
      <w:bookmarkEnd w:id="733"/>
      <w:r w:rsidRPr="00CA5193">
        <w:rPr>
          <w:rStyle w:val="TextoNormalCaracter"/>
        </w:rPr>
        <w:t xml:space="preserve">, Auto </w:t>
      </w:r>
      <w:hyperlink w:anchor="AUTO_2007_285" w:history="1">
        <w:r w:rsidRPr="00CA5193">
          <w:rPr>
            <w:rStyle w:val="TextoNormalCaracter"/>
          </w:rPr>
          <w:t>285/2007</w:t>
        </w:r>
      </w:hyperlink>
      <w:r w:rsidRPr="00CA5193">
        <w:rPr>
          <w:rStyle w:val="TextoNormalCaracter"/>
        </w:rPr>
        <w:t>.</w:t>
      </w:r>
    </w:p>
    <w:p w:rsidR="00CA5193" w:rsidRPr="00CA5193" w:rsidRDefault="00CA5193" w:rsidP="00CA5193">
      <w:pPr>
        <w:pStyle w:val="TextoNormalSangraFrancesa"/>
        <w:rPr>
          <w:rStyle w:val="TextoNormalCaracter"/>
        </w:rPr>
      </w:pPr>
      <w:bookmarkStart w:id="734" w:name="DESCRIPTORALFABETICO368"/>
      <w:r w:rsidRPr="00CA5193">
        <w:rPr>
          <w:rStyle w:val="TextoNormalNegritaCaracter"/>
        </w:rPr>
        <w:t>Actividad probatoria</w:t>
      </w:r>
      <w:bookmarkEnd w:id="734"/>
      <w:r w:rsidRPr="00CA5193">
        <w:rPr>
          <w:rStyle w:val="TextoNormalCaracter"/>
        </w:rPr>
        <w:t xml:space="preserve">, Sentencias </w:t>
      </w:r>
      <w:hyperlink w:anchor="SENTENCIA_2007_116" w:history="1">
        <w:r w:rsidRPr="00CA5193">
          <w:rPr>
            <w:rStyle w:val="TextoNormalCaracter"/>
          </w:rPr>
          <w:t>116/2007</w:t>
        </w:r>
      </w:hyperlink>
      <w:r w:rsidRPr="00CA5193">
        <w:rPr>
          <w:rStyle w:val="TextoNormalCaracter"/>
        </w:rPr>
        <w:t xml:space="preserve">, ff. 4, 5; </w:t>
      </w:r>
      <w:hyperlink w:anchor="SENTENCIA_2007_126" w:history="1">
        <w:r w:rsidRPr="00CA5193">
          <w:rPr>
            <w:rStyle w:val="TextoNormalCaracter"/>
          </w:rPr>
          <w:t>126/2007</w:t>
        </w:r>
      </w:hyperlink>
      <w:r w:rsidRPr="00CA5193">
        <w:rPr>
          <w:rStyle w:val="TextoNormalCaracter"/>
        </w:rPr>
        <w:t>, f. 6.</w:t>
      </w:r>
    </w:p>
    <w:p w:rsidR="00CA5193" w:rsidRPr="00CA5193" w:rsidRDefault="00CA5193" w:rsidP="00CA5193">
      <w:pPr>
        <w:pStyle w:val="TextoNormalSangraFrancesa"/>
        <w:rPr>
          <w:rStyle w:val="TextoNormalCaracter"/>
        </w:rPr>
      </w:pPr>
      <w:bookmarkStart w:id="735" w:name="DESCRIPTORALFABETICO442"/>
      <w:r w:rsidRPr="00CA5193">
        <w:rPr>
          <w:rStyle w:val="TextoNormalNegritaCaracter"/>
        </w:rPr>
        <w:t>Acto de conciliación laboral</w:t>
      </w:r>
      <w:bookmarkEnd w:id="735"/>
      <w:r w:rsidRPr="00CA5193">
        <w:rPr>
          <w:rStyle w:val="TextoNormalCaracter"/>
        </w:rPr>
        <w:t xml:space="preserve">, Sentencia </w:t>
      </w:r>
      <w:hyperlink w:anchor="SENTENCIA_2007_172" w:history="1">
        <w:r w:rsidRPr="00CA5193">
          <w:rPr>
            <w:rStyle w:val="TextoNormalCaracter"/>
          </w:rPr>
          <w:t>172/2007</w:t>
        </w:r>
      </w:hyperlink>
      <w:r w:rsidRPr="00CA5193">
        <w:rPr>
          <w:rStyle w:val="TextoNormalCaracter"/>
        </w:rPr>
        <w:t>, ff. 2, 4.</w:t>
      </w:r>
    </w:p>
    <w:p w:rsidR="00CA5193" w:rsidRPr="00CA5193" w:rsidRDefault="00CA5193" w:rsidP="00CA5193">
      <w:pPr>
        <w:pStyle w:val="TextoNormalSangraFrancesa"/>
        <w:rPr>
          <w:rStyle w:val="TextoNormalCaracter"/>
        </w:rPr>
      </w:pPr>
      <w:bookmarkStart w:id="736" w:name="DESCRIPTORALFABETICO316"/>
      <w:r w:rsidRPr="00CA5193">
        <w:rPr>
          <w:rStyle w:val="TextoNormalNegritaCaracter"/>
        </w:rPr>
        <w:lastRenderedPageBreak/>
        <w:t>Actos de autoridades eclesiásticas</w:t>
      </w:r>
      <w:bookmarkEnd w:id="736"/>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f. 1.</w:t>
      </w:r>
    </w:p>
    <w:p w:rsidR="00CA5193" w:rsidRPr="00CA5193" w:rsidRDefault="00CA5193" w:rsidP="00CA5193">
      <w:pPr>
        <w:pStyle w:val="TextoNormalSangraFrancesa"/>
        <w:rPr>
          <w:rStyle w:val="TextoNormalCaracter"/>
        </w:rPr>
      </w:pPr>
      <w:r w:rsidRPr="00CA5193">
        <w:rPr>
          <w:rStyle w:val="TextoNormalCaracter"/>
        </w:rPr>
        <w:t xml:space="preserve">    Auto </w:t>
      </w:r>
      <w:hyperlink w:anchor="AUTO_2007_257" w:history="1">
        <w:r w:rsidRPr="00CA5193">
          <w:rPr>
            <w:rStyle w:val="TextoNormalCaracter"/>
          </w:rPr>
          <w:t>257/2007</w:t>
        </w:r>
      </w:hyperlink>
      <w:r w:rsidRPr="00CA5193">
        <w:rPr>
          <w:rStyle w:val="TextoNormalCaracter"/>
        </w:rPr>
        <w:t>.</w:t>
      </w:r>
    </w:p>
    <w:p w:rsidR="00CA5193" w:rsidRPr="00CA5193" w:rsidRDefault="00CA5193" w:rsidP="00CA5193">
      <w:pPr>
        <w:pStyle w:val="TextoNormalSangraFrancesa"/>
        <w:rPr>
          <w:rStyle w:val="TextoNormalCaracter"/>
        </w:rPr>
      </w:pPr>
      <w:bookmarkStart w:id="737" w:name="DESCRIPTORALFABETICO208"/>
      <w:r w:rsidRPr="00CA5193">
        <w:rPr>
          <w:rStyle w:val="TextoNormalNegritaCaracter"/>
        </w:rPr>
        <w:t>Actos de naturaleza normativa</w:t>
      </w:r>
      <w:bookmarkEnd w:id="737"/>
      <w:r w:rsidRPr="00CA5193">
        <w:rPr>
          <w:rStyle w:val="TextoNormalCaracter"/>
        </w:rPr>
        <w:t xml:space="preserve">, Sentencia </w:t>
      </w:r>
      <w:hyperlink w:anchor="SENTENCIA_2007_141" w:history="1">
        <w:r w:rsidRPr="00CA5193">
          <w:rPr>
            <w:rStyle w:val="TextoNormalCaracter"/>
          </w:rPr>
          <w:t>141/2007</w:t>
        </w:r>
      </w:hyperlink>
      <w:r w:rsidRPr="00CA5193">
        <w:rPr>
          <w:rStyle w:val="TextoNormalCaracter"/>
        </w:rPr>
        <w:t>, f. 2.</w:t>
      </w:r>
    </w:p>
    <w:p w:rsidR="00CA5193" w:rsidRPr="00CA5193" w:rsidRDefault="00CA5193" w:rsidP="00CA5193">
      <w:pPr>
        <w:pStyle w:val="TextoNormalSangraFrancesa"/>
        <w:rPr>
          <w:rStyle w:val="TextoNormalCaracter"/>
        </w:rPr>
      </w:pPr>
      <w:bookmarkStart w:id="738" w:name="DESCRIPTORALFABETICO338"/>
      <w:r w:rsidRPr="00CA5193">
        <w:rPr>
          <w:rStyle w:val="TextoNormalNegritaCaracter"/>
        </w:rPr>
        <w:t>Actos procesales de comunicación</w:t>
      </w:r>
      <w:bookmarkEnd w:id="738"/>
      <w:r w:rsidRPr="00CA5193">
        <w:rPr>
          <w:rStyle w:val="TextoNormalCaracter"/>
        </w:rPr>
        <w:t xml:space="preserve">, Sentencia </w:t>
      </w:r>
      <w:hyperlink w:anchor="SENTENCIA_2007_110" w:history="1">
        <w:r w:rsidRPr="00CA5193">
          <w:rPr>
            <w:rStyle w:val="TextoNormalCaracter"/>
          </w:rPr>
          <w:t>110/2007</w:t>
        </w:r>
      </w:hyperlink>
      <w:r w:rsidRPr="00CA5193">
        <w:rPr>
          <w:rStyle w:val="TextoNormalCaracter"/>
        </w:rPr>
        <w:t>, f. 6.</w:t>
      </w:r>
    </w:p>
    <w:p w:rsidR="00CA5193" w:rsidRPr="00CA5193" w:rsidRDefault="00CA5193" w:rsidP="00CA5193">
      <w:pPr>
        <w:pStyle w:val="TextoNormalSangraFrancesa"/>
        <w:rPr>
          <w:rStyle w:val="TextoNormalCaracter"/>
        </w:rPr>
      </w:pPr>
      <w:bookmarkStart w:id="739" w:name="DESCRIPTORALFABETICO284"/>
      <w:r w:rsidRPr="00CA5193">
        <w:rPr>
          <w:rStyle w:val="TextoNormalNegritaCaracter"/>
        </w:rPr>
        <w:t>Acuerdos con la Santa Sede</w:t>
      </w:r>
      <w:bookmarkEnd w:id="739"/>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f. 5.</w:t>
      </w:r>
    </w:p>
    <w:p w:rsidR="00CA5193" w:rsidRPr="00CA5193" w:rsidRDefault="00CA5193" w:rsidP="00CA5193">
      <w:pPr>
        <w:pStyle w:val="TextoNormalSangraFrancesa"/>
        <w:rPr>
          <w:rStyle w:val="TextoNormalCaracter"/>
        </w:rPr>
      </w:pPr>
      <w:bookmarkStart w:id="740" w:name="DESCRIPTORALFABETICO134"/>
      <w:r w:rsidRPr="00CA5193">
        <w:rPr>
          <w:rStyle w:val="TextoNormalNegritaCaracter"/>
        </w:rPr>
        <w:t>Acumulación de recursos de amparo</w:t>
      </w:r>
      <w:bookmarkEnd w:id="740"/>
      <w:r w:rsidRPr="00CA5193">
        <w:rPr>
          <w:rStyle w:val="TextoNormalCaracter"/>
        </w:rPr>
        <w:t xml:space="preserve">, </w:t>
      </w:r>
    </w:p>
    <w:p w:rsidR="00CA5193" w:rsidRPr="00CA5193" w:rsidRDefault="00CA5193" w:rsidP="00CA5193">
      <w:pPr>
        <w:pStyle w:val="TextoNormalSangraFrancesa"/>
        <w:rPr>
          <w:rStyle w:val="TextoNormalCaracter"/>
        </w:rPr>
      </w:pPr>
      <w:r w:rsidRPr="00CA5193">
        <w:rPr>
          <w:rStyle w:val="TextoNormalCursivaCaracter"/>
        </w:rPr>
        <w:t xml:space="preserve">    Improcedencia, </w:t>
      </w:r>
      <w:r w:rsidRPr="00CA5193">
        <w:rPr>
          <w:rStyle w:val="TextoNormalCaracter"/>
        </w:rPr>
        <w:t xml:space="preserve">Auto </w:t>
      </w:r>
      <w:hyperlink w:anchor="AUTO_2007_268" w:history="1">
        <w:r w:rsidRPr="00CA5193">
          <w:rPr>
            <w:rStyle w:val="TextoNormalCaracter"/>
          </w:rPr>
          <w:t>268/2007</w:t>
        </w:r>
      </w:hyperlink>
      <w:r w:rsidRPr="00CA5193">
        <w:rPr>
          <w:rStyle w:val="TextoNormalCaracter"/>
        </w:rPr>
        <w:t>.</w:t>
      </w:r>
    </w:p>
    <w:p w:rsidR="00CA5193" w:rsidRPr="00CA5193" w:rsidRDefault="00CA5193" w:rsidP="00CA5193">
      <w:pPr>
        <w:pStyle w:val="TextoNormalSangraFrancesa"/>
        <w:rPr>
          <w:rStyle w:val="TextoNormalCaracter"/>
        </w:rPr>
      </w:pPr>
      <w:bookmarkStart w:id="741" w:name="DESCRIPTORALFABETICO135"/>
      <w:r w:rsidRPr="00CA5193">
        <w:rPr>
          <w:rStyle w:val="TextoNormalNegritaCaracter"/>
        </w:rPr>
        <w:t>Acumulación de recursos de amparo electoral</w:t>
      </w:r>
      <w:bookmarkEnd w:id="741"/>
      <w:r w:rsidRPr="00CA5193">
        <w:rPr>
          <w:rStyle w:val="TextoNormalCaracter"/>
        </w:rPr>
        <w:t xml:space="preserve">, </w:t>
      </w:r>
    </w:p>
    <w:p w:rsidR="00CA5193" w:rsidRPr="00CA5193" w:rsidRDefault="00CA5193" w:rsidP="00CA5193">
      <w:pPr>
        <w:pStyle w:val="TextoNormalSangraFrancesa"/>
        <w:rPr>
          <w:rStyle w:val="TextoNormalCaracter"/>
        </w:rPr>
      </w:pPr>
      <w:r w:rsidRPr="00CA5193">
        <w:rPr>
          <w:rStyle w:val="TextoNormalCursivaCaracter"/>
        </w:rPr>
        <w:t xml:space="preserve">    Procedencia, </w:t>
      </w:r>
      <w:r w:rsidRPr="00CA5193">
        <w:rPr>
          <w:rStyle w:val="TextoNormalCaracter"/>
        </w:rPr>
        <w:t xml:space="preserve">Auto </w:t>
      </w:r>
      <w:hyperlink w:anchor="AUTO_2007_238" w:history="1">
        <w:r w:rsidRPr="00CA5193">
          <w:rPr>
            <w:rStyle w:val="TextoNormalCaracter"/>
          </w:rPr>
          <w:t>238/2007</w:t>
        </w:r>
      </w:hyperlink>
      <w:r w:rsidRPr="00CA5193">
        <w:rPr>
          <w:rStyle w:val="TextoNormalCaracter"/>
        </w:rPr>
        <w:t>.</w:t>
      </w:r>
    </w:p>
    <w:p w:rsidR="00CA5193" w:rsidRPr="00CA5193" w:rsidRDefault="00CA5193" w:rsidP="00CA5193">
      <w:pPr>
        <w:pStyle w:val="TextoNormalSangraFrancesa"/>
        <w:rPr>
          <w:rStyle w:val="TextoNormalCaracter"/>
        </w:rPr>
      </w:pPr>
      <w:bookmarkStart w:id="742" w:name="DESCRIPTORALFABETICO136"/>
      <w:r w:rsidRPr="00CA5193">
        <w:rPr>
          <w:rStyle w:val="TextoNormalNegritaCaracter"/>
        </w:rPr>
        <w:t>Acumulación de recursos de inconstitucionalidad</w:t>
      </w:r>
      <w:bookmarkEnd w:id="742"/>
      <w:r w:rsidRPr="00CA5193">
        <w:rPr>
          <w:rStyle w:val="TextoNormalCaracter"/>
        </w:rPr>
        <w:t xml:space="preserve">, </w:t>
      </w:r>
    </w:p>
    <w:p w:rsidR="00CA5193" w:rsidRPr="00CA5193" w:rsidRDefault="00CA5193" w:rsidP="00CA5193">
      <w:pPr>
        <w:pStyle w:val="TextoNormalSangraFrancesa"/>
        <w:rPr>
          <w:rStyle w:val="TextoNormalCaracter"/>
        </w:rPr>
      </w:pPr>
      <w:r w:rsidRPr="00CA5193">
        <w:rPr>
          <w:rStyle w:val="TextoNormalCursivaCaracter"/>
        </w:rPr>
        <w:t xml:space="preserve">    Improcedencia, </w:t>
      </w:r>
      <w:r w:rsidRPr="00CA5193">
        <w:rPr>
          <w:rStyle w:val="TextoNormalCaracter"/>
        </w:rPr>
        <w:t xml:space="preserve">Auto </w:t>
      </w:r>
      <w:hyperlink w:anchor="AUTO_2007_261" w:history="1">
        <w:r w:rsidRPr="00CA5193">
          <w:rPr>
            <w:rStyle w:val="TextoNormalCaracter"/>
          </w:rPr>
          <w:t>261/2007</w:t>
        </w:r>
      </w:hyperlink>
      <w:r w:rsidRPr="00CA5193">
        <w:rPr>
          <w:rStyle w:val="TextoNormalCaracter"/>
        </w:rPr>
        <w:t>.</w:t>
      </w:r>
    </w:p>
    <w:p w:rsidR="00CA5193" w:rsidRPr="00CA5193" w:rsidRDefault="00CA5193" w:rsidP="00CA5193">
      <w:pPr>
        <w:pStyle w:val="TextoNormalSangraFrancesa"/>
        <w:rPr>
          <w:rStyle w:val="TextoNormalCaracter"/>
        </w:rPr>
      </w:pPr>
      <w:bookmarkStart w:id="743" w:name="DESCRIPTORALFABETICO173"/>
      <w:r w:rsidRPr="00CA5193">
        <w:rPr>
          <w:rStyle w:val="TextoNormalNegritaCaracter"/>
        </w:rPr>
        <w:t>Agotamiento de la vía judicial</w:t>
      </w:r>
      <w:bookmarkEnd w:id="743"/>
      <w:r w:rsidRPr="00CA5193">
        <w:rPr>
          <w:rStyle w:val="TextoNormalCaracter"/>
        </w:rPr>
        <w:t xml:space="preserve">, Sentencias </w:t>
      </w:r>
      <w:hyperlink w:anchor="SENTENCIA_2007_96" w:history="1">
        <w:r w:rsidRPr="00CA5193">
          <w:rPr>
            <w:rStyle w:val="TextoNormalCaracter"/>
          </w:rPr>
          <w:t>96/2007</w:t>
        </w:r>
      </w:hyperlink>
      <w:r w:rsidRPr="00CA5193">
        <w:rPr>
          <w:rStyle w:val="TextoNormalCaracter"/>
        </w:rPr>
        <w:t xml:space="preserve">, f. 3; </w:t>
      </w:r>
      <w:hyperlink w:anchor="SENTENCIA_2007_124" w:history="1">
        <w:r w:rsidRPr="00CA5193">
          <w:rPr>
            <w:rStyle w:val="TextoNormalCaracter"/>
          </w:rPr>
          <w:t>124/2007</w:t>
        </w:r>
      </w:hyperlink>
      <w:r w:rsidRPr="00CA5193">
        <w:rPr>
          <w:rStyle w:val="TextoNormalCaracter"/>
        </w:rPr>
        <w:t xml:space="preserve">, f. 3; </w:t>
      </w:r>
      <w:hyperlink w:anchor="SENTENCIA_2007_128" w:history="1">
        <w:r w:rsidRPr="00CA5193">
          <w:rPr>
            <w:rStyle w:val="TextoNormalCaracter"/>
          </w:rPr>
          <w:t>128/2007</w:t>
        </w:r>
      </w:hyperlink>
      <w:r w:rsidRPr="00CA5193">
        <w:rPr>
          <w:rStyle w:val="TextoNormalCaracter"/>
        </w:rPr>
        <w:t xml:space="preserve">, f. 3; </w:t>
      </w:r>
      <w:hyperlink w:anchor="SENTENCIA_2007_132" w:history="1">
        <w:r w:rsidRPr="00CA5193">
          <w:rPr>
            <w:rStyle w:val="TextoNormalCaracter"/>
          </w:rPr>
          <w:t>132/2007</w:t>
        </w:r>
      </w:hyperlink>
      <w:r w:rsidRPr="00CA5193">
        <w:rPr>
          <w:rStyle w:val="TextoNormalCaracter"/>
        </w:rPr>
        <w:t xml:space="preserve">, f. 3; </w:t>
      </w:r>
      <w:hyperlink w:anchor="SENTENCIA_2007_135" w:history="1">
        <w:r w:rsidRPr="00CA5193">
          <w:rPr>
            <w:rStyle w:val="TextoNormalCaracter"/>
          </w:rPr>
          <w:t>135/2007</w:t>
        </w:r>
      </w:hyperlink>
      <w:r w:rsidRPr="00CA5193">
        <w:rPr>
          <w:rStyle w:val="TextoNormalCaracter"/>
        </w:rPr>
        <w:t xml:space="preserve">, ff. 4, 5; </w:t>
      </w:r>
      <w:hyperlink w:anchor="SENTENCIA_2007_143" w:history="1">
        <w:r w:rsidRPr="00CA5193">
          <w:rPr>
            <w:rStyle w:val="TextoNormalCaracter"/>
          </w:rPr>
          <w:t>143/2007</w:t>
        </w:r>
      </w:hyperlink>
      <w:r w:rsidRPr="00CA5193">
        <w:rPr>
          <w:rStyle w:val="TextoNormalCaracter"/>
        </w:rPr>
        <w:t xml:space="preserve">, f. 2; </w:t>
      </w:r>
      <w:hyperlink w:anchor="SENTENCIA_2007_147" w:history="1">
        <w:r w:rsidRPr="00CA5193">
          <w:rPr>
            <w:rStyle w:val="TextoNormalCaracter"/>
          </w:rPr>
          <w:t>147/2007</w:t>
        </w:r>
      </w:hyperlink>
      <w:r w:rsidRPr="00CA5193">
        <w:rPr>
          <w:rStyle w:val="TextoNormalCaracter"/>
        </w:rPr>
        <w:t xml:space="preserve">, f. 2; </w:t>
      </w:r>
      <w:hyperlink w:anchor="SENTENCIA_2007_152" w:history="1">
        <w:r w:rsidRPr="00CA5193">
          <w:rPr>
            <w:rStyle w:val="TextoNormalCaracter"/>
          </w:rPr>
          <w:t>152/2007</w:t>
        </w:r>
      </w:hyperlink>
      <w:r w:rsidRPr="00CA5193">
        <w:rPr>
          <w:rStyle w:val="TextoNormalCaracter"/>
        </w:rPr>
        <w:t xml:space="preserve">, f. 2; </w:t>
      </w:r>
      <w:hyperlink w:anchor="SENTENCIA_2007_161" w:history="1">
        <w:r w:rsidRPr="00CA5193">
          <w:rPr>
            <w:rStyle w:val="TextoNormalCaracter"/>
          </w:rPr>
          <w:t>161/2007</w:t>
        </w:r>
      </w:hyperlink>
      <w:r w:rsidRPr="00CA5193">
        <w:rPr>
          <w:rStyle w:val="TextoNormalCaracter"/>
        </w:rPr>
        <w:t xml:space="preserve">, f. 3; </w:t>
      </w:r>
      <w:hyperlink w:anchor="SENTENCIA_2007_173" w:history="1">
        <w:r w:rsidRPr="00CA5193">
          <w:rPr>
            <w:rStyle w:val="TextoNormalCaracter"/>
          </w:rPr>
          <w:t>173/2007</w:t>
        </w:r>
      </w:hyperlink>
      <w:r w:rsidRPr="00CA5193">
        <w:rPr>
          <w:rStyle w:val="TextoNormalCaracter"/>
        </w:rPr>
        <w:t>, f. 4.</w:t>
      </w:r>
    </w:p>
    <w:p w:rsidR="00CA5193" w:rsidRPr="00CA5193" w:rsidRDefault="00CA5193" w:rsidP="00CA5193">
      <w:pPr>
        <w:pStyle w:val="TextoNormalSangraFrancesa"/>
        <w:rPr>
          <w:rStyle w:val="TextoNormalCaracter"/>
        </w:rPr>
      </w:pPr>
      <w:r w:rsidRPr="00CA5193">
        <w:rPr>
          <w:rStyle w:val="TextoNormalCaracter"/>
        </w:rPr>
        <w:t xml:space="preserve">    Auto </w:t>
      </w:r>
      <w:hyperlink w:anchor="AUTO_2007_265" w:history="1">
        <w:r w:rsidRPr="00CA5193">
          <w:rPr>
            <w:rStyle w:val="TextoNormalCaracter"/>
          </w:rPr>
          <w:t>265/2007</w:t>
        </w:r>
      </w:hyperlink>
      <w:r w:rsidRPr="00CA5193">
        <w:rPr>
          <w:rStyle w:val="TextoNormalCaracter"/>
        </w:rPr>
        <w:t>.</w:t>
      </w:r>
    </w:p>
    <w:p w:rsidR="00CA5193" w:rsidRPr="00CA5193" w:rsidRDefault="00CA5193" w:rsidP="00CA5193">
      <w:pPr>
        <w:pStyle w:val="TextoNormalSangraFrancesa"/>
        <w:rPr>
          <w:rStyle w:val="TextoNormalNegritaCaracter"/>
        </w:rPr>
      </w:pPr>
      <w:r w:rsidRPr="00CA5193">
        <w:rPr>
          <w:rStyle w:val="TextoNormalCursivaCaracter"/>
        </w:rPr>
        <w:t>Agotamiento de recursos en la vía judicial</w:t>
      </w:r>
      <w:r>
        <w:t xml:space="preserve"> véase </w:t>
      </w:r>
      <w:hyperlink w:anchor="DESCRIPTORALFABETICO173" w:history="1">
        <w:r w:rsidRPr="00CA5193">
          <w:rPr>
            <w:rStyle w:val="TextoNormalNegritaCaracter"/>
          </w:rPr>
          <w:t>Agotamiento de la vía judicial</w:t>
        </w:r>
      </w:hyperlink>
    </w:p>
    <w:p w:rsidR="00CA5193" w:rsidRPr="00CA5193" w:rsidRDefault="00CA5193" w:rsidP="00CA5193">
      <w:pPr>
        <w:pStyle w:val="TextoNormalSangraFrancesa"/>
        <w:rPr>
          <w:rStyle w:val="TextoNormalCaracter"/>
        </w:rPr>
      </w:pPr>
      <w:bookmarkStart w:id="744" w:name="DESCRIPTORALFABETICO13"/>
      <w:r w:rsidRPr="00CA5193">
        <w:rPr>
          <w:rStyle w:val="TextoNormalNegritaCaracter"/>
        </w:rPr>
        <w:t>Agrupaciones electorales</w:t>
      </w:r>
      <w:bookmarkEnd w:id="744"/>
      <w:r w:rsidRPr="00CA5193">
        <w:rPr>
          <w:rStyle w:val="TextoNormalCaracter"/>
        </w:rPr>
        <w:t xml:space="preserve">, Sentencia </w:t>
      </w:r>
      <w:hyperlink w:anchor="SENTENCIA_2007_110" w:history="1">
        <w:r w:rsidRPr="00CA5193">
          <w:rPr>
            <w:rStyle w:val="TextoNormalCaracter"/>
          </w:rPr>
          <w:t>110/2007</w:t>
        </w:r>
      </w:hyperlink>
      <w:r w:rsidRPr="00CA5193">
        <w:rPr>
          <w:rStyle w:val="TextoNormalCaracter"/>
        </w:rPr>
        <w:t>, ff. 1, 2, 3, 4, 5, 6, 7, 8, 9, 10, 11, 12, 13, 14, 15, 16, 17.</w:t>
      </w:r>
    </w:p>
    <w:p w:rsidR="00CA5193" w:rsidRPr="00CA5193" w:rsidRDefault="00CA5193" w:rsidP="00CA5193">
      <w:pPr>
        <w:pStyle w:val="TextoNormalSangraFrancesa"/>
        <w:rPr>
          <w:rStyle w:val="TextoNormalCaracter"/>
        </w:rPr>
      </w:pPr>
      <w:bookmarkStart w:id="745" w:name="DESCRIPTORALFABETICO188"/>
      <w:r w:rsidRPr="00CA5193">
        <w:rPr>
          <w:rStyle w:val="TextoNormalNegritaCaracter"/>
        </w:rPr>
        <w:t>Alcance del fallo en recurso de amparo</w:t>
      </w:r>
      <w:bookmarkEnd w:id="745"/>
      <w:r w:rsidRPr="00CA5193">
        <w:rPr>
          <w:rStyle w:val="TextoNormalCaracter"/>
        </w:rPr>
        <w:t xml:space="preserve">, Sentencias </w:t>
      </w:r>
      <w:hyperlink w:anchor="SENTENCIA_2007_120" w:history="1">
        <w:r w:rsidRPr="00CA5193">
          <w:rPr>
            <w:rStyle w:val="TextoNormalCaracter"/>
          </w:rPr>
          <w:t>120/2007</w:t>
        </w:r>
      </w:hyperlink>
      <w:r w:rsidRPr="00CA5193">
        <w:rPr>
          <w:rStyle w:val="TextoNormalCaracter"/>
        </w:rPr>
        <w:t xml:space="preserve">, f. 3; </w:t>
      </w:r>
      <w:hyperlink w:anchor="SENTENCIA_2007_129" w:history="1">
        <w:r w:rsidRPr="00CA5193">
          <w:rPr>
            <w:rStyle w:val="TextoNormalCaracter"/>
          </w:rPr>
          <w:t>129/2007</w:t>
        </w:r>
      </w:hyperlink>
      <w:r w:rsidRPr="00CA5193">
        <w:rPr>
          <w:rStyle w:val="TextoNormalCaracter"/>
        </w:rPr>
        <w:t>, ff. 3, 4.</w:t>
      </w:r>
    </w:p>
    <w:p w:rsidR="00CA5193" w:rsidRPr="00CA5193" w:rsidRDefault="00CA5193" w:rsidP="00CA5193">
      <w:pPr>
        <w:pStyle w:val="TextoNormalSangraFrancesa"/>
        <w:rPr>
          <w:rStyle w:val="TextoNormalCaracter"/>
        </w:rPr>
      </w:pPr>
      <w:bookmarkStart w:id="746" w:name="DESCRIPTORALFABETICO179"/>
      <w:r w:rsidRPr="00CA5193">
        <w:rPr>
          <w:rStyle w:val="TextoNormalNegritaCaracter"/>
        </w:rPr>
        <w:t>Alegación de inconstitucionalidad de la ley</w:t>
      </w:r>
      <w:bookmarkEnd w:id="746"/>
      <w:r w:rsidRPr="00CA5193">
        <w:rPr>
          <w:rStyle w:val="TextoNormalCaracter"/>
        </w:rPr>
        <w:t xml:space="preserve">, Sentencia </w:t>
      </w:r>
      <w:hyperlink w:anchor="SENTENCIA_2007_91" w:history="1">
        <w:r w:rsidRPr="00CA5193">
          <w:rPr>
            <w:rStyle w:val="TextoNormalCaracter"/>
          </w:rPr>
          <w:t>91/2007</w:t>
        </w:r>
      </w:hyperlink>
      <w:r w:rsidRPr="00CA5193">
        <w:rPr>
          <w:rStyle w:val="TextoNormalCaracter"/>
        </w:rPr>
        <w:t>, f. 2.</w:t>
      </w:r>
    </w:p>
    <w:p w:rsidR="00CA5193" w:rsidRPr="00CA5193" w:rsidRDefault="00CA5193" w:rsidP="00CA5193">
      <w:pPr>
        <w:pStyle w:val="TextoNormalSangraFrancesa"/>
        <w:rPr>
          <w:rStyle w:val="TextoNormalCaracter"/>
        </w:rPr>
      </w:pPr>
      <w:bookmarkStart w:id="747" w:name="DESCRIPTORALFABETICO63"/>
      <w:r w:rsidRPr="00CA5193">
        <w:rPr>
          <w:rStyle w:val="TextoNormalNegritaCaracter"/>
        </w:rPr>
        <w:t>Alteración del fallo</w:t>
      </w:r>
      <w:bookmarkEnd w:id="747"/>
      <w:r w:rsidRPr="00CA5193">
        <w:rPr>
          <w:rStyle w:val="TextoNormalCaracter"/>
        </w:rPr>
        <w:t xml:space="preserve">, Sentencia </w:t>
      </w:r>
      <w:hyperlink w:anchor="SENTENCIA_2007_121" w:history="1">
        <w:r w:rsidRPr="00CA5193">
          <w:rPr>
            <w:rStyle w:val="TextoNormalCaracter"/>
          </w:rPr>
          <w:t>121/2007</w:t>
        </w:r>
      </w:hyperlink>
      <w:r w:rsidRPr="00CA5193">
        <w:rPr>
          <w:rStyle w:val="TextoNormalCaracter"/>
        </w:rPr>
        <w:t>, ff. 1, 2.</w:t>
      </w:r>
    </w:p>
    <w:p w:rsidR="00CA5193" w:rsidRPr="00CA5193" w:rsidRDefault="00CA5193" w:rsidP="00CA5193">
      <w:pPr>
        <w:pStyle w:val="TextoNormalSangraFrancesa"/>
        <w:rPr>
          <w:rStyle w:val="TextoNormalCaracter"/>
        </w:rPr>
      </w:pPr>
      <w:bookmarkStart w:id="748" w:name="DESCRIPTORALFABETICO263"/>
      <w:r w:rsidRPr="00CA5193">
        <w:rPr>
          <w:rStyle w:val="TextoNormalNegritaCaracter"/>
        </w:rPr>
        <w:t>Amenazas</w:t>
      </w:r>
      <w:bookmarkEnd w:id="748"/>
      <w:r w:rsidRPr="00CA5193">
        <w:rPr>
          <w:rStyle w:val="TextoNormalCaracter"/>
        </w:rPr>
        <w:t xml:space="preserve">, Sentencias </w:t>
      </w:r>
      <w:hyperlink w:anchor="SENTENCIA_2007_117" w:history="1">
        <w:r w:rsidRPr="00CA5193">
          <w:rPr>
            <w:rStyle w:val="TextoNormalCaracter"/>
          </w:rPr>
          <w:t>117/2007</w:t>
        </w:r>
      </w:hyperlink>
      <w:r w:rsidRPr="00CA5193">
        <w:rPr>
          <w:rStyle w:val="TextoNormalCaracter"/>
        </w:rPr>
        <w:t xml:space="preserve">, f. 7; </w:t>
      </w:r>
      <w:hyperlink w:anchor="SENTENCIA_2007_138" w:history="1">
        <w:r w:rsidRPr="00CA5193">
          <w:rPr>
            <w:rStyle w:val="TextoNormalCaracter"/>
          </w:rPr>
          <w:t>138/2007</w:t>
        </w:r>
      </w:hyperlink>
      <w:r w:rsidRPr="00CA5193">
        <w:rPr>
          <w:rStyle w:val="TextoNormalCaracter"/>
        </w:rPr>
        <w:t>, ff. 2, 3.</w:t>
      </w:r>
    </w:p>
    <w:p w:rsidR="00CA5193" w:rsidRPr="00CA5193" w:rsidRDefault="00CA5193" w:rsidP="00CA5193">
      <w:pPr>
        <w:pStyle w:val="TextoNormalSangraFrancesa"/>
        <w:rPr>
          <w:rStyle w:val="TextoNormalCaracter"/>
        </w:rPr>
      </w:pPr>
      <w:bookmarkStart w:id="749" w:name="DESCRIPTORALFABETICO397"/>
      <w:r w:rsidRPr="00CA5193">
        <w:rPr>
          <w:rStyle w:val="TextoNormalNegritaCaracter"/>
        </w:rPr>
        <w:t>Anotación preventiva de demanda de amparo</w:t>
      </w:r>
      <w:bookmarkEnd w:id="749"/>
      <w:r w:rsidRPr="00CA5193">
        <w:rPr>
          <w:rStyle w:val="TextoNormalCaracter"/>
        </w:rPr>
        <w:t xml:space="preserve">, Auto </w:t>
      </w:r>
      <w:hyperlink w:anchor="AUTO_2007_230" w:history="1">
        <w:r w:rsidRPr="00CA5193">
          <w:rPr>
            <w:rStyle w:val="TextoNormalCaracter"/>
          </w:rPr>
          <w:t>230/2007</w:t>
        </w:r>
      </w:hyperlink>
      <w:r w:rsidRPr="00CA5193">
        <w:rPr>
          <w:rStyle w:val="TextoNormalCaracter"/>
        </w:rPr>
        <w:t>.</w:t>
      </w:r>
    </w:p>
    <w:p w:rsidR="00CA5193" w:rsidRPr="00CA5193" w:rsidRDefault="00CA5193" w:rsidP="00CA5193">
      <w:pPr>
        <w:pStyle w:val="TextoNormalSangraFrancesa"/>
        <w:rPr>
          <w:rStyle w:val="TextoNormalCaracter"/>
        </w:rPr>
      </w:pPr>
      <w:bookmarkStart w:id="750" w:name="DESCRIPTORALFABETICO6"/>
      <w:r w:rsidRPr="00CA5193">
        <w:rPr>
          <w:rStyle w:val="TextoNormalNegritaCaracter"/>
        </w:rPr>
        <w:t>Anulación de proclamación de candidaturas</w:t>
      </w:r>
      <w:bookmarkEnd w:id="750"/>
      <w:r w:rsidRPr="00CA5193">
        <w:rPr>
          <w:rStyle w:val="TextoNormalCaracter"/>
        </w:rPr>
        <w:t xml:space="preserve">, Sentencias </w:t>
      </w:r>
      <w:hyperlink w:anchor="SENTENCIA_2007_96" w:history="1">
        <w:r w:rsidRPr="00CA5193">
          <w:rPr>
            <w:rStyle w:val="TextoNormalCaracter"/>
          </w:rPr>
          <w:t>96/2007</w:t>
        </w:r>
      </w:hyperlink>
      <w:r w:rsidRPr="00CA5193">
        <w:rPr>
          <w:rStyle w:val="TextoNormalCaracter"/>
        </w:rPr>
        <w:t xml:space="preserve">, ff. 4 a 6; </w:t>
      </w:r>
      <w:hyperlink w:anchor="SENTENCIA_2007_97" w:history="1">
        <w:r w:rsidRPr="00CA5193">
          <w:rPr>
            <w:rStyle w:val="TextoNormalCaracter"/>
          </w:rPr>
          <w:t>97/2007</w:t>
        </w:r>
      </w:hyperlink>
      <w:r w:rsidRPr="00CA5193">
        <w:rPr>
          <w:rStyle w:val="TextoNormalCaracter"/>
        </w:rPr>
        <w:t xml:space="preserve">, ff. 4, 5; </w:t>
      </w:r>
      <w:hyperlink w:anchor="SENTENCIA_2007_99" w:history="1">
        <w:r w:rsidRPr="00CA5193">
          <w:rPr>
            <w:rStyle w:val="TextoNormalCaracter"/>
          </w:rPr>
          <w:t>99/2007</w:t>
        </w:r>
      </w:hyperlink>
      <w:r w:rsidRPr="00CA5193">
        <w:rPr>
          <w:rStyle w:val="TextoNormalCaracter"/>
        </w:rPr>
        <w:t xml:space="preserve">, ff. 4 a 6; </w:t>
      </w:r>
      <w:hyperlink w:anchor="SENTENCIA_2007_100" w:history="1">
        <w:r w:rsidRPr="00CA5193">
          <w:rPr>
            <w:rStyle w:val="TextoNormalCaracter"/>
          </w:rPr>
          <w:t>100/2007</w:t>
        </w:r>
      </w:hyperlink>
      <w:r w:rsidRPr="00CA5193">
        <w:rPr>
          <w:rStyle w:val="TextoNormalCaracter"/>
        </w:rPr>
        <w:t xml:space="preserve">, ff. 3, 4; </w:t>
      </w:r>
      <w:hyperlink w:anchor="SENTENCIA_2007_101" w:history="1">
        <w:r w:rsidRPr="00CA5193">
          <w:rPr>
            <w:rStyle w:val="TextoNormalCaracter"/>
          </w:rPr>
          <w:t>101/2007</w:t>
        </w:r>
      </w:hyperlink>
      <w:r w:rsidRPr="00CA5193">
        <w:rPr>
          <w:rStyle w:val="TextoNormalCaracter"/>
        </w:rPr>
        <w:t xml:space="preserve">, f. 4; </w:t>
      </w:r>
      <w:hyperlink w:anchor="SENTENCIA_2007_102" w:history="1">
        <w:r w:rsidRPr="00CA5193">
          <w:rPr>
            <w:rStyle w:val="TextoNormalCaracter"/>
          </w:rPr>
          <w:t>102/2007</w:t>
        </w:r>
      </w:hyperlink>
      <w:r w:rsidRPr="00CA5193">
        <w:rPr>
          <w:rStyle w:val="TextoNormalCaracter"/>
        </w:rPr>
        <w:t xml:space="preserve">, ff. 3, 4; </w:t>
      </w:r>
      <w:hyperlink w:anchor="SENTENCIA_2007_104" w:history="1">
        <w:r w:rsidRPr="00CA5193">
          <w:rPr>
            <w:rStyle w:val="TextoNormalCaracter"/>
          </w:rPr>
          <w:t>104/2007</w:t>
        </w:r>
      </w:hyperlink>
      <w:r w:rsidRPr="00CA5193">
        <w:rPr>
          <w:rStyle w:val="TextoNormalCaracter"/>
        </w:rPr>
        <w:t xml:space="preserve">, ff. 3 a 5; </w:t>
      </w:r>
      <w:hyperlink w:anchor="SENTENCIA_2007_105" w:history="1">
        <w:r w:rsidRPr="00CA5193">
          <w:rPr>
            <w:rStyle w:val="TextoNormalCaracter"/>
          </w:rPr>
          <w:t>105/2007</w:t>
        </w:r>
      </w:hyperlink>
      <w:r w:rsidRPr="00CA5193">
        <w:rPr>
          <w:rStyle w:val="TextoNormalCaracter"/>
        </w:rPr>
        <w:t xml:space="preserve">, ff. 2 a 4; </w:t>
      </w:r>
      <w:hyperlink w:anchor="SENTENCIA_2007_109" w:history="1">
        <w:r w:rsidRPr="00CA5193">
          <w:rPr>
            <w:rStyle w:val="TextoNormalCaracter"/>
          </w:rPr>
          <w:t>109/2007</w:t>
        </w:r>
      </w:hyperlink>
      <w:r w:rsidRPr="00CA5193">
        <w:rPr>
          <w:rStyle w:val="TextoNormalCaracter"/>
        </w:rPr>
        <w:t xml:space="preserve">, ff. 2, 3; </w:t>
      </w:r>
      <w:hyperlink w:anchor="SENTENCIA_2007_110" w:history="1">
        <w:r w:rsidRPr="00CA5193">
          <w:rPr>
            <w:rStyle w:val="TextoNormalCaracter"/>
          </w:rPr>
          <w:t>110/2007</w:t>
        </w:r>
      </w:hyperlink>
      <w:r w:rsidRPr="00CA5193">
        <w:rPr>
          <w:rStyle w:val="TextoNormalCaracter"/>
        </w:rPr>
        <w:t xml:space="preserve">, ff. 1, 2, 3, 4, 5, 6, 7, 8, 9, 10, 11, 12, 13, 14, 15, 16, 17; </w:t>
      </w:r>
      <w:hyperlink w:anchor="SENTENCIA_2007_111" w:history="1">
        <w:r w:rsidRPr="00CA5193">
          <w:rPr>
            <w:rStyle w:val="TextoNormalCaracter"/>
          </w:rPr>
          <w:t>111/2007</w:t>
        </w:r>
      </w:hyperlink>
      <w:r w:rsidRPr="00CA5193">
        <w:rPr>
          <w:rStyle w:val="TextoNormalCaracter"/>
        </w:rPr>
        <w:t xml:space="preserve">, f. 3; </w:t>
      </w:r>
      <w:hyperlink w:anchor="SENTENCIA_2007_112" w:history="1">
        <w:r w:rsidRPr="00CA5193">
          <w:rPr>
            <w:rStyle w:val="TextoNormalCaracter"/>
          </w:rPr>
          <w:t>112/2007</w:t>
        </w:r>
      </w:hyperlink>
      <w:r w:rsidRPr="00CA5193">
        <w:rPr>
          <w:rStyle w:val="TextoNormalCaracter"/>
        </w:rPr>
        <w:t>, ff. 2 a 11.</w:t>
      </w:r>
    </w:p>
    <w:p w:rsidR="00CA5193" w:rsidRPr="00CA5193" w:rsidRDefault="00CA5193" w:rsidP="00CA5193">
      <w:pPr>
        <w:pStyle w:val="TextoNormalSangraFrancesa"/>
        <w:rPr>
          <w:rStyle w:val="TextoNormalNegritaCaracter"/>
        </w:rPr>
      </w:pPr>
      <w:r w:rsidRPr="00CA5193">
        <w:rPr>
          <w:rStyle w:val="TextoNormalCursivaCaracter"/>
        </w:rPr>
        <w:t>Apreciación de la prueba</w:t>
      </w:r>
      <w:r>
        <w:t xml:space="preserve"> véase </w:t>
      </w:r>
      <w:hyperlink w:anchor="DESCRIPTORALFABETICO384" w:history="1">
        <w:r w:rsidRPr="00CA5193">
          <w:rPr>
            <w:rStyle w:val="TextoNormalNegritaCaracter"/>
          </w:rPr>
          <w:t>Valoración de la prueba</w:t>
        </w:r>
      </w:hyperlink>
    </w:p>
    <w:p w:rsidR="00CA5193" w:rsidRPr="00CA5193" w:rsidRDefault="00CA5193" w:rsidP="00CA5193">
      <w:pPr>
        <w:pStyle w:val="TextoNormalSangraFrancesa"/>
        <w:rPr>
          <w:rStyle w:val="TextoNormalCaracter"/>
        </w:rPr>
      </w:pPr>
      <w:bookmarkStart w:id="751" w:name="DESCRIPTORALFABETICO345"/>
      <w:r w:rsidRPr="00CA5193">
        <w:rPr>
          <w:rStyle w:val="TextoNormalNegritaCaracter"/>
        </w:rPr>
        <w:t>Archivo de demanda</w:t>
      </w:r>
      <w:bookmarkEnd w:id="751"/>
      <w:r w:rsidRPr="00CA5193">
        <w:rPr>
          <w:rStyle w:val="TextoNormalCaracter"/>
        </w:rPr>
        <w:t xml:space="preserve">, Sentencia </w:t>
      </w:r>
      <w:hyperlink w:anchor="SENTENCIA_2007_119" w:history="1">
        <w:r w:rsidRPr="00CA5193">
          <w:rPr>
            <w:rStyle w:val="TextoNormalCaracter"/>
          </w:rPr>
          <w:t>119/2007</w:t>
        </w:r>
      </w:hyperlink>
      <w:r w:rsidRPr="00CA5193">
        <w:rPr>
          <w:rStyle w:val="TextoNormalCaracter"/>
        </w:rPr>
        <w:t>, ff. 1, 3 a 7.</w:t>
      </w:r>
    </w:p>
    <w:p w:rsidR="00CA5193" w:rsidRPr="00CA5193" w:rsidRDefault="00CA5193" w:rsidP="00CA5193">
      <w:pPr>
        <w:pStyle w:val="TextoNormalSangraFrancesa"/>
        <w:rPr>
          <w:rStyle w:val="TextoNormalNegritaCaracter"/>
        </w:rPr>
      </w:pPr>
      <w:r w:rsidRPr="00CA5193">
        <w:rPr>
          <w:rStyle w:val="TextoNormalCursivaCaracter"/>
        </w:rPr>
        <w:t>Asistencia jurídica gratuita</w:t>
      </w:r>
      <w:r>
        <w:t xml:space="preserve"> véase </w:t>
      </w:r>
      <w:hyperlink w:anchor="DESCRIPTORALFABETICO395" w:history="1">
        <w:r w:rsidRPr="00CA5193">
          <w:rPr>
            <w:rStyle w:val="TextoNormalNegritaCaracter"/>
          </w:rPr>
          <w:t>Justicia gratuita</w:t>
        </w:r>
      </w:hyperlink>
    </w:p>
    <w:p w:rsidR="00CA5193" w:rsidRPr="00CA5193" w:rsidRDefault="00CA5193" w:rsidP="00CA5193">
      <w:pPr>
        <w:pStyle w:val="TextoNormalSangraFrancesa"/>
        <w:rPr>
          <w:rStyle w:val="TextoNormalCaracter"/>
        </w:rPr>
      </w:pPr>
      <w:bookmarkStart w:id="752" w:name="DESCRIPTORALFABETICO264"/>
      <w:r w:rsidRPr="00CA5193">
        <w:rPr>
          <w:rStyle w:val="TextoNormalNegritaCaracter"/>
        </w:rPr>
        <w:t>Asociación ilícita</w:t>
      </w:r>
      <w:bookmarkEnd w:id="752"/>
      <w:r w:rsidRPr="00CA5193">
        <w:rPr>
          <w:rStyle w:val="TextoNormalCaracter"/>
        </w:rPr>
        <w:t xml:space="preserve">, Sentencia </w:t>
      </w:r>
      <w:hyperlink w:anchor="SENTENCIA_2007_117" w:history="1">
        <w:r w:rsidRPr="00CA5193">
          <w:rPr>
            <w:rStyle w:val="TextoNormalCaracter"/>
          </w:rPr>
          <w:t>117/2007</w:t>
        </w:r>
      </w:hyperlink>
      <w:r w:rsidRPr="00CA5193">
        <w:rPr>
          <w:rStyle w:val="TextoNormalCaracter"/>
        </w:rPr>
        <w:t>, ff. 4 a 6.</w:t>
      </w:r>
    </w:p>
    <w:p w:rsidR="00CA5193" w:rsidRPr="00CA5193" w:rsidRDefault="00CA5193" w:rsidP="00CA5193">
      <w:pPr>
        <w:pStyle w:val="TextoNormalSangraFrancesa"/>
        <w:rPr>
          <w:rStyle w:val="TextoNormalCaracter"/>
        </w:rPr>
      </w:pPr>
      <w:bookmarkStart w:id="753" w:name="DESCRIPTORALFABETICO144"/>
      <w:r w:rsidRPr="00CA5193">
        <w:rPr>
          <w:rStyle w:val="TextoNormalNegritaCaracter"/>
        </w:rPr>
        <w:t>Audiencia previa al Ministerio Fiscal</w:t>
      </w:r>
      <w:bookmarkEnd w:id="753"/>
      <w:r w:rsidRPr="00CA5193">
        <w:rPr>
          <w:rStyle w:val="TextoNormalCaracter"/>
        </w:rPr>
        <w:t xml:space="preserve">, Auto </w:t>
      </w:r>
      <w:hyperlink w:anchor="AUTO_2007_257" w:history="1">
        <w:r w:rsidRPr="00CA5193">
          <w:rPr>
            <w:rStyle w:val="TextoNormalCaracter"/>
          </w:rPr>
          <w:t>257/2007</w:t>
        </w:r>
      </w:hyperlink>
      <w:r w:rsidRPr="00CA5193">
        <w:rPr>
          <w:rStyle w:val="TextoNormalCaracter"/>
        </w:rPr>
        <w:t>.</w:t>
      </w:r>
    </w:p>
    <w:p w:rsidR="00CA5193" w:rsidRPr="00CA5193" w:rsidRDefault="00CA5193" w:rsidP="00CA5193">
      <w:pPr>
        <w:pStyle w:val="TextoNormalSangraFrancesa"/>
        <w:rPr>
          <w:rStyle w:val="TextoNormalCaracter"/>
        </w:rPr>
      </w:pPr>
      <w:bookmarkStart w:id="754" w:name="DESCRIPTORALFABETICO422"/>
      <w:r w:rsidRPr="00CA5193">
        <w:rPr>
          <w:rStyle w:val="TextoNormalNegritaCaracter"/>
        </w:rPr>
        <w:t>Auto de aclaración</w:t>
      </w:r>
      <w:bookmarkEnd w:id="754"/>
      <w:r w:rsidRPr="00CA5193">
        <w:rPr>
          <w:rStyle w:val="TextoNormalCaracter"/>
        </w:rPr>
        <w:t xml:space="preserve">, Sentencia </w:t>
      </w:r>
      <w:hyperlink w:anchor="SENTENCIA_2007_171" w:history="1">
        <w:r w:rsidRPr="00CA5193">
          <w:rPr>
            <w:rStyle w:val="TextoNormalCaracter"/>
          </w:rPr>
          <w:t>171/2007</w:t>
        </w:r>
      </w:hyperlink>
      <w:r w:rsidRPr="00CA5193">
        <w:rPr>
          <w:rStyle w:val="TextoNormalCaracter"/>
        </w:rPr>
        <w:t>, f. 4.</w:t>
      </w:r>
    </w:p>
    <w:p w:rsidR="00CA5193" w:rsidRPr="00CA5193" w:rsidRDefault="00CA5193" w:rsidP="00CA5193">
      <w:pPr>
        <w:pStyle w:val="TextoNormalSangraFrancesa"/>
        <w:rPr>
          <w:rStyle w:val="TextoNormalCaracter"/>
        </w:rPr>
      </w:pPr>
      <w:bookmarkStart w:id="755" w:name="DESCRIPTORALFABETICO215"/>
      <w:r w:rsidRPr="00CA5193">
        <w:rPr>
          <w:rStyle w:val="TextoNormalNegritaCaracter"/>
        </w:rPr>
        <w:t>Autonomía reglamentaria</w:t>
      </w:r>
      <w:bookmarkEnd w:id="755"/>
      <w:r w:rsidRPr="00CA5193">
        <w:rPr>
          <w:rStyle w:val="TextoNormalCaracter"/>
        </w:rPr>
        <w:t xml:space="preserve">, Sentencia </w:t>
      </w:r>
      <w:hyperlink w:anchor="SENTENCIA_2007_141" w:history="1">
        <w:r w:rsidRPr="00CA5193">
          <w:rPr>
            <w:rStyle w:val="TextoNormalCaracter"/>
          </w:rPr>
          <w:t>141/2007</w:t>
        </w:r>
      </w:hyperlink>
      <w:r w:rsidRPr="00CA5193">
        <w:rPr>
          <w:rStyle w:val="TextoNormalCaracter"/>
        </w:rPr>
        <w:t>, ff. 3 a 5.</w:t>
      </w:r>
    </w:p>
    <w:p w:rsidR="00CA5193" w:rsidRDefault="00CA5193" w:rsidP="00CA5193">
      <w:pPr>
        <w:pStyle w:val="TextoNormalSangraFrancesa"/>
      </w:pPr>
    </w:p>
    <w:p w:rsidR="00CA5193" w:rsidRDefault="00CA5193" w:rsidP="00CA5193">
      <w:pPr>
        <w:pStyle w:val="TextoNormalSangraFrancesa"/>
      </w:pPr>
    </w:p>
    <w:p w:rsidR="00CA5193" w:rsidRDefault="00CA5193" w:rsidP="00CA5193">
      <w:pPr>
        <w:pStyle w:val="TextoNormalNegritaCentrado"/>
      </w:pPr>
      <w:r>
        <w:t>B</w:t>
      </w:r>
    </w:p>
    <w:p w:rsidR="00CA5193" w:rsidRDefault="00CA5193" w:rsidP="00CA5193">
      <w:pPr>
        <w:pStyle w:val="TextoNormalNegritaCentrado"/>
      </w:pPr>
    </w:p>
    <w:p w:rsidR="00CA5193" w:rsidRDefault="00CA5193" w:rsidP="00CA5193">
      <w:pPr>
        <w:pStyle w:val="TextoNormalNegritaCentrado"/>
      </w:pPr>
    </w:p>
    <w:p w:rsidR="00CA5193" w:rsidRDefault="00CA5193" w:rsidP="00CA5193">
      <w:pPr>
        <w:pStyle w:val="TextoNormalNegritaCentrado"/>
      </w:pPr>
    </w:p>
    <w:p w:rsidR="00CA5193" w:rsidRPr="00CA5193" w:rsidRDefault="00CA5193" w:rsidP="00CA5193">
      <w:pPr>
        <w:pStyle w:val="TextoNormalSangraFrancesa"/>
        <w:rPr>
          <w:rStyle w:val="TextoNormalCaracter"/>
        </w:rPr>
      </w:pPr>
      <w:bookmarkStart w:id="756" w:name="DESCRIPTORALFABETICO309"/>
      <w:r w:rsidRPr="00CA5193">
        <w:rPr>
          <w:rStyle w:val="TextoNormalNegritaCaracter"/>
        </w:rPr>
        <w:t>Beneficios penitenciarios</w:t>
      </w:r>
      <w:bookmarkEnd w:id="756"/>
      <w:r w:rsidRPr="00CA5193">
        <w:rPr>
          <w:rStyle w:val="TextoNormalCaracter"/>
        </w:rPr>
        <w:t xml:space="preserve">, Auto </w:t>
      </w:r>
      <w:hyperlink w:anchor="AUTO_2007_287" w:history="1">
        <w:r w:rsidRPr="00CA5193">
          <w:rPr>
            <w:rStyle w:val="TextoNormalCaracter"/>
          </w:rPr>
          <w:t>287/2007</w:t>
        </w:r>
      </w:hyperlink>
      <w:r w:rsidRPr="00CA5193">
        <w:rPr>
          <w:rStyle w:val="TextoNormalCaracter"/>
        </w:rPr>
        <w:t>.</w:t>
      </w:r>
    </w:p>
    <w:p w:rsidR="00CA5193" w:rsidRPr="00CA5193" w:rsidRDefault="00CA5193" w:rsidP="00CA5193">
      <w:pPr>
        <w:pStyle w:val="TextoNormalSangraFrancesa"/>
        <w:rPr>
          <w:rStyle w:val="TextoNormalNegritaCaracter"/>
        </w:rPr>
      </w:pPr>
      <w:r w:rsidRPr="00CA5193">
        <w:rPr>
          <w:rStyle w:val="TextoNormalCursivaCaracter"/>
        </w:rPr>
        <w:t>Bienes embargados</w:t>
      </w:r>
      <w:r>
        <w:t xml:space="preserve"> véase </w:t>
      </w:r>
      <w:hyperlink w:anchor="DESCRIPTORALFABETICO398" w:history="1">
        <w:r w:rsidRPr="00CA5193">
          <w:rPr>
            <w:rStyle w:val="TextoNormalNegritaCaracter"/>
          </w:rPr>
          <w:t>Embargo de bienes</w:t>
        </w:r>
      </w:hyperlink>
    </w:p>
    <w:p w:rsidR="00CA5193" w:rsidRDefault="00CA5193" w:rsidP="00CA5193">
      <w:pPr>
        <w:pStyle w:val="TextoNormalSangraFrancesa"/>
      </w:pPr>
    </w:p>
    <w:p w:rsidR="00CA5193" w:rsidRDefault="00CA5193" w:rsidP="00CA5193">
      <w:pPr>
        <w:pStyle w:val="TextoNormalSangraFrancesa"/>
      </w:pPr>
    </w:p>
    <w:p w:rsidR="00CA5193" w:rsidRDefault="00CA5193" w:rsidP="00CA5193">
      <w:pPr>
        <w:pStyle w:val="TextoNormalNegritaCentrado"/>
      </w:pPr>
      <w:r>
        <w:t>C</w:t>
      </w:r>
    </w:p>
    <w:p w:rsidR="00CA5193" w:rsidRDefault="00CA5193" w:rsidP="00CA5193">
      <w:pPr>
        <w:pStyle w:val="TextoNormalNegritaCentrado"/>
      </w:pPr>
    </w:p>
    <w:p w:rsidR="00CA5193" w:rsidRDefault="00CA5193" w:rsidP="00CA5193">
      <w:pPr>
        <w:pStyle w:val="TextoNormalNegritaCentrado"/>
      </w:pPr>
    </w:p>
    <w:p w:rsidR="00CA5193" w:rsidRDefault="00CA5193" w:rsidP="00CA5193">
      <w:pPr>
        <w:pStyle w:val="TextoNormalNegritaCentrado"/>
      </w:pPr>
    </w:p>
    <w:p w:rsidR="00CA5193" w:rsidRPr="00CA5193" w:rsidRDefault="00CA5193" w:rsidP="00CA5193">
      <w:pPr>
        <w:pStyle w:val="TextoNormalSangraFrancesa"/>
        <w:rPr>
          <w:rStyle w:val="TextoNormalCaracter"/>
        </w:rPr>
      </w:pPr>
      <w:bookmarkStart w:id="757" w:name="DESCRIPTORALFABETICO33"/>
      <w:r w:rsidRPr="00CA5193">
        <w:rPr>
          <w:rStyle w:val="TextoNormalNegritaCaracter"/>
        </w:rPr>
        <w:lastRenderedPageBreak/>
        <w:t>Cambio de criterio del órgano judicial</w:t>
      </w:r>
      <w:bookmarkEnd w:id="757"/>
      <w:r w:rsidRPr="00CA5193">
        <w:rPr>
          <w:rStyle w:val="TextoNormalCaracter"/>
        </w:rPr>
        <w:t xml:space="preserve">, Sentencia </w:t>
      </w:r>
      <w:hyperlink w:anchor="SENTENCIA_2007_147" w:history="1">
        <w:r w:rsidRPr="00CA5193">
          <w:rPr>
            <w:rStyle w:val="TextoNormalCaracter"/>
          </w:rPr>
          <w:t>147/2007</w:t>
        </w:r>
      </w:hyperlink>
      <w:r w:rsidRPr="00CA5193">
        <w:rPr>
          <w:rStyle w:val="TextoNormalCaracter"/>
        </w:rPr>
        <w:t>, f. 5.</w:t>
      </w:r>
    </w:p>
    <w:p w:rsidR="00CA5193" w:rsidRPr="00CA5193" w:rsidRDefault="00CA5193" w:rsidP="00CA5193">
      <w:pPr>
        <w:pStyle w:val="TextoNormalSangraFrancesa"/>
        <w:rPr>
          <w:rStyle w:val="TextoNormalCaracter"/>
        </w:rPr>
      </w:pPr>
      <w:bookmarkStart w:id="758" w:name="DESCRIPTORALFABETICO16"/>
      <w:r w:rsidRPr="00CA5193">
        <w:rPr>
          <w:rStyle w:val="TextoNormalNegritaCaracter"/>
        </w:rPr>
        <w:t>Candidaturas electorales</w:t>
      </w:r>
      <w:bookmarkEnd w:id="758"/>
      <w:r w:rsidRPr="00CA5193">
        <w:rPr>
          <w:rStyle w:val="TextoNormalCaracter"/>
        </w:rPr>
        <w:t xml:space="preserve">, Sentencias </w:t>
      </w:r>
      <w:hyperlink w:anchor="SENTENCIA_2007_96" w:history="1">
        <w:r w:rsidRPr="00CA5193">
          <w:rPr>
            <w:rStyle w:val="TextoNormalCaracter"/>
          </w:rPr>
          <w:t>96/2007</w:t>
        </w:r>
      </w:hyperlink>
      <w:r w:rsidRPr="00CA5193">
        <w:rPr>
          <w:rStyle w:val="TextoNormalCaracter"/>
        </w:rPr>
        <w:t xml:space="preserve">, ff. 2, 4 a 6; </w:t>
      </w:r>
      <w:hyperlink w:anchor="SENTENCIA_2007_97" w:history="1">
        <w:r w:rsidRPr="00CA5193">
          <w:rPr>
            <w:rStyle w:val="TextoNormalCaracter"/>
          </w:rPr>
          <w:t>97/2007</w:t>
        </w:r>
      </w:hyperlink>
      <w:r w:rsidRPr="00CA5193">
        <w:rPr>
          <w:rStyle w:val="TextoNormalCaracter"/>
        </w:rPr>
        <w:t xml:space="preserve">, f. 4; </w:t>
      </w:r>
      <w:hyperlink w:anchor="SENTENCIA_2007_99" w:history="1">
        <w:r w:rsidRPr="00CA5193">
          <w:rPr>
            <w:rStyle w:val="TextoNormalCaracter"/>
          </w:rPr>
          <w:t>99/2007</w:t>
        </w:r>
      </w:hyperlink>
      <w:r w:rsidRPr="00CA5193">
        <w:rPr>
          <w:rStyle w:val="TextoNormalCaracter"/>
        </w:rPr>
        <w:t xml:space="preserve">, ff. 2, 4 a 6; </w:t>
      </w:r>
      <w:hyperlink w:anchor="SENTENCIA_2007_100" w:history="1">
        <w:r w:rsidRPr="00CA5193">
          <w:rPr>
            <w:rStyle w:val="TextoNormalCaracter"/>
          </w:rPr>
          <w:t>100/2007</w:t>
        </w:r>
      </w:hyperlink>
      <w:r w:rsidRPr="00CA5193">
        <w:rPr>
          <w:rStyle w:val="TextoNormalCaracter"/>
        </w:rPr>
        <w:t xml:space="preserve">, f. 3; </w:t>
      </w:r>
      <w:hyperlink w:anchor="SENTENCIA_2007_101" w:history="1">
        <w:r w:rsidRPr="00CA5193">
          <w:rPr>
            <w:rStyle w:val="TextoNormalCaracter"/>
          </w:rPr>
          <w:t>101/2007</w:t>
        </w:r>
      </w:hyperlink>
      <w:r w:rsidRPr="00CA5193">
        <w:rPr>
          <w:rStyle w:val="TextoNormalCaracter"/>
        </w:rPr>
        <w:t xml:space="preserve">, ff. 2 a 4; </w:t>
      </w:r>
      <w:hyperlink w:anchor="SENTENCIA_2007_102" w:history="1">
        <w:r w:rsidRPr="00CA5193">
          <w:rPr>
            <w:rStyle w:val="TextoNormalCaracter"/>
          </w:rPr>
          <w:t>102/2007</w:t>
        </w:r>
      </w:hyperlink>
      <w:r w:rsidRPr="00CA5193">
        <w:rPr>
          <w:rStyle w:val="TextoNormalCaracter"/>
        </w:rPr>
        <w:t xml:space="preserve">, ff. 3 a 5; </w:t>
      </w:r>
      <w:hyperlink w:anchor="SENTENCIA_2007_104" w:history="1">
        <w:r w:rsidRPr="00CA5193">
          <w:rPr>
            <w:rStyle w:val="TextoNormalCaracter"/>
          </w:rPr>
          <w:t>104/2007</w:t>
        </w:r>
      </w:hyperlink>
      <w:r w:rsidRPr="00CA5193">
        <w:rPr>
          <w:rStyle w:val="TextoNormalCaracter"/>
        </w:rPr>
        <w:t xml:space="preserve">, ff. 3 a 5; </w:t>
      </w:r>
      <w:hyperlink w:anchor="SENTENCIA_2007_105" w:history="1">
        <w:r w:rsidRPr="00CA5193">
          <w:rPr>
            <w:rStyle w:val="TextoNormalCaracter"/>
          </w:rPr>
          <w:t>105/2007</w:t>
        </w:r>
      </w:hyperlink>
      <w:r w:rsidRPr="00CA5193">
        <w:rPr>
          <w:rStyle w:val="TextoNormalCaracter"/>
        </w:rPr>
        <w:t xml:space="preserve">, ff. 2 a 4; </w:t>
      </w:r>
      <w:hyperlink w:anchor="SENTENCIA_2007_108" w:history="1">
        <w:r w:rsidRPr="00CA5193">
          <w:rPr>
            <w:rStyle w:val="TextoNormalCaracter"/>
          </w:rPr>
          <w:t>108/2007</w:t>
        </w:r>
      </w:hyperlink>
      <w:r w:rsidRPr="00CA5193">
        <w:rPr>
          <w:rStyle w:val="TextoNormalCaracter"/>
        </w:rPr>
        <w:t xml:space="preserve">, ff. 3 a 5; </w:t>
      </w:r>
      <w:hyperlink w:anchor="SENTENCIA_2007_112" w:history="1">
        <w:r w:rsidRPr="00CA5193">
          <w:rPr>
            <w:rStyle w:val="TextoNormalCaracter"/>
          </w:rPr>
          <w:t>112/2007</w:t>
        </w:r>
      </w:hyperlink>
      <w:r w:rsidRPr="00CA5193">
        <w:rPr>
          <w:rStyle w:val="TextoNormalCaracter"/>
        </w:rPr>
        <w:t xml:space="preserve">, f. 9; </w:t>
      </w:r>
      <w:hyperlink w:anchor="SENTENCIA_2007_127" w:history="1">
        <w:r w:rsidRPr="00CA5193">
          <w:rPr>
            <w:rStyle w:val="TextoNormalCaracter"/>
          </w:rPr>
          <w:t>127/2007</w:t>
        </w:r>
      </w:hyperlink>
      <w:r w:rsidRPr="00CA5193">
        <w:rPr>
          <w:rStyle w:val="TextoNormalCaracter"/>
        </w:rPr>
        <w:t>, f. 4.</w:t>
      </w:r>
    </w:p>
    <w:p w:rsidR="00CA5193" w:rsidRPr="00CA5193" w:rsidRDefault="00CA5193" w:rsidP="00CA5193">
      <w:pPr>
        <w:pStyle w:val="TextoNormalSangraFrancesa"/>
        <w:rPr>
          <w:rStyle w:val="TextoNormalCaracter"/>
        </w:rPr>
      </w:pPr>
      <w:bookmarkStart w:id="759" w:name="DESCRIPTORALFABETICO68"/>
      <w:r w:rsidRPr="00CA5193">
        <w:rPr>
          <w:rStyle w:val="TextoNormalNegritaCaracter"/>
        </w:rPr>
        <w:t>Canon de motivación reforzado para la extradición</w:t>
      </w:r>
      <w:bookmarkEnd w:id="759"/>
      <w:r w:rsidRPr="00CA5193">
        <w:rPr>
          <w:rStyle w:val="TextoNormalCaracter"/>
        </w:rPr>
        <w:t xml:space="preserve">, Sentencia </w:t>
      </w:r>
      <w:hyperlink w:anchor="SENTENCIA_2007_140" w:history="1">
        <w:r w:rsidRPr="00CA5193">
          <w:rPr>
            <w:rStyle w:val="TextoNormalCaracter"/>
          </w:rPr>
          <w:t>140/2007</w:t>
        </w:r>
      </w:hyperlink>
      <w:r w:rsidRPr="00CA5193">
        <w:rPr>
          <w:rStyle w:val="TextoNormalCaracter"/>
        </w:rPr>
        <w:t>, ff. 2, 3.</w:t>
      </w:r>
    </w:p>
    <w:p w:rsidR="00CA5193" w:rsidRPr="00CA5193" w:rsidRDefault="00CA5193" w:rsidP="00CA5193">
      <w:pPr>
        <w:pStyle w:val="TextoNormalSangraFrancesa"/>
        <w:rPr>
          <w:rStyle w:val="TextoNormalCaracter"/>
        </w:rPr>
      </w:pPr>
      <w:bookmarkStart w:id="760" w:name="DESCRIPTORALFABETICO418"/>
      <w:r w:rsidRPr="00CA5193">
        <w:rPr>
          <w:rStyle w:val="TextoNormalNegritaCaracter"/>
        </w:rPr>
        <w:t>Carácter extraordinario del recurso de casación</w:t>
      </w:r>
      <w:bookmarkEnd w:id="760"/>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f. 3.</w:t>
      </w:r>
    </w:p>
    <w:p w:rsidR="00CA5193" w:rsidRPr="00CA5193" w:rsidRDefault="00CA5193" w:rsidP="00CA5193">
      <w:pPr>
        <w:pStyle w:val="TextoNormalSangraFrancesa"/>
        <w:rPr>
          <w:rStyle w:val="TextoNormalCaracter"/>
        </w:rPr>
      </w:pPr>
      <w:bookmarkStart w:id="761" w:name="DESCRIPTORALFABETICO163"/>
      <w:r w:rsidRPr="00CA5193">
        <w:rPr>
          <w:rStyle w:val="TextoNormalNegritaCaracter"/>
        </w:rPr>
        <w:t>Carácter subsidiario del recurso de amparo</w:t>
      </w:r>
      <w:bookmarkEnd w:id="761"/>
      <w:r w:rsidRPr="00CA5193">
        <w:rPr>
          <w:rStyle w:val="TextoNormalCaracter"/>
        </w:rPr>
        <w:t xml:space="preserve">, Sentencias </w:t>
      </w:r>
      <w:hyperlink w:anchor="SENTENCIA_2007_135" w:history="1">
        <w:r w:rsidRPr="00CA5193">
          <w:rPr>
            <w:rStyle w:val="TextoNormalCaracter"/>
          </w:rPr>
          <w:t>135/2007</w:t>
        </w:r>
      </w:hyperlink>
      <w:r w:rsidRPr="00CA5193">
        <w:rPr>
          <w:rStyle w:val="TextoNormalCaracter"/>
        </w:rPr>
        <w:t xml:space="preserve">, f. 3; </w:t>
      </w:r>
      <w:hyperlink w:anchor="SENTENCIA_2007_144" w:history="1">
        <w:r w:rsidRPr="00CA5193">
          <w:rPr>
            <w:rStyle w:val="TextoNormalCaracter"/>
          </w:rPr>
          <w:t>144/2007</w:t>
        </w:r>
      </w:hyperlink>
      <w:r w:rsidRPr="00CA5193">
        <w:rPr>
          <w:rStyle w:val="TextoNormalCaracter"/>
        </w:rPr>
        <w:t>, f. 2.</w:t>
      </w:r>
    </w:p>
    <w:p w:rsidR="00CA5193" w:rsidRPr="00CA5193" w:rsidRDefault="00CA5193" w:rsidP="00CA5193">
      <w:pPr>
        <w:pStyle w:val="TextoNormalSangraFrancesa"/>
        <w:rPr>
          <w:rStyle w:val="TextoNormalCaracter"/>
        </w:rPr>
      </w:pPr>
      <w:r w:rsidRPr="00CA5193">
        <w:rPr>
          <w:rStyle w:val="TextoNormalCaracter"/>
        </w:rPr>
        <w:t xml:space="preserve">    Autos </w:t>
      </w:r>
      <w:hyperlink w:anchor="AUTO_2007_260" w:history="1">
        <w:r w:rsidRPr="00CA5193">
          <w:rPr>
            <w:rStyle w:val="TextoNormalCaracter"/>
          </w:rPr>
          <w:t>260/2007</w:t>
        </w:r>
      </w:hyperlink>
      <w:r w:rsidRPr="00CA5193">
        <w:rPr>
          <w:rStyle w:val="TextoNormalCaracter"/>
        </w:rPr>
        <w:t xml:space="preserve">; </w:t>
      </w:r>
      <w:hyperlink w:anchor="AUTO_2007_318" w:history="1">
        <w:r w:rsidRPr="00CA5193">
          <w:rPr>
            <w:rStyle w:val="TextoNormalCaracter"/>
          </w:rPr>
          <w:t>318/2007</w:t>
        </w:r>
      </w:hyperlink>
      <w:r w:rsidRPr="00CA5193">
        <w:rPr>
          <w:rStyle w:val="TextoNormalCaracter"/>
        </w:rPr>
        <w:t>.</w:t>
      </w:r>
    </w:p>
    <w:p w:rsidR="00CA5193" w:rsidRPr="00CA5193" w:rsidRDefault="00CA5193" w:rsidP="00CA5193">
      <w:pPr>
        <w:pStyle w:val="TextoNormalSangraFrancesa"/>
        <w:rPr>
          <w:rStyle w:val="TextoNormalNegritaCaracter"/>
        </w:rPr>
      </w:pPr>
      <w:r w:rsidRPr="00CA5193">
        <w:rPr>
          <w:rStyle w:val="TextoNormalCursivaCaracter"/>
        </w:rPr>
        <w:t>Carencia de contenido constitucional</w:t>
      </w:r>
      <w:r>
        <w:t xml:space="preserve"> véase </w:t>
      </w:r>
      <w:hyperlink w:anchor="DESCRIPTORALFABETICO176" w:history="1">
        <w:r w:rsidRPr="00CA5193">
          <w:rPr>
            <w:rStyle w:val="TextoNormalNegritaCaracter"/>
          </w:rPr>
          <w:t>Carencia de contenido que justifique una decisión sobre el fondo del asunto</w:t>
        </w:r>
      </w:hyperlink>
    </w:p>
    <w:p w:rsidR="00CA5193" w:rsidRPr="00CA5193" w:rsidRDefault="00CA5193" w:rsidP="00CA5193">
      <w:pPr>
        <w:pStyle w:val="TextoNormalSangraFrancesa"/>
        <w:rPr>
          <w:rStyle w:val="TextoNormalCaracter"/>
        </w:rPr>
      </w:pPr>
      <w:bookmarkStart w:id="762" w:name="DESCRIPTORALFABETICO176"/>
      <w:r w:rsidRPr="00CA5193">
        <w:rPr>
          <w:rStyle w:val="TextoNormalNegritaCaracter"/>
        </w:rPr>
        <w:t>Carencia de contenido que justifique una decisión sobre el fondo del asunto</w:t>
      </w:r>
      <w:bookmarkEnd w:id="762"/>
      <w:r w:rsidRPr="00CA5193">
        <w:rPr>
          <w:rStyle w:val="TextoNormalCaracter"/>
        </w:rPr>
        <w:t xml:space="preserve">, Sentencias </w:t>
      </w:r>
      <w:hyperlink w:anchor="SENTENCIA_2007_101" w:history="1">
        <w:r w:rsidRPr="00CA5193">
          <w:rPr>
            <w:rStyle w:val="TextoNormalCaracter"/>
          </w:rPr>
          <w:t>101/2007</w:t>
        </w:r>
      </w:hyperlink>
      <w:r w:rsidRPr="00CA5193">
        <w:rPr>
          <w:rStyle w:val="TextoNormalCaracter"/>
        </w:rPr>
        <w:t xml:space="preserve">, f. 5; </w:t>
      </w:r>
      <w:hyperlink w:anchor="SENTENCIA_2007_102" w:history="1">
        <w:r w:rsidRPr="00CA5193">
          <w:rPr>
            <w:rStyle w:val="TextoNormalCaracter"/>
          </w:rPr>
          <w:t>102/2007</w:t>
        </w:r>
      </w:hyperlink>
      <w:r w:rsidRPr="00CA5193">
        <w:rPr>
          <w:rStyle w:val="TextoNormalCaracter"/>
        </w:rPr>
        <w:t>, f. 2.</w:t>
      </w:r>
    </w:p>
    <w:p w:rsidR="00CA5193" w:rsidRPr="00CA5193" w:rsidRDefault="00CA5193" w:rsidP="00CA5193">
      <w:pPr>
        <w:pStyle w:val="TextoNormalSangraFrancesa"/>
        <w:rPr>
          <w:rStyle w:val="TextoNormalCaracter"/>
        </w:rPr>
      </w:pPr>
      <w:r w:rsidRPr="00CA5193">
        <w:rPr>
          <w:rStyle w:val="TextoNormalCaracter"/>
        </w:rPr>
        <w:t xml:space="preserve">    Autos </w:t>
      </w:r>
      <w:hyperlink w:anchor="AUTO_2007_231" w:history="1">
        <w:r w:rsidRPr="00CA5193">
          <w:rPr>
            <w:rStyle w:val="TextoNormalCaracter"/>
          </w:rPr>
          <w:t>231/2007</w:t>
        </w:r>
      </w:hyperlink>
      <w:r w:rsidRPr="00CA5193">
        <w:rPr>
          <w:rStyle w:val="TextoNormalCaracter"/>
        </w:rPr>
        <w:t xml:space="preserve">; </w:t>
      </w:r>
      <w:hyperlink w:anchor="AUTO_2007_262" w:history="1">
        <w:r w:rsidRPr="00CA5193">
          <w:rPr>
            <w:rStyle w:val="TextoNormalCaracter"/>
          </w:rPr>
          <w:t>262/2007</w:t>
        </w:r>
      </w:hyperlink>
      <w:r w:rsidRPr="00CA5193">
        <w:rPr>
          <w:rStyle w:val="TextoNormalCaracter"/>
        </w:rPr>
        <w:t xml:space="preserve">; </w:t>
      </w:r>
      <w:hyperlink w:anchor="AUTO_2007_271" w:history="1">
        <w:r w:rsidRPr="00CA5193">
          <w:rPr>
            <w:rStyle w:val="TextoNormalCaracter"/>
          </w:rPr>
          <w:t>271/2007</w:t>
        </w:r>
      </w:hyperlink>
      <w:r w:rsidRPr="00CA5193">
        <w:rPr>
          <w:rStyle w:val="TextoNormalCaracter"/>
        </w:rPr>
        <w:t xml:space="preserve">; </w:t>
      </w:r>
      <w:hyperlink w:anchor="AUTO_2007_316" w:history="1">
        <w:r w:rsidRPr="00CA5193">
          <w:rPr>
            <w:rStyle w:val="TextoNormalCaracter"/>
          </w:rPr>
          <w:t>316/2007</w:t>
        </w:r>
      </w:hyperlink>
      <w:r w:rsidRPr="00CA5193">
        <w:rPr>
          <w:rStyle w:val="TextoNormalCaracter"/>
        </w:rPr>
        <w:t xml:space="preserve">; </w:t>
      </w:r>
      <w:hyperlink w:anchor="AUTO_2007_317" w:history="1">
        <w:r w:rsidRPr="00CA5193">
          <w:rPr>
            <w:rStyle w:val="TextoNormalCaracter"/>
          </w:rPr>
          <w:t>317/2007</w:t>
        </w:r>
      </w:hyperlink>
      <w:r w:rsidRPr="00CA5193">
        <w:rPr>
          <w:rStyle w:val="TextoNormalCaracter"/>
        </w:rPr>
        <w:t>.</w:t>
      </w:r>
    </w:p>
    <w:p w:rsidR="00CA5193" w:rsidRPr="00CA5193" w:rsidRDefault="00CA5193" w:rsidP="00CA5193">
      <w:pPr>
        <w:pStyle w:val="TextoNormalSangraFrancesa"/>
        <w:rPr>
          <w:rStyle w:val="TextoNormalNegritaCaracter"/>
        </w:rPr>
      </w:pPr>
      <w:r w:rsidRPr="00CA5193">
        <w:rPr>
          <w:rStyle w:val="TextoNormalCursivaCaracter"/>
        </w:rPr>
        <w:t>Cargos de libre designación</w:t>
      </w:r>
      <w:r>
        <w:t xml:space="preserve"> véase </w:t>
      </w:r>
      <w:hyperlink w:anchor="DESCRIPTORALFABETICO259" w:history="1">
        <w:r w:rsidRPr="00CA5193">
          <w:rPr>
            <w:rStyle w:val="TextoNormalNegritaCaracter"/>
          </w:rPr>
          <w:t>Puestos de libre designación</w:t>
        </w:r>
      </w:hyperlink>
    </w:p>
    <w:p w:rsidR="00CA5193" w:rsidRPr="00CA5193" w:rsidRDefault="00CA5193" w:rsidP="00CA5193">
      <w:pPr>
        <w:pStyle w:val="TextoNormalSangraFrancesa"/>
        <w:rPr>
          <w:rStyle w:val="TextoNormalCaracter"/>
        </w:rPr>
      </w:pPr>
      <w:bookmarkStart w:id="763" w:name="DESCRIPTORALFABETICO26"/>
      <w:r w:rsidRPr="00CA5193">
        <w:rPr>
          <w:rStyle w:val="TextoNormalNegritaCaracter"/>
        </w:rPr>
        <w:t>Cargos públicos de representación política</w:t>
      </w:r>
      <w:bookmarkEnd w:id="763"/>
      <w:r w:rsidRPr="00CA5193">
        <w:rPr>
          <w:rStyle w:val="TextoNormalCaracter"/>
        </w:rPr>
        <w:t xml:space="preserve">, Sentencia </w:t>
      </w:r>
      <w:hyperlink w:anchor="SENTENCIA_2007_127" w:history="1">
        <w:r w:rsidRPr="00CA5193">
          <w:rPr>
            <w:rStyle w:val="TextoNormalCaracter"/>
          </w:rPr>
          <w:t>127/2007</w:t>
        </w:r>
      </w:hyperlink>
      <w:r w:rsidRPr="00CA5193">
        <w:rPr>
          <w:rStyle w:val="TextoNormalCaracter"/>
        </w:rPr>
        <w:t>, f. 4.</w:t>
      </w:r>
    </w:p>
    <w:p w:rsidR="00CA5193" w:rsidRPr="00CA5193" w:rsidRDefault="00CA5193" w:rsidP="00CA5193">
      <w:pPr>
        <w:pStyle w:val="TextoNormalSangraFrancesa"/>
        <w:rPr>
          <w:rStyle w:val="TextoNormalCaracter"/>
        </w:rPr>
      </w:pPr>
      <w:bookmarkStart w:id="764" w:name="DESCRIPTORALFABETICO29"/>
      <w:r w:rsidRPr="00CA5193">
        <w:rPr>
          <w:rStyle w:val="TextoNormalNegritaCaracter"/>
        </w:rPr>
        <w:t>Causas de inelegibilidad</w:t>
      </w:r>
      <w:bookmarkEnd w:id="764"/>
      <w:r w:rsidRPr="00CA5193">
        <w:rPr>
          <w:rStyle w:val="TextoNormalCaracter"/>
        </w:rPr>
        <w:t xml:space="preserve">, Sentencia </w:t>
      </w:r>
      <w:hyperlink w:anchor="SENTENCIA_2007_127" w:history="1">
        <w:r w:rsidRPr="00CA5193">
          <w:rPr>
            <w:rStyle w:val="TextoNormalCaracter"/>
          </w:rPr>
          <w:t>127/2007</w:t>
        </w:r>
      </w:hyperlink>
      <w:r w:rsidRPr="00CA5193">
        <w:rPr>
          <w:rStyle w:val="TextoNormalCaracter"/>
        </w:rPr>
        <w:t>, f. 4.</w:t>
      </w:r>
    </w:p>
    <w:p w:rsidR="00CA5193" w:rsidRPr="00CA5193" w:rsidRDefault="00CA5193" w:rsidP="00CA5193">
      <w:pPr>
        <w:pStyle w:val="TextoNormalSangraFrancesa"/>
        <w:rPr>
          <w:rStyle w:val="TextoNormalCaracter"/>
        </w:rPr>
      </w:pPr>
      <w:bookmarkStart w:id="765" w:name="DESCRIPTORALFABETICO246"/>
      <w:r w:rsidRPr="00CA5193">
        <w:rPr>
          <w:rStyle w:val="TextoNormalNegritaCaracter"/>
        </w:rPr>
        <w:t>Cesiones a Estados extranjeros</w:t>
      </w:r>
      <w:bookmarkEnd w:id="765"/>
      <w:r w:rsidRPr="00CA5193">
        <w:rPr>
          <w:rStyle w:val="TextoNormalCaracter"/>
        </w:rPr>
        <w:t xml:space="preserve">, Auto </w:t>
      </w:r>
      <w:hyperlink w:anchor="AUTO_2007_317" w:history="1">
        <w:r w:rsidRPr="00CA5193">
          <w:rPr>
            <w:rStyle w:val="TextoNormalCaracter"/>
          </w:rPr>
          <w:t>317/2007</w:t>
        </w:r>
      </w:hyperlink>
      <w:r w:rsidRPr="00CA5193">
        <w:rPr>
          <w:rStyle w:val="TextoNormalCaracter"/>
        </w:rPr>
        <w:t>.</w:t>
      </w:r>
    </w:p>
    <w:p w:rsidR="00CA5193" w:rsidRPr="00CA5193" w:rsidRDefault="00CA5193" w:rsidP="00CA5193">
      <w:pPr>
        <w:pStyle w:val="TextoNormalSangraFrancesa"/>
        <w:rPr>
          <w:rStyle w:val="TextoNormalCaracter"/>
        </w:rPr>
      </w:pPr>
      <w:bookmarkStart w:id="766" w:name="DESCRIPTORALFABETICO322"/>
      <w:r w:rsidRPr="00CA5193">
        <w:rPr>
          <w:rStyle w:val="TextoNormalNegritaCaracter"/>
        </w:rPr>
        <w:t>Circunstancias modificativas de la responsabilidad penal</w:t>
      </w:r>
      <w:bookmarkEnd w:id="766"/>
      <w:r w:rsidRPr="00CA5193">
        <w:rPr>
          <w:rStyle w:val="TextoNormalCaracter"/>
        </w:rPr>
        <w:t xml:space="preserve">, Sentencia </w:t>
      </w:r>
      <w:hyperlink w:anchor="SENTENCIA_2007_126" w:history="1">
        <w:r w:rsidRPr="00CA5193">
          <w:rPr>
            <w:rStyle w:val="TextoNormalCaracter"/>
          </w:rPr>
          <w:t>126/2007</w:t>
        </w:r>
      </w:hyperlink>
      <w:r w:rsidRPr="00CA5193">
        <w:rPr>
          <w:rStyle w:val="TextoNormalCaracter"/>
        </w:rPr>
        <w:t>, f. 5.</w:t>
      </w:r>
    </w:p>
    <w:p w:rsidR="00CA5193" w:rsidRPr="00CA5193" w:rsidRDefault="00CA5193" w:rsidP="00CA5193">
      <w:pPr>
        <w:pStyle w:val="TextoNormalSangraFrancesa"/>
        <w:rPr>
          <w:rStyle w:val="TextoNormalCaracter"/>
        </w:rPr>
      </w:pPr>
      <w:bookmarkStart w:id="767" w:name="DESCRIPTORALFABETICO306"/>
      <w:r w:rsidRPr="00CA5193">
        <w:rPr>
          <w:rStyle w:val="TextoNormalNegritaCaracter"/>
        </w:rPr>
        <w:t>Colegios profesionales</w:t>
      </w:r>
      <w:bookmarkEnd w:id="767"/>
      <w:r w:rsidRPr="00CA5193">
        <w:rPr>
          <w:rStyle w:val="TextoNormalCaracter"/>
        </w:rPr>
        <w:t xml:space="preserve">, Sentencia </w:t>
      </w:r>
      <w:hyperlink w:anchor="SENTENCIA_2007_163" w:history="1">
        <w:r w:rsidRPr="00CA5193">
          <w:rPr>
            <w:rStyle w:val="TextoNormalCaracter"/>
          </w:rPr>
          <w:t>163/2007</w:t>
        </w:r>
      </w:hyperlink>
      <w:r w:rsidRPr="00CA5193">
        <w:rPr>
          <w:rStyle w:val="TextoNormalCaracter"/>
        </w:rPr>
        <w:t>, f. 3.</w:t>
      </w:r>
    </w:p>
    <w:p w:rsidR="00CA5193" w:rsidRPr="00CA5193" w:rsidRDefault="00CA5193" w:rsidP="00CA5193">
      <w:pPr>
        <w:pStyle w:val="TextoNormalSangraFrancesa"/>
        <w:rPr>
          <w:rStyle w:val="TextoNormalCaracter"/>
        </w:rPr>
      </w:pPr>
      <w:bookmarkStart w:id="768" w:name="DESCRIPTORALFABETICO119"/>
      <w:r w:rsidRPr="00CA5193">
        <w:rPr>
          <w:rStyle w:val="TextoNormalNegritaCaracter"/>
        </w:rPr>
        <w:t>Competencia en materia de observancia de tratados internacionales</w:t>
      </w:r>
      <w:bookmarkEnd w:id="768"/>
      <w:r w:rsidRPr="00CA5193">
        <w:rPr>
          <w:rStyle w:val="TextoNormalCaracter"/>
        </w:rPr>
        <w:t xml:space="preserve">, Sentencia </w:t>
      </w:r>
      <w:hyperlink w:anchor="SENTENCIA_2007_110" w:history="1">
        <w:r w:rsidRPr="00CA5193">
          <w:rPr>
            <w:rStyle w:val="TextoNormalCaracter"/>
          </w:rPr>
          <w:t>110/2007</w:t>
        </w:r>
      </w:hyperlink>
      <w:r w:rsidRPr="00CA5193">
        <w:rPr>
          <w:rStyle w:val="TextoNormalCaracter"/>
        </w:rPr>
        <w:t>, f. 2.</w:t>
      </w:r>
    </w:p>
    <w:p w:rsidR="00CA5193" w:rsidRPr="00CA5193" w:rsidRDefault="00CA5193" w:rsidP="00CA5193">
      <w:pPr>
        <w:pStyle w:val="TextoNormalSangraFrancesa"/>
        <w:rPr>
          <w:rStyle w:val="TextoNormalCaracter"/>
        </w:rPr>
      </w:pPr>
      <w:bookmarkStart w:id="769" w:name="DESCRIPTORALFABETICO334"/>
      <w:r w:rsidRPr="00CA5193">
        <w:rPr>
          <w:rStyle w:val="TextoNormalNegritaCaracter"/>
        </w:rPr>
        <w:t>Competencia material</w:t>
      </w:r>
      <w:bookmarkEnd w:id="769"/>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f. 1.</w:t>
      </w:r>
    </w:p>
    <w:p w:rsidR="00CA5193" w:rsidRPr="00CA5193" w:rsidRDefault="00CA5193" w:rsidP="00CA5193">
      <w:pPr>
        <w:pStyle w:val="TextoNormalSangraFrancesa"/>
        <w:rPr>
          <w:rStyle w:val="TextoNormalCaracter"/>
        </w:rPr>
      </w:pPr>
      <w:bookmarkStart w:id="770" w:name="DESCRIPTORALFABETICO333"/>
      <w:r w:rsidRPr="00CA5193">
        <w:rPr>
          <w:rStyle w:val="TextoNormalNegritaCaracter"/>
        </w:rPr>
        <w:t>Competencias de los órganos judiciales</w:t>
      </w:r>
      <w:bookmarkEnd w:id="770"/>
      <w:r w:rsidRPr="00CA5193">
        <w:rPr>
          <w:rStyle w:val="TextoNormalCaracter"/>
        </w:rPr>
        <w:t xml:space="preserve">, Sentencia </w:t>
      </w:r>
      <w:hyperlink w:anchor="SENTENCIA_2007_156" w:history="1">
        <w:r w:rsidRPr="00CA5193">
          <w:rPr>
            <w:rStyle w:val="TextoNormalCaracter"/>
          </w:rPr>
          <w:t>156/2007</w:t>
        </w:r>
      </w:hyperlink>
      <w:r w:rsidRPr="00CA5193">
        <w:rPr>
          <w:rStyle w:val="TextoNormalCaracter"/>
        </w:rPr>
        <w:t>, f. 3.</w:t>
      </w:r>
    </w:p>
    <w:p w:rsidR="00CA5193" w:rsidRPr="00CA5193" w:rsidRDefault="00CA5193" w:rsidP="00CA5193">
      <w:pPr>
        <w:pStyle w:val="TextoNormalSangraFrancesa"/>
        <w:rPr>
          <w:rStyle w:val="TextoNormalCaracter"/>
        </w:rPr>
      </w:pPr>
      <w:bookmarkStart w:id="771" w:name="DESCRIPTORALFABETICO118"/>
      <w:r w:rsidRPr="00CA5193">
        <w:rPr>
          <w:rStyle w:val="TextoNormalNegritaCaracter"/>
        </w:rPr>
        <w:t>Competencias del Tribunal Constitucional</w:t>
      </w:r>
      <w:bookmarkEnd w:id="771"/>
      <w:r w:rsidRPr="00CA5193">
        <w:rPr>
          <w:rStyle w:val="TextoNormalCaracter"/>
        </w:rPr>
        <w:t xml:space="preserve">, Sentencia </w:t>
      </w:r>
      <w:hyperlink w:anchor="SENTENCIA_2007_164" w:history="1">
        <w:r w:rsidRPr="00CA5193">
          <w:rPr>
            <w:rStyle w:val="TextoNormalCaracter"/>
          </w:rPr>
          <w:t>164/2007</w:t>
        </w:r>
      </w:hyperlink>
      <w:r w:rsidRPr="00CA5193">
        <w:rPr>
          <w:rStyle w:val="TextoNormalCaracter"/>
        </w:rPr>
        <w:t>, f. 1.</w:t>
      </w:r>
    </w:p>
    <w:p w:rsidR="00CA5193" w:rsidRPr="00CA5193" w:rsidRDefault="00CA5193" w:rsidP="00CA5193">
      <w:pPr>
        <w:pStyle w:val="TextoNormalSangraFrancesa"/>
        <w:rPr>
          <w:rStyle w:val="TextoNormalCaracter"/>
        </w:rPr>
      </w:pPr>
      <w:bookmarkStart w:id="772" w:name="DESCRIPTORALFABETICO403"/>
      <w:r w:rsidRPr="00CA5193">
        <w:rPr>
          <w:rStyle w:val="TextoNormalNegritaCaracter"/>
        </w:rPr>
        <w:t>Cómputo de plazos en supuesto de nombramiento de abogado y procurador</w:t>
      </w:r>
      <w:bookmarkEnd w:id="772"/>
      <w:r w:rsidRPr="00CA5193">
        <w:rPr>
          <w:rStyle w:val="TextoNormalCaracter"/>
        </w:rPr>
        <w:t xml:space="preserve">, Sentencia </w:t>
      </w:r>
      <w:hyperlink w:anchor="SENTENCIA_2007_148" w:history="1">
        <w:r w:rsidRPr="00CA5193">
          <w:rPr>
            <w:rStyle w:val="TextoNormalCaracter"/>
          </w:rPr>
          <w:t>148/2007</w:t>
        </w:r>
      </w:hyperlink>
      <w:r w:rsidRPr="00CA5193">
        <w:rPr>
          <w:rStyle w:val="TextoNormalCaracter"/>
        </w:rPr>
        <w:t>, f. 3.</w:t>
      </w:r>
    </w:p>
    <w:p w:rsidR="00CA5193" w:rsidRPr="00CA5193" w:rsidRDefault="00CA5193" w:rsidP="00CA5193">
      <w:pPr>
        <w:pStyle w:val="TextoNormalSangraFrancesa"/>
        <w:rPr>
          <w:rStyle w:val="TextoNormalCaracter"/>
        </w:rPr>
      </w:pPr>
      <w:bookmarkStart w:id="773" w:name="DESCRIPTORALFABETICO402"/>
      <w:r w:rsidRPr="00CA5193">
        <w:rPr>
          <w:rStyle w:val="TextoNormalNegritaCaracter"/>
        </w:rPr>
        <w:t>Cómputo de plazos procesales</w:t>
      </w:r>
      <w:bookmarkEnd w:id="773"/>
      <w:r w:rsidRPr="00CA5193">
        <w:rPr>
          <w:rStyle w:val="TextoNormalCaracter"/>
        </w:rPr>
        <w:t xml:space="preserve">, Sentencia </w:t>
      </w:r>
      <w:hyperlink w:anchor="SENTENCIA_2007_131" w:history="1">
        <w:r w:rsidRPr="00CA5193">
          <w:rPr>
            <w:rStyle w:val="TextoNormalCaracter"/>
          </w:rPr>
          <w:t>131/2007</w:t>
        </w:r>
      </w:hyperlink>
      <w:r w:rsidRPr="00CA5193">
        <w:rPr>
          <w:rStyle w:val="TextoNormalCaracter"/>
        </w:rPr>
        <w:t>, f. 2.</w:t>
      </w:r>
    </w:p>
    <w:p w:rsidR="00CA5193" w:rsidRPr="00CA5193" w:rsidRDefault="00CA5193" w:rsidP="00CA5193">
      <w:pPr>
        <w:pStyle w:val="TextoNormalSangraFrancesa"/>
        <w:rPr>
          <w:rStyle w:val="TextoNormalCaracter"/>
        </w:rPr>
      </w:pPr>
      <w:bookmarkStart w:id="774" w:name="DESCRIPTORALFABETICO304"/>
      <w:r w:rsidRPr="00CA5193">
        <w:rPr>
          <w:rStyle w:val="TextoNormalNegritaCaracter"/>
        </w:rPr>
        <w:t>Cómputo de redención de penas por el trabajo</w:t>
      </w:r>
      <w:bookmarkEnd w:id="774"/>
      <w:r w:rsidRPr="00CA5193">
        <w:rPr>
          <w:rStyle w:val="TextoNormalCaracter"/>
        </w:rPr>
        <w:t xml:space="preserve">, Auto </w:t>
      </w:r>
      <w:hyperlink w:anchor="AUTO_2007_287" w:history="1">
        <w:r w:rsidRPr="00CA5193">
          <w:rPr>
            <w:rStyle w:val="TextoNormalCaracter"/>
          </w:rPr>
          <w:t>287/2007</w:t>
        </w:r>
      </w:hyperlink>
      <w:r w:rsidRPr="00CA5193">
        <w:rPr>
          <w:rStyle w:val="TextoNormalCaracter"/>
        </w:rPr>
        <w:t>.</w:t>
      </w:r>
    </w:p>
    <w:p w:rsidR="00CA5193" w:rsidRPr="00CA5193" w:rsidRDefault="00CA5193" w:rsidP="00CA5193">
      <w:pPr>
        <w:pStyle w:val="TextoNormalSangraFrancesa"/>
        <w:rPr>
          <w:rStyle w:val="TextoNormalCaracter"/>
        </w:rPr>
      </w:pPr>
      <w:bookmarkStart w:id="775" w:name="DESCRIPTORALFABETICO9"/>
      <w:r w:rsidRPr="00CA5193">
        <w:rPr>
          <w:rStyle w:val="TextoNormalNegritaCaracter"/>
        </w:rPr>
        <w:t>Cómputo de votos</w:t>
      </w:r>
      <w:bookmarkEnd w:id="775"/>
      <w:r w:rsidRPr="00CA5193">
        <w:rPr>
          <w:rStyle w:val="TextoNormalCaracter"/>
        </w:rPr>
        <w:t xml:space="preserve">, Auto </w:t>
      </w:r>
      <w:hyperlink w:anchor="AUTO_2007_338" w:history="1">
        <w:r w:rsidRPr="00CA5193">
          <w:rPr>
            <w:rStyle w:val="TextoNormalCaracter"/>
          </w:rPr>
          <w:t>338/2007</w:t>
        </w:r>
      </w:hyperlink>
      <w:r w:rsidRPr="00CA5193">
        <w:rPr>
          <w:rStyle w:val="TextoNormalCaracter"/>
        </w:rPr>
        <w:t>.</w:t>
      </w:r>
    </w:p>
    <w:p w:rsidR="00CA5193" w:rsidRPr="00CA5193" w:rsidRDefault="00CA5193" w:rsidP="00CA5193">
      <w:pPr>
        <w:pStyle w:val="TextoNormalSangraFrancesa"/>
        <w:rPr>
          <w:rStyle w:val="TextoNormalCaracter"/>
        </w:rPr>
      </w:pPr>
      <w:bookmarkStart w:id="776" w:name="DESCRIPTORALFABETICO199"/>
      <w:r w:rsidRPr="00CA5193">
        <w:rPr>
          <w:rStyle w:val="TextoNormalNegritaCaracter"/>
        </w:rPr>
        <w:t>Concepto de poder público</w:t>
      </w:r>
      <w:bookmarkEnd w:id="776"/>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f. 1.</w:t>
      </w:r>
    </w:p>
    <w:p w:rsidR="00CA5193" w:rsidRPr="00CA5193" w:rsidRDefault="00CA5193" w:rsidP="00CA5193">
      <w:pPr>
        <w:pStyle w:val="TextoNormalSangraFrancesa"/>
        <w:rPr>
          <w:rStyle w:val="TextoNormalNegritaCaracter"/>
        </w:rPr>
      </w:pPr>
      <w:r w:rsidRPr="00CA5193">
        <w:rPr>
          <w:rStyle w:val="TextoNormalCursivaCaracter"/>
        </w:rPr>
        <w:t>Conciliación laboral previa</w:t>
      </w:r>
      <w:r>
        <w:t xml:space="preserve"> véase </w:t>
      </w:r>
      <w:hyperlink w:anchor="DESCRIPTORALFABETICO442" w:history="1">
        <w:r w:rsidRPr="00CA5193">
          <w:rPr>
            <w:rStyle w:val="TextoNormalNegritaCaracter"/>
          </w:rPr>
          <w:t>Acto de conciliación laboral</w:t>
        </w:r>
      </w:hyperlink>
    </w:p>
    <w:p w:rsidR="00CA5193" w:rsidRPr="00CA5193" w:rsidRDefault="00CA5193" w:rsidP="00CA5193">
      <w:pPr>
        <w:pStyle w:val="TextoNormalSangraFrancesa"/>
        <w:rPr>
          <w:rStyle w:val="TextoNormalCaracter"/>
        </w:rPr>
      </w:pPr>
      <w:bookmarkStart w:id="777" w:name="DESCRIPTORALFABETICO470"/>
      <w:r w:rsidRPr="00CA5193">
        <w:rPr>
          <w:rStyle w:val="TextoNormalNegritaCaracter"/>
        </w:rPr>
        <w:t>Concreción de la pena</w:t>
      </w:r>
      <w:bookmarkEnd w:id="777"/>
      <w:r w:rsidRPr="00CA5193">
        <w:rPr>
          <w:rStyle w:val="TextoNormalCaracter"/>
        </w:rPr>
        <w:t xml:space="preserve">, Auto </w:t>
      </w:r>
      <w:hyperlink w:anchor="AUTO_2007_264" w:history="1">
        <w:r w:rsidRPr="00CA5193">
          <w:rPr>
            <w:rStyle w:val="TextoNormalCaracter"/>
          </w:rPr>
          <w:t>264/2007</w:t>
        </w:r>
      </w:hyperlink>
      <w:r w:rsidRPr="00CA5193">
        <w:rPr>
          <w:rStyle w:val="TextoNormalCaracter"/>
        </w:rPr>
        <w:t>.</w:t>
      </w:r>
    </w:p>
    <w:p w:rsidR="00CA5193" w:rsidRPr="00CA5193" w:rsidRDefault="00CA5193" w:rsidP="00CA5193">
      <w:pPr>
        <w:pStyle w:val="TextoNormalSangraFrancesa"/>
        <w:rPr>
          <w:rStyle w:val="TextoNormalCaracter"/>
        </w:rPr>
      </w:pPr>
      <w:bookmarkStart w:id="778" w:name="DESCRIPTORALFABETICO271"/>
      <w:r w:rsidRPr="00CA5193">
        <w:rPr>
          <w:rStyle w:val="TextoNormalNegritaCaracter"/>
        </w:rPr>
        <w:t>Condena del terrorismo</w:t>
      </w:r>
      <w:bookmarkEnd w:id="778"/>
      <w:r w:rsidRPr="00CA5193">
        <w:rPr>
          <w:rStyle w:val="TextoNormalCaracter"/>
        </w:rPr>
        <w:t xml:space="preserve">, Sentencia </w:t>
      </w:r>
      <w:hyperlink w:anchor="SENTENCIA_2007_110" w:history="1">
        <w:r w:rsidRPr="00CA5193">
          <w:rPr>
            <w:rStyle w:val="TextoNormalCaracter"/>
          </w:rPr>
          <w:t>110/2007</w:t>
        </w:r>
      </w:hyperlink>
      <w:r w:rsidRPr="00CA5193">
        <w:rPr>
          <w:rStyle w:val="TextoNormalCaracter"/>
        </w:rPr>
        <w:t>, f. 15.</w:t>
      </w:r>
    </w:p>
    <w:p w:rsidR="00CA5193" w:rsidRPr="00CA5193" w:rsidRDefault="00CA5193" w:rsidP="00CA5193">
      <w:pPr>
        <w:pStyle w:val="TextoNormalSangraFrancesa"/>
        <w:rPr>
          <w:rStyle w:val="TextoNormalCaracter"/>
        </w:rPr>
      </w:pPr>
      <w:bookmarkStart w:id="779" w:name="DESCRIPTORALFABETICO350"/>
      <w:r w:rsidRPr="00CA5193">
        <w:rPr>
          <w:rStyle w:val="TextoNormalNegritaCaracter"/>
        </w:rPr>
        <w:t>Condena en costas en procedimiento de ejecución de sentencia</w:t>
      </w:r>
      <w:bookmarkEnd w:id="779"/>
      <w:r w:rsidRPr="00CA5193">
        <w:rPr>
          <w:rStyle w:val="TextoNormalCaracter"/>
        </w:rPr>
        <w:t xml:space="preserve">, Sentencia </w:t>
      </w:r>
      <w:hyperlink w:anchor="SENTENCIA_2007_120" w:history="1">
        <w:r w:rsidRPr="00CA5193">
          <w:rPr>
            <w:rStyle w:val="TextoNormalCaracter"/>
          </w:rPr>
          <w:t>120/2007</w:t>
        </w:r>
      </w:hyperlink>
      <w:r w:rsidRPr="00CA5193">
        <w:rPr>
          <w:rStyle w:val="TextoNormalCaracter"/>
        </w:rPr>
        <w:t>, f. 3.</w:t>
      </w:r>
    </w:p>
    <w:p w:rsidR="00CA5193" w:rsidRPr="00CA5193" w:rsidRDefault="00CA5193" w:rsidP="00CA5193">
      <w:pPr>
        <w:pStyle w:val="TextoNormalSangraFrancesa"/>
        <w:rPr>
          <w:rStyle w:val="TextoNormalCaracter"/>
        </w:rPr>
      </w:pPr>
      <w:bookmarkStart w:id="780" w:name="DESCRIPTORALFABETICO349"/>
      <w:r w:rsidRPr="00CA5193">
        <w:rPr>
          <w:rStyle w:val="TextoNormalNegritaCaracter"/>
        </w:rPr>
        <w:t>Condena en costas procesales</w:t>
      </w:r>
      <w:bookmarkEnd w:id="780"/>
      <w:r w:rsidRPr="00CA5193">
        <w:rPr>
          <w:rStyle w:val="TextoNormalCaracter"/>
        </w:rPr>
        <w:t xml:space="preserve">, Sentencia </w:t>
      </w:r>
      <w:hyperlink w:anchor="SENTENCIA_2007_171" w:history="1">
        <w:r w:rsidRPr="00CA5193">
          <w:rPr>
            <w:rStyle w:val="TextoNormalCaracter"/>
          </w:rPr>
          <w:t>171/2007</w:t>
        </w:r>
      </w:hyperlink>
      <w:r w:rsidRPr="00CA5193">
        <w:rPr>
          <w:rStyle w:val="TextoNormalCaracter"/>
        </w:rPr>
        <w:t>, f. 4.</w:t>
      </w:r>
    </w:p>
    <w:p w:rsidR="00CA5193" w:rsidRPr="00CA5193" w:rsidRDefault="00CA5193" w:rsidP="00CA5193">
      <w:pPr>
        <w:pStyle w:val="TextoNormalSangraFrancesa"/>
        <w:rPr>
          <w:rStyle w:val="TextoNormalCaracter"/>
        </w:rPr>
      </w:pPr>
      <w:bookmarkStart w:id="781" w:name="DESCRIPTORALFABETICO469"/>
      <w:r w:rsidRPr="00CA5193">
        <w:rPr>
          <w:rStyle w:val="TextoNormalNegritaCaracter"/>
        </w:rPr>
        <w:t>Condena penal</w:t>
      </w:r>
      <w:bookmarkEnd w:id="781"/>
      <w:r w:rsidRPr="00CA5193">
        <w:rPr>
          <w:rStyle w:val="TextoNormalCaracter"/>
        </w:rPr>
        <w:t xml:space="preserve">, Sentencias </w:t>
      </w:r>
      <w:hyperlink w:anchor="SENTENCIA_2007_116" w:history="1">
        <w:r w:rsidRPr="00CA5193">
          <w:rPr>
            <w:rStyle w:val="TextoNormalCaracter"/>
          </w:rPr>
          <w:t>116/2007</w:t>
        </w:r>
      </w:hyperlink>
      <w:r w:rsidRPr="00CA5193">
        <w:rPr>
          <w:rStyle w:val="TextoNormalCaracter"/>
        </w:rPr>
        <w:t xml:space="preserve">, ff. 4, 5; </w:t>
      </w:r>
      <w:hyperlink w:anchor="SENTENCIA_2007_117" w:history="1">
        <w:r w:rsidRPr="00CA5193">
          <w:rPr>
            <w:rStyle w:val="TextoNormalCaracter"/>
          </w:rPr>
          <w:t>117/2007</w:t>
        </w:r>
      </w:hyperlink>
      <w:r w:rsidRPr="00CA5193">
        <w:rPr>
          <w:rStyle w:val="TextoNormalCaracter"/>
        </w:rPr>
        <w:t xml:space="preserve">, ff. 3 a 8; </w:t>
      </w:r>
      <w:hyperlink w:anchor="SENTENCIA_2007_137" w:history="1">
        <w:r w:rsidRPr="00CA5193">
          <w:rPr>
            <w:rStyle w:val="TextoNormalCaracter"/>
          </w:rPr>
          <w:t>137/2007</w:t>
        </w:r>
      </w:hyperlink>
      <w:r w:rsidRPr="00CA5193">
        <w:rPr>
          <w:rStyle w:val="TextoNormalCaracter"/>
        </w:rPr>
        <w:t>, f. 5.</w:t>
      </w:r>
    </w:p>
    <w:p w:rsidR="00CA5193" w:rsidRPr="00CA5193" w:rsidRDefault="00CA5193" w:rsidP="00CA5193">
      <w:pPr>
        <w:pStyle w:val="TextoNormalSangraFrancesa"/>
        <w:rPr>
          <w:rStyle w:val="TextoNormalCaracter"/>
        </w:rPr>
      </w:pPr>
      <w:r w:rsidRPr="00CA5193">
        <w:rPr>
          <w:rStyle w:val="TextoNormalCaracter"/>
        </w:rPr>
        <w:t xml:space="preserve">    Auto </w:t>
      </w:r>
      <w:hyperlink w:anchor="AUTO_2007_264" w:history="1">
        <w:r w:rsidRPr="00CA5193">
          <w:rPr>
            <w:rStyle w:val="TextoNormalCaracter"/>
          </w:rPr>
          <w:t>264/2007</w:t>
        </w:r>
      </w:hyperlink>
      <w:r w:rsidRPr="00CA5193">
        <w:rPr>
          <w:rStyle w:val="TextoNormalCaracter"/>
        </w:rPr>
        <w:t>.</w:t>
      </w:r>
    </w:p>
    <w:p w:rsidR="00CA5193" w:rsidRPr="00CA5193" w:rsidRDefault="00CA5193" w:rsidP="00CA5193">
      <w:pPr>
        <w:pStyle w:val="TextoNormalSangraFrancesa"/>
        <w:rPr>
          <w:rStyle w:val="TextoNormalCaracter"/>
        </w:rPr>
      </w:pPr>
      <w:bookmarkStart w:id="782" w:name="DESCRIPTORALFABETICO471"/>
      <w:r w:rsidRPr="00CA5193">
        <w:rPr>
          <w:rStyle w:val="TextoNormalNegritaCaracter"/>
        </w:rPr>
        <w:t>Condena penal en apelación</w:t>
      </w:r>
      <w:bookmarkEnd w:id="782"/>
      <w:r w:rsidRPr="00CA5193">
        <w:rPr>
          <w:rStyle w:val="TextoNormalCaracter"/>
        </w:rPr>
        <w:t xml:space="preserve">, Sentencias </w:t>
      </w:r>
      <w:hyperlink w:anchor="SENTENCIA_2007_126" w:history="1">
        <w:r w:rsidRPr="00CA5193">
          <w:rPr>
            <w:rStyle w:val="TextoNormalCaracter"/>
          </w:rPr>
          <w:t>126/2007</w:t>
        </w:r>
      </w:hyperlink>
      <w:r w:rsidRPr="00CA5193">
        <w:rPr>
          <w:rStyle w:val="TextoNormalCaracter"/>
        </w:rPr>
        <w:t xml:space="preserve">, ff. 5, 6; </w:t>
      </w:r>
      <w:hyperlink w:anchor="SENTENCIA_2007_134" w:history="1">
        <w:r w:rsidRPr="00CA5193">
          <w:rPr>
            <w:rStyle w:val="TextoNormalCaracter"/>
          </w:rPr>
          <w:t>134/2007</w:t>
        </w:r>
      </w:hyperlink>
      <w:r w:rsidRPr="00CA5193">
        <w:rPr>
          <w:rStyle w:val="TextoNormalCaracter"/>
        </w:rPr>
        <w:t xml:space="preserve">, ff. 2, 4; </w:t>
      </w:r>
      <w:hyperlink w:anchor="SENTENCIA_2007_137" w:history="1">
        <w:r w:rsidRPr="00CA5193">
          <w:rPr>
            <w:rStyle w:val="TextoNormalCaracter"/>
          </w:rPr>
          <w:t>137/2007</w:t>
        </w:r>
      </w:hyperlink>
      <w:r w:rsidRPr="00CA5193">
        <w:rPr>
          <w:rStyle w:val="TextoNormalCaracter"/>
        </w:rPr>
        <w:t xml:space="preserve">, f. 2; </w:t>
      </w:r>
      <w:hyperlink w:anchor="SENTENCIA_2007_142" w:history="1">
        <w:r w:rsidRPr="00CA5193">
          <w:rPr>
            <w:rStyle w:val="TextoNormalCaracter"/>
          </w:rPr>
          <w:t>142/2007</w:t>
        </w:r>
      </w:hyperlink>
      <w:r w:rsidRPr="00CA5193">
        <w:rPr>
          <w:rStyle w:val="TextoNormalCaracter"/>
        </w:rPr>
        <w:t xml:space="preserve">, f. 4; </w:t>
      </w:r>
      <w:hyperlink w:anchor="SENTENCIA_2007_164" w:history="1">
        <w:r w:rsidRPr="00CA5193">
          <w:rPr>
            <w:rStyle w:val="TextoNormalCaracter"/>
          </w:rPr>
          <w:t>164/2007</w:t>
        </w:r>
      </w:hyperlink>
      <w:r w:rsidRPr="00CA5193">
        <w:rPr>
          <w:rStyle w:val="TextoNormalCaracter"/>
        </w:rPr>
        <w:t>, f. 5.</w:t>
      </w:r>
    </w:p>
    <w:p w:rsidR="00CA5193" w:rsidRPr="00CA5193" w:rsidRDefault="00CA5193" w:rsidP="00CA5193">
      <w:pPr>
        <w:pStyle w:val="TextoNormalSangraFrancesa"/>
        <w:rPr>
          <w:rStyle w:val="TextoNormalCaracter"/>
        </w:rPr>
      </w:pPr>
      <w:bookmarkStart w:id="783" w:name="DESCRIPTORALFABETICO472"/>
      <w:r w:rsidRPr="00CA5193">
        <w:rPr>
          <w:rStyle w:val="TextoNormalNegritaCaracter"/>
        </w:rPr>
        <w:t>Condena penal en apelación con vista pública insuficiente</w:t>
      </w:r>
      <w:bookmarkEnd w:id="783"/>
      <w:r w:rsidRPr="00CA5193">
        <w:rPr>
          <w:rStyle w:val="TextoNormalCaracter"/>
        </w:rPr>
        <w:t xml:space="preserve">, Sentencia </w:t>
      </w:r>
      <w:hyperlink w:anchor="SENTENCIA_2007_126" w:history="1">
        <w:r w:rsidRPr="00CA5193">
          <w:rPr>
            <w:rStyle w:val="TextoNormalCaracter"/>
          </w:rPr>
          <w:t>126/2007</w:t>
        </w:r>
      </w:hyperlink>
      <w:r w:rsidRPr="00CA5193">
        <w:rPr>
          <w:rStyle w:val="TextoNormalCaracter"/>
        </w:rPr>
        <w:t>, f. 5.</w:t>
      </w:r>
    </w:p>
    <w:p w:rsidR="00CA5193" w:rsidRPr="00CA5193" w:rsidRDefault="00CA5193" w:rsidP="00CA5193">
      <w:pPr>
        <w:pStyle w:val="TextoNormalSangraFrancesa"/>
        <w:rPr>
          <w:rStyle w:val="TextoNormalCaracter"/>
        </w:rPr>
      </w:pPr>
      <w:bookmarkStart w:id="784" w:name="DESCRIPTORALFABETICO473"/>
      <w:r w:rsidRPr="00CA5193">
        <w:rPr>
          <w:rStyle w:val="TextoNormalNegritaCaracter"/>
        </w:rPr>
        <w:t>Condena penal en apelación fundada en pruebas sin garantías</w:t>
      </w:r>
      <w:bookmarkEnd w:id="784"/>
      <w:r w:rsidRPr="00CA5193">
        <w:rPr>
          <w:rStyle w:val="TextoNormalCaracter"/>
        </w:rPr>
        <w:t xml:space="preserve">, Sentencias </w:t>
      </w:r>
      <w:hyperlink w:anchor="SENTENCIA_2007_126" w:history="1">
        <w:r w:rsidRPr="00CA5193">
          <w:rPr>
            <w:rStyle w:val="TextoNormalCaracter"/>
          </w:rPr>
          <w:t>126/2007</w:t>
        </w:r>
      </w:hyperlink>
      <w:r w:rsidRPr="00CA5193">
        <w:rPr>
          <w:rStyle w:val="TextoNormalCaracter"/>
        </w:rPr>
        <w:t xml:space="preserve">, f. 6; </w:t>
      </w:r>
      <w:hyperlink w:anchor="SENTENCIA_2007_164" w:history="1">
        <w:r w:rsidRPr="00CA5193">
          <w:rPr>
            <w:rStyle w:val="TextoNormalCaracter"/>
          </w:rPr>
          <w:t>164/2007</w:t>
        </w:r>
      </w:hyperlink>
      <w:r w:rsidRPr="00CA5193">
        <w:rPr>
          <w:rStyle w:val="TextoNormalCaracter"/>
        </w:rPr>
        <w:t>, f. 5.</w:t>
      </w:r>
    </w:p>
    <w:p w:rsidR="00CA5193" w:rsidRPr="00CA5193" w:rsidRDefault="00CA5193" w:rsidP="00CA5193">
      <w:pPr>
        <w:pStyle w:val="TextoNormalSangraFrancesa"/>
        <w:rPr>
          <w:rStyle w:val="TextoNormalCaracter"/>
        </w:rPr>
      </w:pPr>
      <w:bookmarkStart w:id="785" w:name="DESCRIPTORALFABETICO474"/>
      <w:r w:rsidRPr="00CA5193">
        <w:rPr>
          <w:rStyle w:val="TextoNormalNegritaCaracter"/>
        </w:rPr>
        <w:t>Condena penal en apelación sin vista pública</w:t>
      </w:r>
      <w:bookmarkEnd w:id="785"/>
      <w:r w:rsidRPr="00CA5193">
        <w:rPr>
          <w:rStyle w:val="TextoNormalCaracter"/>
        </w:rPr>
        <w:t xml:space="preserve">, Sentencias </w:t>
      </w:r>
      <w:hyperlink w:anchor="SENTENCIA_2007_134" w:history="1">
        <w:r w:rsidRPr="00CA5193">
          <w:rPr>
            <w:rStyle w:val="TextoNormalCaracter"/>
          </w:rPr>
          <w:t>134/2007</w:t>
        </w:r>
      </w:hyperlink>
      <w:r w:rsidRPr="00CA5193">
        <w:rPr>
          <w:rStyle w:val="TextoNormalCaracter"/>
        </w:rPr>
        <w:t xml:space="preserve">, ff. 2, 4; </w:t>
      </w:r>
      <w:hyperlink w:anchor="SENTENCIA_2007_137" w:history="1">
        <w:r w:rsidRPr="00CA5193">
          <w:rPr>
            <w:rStyle w:val="TextoNormalCaracter"/>
          </w:rPr>
          <w:t>137/2007</w:t>
        </w:r>
      </w:hyperlink>
      <w:r w:rsidRPr="00CA5193">
        <w:rPr>
          <w:rStyle w:val="TextoNormalCaracter"/>
        </w:rPr>
        <w:t xml:space="preserve">, f. 2; </w:t>
      </w:r>
      <w:hyperlink w:anchor="SENTENCIA_2007_142" w:history="1">
        <w:r w:rsidRPr="00CA5193">
          <w:rPr>
            <w:rStyle w:val="TextoNormalCaracter"/>
          </w:rPr>
          <w:t>142/2007</w:t>
        </w:r>
      </w:hyperlink>
      <w:r w:rsidRPr="00CA5193">
        <w:rPr>
          <w:rStyle w:val="TextoNormalCaracter"/>
        </w:rPr>
        <w:t xml:space="preserve">, f. 4; </w:t>
      </w:r>
      <w:hyperlink w:anchor="SENTENCIA_2007_164" w:history="1">
        <w:r w:rsidRPr="00CA5193">
          <w:rPr>
            <w:rStyle w:val="TextoNormalCaracter"/>
          </w:rPr>
          <w:t>164/2007</w:t>
        </w:r>
      </w:hyperlink>
      <w:r w:rsidRPr="00CA5193">
        <w:rPr>
          <w:rStyle w:val="TextoNormalCaracter"/>
        </w:rPr>
        <w:t>, f. 5.</w:t>
      </w:r>
    </w:p>
    <w:p w:rsidR="00CA5193" w:rsidRPr="00CA5193" w:rsidRDefault="00CA5193" w:rsidP="00CA5193">
      <w:pPr>
        <w:pStyle w:val="TextoNormalSangraFrancesa"/>
        <w:rPr>
          <w:rStyle w:val="TextoNormalCaracter"/>
        </w:rPr>
      </w:pPr>
      <w:bookmarkStart w:id="786" w:name="DESCRIPTORALFABETICO475"/>
      <w:r w:rsidRPr="00CA5193">
        <w:rPr>
          <w:rStyle w:val="TextoNormalNegritaCaracter"/>
        </w:rPr>
        <w:t>Condena penal fundada en pruebas de indicios</w:t>
      </w:r>
      <w:bookmarkEnd w:id="786"/>
      <w:r w:rsidRPr="00CA5193">
        <w:rPr>
          <w:rStyle w:val="TextoNormalCaracter"/>
        </w:rPr>
        <w:t xml:space="preserve">, Sentencias </w:t>
      </w:r>
      <w:hyperlink w:anchor="SENTENCIA_2007_116" w:history="1">
        <w:r w:rsidRPr="00CA5193">
          <w:rPr>
            <w:rStyle w:val="TextoNormalCaracter"/>
          </w:rPr>
          <w:t>116/2007</w:t>
        </w:r>
      </w:hyperlink>
      <w:r w:rsidRPr="00CA5193">
        <w:rPr>
          <w:rStyle w:val="TextoNormalCaracter"/>
        </w:rPr>
        <w:t xml:space="preserve">, ff. 4, 5; </w:t>
      </w:r>
      <w:hyperlink w:anchor="SENTENCIA_2007_137" w:history="1">
        <w:r w:rsidRPr="00CA5193">
          <w:rPr>
            <w:rStyle w:val="TextoNormalCaracter"/>
          </w:rPr>
          <w:t>137/2007</w:t>
        </w:r>
      </w:hyperlink>
      <w:r w:rsidRPr="00CA5193">
        <w:rPr>
          <w:rStyle w:val="TextoNormalCaracter"/>
        </w:rPr>
        <w:t>, f. 5.</w:t>
      </w:r>
    </w:p>
    <w:p w:rsidR="00CA5193" w:rsidRPr="00CA5193" w:rsidRDefault="00CA5193" w:rsidP="00CA5193">
      <w:pPr>
        <w:pStyle w:val="TextoNormalSangraFrancesa"/>
        <w:rPr>
          <w:rStyle w:val="TextoNormalCaracter"/>
        </w:rPr>
      </w:pPr>
      <w:bookmarkStart w:id="787" w:name="DESCRIPTORALFABETICO87"/>
      <w:r w:rsidRPr="00CA5193">
        <w:rPr>
          <w:rStyle w:val="TextoNormalNegritaCaracter"/>
        </w:rPr>
        <w:t>Conducta omisiva del órgano judicial</w:t>
      </w:r>
      <w:bookmarkEnd w:id="787"/>
      <w:r w:rsidRPr="00CA5193">
        <w:rPr>
          <w:rStyle w:val="TextoNormalCaracter"/>
        </w:rPr>
        <w:t xml:space="preserve">, Auto </w:t>
      </w:r>
      <w:hyperlink w:anchor="AUTO_2007_255" w:history="1">
        <w:r w:rsidRPr="00CA5193">
          <w:rPr>
            <w:rStyle w:val="TextoNormalCaracter"/>
          </w:rPr>
          <w:t>255/2007</w:t>
        </w:r>
      </w:hyperlink>
      <w:r w:rsidRPr="00CA5193">
        <w:rPr>
          <w:rStyle w:val="TextoNormalCaracter"/>
        </w:rPr>
        <w:t>.</w:t>
      </w:r>
    </w:p>
    <w:p w:rsidR="00CA5193" w:rsidRPr="00CA5193" w:rsidRDefault="00CA5193" w:rsidP="00CA5193">
      <w:pPr>
        <w:pStyle w:val="TextoNormalSangraFrancesa"/>
        <w:rPr>
          <w:rStyle w:val="TextoNormalCaracter"/>
        </w:rPr>
      </w:pPr>
      <w:bookmarkStart w:id="788" w:name="DESCRIPTORALFABETICO27"/>
      <w:r w:rsidRPr="00CA5193">
        <w:rPr>
          <w:rStyle w:val="TextoNormalNegritaCaracter"/>
        </w:rPr>
        <w:lastRenderedPageBreak/>
        <w:t>Configuración de las condiciones de acceso por vía negativa</w:t>
      </w:r>
      <w:bookmarkEnd w:id="788"/>
      <w:r w:rsidRPr="00CA5193">
        <w:rPr>
          <w:rStyle w:val="TextoNormalCaracter"/>
        </w:rPr>
        <w:t xml:space="preserve">, Sentencia </w:t>
      </w:r>
      <w:hyperlink w:anchor="SENTENCIA_2007_129" w:history="1">
        <w:r w:rsidRPr="00CA5193">
          <w:rPr>
            <w:rStyle w:val="TextoNormalCaracter"/>
          </w:rPr>
          <w:t>129/2007</w:t>
        </w:r>
      </w:hyperlink>
      <w:r w:rsidRPr="00CA5193">
        <w:rPr>
          <w:rStyle w:val="TextoNormalCaracter"/>
        </w:rPr>
        <w:t>, f. 2.</w:t>
      </w:r>
    </w:p>
    <w:p w:rsidR="00CA5193" w:rsidRPr="00CA5193" w:rsidRDefault="00CA5193" w:rsidP="00CA5193">
      <w:pPr>
        <w:pStyle w:val="TextoNormalSangraFrancesa"/>
        <w:rPr>
          <w:rStyle w:val="TextoNormalCaracter"/>
        </w:rPr>
      </w:pPr>
      <w:bookmarkStart w:id="789" w:name="DESCRIPTORALFABETICO142"/>
      <w:r w:rsidRPr="00CA5193">
        <w:rPr>
          <w:rStyle w:val="TextoNormalNegritaCaracter"/>
        </w:rPr>
        <w:t>Conflictos en defensa de la autonomía local</w:t>
      </w:r>
      <w:bookmarkEnd w:id="789"/>
      <w:r w:rsidRPr="00CA5193">
        <w:rPr>
          <w:rStyle w:val="TextoNormalCaracter"/>
        </w:rPr>
        <w:t xml:space="preserve">, Autos </w:t>
      </w:r>
      <w:hyperlink w:anchor="AUTO_2007_322" w:history="1">
        <w:r w:rsidRPr="00CA5193">
          <w:rPr>
            <w:rStyle w:val="TextoNormalCaracter"/>
          </w:rPr>
          <w:t>322/2007</w:t>
        </w:r>
      </w:hyperlink>
      <w:r w:rsidRPr="00CA5193">
        <w:rPr>
          <w:rStyle w:val="TextoNormalCaracter"/>
        </w:rPr>
        <w:t xml:space="preserve">; </w:t>
      </w:r>
      <w:hyperlink w:anchor="AUTO_2007_326" w:history="1">
        <w:r w:rsidRPr="00CA5193">
          <w:rPr>
            <w:rStyle w:val="TextoNormalCaracter"/>
          </w:rPr>
          <w:t>326/2007</w:t>
        </w:r>
      </w:hyperlink>
      <w:r w:rsidRPr="00CA5193">
        <w:rPr>
          <w:rStyle w:val="TextoNormalCaracter"/>
        </w:rPr>
        <w:t>.</w:t>
      </w:r>
    </w:p>
    <w:p w:rsidR="00CA5193" w:rsidRPr="00CA5193" w:rsidRDefault="00CA5193" w:rsidP="00CA5193">
      <w:pPr>
        <w:pStyle w:val="TextoNormalSangraFrancesa"/>
        <w:rPr>
          <w:rStyle w:val="TextoNormalCaracter"/>
        </w:rPr>
      </w:pPr>
      <w:bookmarkStart w:id="790" w:name="DESCRIPTORALFABETICO214"/>
      <w:r w:rsidRPr="00CA5193">
        <w:rPr>
          <w:rStyle w:val="TextoNormalNegritaCaracter"/>
        </w:rPr>
        <w:t>Congreso de los Diputados</w:t>
      </w:r>
      <w:bookmarkEnd w:id="790"/>
      <w:r w:rsidRPr="00CA5193">
        <w:rPr>
          <w:rStyle w:val="TextoNormalCaracter"/>
        </w:rPr>
        <w:t xml:space="preserve">, Auto </w:t>
      </w:r>
      <w:hyperlink w:anchor="AUTO_2007_262" w:history="1">
        <w:r w:rsidRPr="00CA5193">
          <w:rPr>
            <w:rStyle w:val="TextoNormalCaracter"/>
          </w:rPr>
          <w:t>262/2007</w:t>
        </w:r>
      </w:hyperlink>
      <w:r w:rsidRPr="00CA5193">
        <w:rPr>
          <w:rStyle w:val="TextoNormalCaracter"/>
        </w:rPr>
        <w:t>.</w:t>
      </w:r>
    </w:p>
    <w:p w:rsidR="00CA5193" w:rsidRPr="00CA5193" w:rsidRDefault="00CA5193" w:rsidP="00CA5193">
      <w:pPr>
        <w:pStyle w:val="TextoNormalSangraFrancesa"/>
        <w:rPr>
          <w:rStyle w:val="TextoNormalCaracter"/>
        </w:rPr>
      </w:pPr>
      <w:bookmarkStart w:id="791" w:name="DESCRIPTORALFABETICO325"/>
      <w:r w:rsidRPr="00CA5193">
        <w:rPr>
          <w:rStyle w:val="TextoNormalNegritaCaracter"/>
        </w:rPr>
        <w:t>Consorcio de Compensación de Seguros</w:t>
      </w:r>
      <w:bookmarkEnd w:id="791"/>
      <w:r w:rsidRPr="00CA5193">
        <w:rPr>
          <w:rStyle w:val="TextoNormalCaracter"/>
        </w:rPr>
        <w:t xml:space="preserve">, Sentencia </w:t>
      </w:r>
      <w:hyperlink w:anchor="SENTENCIA_2007_121" w:history="1">
        <w:r w:rsidRPr="00CA5193">
          <w:rPr>
            <w:rStyle w:val="TextoNormalCaracter"/>
          </w:rPr>
          <w:t>121/2007</w:t>
        </w:r>
      </w:hyperlink>
      <w:r w:rsidRPr="00CA5193">
        <w:rPr>
          <w:rStyle w:val="TextoNormalCaracter"/>
        </w:rPr>
        <w:t>, f. 2.</w:t>
      </w:r>
    </w:p>
    <w:p w:rsidR="00CA5193" w:rsidRPr="00CA5193" w:rsidRDefault="00CA5193" w:rsidP="00CA5193">
      <w:pPr>
        <w:pStyle w:val="TextoNormalSangraFrancesa"/>
        <w:rPr>
          <w:rStyle w:val="TextoNormalCaracter"/>
        </w:rPr>
      </w:pPr>
      <w:bookmarkStart w:id="792" w:name="DESCRIPTORALFABETICO209"/>
      <w:r w:rsidRPr="00CA5193">
        <w:rPr>
          <w:rStyle w:val="TextoNormalNegritaCaracter"/>
        </w:rPr>
        <w:t>Constitución de grupos parlamentarios</w:t>
      </w:r>
      <w:bookmarkEnd w:id="792"/>
      <w:r w:rsidRPr="00CA5193">
        <w:rPr>
          <w:rStyle w:val="TextoNormalCaracter"/>
        </w:rPr>
        <w:t xml:space="preserve">, Auto </w:t>
      </w:r>
      <w:hyperlink w:anchor="AUTO_2007_262" w:history="1">
        <w:r w:rsidRPr="00CA5193">
          <w:rPr>
            <w:rStyle w:val="TextoNormalCaracter"/>
          </w:rPr>
          <w:t>262/2007</w:t>
        </w:r>
      </w:hyperlink>
      <w:r w:rsidRPr="00CA5193">
        <w:rPr>
          <w:rStyle w:val="TextoNormalCaracter"/>
        </w:rPr>
        <w:t>.</w:t>
      </w:r>
    </w:p>
    <w:p w:rsidR="00CA5193" w:rsidRPr="00CA5193" w:rsidRDefault="00CA5193" w:rsidP="00CA5193">
      <w:pPr>
        <w:pStyle w:val="TextoNormalSangraFrancesa"/>
        <w:rPr>
          <w:rStyle w:val="TextoNormalCaracter"/>
        </w:rPr>
      </w:pPr>
      <w:bookmarkStart w:id="793" w:name="DESCRIPTORALFABETICO77"/>
      <w:r w:rsidRPr="00CA5193">
        <w:rPr>
          <w:rStyle w:val="TextoNormalNegritaCaracter"/>
        </w:rPr>
        <w:t>Contenido del derecho a la tutela judicial sin indefensión</w:t>
      </w:r>
      <w:bookmarkEnd w:id="793"/>
      <w:r w:rsidRPr="00CA5193">
        <w:rPr>
          <w:rStyle w:val="TextoNormalCaracter"/>
        </w:rPr>
        <w:t xml:space="preserve">, Sentencia </w:t>
      </w:r>
      <w:hyperlink w:anchor="SENTENCIA_2007_116" w:history="1">
        <w:r w:rsidRPr="00CA5193">
          <w:rPr>
            <w:rStyle w:val="TextoNormalCaracter"/>
          </w:rPr>
          <w:t>116/2007</w:t>
        </w:r>
      </w:hyperlink>
      <w:r w:rsidRPr="00CA5193">
        <w:rPr>
          <w:rStyle w:val="TextoNormalCaracter"/>
        </w:rPr>
        <w:t>, f. 2.</w:t>
      </w:r>
    </w:p>
    <w:p w:rsidR="00CA5193" w:rsidRPr="00CA5193" w:rsidRDefault="00CA5193" w:rsidP="00CA5193">
      <w:pPr>
        <w:pStyle w:val="TextoNormalSangraFrancesa"/>
        <w:rPr>
          <w:rStyle w:val="TextoNormalNegritaCaracter"/>
        </w:rPr>
      </w:pPr>
      <w:r w:rsidRPr="00CA5193">
        <w:rPr>
          <w:rStyle w:val="TextoNormalCursivaCaracter"/>
        </w:rPr>
        <w:t>Contradicción procesal</w:t>
      </w:r>
      <w:r>
        <w:t xml:space="preserve"> véase </w:t>
      </w:r>
      <w:hyperlink w:anchor="DESCRIPTORALFABETICO410" w:history="1">
        <w:r w:rsidRPr="00CA5193">
          <w:rPr>
            <w:rStyle w:val="TextoNormalNegritaCaracter"/>
          </w:rPr>
          <w:t>Principio de contradicción</w:t>
        </w:r>
      </w:hyperlink>
    </w:p>
    <w:p w:rsidR="00CA5193" w:rsidRPr="00CA5193" w:rsidRDefault="00CA5193" w:rsidP="00CA5193">
      <w:pPr>
        <w:pStyle w:val="TextoNormalSangraFrancesa"/>
        <w:rPr>
          <w:rStyle w:val="TextoNormalCaracter"/>
        </w:rPr>
      </w:pPr>
      <w:bookmarkStart w:id="794" w:name="DESCRIPTORALFABETICO249"/>
      <w:r w:rsidRPr="00CA5193">
        <w:rPr>
          <w:rStyle w:val="TextoNormalNegritaCaracter"/>
        </w:rPr>
        <w:t>Contratación de profesores de religión en centros docentes públicos</w:t>
      </w:r>
      <w:bookmarkEnd w:id="794"/>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ff. 2, 4 a 7, 9 a 12, VP.</w:t>
      </w:r>
    </w:p>
    <w:p w:rsidR="00CA5193" w:rsidRPr="00CA5193" w:rsidRDefault="00CA5193" w:rsidP="00CA5193">
      <w:pPr>
        <w:pStyle w:val="TextoNormalSangraFrancesa"/>
        <w:rPr>
          <w:rStyle w:val="TextoNormalCaracter"/>
        </w:rPr>
      </w:pPr>
      <w:r w:rsidRPr="00CA5193">
        <w:rPr>
          <w:rStyle w:val="TextoNormalCaracter"/>
        </w:rPr>
        <w:t xml:space="preserve">    Auto </w:t>
      </w:r>
      <w:hyperlink w:anchor="AUTO_2007_257" w:history="1">
        <w:r w:rsidRPr="00CA5193">
          <w:rPr>
            <w:rStyle w:val="TextoNormalCaracter"/>
          </w:rPr>
          <w:t>257/2007</w:t>
        </w:r>
      </w:hyperlink>
      <w:r w:rsidRPr="00CA5193">
        <w:rPr>
          <w:rStyle w:val="TextoNormalCaracter"/>
        </w:rPr>
        <w:t>.</w:t>
      </w:r>
    </w:p>
    <w:p w:rsidR="00CA5193" w:rsidRPr="00CA5193" w:rsidRDefault="00CA5193" w:rsidP="00CA5193">
      <w:pPr>
        <w:pStyle w:val="TextoNormalSangraFrancesa"/>
        <w:rPr>
          <w:rStyle w:val="TextoNormalCaracter"/>
        </w:rPr>
      </w:pPr>
      <w:bookmarkStart w:id="795" w:name="DESCRIPTORALFABETICO328"/>
      <w:r w:rsidRPr="00CA5193">
        <w:rPr>
          <w:rStyle w:val="TextoNormalNegritaCaracter"/>
        </w:rPr>
        <w:t>Contrato de trabajo</w:t>
      </w:r>
      <w:bookmarkEnd w:id="795"/>
      <w:r w:rsidRPr="00CA5193">
        <w:rPr>
          <w:rStyle w:val="TextoNormalCaracter"/>
        </w:rPr>
        <w:t xml:space="preserve">, Sentencia </w:t>
      </w:r>
      <w:hyperlink w:anchor="SENTENCIA_2007_125" w:history="1">
        <w:r w:rsidRPr="00CA5193">
          <w:rPr>
            <w:rStyle w:val="TextoNormalCaracter"/>
          </w:rPr>
          <w:t>125/2007</w:t>
        </w:r>
      </w:hyperlink>
      <w:r w:rsidRPr="00CA5193">
        <w:rPr>
          <w:rStyle w:val="TextoNormalCaracter"/>
        </w:rPr>
        <w:t>, ff. 2 a 4.</w:t>
      </w:r>
    </w:p>
    <w:p w:rsidR="00CA5193" w:rsidRPr="00CA5193" w:rsidRDefault="00CA5193" w:rsidP="00CA5193">
      <w:pPr>
        <w:pStyle w:val="TextoNormalSangraFrancesa"/>
        <w:rPr>
          <w:rStyle w:val="TextoNormalCaracter"/>
        </w:rPr>
      </w:pPr>
      <w:bookmarkStart w:id="796" w:name="DESCRIPTORALFABETICO116"/>
      <w:r w:rsidRPr="00CA5193">
        <w:rPr>
          <w:rStyle w:val="TextoNormalNegritaCaracter"/>
        </w:rPr>
        <w:t>Control constitucional de las resoluciones judiciales</w:t>
      </w:r>
      <w:bookmarkEnd w:id="796"/>
      <w:r w:rsidRPr="00CA5193">
        <w:rPr>
          <w:rStyle w:val="TextoNormalCaracter"/>
        </w:rPr>
        <w:t xml:space="preserve">, Sentencias </w:t>
      </w:r>
      <w:hyperlink w:anchor="SENTENCIA_2007_120" w:history="1">
        <w:r w:rsidRPr="00CA5193">
          <w:rPr>
            <w:rStyle w:val="TextoNormalCaracter"/>
          </w:rPr>
          <w:t>120/2007</w:t>
        </w:r>
      </w:hyperlink>
      <w:r w:rsidRPr="00CA5193">
        <w:rPr>
          <w:rStyle w:val="TextoNormalCaracter"/>
        </w:rPr>
        <w:t xml:space="preserve">, f. 2; </w:t>
      </w:r>
      <w:hyperlink w:anchor="SENTENCIA_2007_121" w:history="1">
        <w:r w:rsidRPr="00CA5193">
          <w:rPr>
            <w:rStyle w:val="TextoNormalCaracter"/>
          </w:rPr>
          <w:t>121/2007</w:t>
        </w:r>
      </w:hyperlink>
      <w:r w:rsidRPr="00CA5193">
        <w:rPr>
          <w:rStyle w:val="TextoNormalCaracter"/>
        </w:rPr>
        <w:t>, ff. 1, 2.</w:t>
      </w:r>
    </w:p>
    <w:p w:rsidR="00CA5193" w:rsidRPr="00CA5193" w:rsidRDefault="00CA5193" w:rsidP="00CA5193">
      <w:pPr>
        <w:pStyle w:val="TextoNormalSangraFrancesa"/>
        <w:rPr>
          <w:rStyle w:val="TextoNormalCaracter"/>
        </w:rPr>
      </w:pPr>
      <w:bookmarkStart w:id="797" w:name="DESCRIPTORALFABETICO117"/>
      <w:r w:rsidRPr="00CA5193">
        <w:rPr>
          <w:rStyle w:val="TextoNormalNegritaCaracter"/>
        </w:rPr>
        <w:t>Control de constitucionalidad de los decretos legislativos</w:t>
      </w:r>
      <w:bookmarkEnd w:id="797"/>
      <w:r w:rsidRPr="00CA5193">
        <w:rPr>
          <w:rStyle w:val="TextoNormalCaracter"/>
        </w:rPr>
        <w:t xml:space="preserve">, Sentencia </w:t>
      </w:r>
      <w:hyperlink w:anchor="SENTENCIA_2007_166" w:history="1">
        <w:r w:rsidRPr="00CA5193">
          <w:rPr>
            <w:rStyle w:val="TextoNormalCaracter"/>
          </w:rPr>
          <w:t>166/2007</w:t>
        </w:r>
      </w:hyperlink>
      <w:r w:rsidRPr="00CA5193">
        <w:rPr>
          <w:rStyle w:val="TextoNormalCaracter"/>
        </w:rPr>
        <w:t>, f. 2.</w:t>
      </w:r>
    </w:p>
    <w:p w:rsidR="00CA5193" w:rsidRPr="00CA5193" w:rsidRDefault="00CA5193" w:rsidP="00CA5193">
      <w:pPr>
        <w:pStyle w:val="TextoNormalSangraFrancesa"/>
        <w:rPr>
          <w:rStyle w:val="TextoNormalCaracter"/>
        </w:rPr>
      </w:pPr>
      <w:bookmarkStart w:id="798" w:name="DESCRIPTORALFABETICO206"/>
      <w:r w:rsidRPr="00CA5193">
        <w:rPr>
          <w:rStyle w:val="TextoNormalNegritaCaracter"/>
        </w:rPr>
        <w:t>Control judicial</w:t>
      </w:r>
      <w:bookmarkEnd w:id="798"/>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f. 1.</w:t>
      </w:r>
    </w:p>
    <w:p w:rsidR="00CA5193" w:rsidRPr="00CA5193" w:rsidRDefault="00CA5193" w:rsidP="00CA5193">
      <w:pPr>
        <w:pStyle w:val="TextoNormalSangraFrancesa"/>
        <w:rPr>
          <w:rStyle w:val="TextoNormalCaracter"/>
        </w:rPr>
      </w:pPr>
      <w:r w:rsidRPr="00CA5193">
        <w:rPr>
          <w:rStyle w:val="TextoNormalCaracter"/>
        </w:rPr>
        <w:t xml:space="preserve">    Auto </w:t>
      </w:r>
      <w:hyperlink w:anchor="AUTO_2007_257" w:history="1">
        <w:r w:rsidRPr="00CA5193">
          <w:rPr>
            <w:rStyle w:val="TextoNormalCaracter"/>
          </w:rPr>
          <w:t>257/2007</w:t>
        </w:r>
      </w:hyperlink>
      <w:r w:rsidRPr="00CA5193">
        <w:rPr>
          <w:rStyle w:val="TextoNormalCaracter"/>
        </w:rPr>
        <w:t>.</w:t>
      </w:r>
    </w:p>
    <w:p w:rsidR="00CA5193" w:rsidRPr="00CA5193" w:rsidRDefault="00CA5193" w:rsidP="00CA5193">
      <w:pPr>
        <w:pStyle w:val="TextoNormalSangraFrancesa"/>
        <w:rPr>
          <w:rStyle w:val="TextoNormalNegritaCaracter"/>
        </w:rPr>
      </w:pPr>
      <w:r w:rsidRPr="00CA5193">
        <w:rPr>
          <w:rStyle w:val="TextoNormalCursivaCaracter"/>
        </w:rPr>
        <w:t>Control jurisdiccional</w:t>
      </w:r>
      <w:r>
        <w:t xml:space="preserve"> véase </w:t>
      </w:r>
      <w:hyperlink w:anchor="DESCRIPTORALFABETICO206" w:history="1">
        <w:r w:rsidRPr="00CA5193">
          <w:rPr>
            <w:rStyle w:val="TextoNormalNegritaCaracter"/>
          </w:rPr>
          <w:t>Control judicial</w:t>
        </w:r>
      </w:hyperlink>
    </w:p>
    <w:p w:rsidR="00CA5193" w:rsidRPr="00CA5193" w:rsidRDefault="00CA5193" w:rsidP="00CA5193">
      <w:pPr>
        <w:pStyle w:val="TextoNormalSangraFrancesa"/>
        <w:rPr>
          <w:rStyle w:val="TextoNormalNegritaCaracter"/>
        </w:rPr>
      </w:pPr>
      <w:r w:rsidRPr="00CA5193">
        <w:rPr>
          <w:rStyle w:val="TextoNormalCursivaCaracter"/>
        </w:rPr>
        <w:t>Convención de las Naciones Unidas sobre los derechos del niño</w:t>
      </w:r>
      <w:r>
        <w:t xml:space="preserve"> véase </w:t>
      </w:r>
      <w:hyperlink w:anchor="DESCRIPTORALFABETICO283" w:history="1">
        <w:r w:rsidRPr="00CA5193">
          <w:rPr>
            <w:rStyle w:val="TextoNormalNegritaCaracter"/>
          </w:rPr>
          <w:t>Tratados internacionales</w:t>
        </w:r>
      </w:hyperlink>
    </w:p>
    <w:p w:rsidR="00CA5193" w:rsidRPr="00CA5193" w:rsidRDefault="00CA5193" w:rsidP="00CA5193">
      <w:pPr>
        <w:pStyle w:val="TextoNormalSangraFrancesa"/>
        <w:rPr>
          <w:rStyle w:val="TextoNormalNegritaCaracter"/>
        </w:rPr>
      </w:pPr>
      <w:r w:rsidRPr="00CA5193">
        <w:rPr>
          <w:rStyle w:val="TextoNormalCursivaCaracter"/>
        </w:rPr>
        <w:t>Convenio de Viena sobre relaciones diplomáticas</w:t>
      </w:r>
      <w:r>
        <w:t xml:space="preserve"> véase </w:t>
      </w:r>
      <w:hyperlink w:anchor="DESCRIPTORALFABETICO283" w:history="1">
        <w:r w:rsidRPr="00CA5193">
          <w:rPr>
            <w:rStyle w:val="TextoNormalNegritaCaracter"/>
          </w:rPr>
          <w:t>Tratados internacionales</w:t>
        </w:r>
      </w:hyperlink>
    </w:p>
    <w:p w:rsidR="00CA5193" w:rsidRPr="00CA5193" w:rsidRDefault="00CA5193" w:rsidP="00CA5193">
      <w:pPr>
        <w:pStyle w:val="TextoNormalSangraFrancesa"/>
        <w:rPr>
          <w:rStyle w:val="TextoNormalNegritaCaracter"/>
        </w:rPr>
      </w:pPr>
      <w:r w:rsidRPr="00CA5193">
        <w:rPr>
          <w:rStyle w:val="TextoNormalCursivaCaracter"/>
        </w:rPr>
        <w:t>Convenio hispano-alemán sobre seguro de desempleo</w:t>
      </w:r>
      <w:r>
        <w:t xml:space="preserve"> véase </w:t>
      </w:r>
      <w:hyperlink w:anchor="DESCRIPTORALFABETICO283" w:history="1">
        <w:r w:rsidRPr="00CA5193">
          <w:rPr>
            <w:rStyle w:val="TextoNormalNegritaCaracter"/>
          </w:rPr>
          <w:t>Tratados internacionales</w:t>
        </w:r>
      </w:hyperlink>
    </w:p>
    <w:p w:rsidR="00CA5193" w:rsidRPr="00CA5193" w:rsidRDefault="00CA5193" w:rsidP="00CA5193">
      <w:pPr>
        <w:pStyle w:val="TextoNormalSangraFrancesa"/>
        <w:rPr>
          <w:rStyle w:val="TextoNormalNegritaCaracter"/>
        </w:rPr>
      </w:pPr>
      <w:r w:rsidRPr="00CA5193">
        <w:rPr>
          <w:rStyle w:val="TextoNormalCursivaCaracter"/>
        </w:rPr>
        <w:t>Convenio para la protección de las personas con respecto al tratamiento automatizado de datos de carácter personal</w:t>
      </w:r>
      <w:r>
        <w:t xml:space="preserve"> véase </w:t>
      </w:r>
      <w:hyperlink w:anchor="DESCRIPTORALFABETICO283" w:history="1">
        <w:r w:rsidRPr="00CA5193">
          <w:rPr>
            <w:rStyle w:val="TextoNormalNegritaCaracter"/>
          </w:rPr>
          <w:t>Tratados internacionales</w:t>
        </w:r>
      </w:hyperlink>
    </w:p>
    <w:p w:rsidR="00CA5193" w:rsidRPr="00CA5193" w:rsidRDefault="00CA5193" w:rsidP="00CA5193">
      <w:pPr>
        <w:pStyle w:val="TextoNormalSangraFrancesa"/>
        <w:rPr>
          <w:rStyle w:val="TextoNormalNegritaCaracter"/>
        </w:rPr>
      </w:pPr>
      <w:r w:rsidRPr="00CA5193">
        <w:rPr>
          <w:rStyle w:val="TextoNormalCursivaCaracter"/>
        </w:rPr>
        <w:t>Convenios internacionales</w:t>
      </w:r>
      <w:r>
        <w:t xml:space="preserve"> véase </w:t>
      </w:r>
      <w:hyperlink w:anchor="DESCRIPTORALFABETICO283" w:history="1">
        <w:r w:rsidRPr="00CA5193">
          <w:rPr>
            <w:rStyle w:val="TextoNormalNegritaCaracter"/>
          </w:rPr>
          <w:t>Tratados internacionales</w:t>
        </w:r>
      </w:hyperlink>
    </w:p>
    <w:p w:rsidR="00CA5193" w:rsidRPr="00CA5193" w:rsidRDefault="00CA5193" w:rsidP="00CA5193">
      <w:pPr>
        <w:pStyle w:val="TextoNormalSangraFrancesa"/>
        <w:rPr>
          <w:rStyle w:val="TextoNormalCaracter"/>
        </w:rPr>
      </w:pPr>
      <w:bookmarkStart w:id="799" w:name="DESCRIPTORALFABETICO232"/>
      <w:r w:rsidRPr="00CA5193">
        <w:rPr>
          <w:rStyle w:val="TextoNormalNegritaCaracter"/>
        </w:rPr>
        <w:t>Corporaciones locales</w:t>
      </w:r>
      <w:bookmarkEnd w:id="799"/>
      <w:r w:rsidRPr="00CA5193">
        <w:rPr>
          <w:rStyle w:val="TextoNormalCaracter"/>
        </w:rPr>
        <w:t xml:space="preserve">, Auto </w:t>
      </w:r>
      <w:hyperlink w:anchor="AUTO_2007_338" w:history="1">
        <w:r w:rsidRPr="00CA5193">
          <w:rPr>
            <w:rStyle w:val="TextoNormalCaracter"/>
          </w:rPr>
          <w:t>338/2007</w:t>
        </w:r>
      </w:hyperlink>
      <w:r w:rsidRPr="00CA5193">
        <w:rPr>
          <w:rStyle w:val="TextoNormalCaracter"/>
        </w:rPr>
        <w:t>.</w:t>
      </w:r>
    </w:p>
    <w:p w:rsidR="00CA5193" w:rsidRPr="00CA5193" w:rsidRDefault="00CA5193" w:rsidP="00CA5193">
      <w:pPr>
        <w:pStyle w:val="TextoNormalSangraFrancesa"/>
        <w:rPr>
          <w:rStyle w:val="TextoNormalCaracter"/>
        </w:rPr>
      </w:pPr>
      <w:bookmarkStart w:id="800" w:name="DESCRIPTORALFABETICO346"/>
      <w:r w:rsidRPr="00CA5193">
        <w:rPr>
          <w:rStyle w:val="TextoNormalNegritaCaracter"/>
        </w:rPr>
        <w:t>Correcciones disciplinarias procesales</w:t>
      </w:r>
      <w:bookmarkEnd w:id="800"/>
      <w:r w:rsidRPr="00CA5193">
        <w:rPr>
          <w:rStyle w:val="TextoNormalCaracter"/>
        </w:rPr>
        <w:t xml:space="preserve">, Sentencia </w:t>
      </w:r>
      <w:hyperlink w:anchor="SENTENCIA_2007_145" w:history="1">
        <w:r w:rsidRPr="00CA5193">
          <w:rPr>
            <w:rStyle w:val="TextoNormalCaracter"/>
          </w:rPr>
          <w:t>145/2007</w:t>
        </w:r>
      </w:hyperlink>
      <w:r w:rsidRPr="00CA5193">
        <w:rPr>
          <w:rStyle w:val="TextoNormalCaracter"/>
        </w:rPr>
        <w:t>, f. 4.</w:t>
      </w:r>
    </w:p>
    <w:p w:rsidR="00CA5193" w:rsidRPr="00CA5193" w:rsidRDefault="00CA5193" w:rsidP="00CA5193">
      <w:pPr>
        <w:pStyle w:val="TextoNormalSangraFrancesa"/>
        <w:rPr>
          <w:rStyle w:val="TextoNormalCaracter"/>
        </w:rPr>
      </w:pPr>
      <w:bookmarkStart w:id="801" w:name="DESCRIPTORALFABETICO348"/>
      <w:r w:rsidRPr="00CA5193">
        <w:rPr>
          <w:rStyle w:val="TextoNormalNegritaCaracter"/>
        </w:rPr>
        <w:t>Costas procesales</w:t>
      </w:r>
      <w:bookmarkEnd w:id="801"/>
      <w:r w:rsidRPr="00CA5193">
        <w:rPr>
          <w:rStyle w:val="TextoNormalCaracter"/>
        </w:rPr>
        <w:t xml:space="preserve">, Sentencia </w:t>
      </w:r>
      <w:hyperlink w:anchor="SENTENCIA_2007_135" w:history="1">
        <w:r w:rsidRPr="00CA5193">
          <w:rPr>
            <w:rStyle w:val="TextoNormalCaracter"/>
          </w:rPr>
          <w:t>135/2007</w:t>
        </w:r>
      </w:hyperlink>
      <w:r w:rsidRPr="00CA5193">
        <w:rPr>
          <w:rStyle w:val="TextoNormalCaracter"/>
        </w:rPr>
        <w:t>, f. 2.</w:t>
      </w:r>
    </w:p>
    <w:p w:rsidR="00CA5193" w:rsidRPr="00CA5193" w:rsidRDefault="00CA5193" w:rsidP="00CA5193">
      <w:pPr>
        <w:pStyle w:val="TextoNormalSangraFrancesa"/>
        <w:rPr>
          <w:rStyle w:val="TextoNormalCaracter"/>
        </w:rPr>
      </w:pPr>
      <w:bookmarkStart w:id="802" w:name="DESCRIPTORALFABETICO315"/>
      <w:r w:rsidRPr="00CA5193">
        <w:rPr>
          <w:rStyle w:val="TextoNormalNegritaCaracter"/>
        </w:rPr>
        <w:t>Credo religioso</w:t>
      </w:r>
      <w:r w:rsidRPr="00CA5193">
        <w:rPr>
          <w:rStyle w:val="TextoNormalNegritaCaracter"/>
          <w:i/>
        </w:rPr>
        <w:t xml:space="preserve"> versus</w:t>
      </w:r>
      <w:r w:rsidRPr="00CA5193">
        <w:rPr>
          <w:rStyle w:val="TextoNormalNegritaCaracter"/>
        </w:rPr>
        <w:t xml:space="preserve"> tendencia ideológica</w:t>
      </w:r>
      <w:bookmarkEnd w:id="802"/>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ff. 5, 10, 11.</w:t>
      </w:r>
    </w:p>
    <w:p w:rsidR="00CA5193" w:rsidRPr="00CA5193" w:rsidRDefault="00CA5193" w:rsidP="00CA5193">
      <w:pPr>
        <w:pStyle w:val="TextoNormalSangraFrancesa"/>
        <w:rPr>
          <w:rStyle w:val="TextoNormalCaracter"/>
        </w:rPr>
      </w:pPr>
      <w:bookmarkStart w:id="803" w:name="DESCRIPTORALFABETICO352"/>
      <w:r w:rsidRPr="00CA5193">
        <w:rPr>
          <w:rStyle w:val="TextoNormalNegritaCaracter"/>
        </w:rPr>
        <w:t>Criterios para la fijación de costas procesales</w:t>
      </w:r>
      <w:bookmarkEnd w:id="803"/>
      <w:r w:rsidRPr="00CA5193">
        <w:rPr>
          <w:rStyle w:val="TextoNormalCaracter"/>
        </w:rPr>
        <w:t xml:space="preserve">, Sentencias </w:t>
      </w:r>
      <w:hyperlink w:anchor="SENTENCIA_2007_120" w:history="1">
        <w:r w:rsidRPr="00CA5193">
          <w:rPr>
            <w:rStyle w:val="TextoNormalCaracter"/>
          </w:rPr>
          <w:t>120/2007</w:t>
        </w:r>
      </w:hyperlink>
      <w:r w:rsidRPr="00CA5193">
        <w:rPr>
          <w:rStyle w:val="TextoNormalCaracter"/>
        </w:rPr>
        <w:t xml:space="preserve">, f. 3; </w:t>
      </w:r>
      <w:hyperlink w:anchor="SENTENCIA_2007_135" w:history="1">
        <w:r w:rsidRPr="00CA5193">
          <w:rPr>
            <w:rStyle w:val="TextoNormalCaracter"/>
          </w:rPr>
          <w:t>135/2007</w:t>
        </w:r>
      </w:hyperlink>
      <w:r w:rsidRPr="00CA5193">
        <w:rPr>
          <w:rStyle w:val="TextoNormalCaracter"/>
        </w:rPr>
        <w:t>, f. 2.</w:t>
      </w:r>
    </w:p>
    <w:p w:rsidR="00CA5193" w:rsidRPr="00CA5193" w:rsidRDefault="00CA5193" w:rsidP="00CA5193">
      <w:pPr>
        <w:pStyle w:val="TextoNormalSangraFrancesa"/>
        <w:rPr>
          <w:rStyle w:val="TextoNormalCaracter"/>
        </w:rPr>
      </w:pPr>
      <w:bookmarkStart w:id="804" w:name="DESCRIPTORALFABETICO98"/>
      <w:r w:rsidRPr="00CA5193">
        <w:rPr>
          <w:rStyle w:val="TextoNormalNegritaCaracter"/>
        </w:rPr>
        <w:t>Crítica de conductas personales</w:t>
      </w:r>
      <w:bookmarkEnd w:id="804"/>
      <w:r w:rsidRPr="00CA5193">
        <w:rPr>
          <w:rStyle w:val="TextoNormalCaracter"/>
        </w:rPr>
        <w:t xml:space="preserve">, Sentencia </w:t>
      </w:r>
      <w:hyperlink w:anchor="SENTENCIA_2007_125" w:history="1">
        <w:r w:rsidRPr="00CA5193">
          <w:rPr>
            <w:rStyle w:val="TextoNormalCaracter"/>
          </w:rPr>
          <w:t>125/2007</w:t>
        </w:r>
      </w:hyperlink>
      <w:r w:rsidRPr="00CA5193">
        <w:rPr>
          <w:rStyle w:val="TextoNormalCaracter"/>
        </w:rPr>
        <w:t>, f. 2.</w:t>
      </w:r>
    </w:p>
    <w:p w:rsidR="00CA5193" w:rsidRPr="00CA5193" w:rsidRDefault="00CA5193" w:rsidP="00CA5193">
      <w:pPr>
        <w:pStyle w:val="TextoNormalSangraFrancesa"/>
        <w:rPr>
          <w:rStyle w:val="TextoNormalCaracter"/>
        </w:rPr>
      </w:pPr>
      <w:bookmarkStart w:id="805" w:name="DESCRIPTORALFABETICO353"/>
      <w:r w:rsidRPr="00CA5193">
        <w:rPr>
          <w:rStyle w:val="TextoNormalNegritaCaracter"/>
        </w:rPr>
        <w:t>Cuantía litigiosa</w:t>
      </w:r>
      <w:bookmarkEnd w:id="805"/>
      <w:r w:rsidRPr="00CA5193">
        <w:rPr>
          <w:rStyle w:val="TextoNormalCaracter"/>
        </w:rPr>
        <w:t xml:space="preserve">, Auto </w:t>
      </w:r>
      <w:hyperlink w:anchor="AUTO_2007_282" w:history="1">
        <w:r w:rsidRPr="00CA5193">
          <w:rPr>
            <w:rStyle w:val="TextoNormalCaracter"/>
          </w:rPr>
          <w:t>282/2007</w:t>
        </w:r>
      </w:hyperlink>
      <w:r w:rsidRPr="00CA5193">
        <w:rPr>
          <w:rStyle w:val="TextoNormalCaracter"/>
        </w:rPr>
        <w:t>.</w:t>
      </w:r>
    </w:p>
    <w:p w:rsidR="00CA5193" w:rsidRPr="00CA5193" w:rsidRDefault="00CA5193" w:rsidP="00CA5193">
      <w:pPr>
        <w:pStyle w:val="TextoNormalSangraFrancesa"/>
        <w:rPr>
          <w:rStyle w:val="TextoNormalCaracter"/>
        </w:rPr>
      </w:pPr>
      <w:bookmarkStart w:id="806" w:name="DESCRIPTORALFABETICO143"/>
      <w:r w:rsidRPr="00CA5193">
        <w:rPr>
          <w:rStyle w:val="TextoNormalNegritaCaracter"/>
        </w:rPr>
        <w:t>Cuestión de inconstitucionalidad</w:t>
      </w:r>
      <w:bookmarkEnd w:id="806"/>
      <w:r w:rsidRPr="00CA5193">
        <w:rPr>
          <w:rStyle w:val="TextoNormalCaracter"/>
        </w:rPr>
        <w:t xml:space="preserve">, Sentencia </w:t>
      </w:r>
      <w:hyperlink w:anchor="SENTENCIA_2007_129" w:history="1">
        <w:r w:rsidRPr="00CA5193">
          <w:rPr>
            <w:rStyle w:val="TextoNormalCaracter"/>
          </w:rPr>
          <w:t>129/2007</w:t>
        </w:r>
      </w:hyperlink>
      <w:r w:rsidRPr="00CA5193">
        <w:rPr>
          <w:rStyle w:val="TextoNormalCaracter"/>
        </w:rPr>
        <w:t>, f. 3.</w:t>
      </w:r>
    </w:p>
    <w:p w:rsidR="00CA5193" w:rsidRPr="00CA5193" w:rsidRDefault="00CA5193" w:rsidP="00CA5193">
      <w:pPr>
        <w:pStyle w:val="TextoNormalSangraFrancesa"/>
        <w:rPr>
          <w:rStyle w:val="TextoNormalCaracter"/>
        </w:rPr>
      </w:pPr>
      <w:r w:rsidRPr="00CA5193">
        <w:rPr>
          <w:rStyle w:val="TextoNormalCaracter"/>
        </w:rPr>
        <w:t xml:space="preserve">    Autos </w:t>
      </w:r>
      <w:hyperlink w:anchor="AUTO_2007_247" w:history="1">
        <w:r w:rsidRPr="00CA5193">
          <w:rPr>
            <w:rStyle w:val="TextoNormalCaracter"/>
          </w:rPr>
          <w:t>247/2007</w:t>
        </w:r>
      </w:hyperlink>
      <w:r w:rsidRPr="00CA5193">
        <w:rPr>
          <w:rStyle w:val="TextoNormalCaracter"/>
        </w:rPr>
        <w:t xml:space="preserve">; </w:t>
      </w:r>
      <w:hyperlink w:anchor="AUTO_2007_257" w:history="1">
        <w:r w:rsidRPr="00CA5193">
          <w:rPr>
            <w:rStyle w:val="TextoNormalCaracter"/>
          </w:rPr>
          <w:t>257/2007</w:t>
        </w:r>
      </w:hyperlink>
      <w:r w:rsidRPr="00CA5193">
        <w:rPr>
          <w:rStyle w:val="TextoNormalCaracter"/>
        </w:rPr>
        <w:t xml:space="preserve">; </w:t>
      </w:r>
      <w:hyperlink w:anchor="AUTO_2007_290" w:history="1">
        <w:r w:rsidRPr="00CA5193">
          <w:rPr>
            <w:rStyle w:val="TextoNormalCaracter"/>
          </w:rPr>
          <w:t>290/2007</w:t>
        </w:r>
      </w:hyperlink>
      <w:r w:rsidRPr="00CA5193">
        <w:rPr>
          <w:rStyle w:val="TextoNormalCaracter"/>
        </w:rPr>
        <w:t>.</w:t>
      </w:r>
    </w:p>
    <w:p w:rsidR="00CA5193" w:rsidRPr="00CA5193" w:rsidRDefault="00CA5193" w:rsidP="00CA5193">
      <w:pPr>
        <w:pStyle w:val="TextoNormalSangraFrancesa"/>
        <w:rPr>
          <w:rStyle w:val="TextoNormalCaracter"/>
        </w:rPr>
      </w:pPr>
      <w:bookmarkStart w:id="807" w:name="DESCRIPTORALFABETICO147"/>
      <w:r w:rsidRPr="00CA5193">
        <w:rPr>
          <w:rStyle w:val="TextoNormalNegritaCaracter"/>
        </w:rPr>
        <w:t>Cuestión de inconstitucionalidad notoriamente infundada</w:t>
      </w:r>
      <w:bookmarkEnd w:id="807"/>
      <w:r w:rsidRPr="00CA5193">
        <w:rPr>
          <w:rStyle w:val="TextoNormalCaracter"/>
        </w:rPr>
        <w:t xml:space="preserve">, Auto </w:t>
      </w:r>
      <w:hyperlink w:anchor="AUTO_2007_257" w:history="1">
        <w:r w:rsidRPr="00CA5193">
          <w:rPr>
            <w:rStyle w:val="TextoNormalCaracter"/>
          </w:rPr>
          <w:t>257/2007</w:t>
        </w:r>
      </w:hyperlink>
      <w:r w:rsidRPr="00CA5193">
        <w:rPr>
          <w:rStyle w:val="TextoNormalCaracter"/>
        </w:rPr>
        <w:t>.</w:t>
      </w:r>
    </w:p>
    <w:p w:rsidR="00CA5193" w:rsidRPr="00CA5193" w:rsidRDefault="00CA5193" w:rsidP="00CA5193">
      <w:pPr>
        <w:pStyle w:val="TextoNormalSangraFrancesa"/>
        <w:rPr>
          <w:rStyle w:val="TextoNormalCaracter"/>
        </w:rPr>
      </w:pPr>
      <w:bookmarkStart w:id="808" w:name="DESCRIPTORALFABETICO354"/>
      <w:r w:rsidRPr="00CA5193">
        <w:rPr>
          <w:rStyle w:val="TextoNormalNegritaCaracter"/>
        </w:rPr>
        <w:t>Cuestión de legalidad ordinaria</w:t>
      </w:r>
      <w:bookmarkEnd w:id="808"/>
      <w:r w:rsidRPr="00CA5193">
        <w:rPr>
          <w:rStyle w:val="TextoNormalCaracter"/>
        </w:rPr>
        <w:t xml:space="preserve">, Sentencias </w:t>
      </w:r>
      <w:hyperlink w:anchor="SENTENCIA_2007_126" w:history="1">
        <w:r w:rsidRPr="00CA5193">
          <w:rPr>
            <w:rStyle w:val="TextoNormalCaracter"/>
          </w:rPr>
          <w:t>126/2007</w:t>
        </w:r>
      </w:hyperlink>
      <w:r w:rsidRPr="00CA5193">
        <w:rPr>
          <w:rStyle w:val="TextoNormalCaracter"/>
        </w:rPr>
        <w:t xml:space="preserve">, f. 5; </w:t>
      </w:r>
      <w:hyperlink w:anchor="SENTENCIA_2007_156" w:history="1">
        <w:r w:rsidRPr="00CA5193">
          <w:rPr>
            <w:rStyle w:val="TextoNormalCaracter"/>
          </w:rPr>
          <w:t>156/2007</w:t>
        </w:r>
      </w:hyperlink>
      <w:r w:rsidRPr="00CA5193">
        <w:rPr>
          <w:rStyle w:val="TextoNormalCaracter"/>
        </w:rPr>
        <w:t xml:space="preserve">, f. 3; </w:t>
      </w:r>
      <w:hyperlink w:anchor="SENTENCIA_2007_167" w:history="1">
        <w:r w:rsidRPr="00CA5193">
          <w:rPr>
            <w:rStyle w:val="TextoNormalCaracter"/>
          </w:rPr>
          <w:t>167/2007</w:t>
        </w:r>
      </w:hyperlink>
      <w:r w:rsidRPr="00CA5193">
        <w:rPr>
          <w:rStyle w:val="TextoNormalCaracter"/>
        </w:rPr>
        <w:t xml:space="preserve">, f. 8; </w:t>
      </w:r>
      <w:hyperlink w:anchor="SENTENCIA_2007_168" w:history="1">
        <w:r w:rsidRPr="00CA5193">
          <w:rPr>
            <w:rStyle w:val="TextoNormalCaracter"/>
          </w:rPr>
          <w:t>168/2007</w:t>
        </w:r>
      </w:hyperlink>
      <w:r w:rsidRPr="00CA5193">
        <w:rPr>
          <w:rStyle w:val="TextoNormalCaracter"/>
        </w:rPr>
        <w:t xml:space="preserve">, f. 4; </w:t>
      </w:r>
      <w:hyperlink w:anchor="SENTENCIA_2007_169" w:history="1">
        <w:r w:rsidRPr="00CA5193">
          <w:rPr>
            <w:rStyle w:val="TextoNormalCaracter"/>
          </w:rPr>
          <w:t>169/2007</w:t>
        </w:r>
      </w:hyperlink>
      <w:r w:rsidRPr="00CA5193">
        <w:rPr>
          <w:rStyle w:val="TextoNormalCaracter"/>
        </w:rPr>
        <w:t xml:space="preserve">, f. 6; </w:t>
      </w:r>
      <w:hyperlink w:anchor="SENTENCIA_2007_170" w:history="1">
        <w:r w:rsidRPr="00CA5193">
          <w:rPr>
            <w:rStyle w:val="TextoNormalCaracter"/>
          </w:rPr>
          <w:t>170/2007</w:t>
        </w:r>
      </w:hyperlink>
      <w:r w:rsidRPr="00CA5193">
        <w:rPr>
          <w:rStyle w:val="TextoNormalCaracter"/>
        </w:rPr>
        <w:t>, f. 5.</w:t>
      </w:r>
    </w:p>
    <w:p w:rsidR="00CA5193" w:rsidRDefault="00CA5193" w:rsidP="00CA5193">
      <w:pPr>
        <w:pStyle w:val="TextoNormalSangraFrancesa"/>
      </w:pPr>
    </w:p>
    <w:p w:rsidR="00CA5193" w:rsidRDefault="00CA5193" w:rsidP="00CA5193">
      <w:pPr>
        <w:pStyle w:val="TextoNormalSangraFrancesa"/>
      </w:pPr>
    </w:p>
    <w:p w:rsidR="00CA5193" w:rsidRDefault="00CA5193" w:rsidP="00CA5193">
      <w:pPr>
        <w:pStyle w:val="TextoNormalNegritaCentrado"/>
      </w:pPr>
      <w:r>
        <w:t>D</w:t>
      </w:r>
    </w:p>
    <w:p w:rsidR="00CA5193" w:rsidRDefault="00CA5193" w:rsidP="00CA5193">
      <w:pPr>
        <w:pStyle w:val="TextoNormalNegritaCentrado"/>
      </w:pPr>
    </w:p>
    <w:p w:rsidR="00CA5193" w:rsidRDefault="00CA5193" w:rsidP="00CA5193">
      <w:pPr>
        <w:pStyle w:val="TextoNormalNegritaCentrado"/>
      </w:pPr>
    </w:p>
    <w:p w:rsidR="00CA5193" w:rsidRDefault="00CA5193" w:rsidP="00CA5193">
      <w:pPr>
        <w:pStyle w:val="TextoNormalNegritaCentrado"/>
      </w:pPr>
    </w:p>
    <w:p w:rsidR="00CA5193" w:rsidRPr="00CA5193" w:rsidRDefault="00CA5193" w:rsidP="00CA5193">
      <w:pPr>
        <w:pStyle w:val="TextoNormalSangraFrancesa"/>
        <w:rPr>
          <w:rStyle w:val="TextoNormalCaracter"/>
        </w:rPr>
      </w:pPr>
      <w:bookmarkStart w:id="809" w:name="DESCRIPTORALFABETICO317"/>
      <w:r w:rsidRPr="00CA5193">
        <w:rPr>
          <w:rStyle w:val="TextoNormalNegritaCaracter"/>
        </w:rPr>
        <w:t>Daños</w:t>
      </w:r>
      <w:bookmarkEnd w:id="809"/>
      <w:r w:rsidRPr="00CA5193">
        <w:rPr>
          <w:rStyle w:val="TextoNormalCaracter"/>
        </w:rPr>
        <w:t xml:space="preserve">, Sentencia </w:t>
      </w:r>
      <w:hyperlink w:anchor="SENTENCIA_2007_117" w:history="1">
        <w:r w:rsidRPr="00CA5193">
          <w:rPr>
            <w:rStyle w:val="TextoNormalCaracter"/>
          </w:rPr>
          <w:t>117/2007</w:t>
        </w:r>
      </w:hyperlink>
      <w:r w:rsidRPr="00CA5193">
        <w:rPr>
          <w:rStyle w:val="TextoNormalCaracter"/>
        </w:rPr>
        <w:t>, ff. 4, 8.</w:t>
      </w:r>
    </w:p>
    <w:p w:rsidR="00CA5193" w:rsidRPr="00CA5193" w:rsidRDefault="00CA5193" w:rsidP="00CA5193">
      <w:pPr>
        <w:pStyle w:val="TextoNormalSangraFrancesa"/>
        <w:rPr>
          <w:rStyle w:val="TextoNormalCaracter"/>
        </w:rPr>
      </w:pPr>
      <w:bookmarkStart w:id="810" w:name="DESCRIPTORALFABETICO318"/>
      <w:r w:rsidRPr="00CA5193">
        <w:rPr>
          <w:rStyle w:val="TextoNormalNegritaCaracter"/>
        </w:rPr>
        <w:t>Daños personales</w:t>
      </w:r>
      <w:bookmarkEnd w:id="810"/>
      <w:r w:rsidRPr="00CA5193">
        <w:rPr>
          <w:rStyle w:val="TextoNormalCaracter"/>
        </w:rPr>
        <w:t xml:space="preserve">, Sentencia </w:t>
      </w:r>
      <w:hyperlink w:anchor="SENTENCIA_2007_136" w:history="1">
        <w:r w:rsidRPr="00CA5193">
          <w:rPr>
            <w:rStyle w:val="TextoNormalCaracter"/>
          </w:rPr>
          <w:t>136/2007</w:t>
        </w:r>
      </w:hyperlink>
      <w:r w:rsidRPr="00CA5193">
        <w:rPr>
          <w:rStyle w:val="TextoNormalCaracter"/>
        </w:rPr>
        <w:t>, f. 3.</w:t>
      </w:r>
    </w:p>
    <w:p w:rsidR="00CA5193" w:rsidRPr="00CA5193" w:rsidRDefault="00CA5193" w:rsidP="00CA5193">
      <w:pPr>
        <w:pStyle w:val="TextoNormalSangraFrancesa"/>
        <w:rPr>
          <w:rStyle w:val="TextoNormalCaracter"/>
        </w:rPr>
      </w:pPr>
      <w:bookmarkStart w:id="811" w:name="DESCRIPTORALFABETICO45"/>
      <w:r w:rsidRPr="00CA5193">
        <w:rPr>
          <w:rStyle w:val="TextoNormalNegritaCaracter"/>
        </w:rPr>
        <w:t>Datos públicos</w:t>
      </w:r>
      <w:bookmarkEnd w:id="811"/>
      <w:r w:rsidRPr="00CA5193">
        <w:rPr>
          <w:rStyle w:val="TextoNormalCaracter"/>
        </w:rPr>
        <w:t xml:space="preserve">, Sentencia </w:t>
      </w:r>
      <w:hyperlink w:anchor="SENTENCIA_2007_110" w:history="1">
        <w:r w:rsidRPr="00CA5193">
          <w:rPr>
            <w:rStyle w:val="TextoNormalCaracter"/>
          </w:rPr>
          <w:t>110/2007</w:t>
        </w:r>
      </w:hyperlink>
      <w:r w:rsidRPr="00CA5193">
        <w:rPr>
          <w:rStyle w:val="TextoNormalCaracter"/>
        </w:rPr>
        <w:t>, f. 9.</w:t>
      </w:r>
    </w:p>
    <w:p w:rsidR="00CA5193" w:rsidRPr="00CA5193" w:rsidRDefault="00CA5193" w:rsidP="00CA5193">
      <w:pPr>
        <w:pStyle w:val="TextoNormalSangraFrancesa"/>
        <w:rPr>
          <w:rStyle w:val="TextoNormalCaracter"/>
        </w:rPr>
      </w:pPr>
      <w:bookmarkStart w:id="812" w:name="DESCRIPTORALFABETICO46"/>
      <w:r w:rsidRPr="00CA5193">
        <w:rPr>
          <w:rStyle w:val="TextoNormalNegritaCaracter"/>
        </w:rPr>
        <w:t>Datos sobre participación en la vida política</w:t>
      </w:r>
      <w:bookmarkEnd w:id="812"/>
      <w:r w:rsidRPr="00CA5193">
        <w:rPr>
          <w:rStyle w:val="TextoNormalCaracter"/>
        </w:rPr>
        <w:t xml:space="preserve">, Sentencia </w:t>
      </w:r>
      <w:hyperlink w:anchor="SENTENCIA_2007_110" w:history="1">
        <w:r w:rsidRPr="00CA5193">
          <w:rPr>
            <w:rStyle w:val="TextoNormalCaracter"/>
          </w:rPr>
          <w:t>110/2007</w:t>
        </w:r>
      </w:hyperlink>
      <w:r w:rsidRPr="00CA5193">
        <w:rPr>
          <w:rStyle w:val="TextoNormalCaracter"/>
        </w:rPr>
        <w:t>, f. 9.</w:t>
      </w:r>
    </w:p>
    <w:p w:rsidR="00CA5193" w:rsidRPr="00CA5193" w:rsidRDefault="00CA5193" w:rsidP="00CA5193">
      <w:pPr>
        <w:pStyle w:val="TextoNormalSangraFrancesa"/>
        <w:rPr>
          <w:rStyle w:val="TextoNormalCaracter"/>
        </w:rPr>
      </w:pPr>
      <w:bookmarkStart w:id="813" w:name="DESCRIPTORALFABETICO217"/>
      <w:r w:rsidRPr="00CA5193">
        <w:rPr>
          <w:rStyle w:val="TextoNormalNegritaCaracter"/>
        </w:rPr>
        <w:t>Deber de cooperación con la Iglesia católica</w:t>
      </w:r>
      <w:bookmarkEnd w:id="813"/>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f. 5.</w:t>
      </w:r>
    </w:p>
    <w:p w:rsidR="00CA5193" w:rsidRPr="00CA5193" w:rsidRDefault="00CA5193" w:rsidP="00CA5193">
      <w:pPr>
        <w:pStyle w:val="TextoNormalSangraFrancesa"/>
        <w:rPr>
          <w:rStyle w:val="TextoNormalCaracter"/>
        </w:rPr>
      </w:pPr>
      <w:bookmarkStart w:id="814" w:name="DESCRIPTORALFABETICO250"/>
      <w:r w:rsidRPr="00CA5193">
        <w:rPr>
          <w:rStyle w:val="TextoNormalNegritaCaracter"/>
        </w:rPr>
        <w:t>Declaración eclesiástica de idoneidad</w:t>
      </w:r>
      <w:bookmarkEnd w:id="814"/>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ff. 2, 4 a 7, 9 a 12, VP.</w:t>
      </w:r>
    </w:p>
    <w:p w:rsidR="00CA5193" w:rsidRPr="00CA5193" w:rsidRDefault="00CA5193" w:rsidP="00CA5193">
      <w:pPr>
        <w:pStyle w:val="TextoNormalSangraFrancesa"/>
        <w:rPr>
          <w:rStyle w:val="TextoNormalCaracter"/>
        </w:rPr>
      </w:pPr>
      <w:r w:rsidRPr="00CA5193">
        <w:rPr>
          <w:rStyle w:val="TextoNormalCaracter"/>
        </w:rPr>
        <w:lastRenderedPageBreak/>
        <w:t xml:space="preserve">    Auto </w:t>
      </w:r>
      <w:hyperlink w:anchor="AUTO_2007_257" w:history="1">
        <w:r w:rsidRPr="00CA5193">
          <w:rPr>
            <w:rStyle w:val="TextoNormalCaracter"/>
          </w:rPr>
          <w:t>257/2007</w:t>
        </w:r>
      </w:hyperlink>
      <w:r w:rsidRPr="00CA5193">
        <w:rPr>
          <w:rStyle w:val="TextoNormalCaracter"/>
        </w:rPr>
        <w:t>.</w:t>
      </w:r>
    </w:p>
    <w:p w:rsidR="00CA5193" w:rsidRPr="00CA5193" w:rsidRDefault="00CA5193" w:rsidP="00CA5193">
      <w:pPr>
        <w:pStyle w:val="TextoNormalSangraFrancesa"/>
        <w:rPr>
          <w:rStyle w:val="TextoNormalCaracter"/>
        </w:rPr>
      </w:pPr>
      <w:bookmarkStart w:id="815" w:name="DESCRIPTORALFABETICO463"/>
      <w:r w:rsidRPr="00CA5193">
        <w:rPr>
          <w:rStyle w:val="TextoNormalNegritaCaracter"/>
        </w:rPr>
        <w:t xml:space="preserve">Declaraciones sumariales prestadas sin garantía de contradicción </w:t>
      </w:r>
      <w:bookmarkEnd w:id="815"/>
      <w:r w:rsidRPr="00CA5193">
        <w:rPr>
          <w:rStyle w:val="TextoNormalCaracter"/>
        </w:rPr>
        <w:t xml:space="preserve">, Auto </w:t>
      </w:r>
      <w:hyperlink w:anchor="AUTO_2007_264" w:history="1">
        <w:r w:rsidRPr="00CA5193">
          <w:rPr>
            <w:rStyle w:val="TextoNormalCaracter"/>
          </w:rPr>
          <w:t>264/2007</w:t>
        </w:r>
      </w:hyperlink>
      <w:r w:rsidRPr="00CA5193">
        <w:rPr>
          <w:rStyle w:val="TextoNormalCaracter"/>
        </w:rPr>
        <w:t>.</w:t>
      </w:r>
    </w:p>
    <w:p w:rsidR="00CA5193" w:rsidRPr="00CA5193" w:rsidRDefault="00CA5193" w:rsidP="00CA5193">
      <w:pPr>
        <w:pStyle w:val="TextoNormalSangraFrancesa"/>
        <w:rPr>
          <w:rStyle w:val="TextoNormalCaracter"/>
        </w:rPr>
      </w:pPr>
      <w:bookmarkStart w:id="816" w:name="DESCRIPTORALFABETICO286"/>
      <w:r w:rsidRPr="00CA5193">
        <w:rPr>
          <w:rStyle w:val="TextoNormalNegritaCaracter"/>
        </w:rPr>
        <w:t>Decretos legislativos</w:t>
      </w:r>
      <w:bookmarkEnd w:id="816"/>
      <w:r w:rsidRPr="00CA5193">
        <w:rPr>
          <w:rStyle w:val="TextoNormalCaracter"/>
        </w:rPr>
        <w:t xml:space="preserve">, Sentencia </w:t>
      </w:r>
      <w:hyperlink w:anchor="SENTENCIA_2007_166" w:history="1">
        <w:r w:rsidRPr="00CA5193">
          <w:rPr>
            <w:rStyle w:val="TextoNormalCaracter"/>
          </w:rPr>
          <w:t>166/2007</w:t>
        </w:r>
      </w:hyperlink>
      <w:r w:rsidRPr="00CA5193">
        <w:rPr>
          <w:rStyle w:val="TextoNormalCaracter"/>
        </w:rPr>
        <w:t>, f. 2.</w:t>
      </w:r>
    </w:p>
    <w:p w:rsidR="00CA5193" w:rsidRPr="00CA5193" w:rsidRDefault="00CA5193" w:rsidP="00CA5193">
      <w:pPr>
        <w:pStyle w:val="TextoNormalSangraFrancesa"/>
        <w:rPr>
          <w:rStyle w:val="TextoNormalCaracter"/>
        </w:rPr>
      </w:pPr>
      <w:bookmarkStart w:id="817" w:name="DESCRIPTORALFABETICO262"/>
      <w:r w:rsidRPr="00CA5193">
        <w:rPr>
          <w:rStyle w:val="TextoNormalNegritaCaracter"/>
        </w:rPr>
        <w:t>Delitos</w:t>
      </w:r>
      <w:bookmarkEnd w:id="817"/>
      <w:r w:rsidRPr="00CA5193">
        <w:rPr>
          <w:rStyle w:val="TextoNormalCaracter"/>
        </w:rPr>
        <w:t xml:space="preserve">, Sentencia </w:t>
      </w:r>
      <w:hyperlink w:anchor="SENTENCIA_2007_117" w:history="1">
        <w:r w:rsidRPr="00CA5193">
          <w:rPr>
            <w:rStyle w:val="TextoNormalCaracter"/>
          </w:rPr>
          <w:t>117/2007</w:t>
        </w:r>
      </w:hyperlink>
      <w:r w:rsidRPr="00CA5193">
        <w:rPr>
          <w:rStyle w:val="TextoNormalCaracter"/>
        </w:rPr>
        <w:t>, ff. 4, 8.</w:t>
      </w:r>
    </w:p>
    <w:p w:rsidR="00CA5193" w:rsidRPr="00CA5193" w:rsidRDefault="00CA5193" w:rsidP="00CA5193">
      <w:pPr>
        <w:pStyle w:val="TextoNormalSangraFrancesa"/>
        <w:rPr>
          <w:rStyle w:val="TextoNormalCaracter"/>
        </w:rPr>
      </w:pPr>
      <w:bookmarkStart w:id="818" w:name="DESCRIPTORALFABETICO265"/>
      <w:r w:rsidRPr="00CA5193">
        <w:rPr>
          <w:rStyle w:val="TextoNormalNegritaCaracter"/>
        </w:rPr>
        <w:t>Delitos contra la hacienda pública</w:t>
      </w:r>
      <w:bookmarkEnd w:id="818"/>
      <w:r w:rsidRPr="00CA5193">
        <w:rPr>
          <w:rStyle w:val="TextoNormalCaracter"/>
        </w:rPr>
        <w:t xml:space="preserve">, Sentencia </w:t>
      </w:r>
      <w:hyperlink w:anchor="SENTENCIA_2007_142" w:history="1">
        <w:r w:rsidRPr="00CA5193">
          <w:rPr>
            <w:rStyle w:val="TextoNormalCaracter"/>
          </w:rPr>
          <w:t>142/2007</w:t>
        </w:r>
      </w:hyperlink>
      <w:r w:rsidRPr="00CA5193">
        <w:rPr>
          <w:rStyle w:val="TextoNormalCaracter"/>
        </w:rPr>
        <w:t>, f. 4.</w:t>
      </w:r>
    </w:p>
    <w:p w:rsidR="00CA5193" w:rsidRPr="00CA5193" w:rsidRDefault="00CA5193" w:rsidP="00CA5193">
      <w:pPr>
        <w:pStyle w:val="TextoNormalSangraFrancesa"/>
        <w:rPr>
          <w:rStyle w:val="TextoNormalCaracter"/>
        </w:rPr>
      </w:pPr>
      <w:bookmarkStart w:id="819" w:name="DESCRIPTORALFABETICO266"/>
      <w:r w:rsidRPr="00CA5193">
        <w:rPr>
          <w:rStyle w:val="TextoNormalNegritaCaracter"/>
        </w:rPr>
        <w:t>Delitos contra la propiedad intelectual</w:t>
      </w:r>
      <w:bookmarkEnd w:id="819"/>
      <w:r w:rsidRPr="00CA5193">
        <w:rPr>
          <w:rStyle w:val="TextoNormalCaracter"/>
        </w:rPr>
        <w:t xml:space="preserve">, Sentencia </w:t>
      </w:r>
      <w:hyperlink w:anchor="SENTENCIA_2007_137" w:history="1">
        <w:r w:rsidRPr="00CA5193">
          <w:rPr>
            <w:rStyle w:val="TextoNormalCaracter"/>
          </w:rPr>
          <w:t>137/2007</w:t>
        </w:r>
      </w:hyperlink>
      <w:r w:rsidRPr="00CA5193">
        <w:rPr>
          <w:rStyle w:val="TextoNormalCaracter"/>
        </w:rPr>
        <w:t>, f. 5.</w:t>
      </w:r>
    </w:p>
    <w:p w:rsidR="00CA5193" w:rsidRPr="00CA5193" w:rsidRDefault="00CA5193" w:rsidP="00CA5193">
      <w:pPr>
        <w:pStyle w:val="TextoNormalSangraFrancesa"/>
        <w:rPr>
          <w:rStyle w:val="TextoNormalCaracter"/>
        </w:rPr>
      </w:pPr>
      <w:bookmarkStart w:id="820" w:name="DESCRIPTORALFABETICO267"/>
      <w:r w:rsidRPr="00CA5193">
        <w:rPr>
          <w:rStyle w:val="TextoNormalNegritaCaracter"/>
        </w:rPr>
        <w:t>Delitos contra la salud pública</w:t>
      </w:r>
      <w:bookmarkEnd w:id="820"/>
      <w:r w:rsidRPr="00CA5193">
        <w:rPr>
          <w:rStyle w:val="TextoNormalCaracter"/>
        </w:rPr>
        <w:t xml:space="preserve">, Auto </w:t>
      </w:r>
      <w:hyperlink w:anchor="AUTO_2007_266" w:history="1">
        <w:r w:rsidRPr="00CA5193">
          <w:rPr>
            <w:rStyle w:val="TextoNormalCaracter"/>
          </w:rPr>
          <w:t>266/2007</w:t>
        </w:r>
      </w:hyperlink>
      <w:r w:rsidRPr="00CA5193">
        <w:rPr>
          <w:rStyle w:val="TextoNormalCaracter"/>
        </w:rPr>
        <w:t>.</w:t>
      </w:r>
    </w:p>
    <w:p w:rsidR="00CA5193" w:rsidRPr="00CA5193" w:rsidRDefault="00CA5193" w:rsidP="00CA5193">
      <w:pPr>
        <w:pStyle w:val="TextoNormalSangraFrancesa"/>
        <w:rPr>
          <w:rStyle w:val="TextoNormalCaracter"/>
        </w:rPr>
      </w:pPr>
      <w:bookmarkStart w:id="821" w:name="DESCRIPTORALFABETICO268"/>
      <w:r w:rsidRPr="00CA5193">
        <w:rPr>
          <w:rStyle w:val="TextoNormalNegritaCaracter"/>
        </w:rPr>
        <w:t>Delitos contra la seguridad del tráfico</w:t>
      </w:r>
      <w:bookmarkEnd w:id="821"/>
      <w:r w:rsidRPr="00CA5193">
        <w:rPr>
          <w:rStyle w:val="TextoNormalCaracter"/>
        </w:rPr>
        <w:t xml:space="preserve">, Sentencia </w:t>
      </w:r>
      <w:hyperlink w:anchor="SENTENCIA_2007_134" w:history="1">
        <w:r w:rsidRPr="00CA5193">
          <w:rPr>
            <w:rStyle w:val="TextoNormalCaracter"/>
          </w:rPr>
          <w:t>134/2007</w:t>
        </w:r>
      </w:hyperlink>
      <w:r w:rsidRPr="00CA5193">
        <w:rPr>
          <w:rStyle w:val="TextoNormalCaracter"/>
        </w:rPr>
        <w:t>, f. 4.</w:t>
      </w:r>
    </w:p>
    <w:p w:rsidR="00CA5193" w:rsidRPr="00CA5193" w:rsidRDefault="00CA5193" w:rsidP="00CA5193">
      <w:pPr>
        <w:pStyle w:val="TextoNormalSangraFrancesa"/>
        <w:rPr>
          <w:rStyle w:val="TextoNormalNegritaCaracter"/>
        </w:rPr>
      </w:pPr>
      <w:r w:rsidRPr="00CA5193">
        <w:rPr>
          <w:rStyle w:val="TextoNormalCursivaCaracter"/>
        </w:rPr>
        <w:t>Delitos contra la seguridad vial</w:t>
      </w:r>
      <w:r>
        <w:t xml:space="preserve"> véase </w:t>
      </w:r>
      <w:hyperlink w:anchor="DESCRIPTORALFABETICO268" w:history="1">
        <w:r w:rsidRPr="00CA5193">
          <w:rPr>
            <w:rStyle w:val="TextoNormalNegritaCaracter"/>
          </w:rPr>
          <w:t>Delitos contra la seguridad del tráfico</w:t>
        </w:r>
      </w:hyperlink>
    </w:p>
    <w:p w:rsidR="00CA5193" w:rsidRPr="00CA5193" w:rsidRDefault="00CA5193" w:rsidP="00CA5193">
      <w:pPr>
        <w:pStyle w:val="TextoNormalSangraFrancesa"/>
        <w:rPr>
          <w:rStyle w:val="TextoNormalCaracter"/>
        </w:rPr>
      </w:pPr>
      <w:bookmarkStart w:id="822" w:name="DESCRIPTORALFABETICO158"/>
      <w:r w:rsidRPr="00CA5193">
        <w:rPr>
          <w:rStyle w:val="TextoNormalNegritaCaracter"/>
        </w:rPr>
        <w:t>Demanda de amparo</w:t>
      </w:r>
      <w:bookmarkEnd w:id="822"/>
      <w:r w:rsidRPr="00CA5193">
        <w:rPr>
          <w:rStyle w:val="TextoNormalCaracter"/>
        </w:rPr>
        <w:t xml:space="preserve">, Sentencia </w:t>
      </w:r>
      <w:hyperlink w:anchor="SENTENCIA_2007_91" w:history="1">
        <w:r w:rsidRPr="00CA5193">
          <w:rPr>
            <w:rStyle w:val="TextoNormalCaracter"/>
          </w:rPr>
          <w:t>91/2007</w:t>
        </w:r>
      </w:hyperlink>
      <w:r w:rsidRPr="00CA5193">
        <w:rPr>
          <w:rStyle w:val="TextoNormalCaracter"/>
        </w:rPr>
        <w:t>, f. 2.</w:t>
      </w:r>
    </w:p>
    <w:p w:rsidR="00CA5193" w:rsidRPr="00CA5193" w:rsidRDefault="00CA5193" w:rsidP="00CA5193">
      <w:pPr>
        <w:pStyle w:val="TextoNormalSangraFrancesa"/>
        <w:rPr>
          <w:rStyle w:val="TextoNormalCaracter"/>
        </w:rPr>
      </w:pPr>
      <w:bookmarkStart w:id="823" w:name="DESCRIPTORALFABETICO443"/>
      <w:r w:rsidRPr="00CA5193">
        <w:rPr>
          <w:rStyle w:val="TextoNormalNegritaCaracter"/>
        </w:rPr>
        <w:t>Demanda por despido</w:t>
      </w:r>
      <w:bookmarkEnd w:id="823"/>
      <w:r w:rsidRPr="00CA5193">
        <w:rPr>
          <w:rStyle w:val="TextoNormalCaracter"/>
        </w:rPr>
        <w:t xml:space="preserve">, Sentencias </w:t>
      </w:r>
      <w:hyperlink w:anchor="SENTENCIA_2007_119" w:history="1">
        <w:r w:rsidRPr="00CA5193">
          <w:rPr>
            <w:rStyle w:val="TextoNormalCaracter"/>
          </w:rPr>
          <w:t>119/2007</w:t>
        </w:r>
      </w:hyperlink>
      <w:r w:rsidRPr="00CA5193">
        <w:rPr>
          <w:rStyle w:val="TextoNormalCaracter"/>
        </w:rPr>
        <w:t xml:space="preserve">, ff. 1, 2, 3, 4, 5, 6, 7; </w:t>
      </w:r>
      <w:hyperlink w:anchor="SENTENCIA_2007_172" w:history="1">
        <w:r w:rsidRPr="00CA5193">
          <w:rPr>
            <w:rStyle w:val="TextoNormalCaracter"/>
          </w:rPr>
          <w:t>172/2007</w:t>
        </w:r>
      </w:hyperlink>
      <w:r w:rsidRPr="00CA5193">
        <w:rPr>
          <w:rStyle w:val="TextoNormalCaracter"/>
        </w:rPr>
        <w:t>, ff. 2, 4.</w:t>
      </w:r>
    </w:p>
    <w:p w:rsidR="00CA5193" w:rsidRPr="00CA5193" w:rsidRDefault="00CA5193" w:rsidP="00CA5193">
      <w:pPr>
        <w:pStyle w:val="TextoNormalSangraFrancesa"/>
        <w:rPr>
          <w:rStyle w:val="TextoNormalCaracter"/>
        </w:rPr>
      </w:pPr>
      <w:bookmarkStart w:id="824" w:name="DESCRIPTORALFABETICO396"/>
      <w:r w:rsidRPr="00CA5193">
        <w:rPr>
          <w:rStyle w:val="TextoNormalNegritaCaracter"/>
        </w:rPr>
        <w:t>Denegación de abogado de oficio</w:t>
      </w:r>
      <w:bookmarkEnd w:id="824"/>
      <w:r w:rsidRPr="00CA5193">
        <w:rPr>
          <w:rStyle w:val="TextoNormalCaracter"/>
        </w:rPr>
        <w:t xml:space="preserve">, Sentencia </w:t>
      </w:r>
      <w:hyperlink w:anchor="SENTENCIA_2007_146" w:history="1">
        <w:r w:rsidRPr="00CA5193">
          <w:rPr>
            <w:rStyle w:val="TextoNormalCaracter"/>
          </w:rPr>
          <w:t>146/2007</w:t>
        </w:r>
      </w:hyperlink>
      <w:r w:rsidRPr="00CA5193">
        <w:rPr>
          <w:rStyle w:val="TextoNormalCaracter"/>
        </w:rPr>
        <w:t>, ff. 3, 4.</w:t>
      </w:r>
    </w:p>
    <w:p w:rsidR="00CA5193" w:rsidRPr="00CA5193" w:rsidRDefault="00CA5193" w:rsidP="00CA5193">
      <w:pPr>
        <w:pStyle w:val="TextoNormalSangraFrancesa"/>
        <w:rPr>
          <w:rStyle w:val="TextoNormalCaracter"/>
        </w:rPr>
      </w:pPr>
      <w:bookmarkStart w:id="825" w:name="DESCRIPTORALFABETICO131"/>
      <w:r w:rsidRPr="00CA5193">
        <w:rPr>
          <w:rStyle w:val="TextoNormalNegritaCaracter"/>
        </w:rPr>
        <w:t>Denegación de la suspensión de disposiciones del Gobierno</w:t>
      </w:r>
      <w:bookmarkEnd w:id="825"/>
      <w:r w:rsidRPr="00CA5193">
        <w:rPr>
          <w:rStyle w:val="TextoNormalCaracter"/>
        </w:rPr>
        <w:t xml:space="preserve">, Auto </w:t>
      </w:r>
      <w:hyperlink w:anchor="AUTO_2007_258" w:history="1">
        <w:r w:rsidRPr="00CA5193">
          <w:rPr>
            <w:rStyle w:val="TextoNormalCaracter"/>
          </w:rPr>
          <w:t>258/2007</w:t>
        </w:r>
      </w:hyperlink>
      <w:r w:rsidRPr="00CA5193">
        <w:rPr>
          <w:rStyle w:val="TextoNormalCaracter"/>
        </w:rPr>
        <w:t>.</w:t>
      </w:r>
    </w:p>
    <w:p w:rsidR="00CA5193" w:rsidRPr="00CA5193" w:rsidRDefault="00CA5193" w:rsidP="00CA5193">
      <w:pPr>
        <w:pStyle w:val="TextoNormalSangraFrancesa"/>
        <w:rPr>
          <w:rStyle w:val="TextoNormalCaracter"/>
        </w:rPr>
      </w:pPr>
      <w:bookmarkStart w:id="826" w:name="DESCRIPTORALFABETICO7"/>
      <w:r w:rsidRPr="00CA5193">
        <w:rPr>
          <w:rStyle w:val="TextoNormalNegritaCaracter"/>
        </w:rPr>
        <w:t>Denegación de proclamación de candidaturas electorales</w:t>
      </w:r>
      <w:bookmarkEnd w:id="826"/>
      <w:r w:rsidRPr="00CA5193">
        <w:rPr>
          <w:rStyle w:val="TextoNormalCaracter"/>
        </w:rPr>
        <w:t xml:space="preserve">, Sentencia </w:t>
      </w:r>
      <w:hyperlink w:anchor="SENTENCIA_2007_108" w:history="1">
        <w:r w:rsidRPr="00CA5193">
          <w:rPr>
            <w:rStyle w:val="TextoNormalCaracter"/>
          </w:rPr>
          <w:t>108/2007</w:t>
        </w:r>
      </w:hyperlink>
      <w:r w:rsidRPr="00CA5193">
        <w:rPr>
          <w:rStyle w:val="TextoNormalCaracter"/>
        </w:rPr>
        <w:t>, ff. 3 a 5.</w:t>
      </w:r>
    </w:p>
    <w:p w:rsidR="00CA5193" w:rsidRPr="00CA5193" w:rsidRDefault="00CA5193" w:rsidP="00CA5193">
      <w:pPr>
        <w:pStyle w:val="TextoNormalSangraFrancesa"/>
        <w:rPr>
          <w:rStyle w:val="TextoNormalCaracter"/>
        </w:rPr>
      </w:pPr>
      <w:bookmarkStart w:id="827" w:name="DESCRIPTORALFABETICO364"/>
      <w:r w:rsidRPr="00CA5193">
        <w:rPr>
          <w:rStyle w:val="TextoNormalNegritaCaracter"/>
        </w:rPr>
        <w:t>Denegación de prueba</w:t>
      </w:r>
      <w:bookmarkEnd w:id="827"/>
      <w:r w:rsidRPr="00CA5193">
        <w:rPr>
          <w:rStyle w:val="TextoNormalCaracter"/>
        </w:rPr>
        <w:t xml:space="preserve">, Sentencias </w:t>
      </w:r>
      <w:hyperlink w:anchor="SENTENCIA_2007_94" w:history="1">
        <w:r w:rsidRPr="00CA5193">
          <w:rPr>
            <w:rStyle w:val="TextoNormalCaracter"/>
          </w:rPr>
          <w:t>94/2007</w:t>
        </w:r>
      </w:hyperlink>
      <w:r w:rsidRPr="00CA5193">
        <w:rPr>
          <w:rStyle w:val="TextoNormalCaracter"/>
        </w:rPr>
        <w:t xml:space="preserve">, ff. 3 a 5; </w:t>
      </w:r>
      <w:hyperlink w:anchor="SENTENCIA_2007_110" w:history="1">
        <w:r w:rsidRPr="00CA5193">
          <w:rPr>
            <w:rStyle w:val="TextoNormalCaracter"/>
          </w:rPr>
          <w:t>110/2007</w:t>
        </w:r>
      </w:hyperlink>
      <w:r w:rsidRPr="00CA5193">
        <w:rPr>
          <w:rStyle w:val="TextoNormalCaracter"/>
        </w:rPr>
        <w:t xml:space="preserve">, f. 7; </w:t>
      </w:r>
      <w:hyperlink w:anchor="SENTENCIA_2007_136" w:history="1">
        <w:r w:rsidRPr="00CA5193">
          <w:rPr>
            <w:rStyle w:val="TextoNormalCaracter"/>
          </w:rPr>
          <w:t>136/2007</w:t>
        </w:r>
      </w:hyperlink>
      <w:r w:rsidRPr="00CA5193">
        <w:rPr>
          <w:rStyle w:val="TextoNormalCaracter"/>
        </w:rPr>
        <w:t xml:space="preserve">, ff. 2, 3; </w:t>
      </w:r>
      <w:hyperlink w:anchor="SENTENCIA_2007_152" w:history="1">
        <w:r w:rsidRPr="00CA5193">
          <w:rPr>
            <w:rStyle w:val="TextoNormalCaracter"/>
          </w:rPr>
          <w:t>152/2007</w:t>
        </w:r>
      </w:hyperlink>
      <w:r w:rsidRPr="00CA5193">
        <w:rPr>
          <w:rStyle w:val="TextoNormalCaracter"/>
        </w:rPr>
        <w:t xml:space="preserve">, f. 2; </w:t>
      </w:r>
      <w:hyperlink w:anchor="SENTENCIA_2007_177" w:history="1">
        <w:r w:rsidRPr="00CA5193">
          <w:rPr>
            <w:rStyle w:val="TextoNormalCaracter"/>
          </w:rPr>
          <w:t>177/2007</w:t>
        </w:r>
      </w:hyperlink>
      <w:r w:rsidRPr="00CA5193">
        <w:rPr>
          <w:rStyle w:val="TextoNormalCaracter"/>
        </w:rPr>
        <w:t>, ff. 1, 4.</w:t>
      </w:r>
    </w:p>
    <w:p w:rsidR="00CA5193" w:rsidRPr="00CA5193" w:rsidRDefault="00CA5193" w:rsidP="00CA5193">
      <w:pPr>
        <w:pStyle w:val="TextoNormalSangraFrancesa"/>
        <w:rPr>
          <w:rStyle w:val="TextoNormalCaracter"/>
        </w:rPr>
      </w:pPr>
      <w:bookmarkStart w:id="828" w:name="DESCRIPTORALFABETICO172"/>
      <w:r w:rsidRPr="00CA5193">
        <w:rPr>
          <w:rStyle w:val="TextoNormalNegritaCaracter"/>
        </w:rPr>
        <w:t>Denegación de prueba en el recurso de amparo</w:t>
      </w:r>
      <w:bookmarkEnd w:id="828"/>
      <w:r w:rsidRPr="00CA5193">
        <w:rPr>
          <w:rStyle w:val="TextoNormalCaracter"/>
        </w:rPr>
        <w:t xml:space="preserve">, Sentencia </w:t>
      </w:r>
      <w:hyperlink w:anchor="SENTENCIA_2007_110" w:history="1">
        <w:r w:rsidRPr="00CA5193">
          <w:rPr>
            <w:rStyle w:val="TextoNormalCaracter"/>
          </w:rPr>
          <w:t>110/2007</w:t>
        </w:r>
      </w:hyperlink>
      <w:r w:rsidRPr="00CA5193">
        <w:rPr>
          <w:rStyle w:val="TextoNormalCaracter"/>
        </w:rPr>
        <w:t>, f. 2 a).</w:t>
      </w:r>
    </w:p>
    <w:p w:rsidR="00CA5193" w:rsidRPr="00CA5193" w:rsidRDefault="00CA5193" w:rsidP="00CA5193">
      <w:pPr>
        <w:pStyle w:val="TextoNormalSangraFrancesa"/>
        <w:rPr>
          <w:rStyle w:val="TextoNormalCaracter"/>
        </w:rPr>
      </w:pPr>
      <w:bookmarkStart w:id="829" w:name="DESCRIPTORALFABETICO467"/>
      <w:r w:rsidRPr="00CA5193">
        <w:rPr>
          <w:rStyle w:val="TextoNormalNegritaCaracter"/>
        </w:rPr>
        <w:t>Denegación de recurso de revisión penal</w:t>
      </w:r>
      <w:bookmarkEnd w:id="829"/>
      <w:r w:rsidRPr="00CA5193">
        <w:rPr>
          <w:rStyle w:val="TextoNormalCaracter"/>
        </w:rPr>
        <w:t xml:space="preserve">, Sentencia </w:t>
      </w:r>
      <w:hyperlink w:anchor="SENTENCIA_2007_146" w:history="1">
        <w:r w:rsidRPr="00CA5193">
          <w:rPr>
            <w:rStyle w:val="TextoNormalCaracter"/>
          </w:rPr>
          <w:t>146/2007</w:t>
        </w:r>
      </w:hyperlink>
      <w:r w:rsidRPr="00CA5193">
        <w:rPr>
          <w:rStyle w:val="TextoNormalCaracter"/>
        </w:rPr>
        <w:t>, ff. 4, 5.</w:t>
      </w:r>
    </w:p>
    <w:p w:rsidR="00CA5193" w:rsidRPr="00CA5193" w:rsidRDefault="00CA5193" w:rsidP="00CA5193">
      <w:pPr>
        <w:pStyle w:val="TextoNormalSangraFrancesa"/>
        <w:rPr>
          <w:rStyle w:val="TextoNormalCaracter"/>
        </w:rPr>
      </w:pPr>
      <w:bookmarkStart w:id="830" w:name="DESCRIPTORALFABETICO388"/>
      <w:r w:rsidRPr="00CA5193">
        <w:rPr>
          <w:rStyle w:val="TextoNormalNegritaCaracter"/>
        </w:rPr>
        <w:t>Denegación de suspensión de la vista</w:t>
      </w:r>
      <w:bookmarkEnd w:id="830"/>
      <w:r w:rsidRPr="00CA5193">
        <w:rPr>
          <w:rStyle w:val="TextoNormalCaracter"/>
        </w:rPr>
        <w:t xml:space="preserve">, Auto </w:t>
      </w:r>
      <w:hyperlink w:anchor="AUTO_2007_264" w:history="1">
        <w:r w:rsidRPr="00CA5193">
          <w:rPr>
            <w:rStyle w:val="TextoNormalCaracter"/>
          </w:rPr>
          <w:t>264/2007</w:t>
        </w:r>
      </w:hyperlink>
      <w:r w:rsidRPr="00CA5193">
        <w:rPr>
          <w:rStyle w:val="TextoNormalCaracter"/>
        </w:rPr>
        <w:t>.</w:t>
      </w:r>
    </w:p>
    <w:p w:rsidR="00CA5193" w:rsidRPr="00CA5193" w:rsidRDefault="00CA5193" w:rsidP="00CA5193">
      <w:pPr>
        <w:pStyle w:val="TextoNormalSangraFrancesa"/>
        <w:rPr>
          <w:rStyle w:val="TextoNormalCaracter"/>
        </w:rPr>
      </w:pPr>
      <w:bookmarkStart w:id="831" w:name="DESCRIPTORALFABETICO25"/>
      <w:r w:rsidRPr="00CA5193">
        <w:rPr>
          <w:rStyle w:val="TextoNormalNegritaCaracter"/>
        </w:rPr>
        <w:t>Derecho a acceder a los cargos públicos</w:t>
      </w:r>
      <w:bookmarkEnd w:id="831"/>
      <w:r w:rsidRPr="00CA5193">
        <w:rPr>
          <w:rStyle w:val="TextoNormalCaracter"/>
        </w:rPr>
        <w:t xml:space="preserve">, Sentencias </w:t>
      </w:r>
      <w:hyperlink w:anchor="SENTENCIA_2007_96" w:history="1">
        <w:r w:rsidRPr="00CA5193">
          <w:rPr>
            <w:rStyle w:val="TextoNormalCaracter"/>
          </w:rPr>
          <w:t>96/2007</w:t>
        </w:r>
      </w:hyperlink>
      <w:r w:rsidRPr="00CA5193">
        <w:rPr>
          <w:rStyle w:val="TextoNormalCaracter"/>
        </w:rPr>
        <w:t xml:space="preserve">, ff. 2, 4, 6; </w:t>
      </w:r>
      <w:hyperlink w:anchor="SENTENCIA_2007_97" w:history="1">
        <w:r w:rsidRPr="00CA5193">
          <w:rPr>
            <w:rStyle w:val="TextoNormalCaracter"/>
          </w:rPr>
          <w:t>97/2007</w:t>
        </w:r>
      </w:hyperlink>
      <w:r w:rsidRPr="00CA5193">
        <w:rPr>
          <w:rStyle w:val="TextoNormalCaracter"/>
        </w:rPr>
        <w:t xml:space="preserve">, f. 4; </w:t>
      </w:r>
      <w:hyperlink w:anchor="SENTENCIA_2007_99" w:history="1">
        <w:r w:rsidRPr="00CA5193">
          <w:rPr>
            <w:rStyle w:val="TextoNormalCaracter"/>
          </w:rPr>
          <w:t>99/2007</w:t>
        </w:r>
      </w:hyperlink>
      <w:r w:rsidRPr="00CA5193">
        <w:rPr>
          <w:rStyle w:val="TextoNormalCaracter"/>
        </w:rPr>
        <w:t xml:space="preserve">, ff. 2, 4, 6; </w:t>
      </w:r>
      <w:hyperlink w:anchor="SENTENCIA_2007_101" w:history="1">
        <w:r w:rsidRPr="00CA5193">
          <w:rPr>
            <w:rStyle w:val="TextoNormalCaracter"/>
          </w:rPr>
          <w:t>101/2007</w:t>
        </w:r>
      </w:hyperlink>
      <w:r w:rsidRPr="00CA5193">
        <w:rPr>
          <w:rStyle w:val="TextoNormalCaracter"/>
        </w:rPr>
        <w:t xml:space="preserve">, ff. 2 a 4; </w:t>
      </w:r>
      <w:hyperlink w:anchor="SENTENCIA_2007_102" w:history="1">
        <w:r w:rsidRPr="00CA5193">
          <w:rPr>
            <w:rStyle w:val="TextoNormalCaracter"/>
          </w:rPr>
          <w:t>102/2007</w:t>
        </w:r>
      </w:hyperlink>
      <w:r w:rsidRPr="00CA5193">
        <w:rPr>
          <w:rStyle w:val="TextoNormalCaracter"/>
        </w:rPr>
        <w:t xml:space="preserve">, ff. 3, 4; </w:t>
      </w:r>
      <w:hyperlink w:anchor="SENTENCIA_2007_104" w:history="1">
        <w:r w:rsidRPr="00CA5193">
          <w:rPr>
            <w:rStyle w:val="TextoNormalCaracter"/>
          </w:rPr>
          <w:t>104/2007</w:t>
        </w:r>
      </w:hyperlink>
      <w:r w:rsidRPr="00CA5193">
        <w:rPr>
          <w:rStyle w:val="TextoNormalCaracter"/>
        </w:rPr>
        <w:t xml:space="preserve">, ff. 2, 3, 5; </w:t>
      </w:r>
      <w:hyperlink w:anchor="SENTENCIA_2007_105" w:history="1">
        <w:r w:rsidRPr="00CA5193">
          <w:rPr>
            <w:rStyle w:val="TextoNormalCaracter"/>
          </w:rPr>
          <w:t>105/2007</w:t>
        </w:r>
      </w:hyperlink>
      <w:r w:rsidRPr="00CA5193">
        <w:rPr>
          <w:rStyle w:val="TextoNormalCaracter"/>
        </w:rPr>
        <w:t xml:space="preserve">, f. 4; </w:t>
      </w:r>
      <w:hyperlink w:anchor="SENTENCIA_2007_108" w:history="1">
        <w:r w:rsidRPr="00CA5193">
          <w:rPr>
            <w:rStyle w:val="TextoNormalCaracter"/>
          </w:rPr>
          <w:t>108/2007</w:t>
        </w:r>
      </w:hyperlink>
      <w:r w:rsidRPr="00CA5193">
        <w:rPr>
          <w:rStyle w:val="TextoNormalCaracter"/>
        </w:rPr>
        <w:t xml:space="preserve">, ff. 4, 5; </w:t>
      </w:r>
      <w:hyperlink w:anchor="SENTENCIA_2007_109" w:history="1">
        <w:r w:rsidRPr="00CA5193">
          <w:rPr>
            <w:rStyle w:val="TextoNormalCaracter"/>
          </w:rPr>
          <w:t>109/2007</w:t>
        </w:r>
      </w:hyperlink>
      <w:r w:rsidRPr="00CA5193">
        <w:rPr>
          <w:rStyle w:val="TextoNormalCaracter"/>
        </w:rPr>
        <w:t xml:space="preserve">, f. 3; </w:t>
      </w:r>
      <w:hyperlink w:anchor="SENTENCIA_2007_110" w:history="1">
        <w:r w:rsidRPr="00CA5193">
          <w:rPr>
            <w:rStyle w:val="TextoNormalCaracter"/>
          </w:rPr>
          <w:t>110/2007</w:t>
        </w:r>
      </w:hyperlink>
      <w:r w:rsidRPr="00CA5193">
        <w:rPr>
          <w:rStyle w:val="TextoNormalCaracter"/>
        </w:rPr>
        <w:t xml:space="preserve">, f. 11; </w:t>
      </w:r>
      <w:hyperlink w:anchor="SENTENCIA_2007_111" w:history="1">
        <w:r w:rsidRPr="00CA5193">
          <w:rPr>
            <w:rStyle w:val="TextoNormalCaracter"/>
          </w:rPr>
          <w:t>111/2007</w:t>
        </w:r>
      </w:hyperlink>
      <w:r w:rsidRPr="00CA5193">
        <w:rPr>
          <w:rStyle w:val="TextoNormalCaracter"/>
        </w:rPr>
        <w:t xml:space="preserve">, f. 3; </w:t>
      </w:r>
      <w:hyperlink w:anchor="SENTENCIA_2007_112" w:history="1">
        <w:r w:rsidRPr="00CA5193">
          <w:rPr>
            <w:rStyle w:val="TextoNormalCaracter"/>
          </w:rPr>
          <w:t>112/2007</w:t>
        </w:r>
      </w:hyperlink>
      <w:r w:rsidRPr="00CA5193">
        <w:rPr>
          <w:rStyle w:val="TextoNormalCaracter"/>
        </w:rPr>
        <w:t xml:space="preserve">, f. 9; </w:t>
      </w:r>
      <w:hyperlink w:anchor="SENTENCIA_2007_167" w:history="1">
        <w:r w:rsidRPr="00CA5193">
          <w:rPr>
            <w:rStyle w:val="TextoNormalCaracter"/>
          </w:rPr>
          <w:t>167/2007</w:t>
        </w:r>
      </w:hyperlink>
      <w:r w:rsidRPr="00CA5193">
        <w:rPr>
          <w:rStyle w:val="TextoNormalCaracter"/>
        </w:rPr>
        <w:t xml:space="preserve">, ff. 4, 6, 8; </w:t>
      </w:r>
      <w:hyperlink w:anchor="SENTENCIA_2007_168" w:history="1">
        <w:r w:rsidRPr="00CA5193">
          <w:rPr>
            <w:rStyle w:val="TextoNormalCaracter"/>
          </w:rPr>
          <w:t>168/2007</w:t>
        </w:r>
      </w:hyperlink>
      <w:r w:rsidRPr="00CA5193">
        <w:rPr>
          <w:rStyle w:val="TextoNormalCaracter"/>
        </w:rPr>
        <w:t xml:space="preserve">, ff. 4, 5; </w:t>
      </w:r>
      <w:hyperlink w:anchor="SENTENCIA_2007_169" w:history="1">
        <w:r w:rsidRPr="00CA5193">
          <w:rPr>
            <w:rStyle w:val="TextoNormalCaracter"/>
          </w:rPr>
          <w:t>169/2007</w:t>
        </w:r>
      </w:hyperlink>
      <w:r w:rsidRPr="00CA5193">
        <w:rPr>
          <w:rStyle w:val="TextoNormalCaracter"/>
        </w:rPr>
        <w:t xml:space="preserve">, f. 6; </w:t>
      </w:r>
      <w:hyperlink w:anchor="SENTENCIA_2007_170" w:history="1">
        <w:r w:rsidRPr="00CA5193">
          <w:rPr>
            <w:rStyle w:val="TextoNormalCaracter"/>
          </w:rPr>
          <w:t>170/2007</w:t>
        </w:r>
      </w:hyperlink>
      <w:r w:rsidRPr="00CA5193">
        <w:rPr>
          <w:rStyle w:val="TextoNormalCaracter"/>
        </w:rPr>
        <w:t>, f. 5.</w:t>
      </w:r>
    </w:p>
    <w:p w:rsidR="00CA5193" w:rsidRPr="00CA5193" w:rsidRDefault="00CA5193" w:rsidP="00CA5193">
      <w:pPr>
        <w:pStyle w:val="TextoNormalSangraFrancesa"/>
        <w:rPr>
          <w:rStyle w:val="TextoNormalCaracter"/>
        </w:rPr>
      </w:pPr>
      <w:bookmarkStart w:id="832" w:name="DESCRIPTORALFABETICO100"/>
      <w:r w:rsidRPr="00CA5193">
        <w:rPr>
          <w:rStyle w:val="TextoNormalNegritaCaracter"/>
        </w:rPr>
        <w:t>Derecho a comunicar libremente información</w:t>
      </w:r>
      <w:bookmarkEnd w:id="832"/>
      <w:r w:rsidRPr="00CA5193">
        <w:rPr>
          <w:rStyle w:val="TextoNormalCaracter"/>
        </w:rPr>
        <w:t xml:space="preserve">, Sentencia </w:t>
      </w:r>
      <w:hyperlink w:anchor="SENTENCIA_2007_125" w:history="1">
        <w:r w:rsidRPr="00CA5193">
          <w:rPr>
            <w:rStyle w:val="TextoNormalCaracter"/>
          </w:rPr>
          <w:t>125/2007</w:t>
        </w:r>
      </w:hyperlink>
      <w:r w:rsidRPr="00CA5193">
        <w:rPr>
          <w:rStyle w:val="TextoNormalCaracter"/>
        </w:rPr>
        <w:t>, ff. 2, 3.</w:t>
      </w:r>
    </w:p>
    <w:p w:rsidR="00CA5193" w:rsidRPr="00CA5193" w:rsidRDefault="00CA5193" w:rsidP="00CA5193">
      <w:pPr>
        <w:pStyle w:val="TextoNormalSangraFrancesa"/>
        <w:rPr>
          <w:rStyle w:val="TextoNormalCaracter"/>
        </w:rPr>
      </w:pPr>
      <w:bookmarkStart w:id="833" w:name="DESCRIPTORALFABETICO30"/>
      <w:r w:rsidRPr="00CA5193">
        <w:rPr>
          <w:rStyle w:val="TextoNormalNegritaCaracter"/>
        </w:rPr>
        <w:t>Derecho a elegir la formación moral y religiosa de los hijos</w:t>
      </w:r>
      <w:bookmarkEnd w:id="833"/>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f. 5, VP.</w:t>
      </w:r>
    </w:p>
    <w:p w:rsidR="00CA5193" w:rsidRPr="00CA5193" w:rsidRDefault="00CA5193" w:rsidP="00CA5193">
      <w:pPr>
        <w:pStyle w:val="TextoNormalSangraFrancesa"/>
        <w:rPr>
          <w:rStyle w:val="TextoNormalCaracter"/>
        </w:rPr>
      </w:pPr>
      <w:bookmarkStart w:id="834" w:name="DESCRIPTORALFABETICO86"/>
      <w:r w:rsidRPr="00CA5193">
        <w:rPr>
          <w:rStyle w:val="TextoNormalNegritaCaracter"/>
        </w:rPr>
        <w:t>Derecho a la asistencia letrada</w:t>
      </w:r>
      <w:bookmarkEnd w:id="834"/>
      <w:r w:rsidRPr="00CA5193">
        <w:rPr>
          <w:rStyle w:val="TextoNormalCaracter"/>
        </w:rPr>
        <w:t xml:space="preserve">, Sentencias </w:t>
      </w:r>
      <w:hyperlink w:anchor="SENTENCIA_2007_146" w:history="1">
        <w:r w:rsidRPr="00CA5193">
          <w:rPr>
            <w:rStyle w:val="TextoNormalCaracter"/>
          </w:rPr>
          <w:t>146/2007</w:t>
        </w:r>
      </w:hyperlink>
      <w:r w:rsidRPr="00CA5193">
        <w:rPr>
          <w:rStyle w:val="TextoNormalCaracter"/>
        </w:rPr>
        <w:t xml:space="preserve">, ff. 3, 4; </w:t>
      </w:r>
      <w:hyperlink w:anchor="SENTENCIA_2007_156" w:history="1">
        <w:r w:rsidRPr="00CA5193">
          <w:rPr>
            <w:rStyle w:val="TextoNormalCaracter"/>
          </w:rPr>
          <w:t>156/2007</w:t>
        </w:r>
      </w:hyperlink>
      <w:r w:rsidRPr="00CA5193">
        <w:rPr>
          <w:rStyle w:val="TextoNormalCaracter"/>
        </w:rPr>
        <w:t>, f. 2.</w:t>
      </w:r>
    </w:p>
    <w:p w:rsidR="00CA5193" w:rsidRPr="00CA5193" w:rsidRDefault="00CA5193" w:rsidP="00CA5193">
      <w:pPr>
        <w:pStyle w:val="TextoNormalSangraFrancesa"/>
        <w:rPr>
          <w:rStyle w:val="TextoNormalCaracter"/>
        </w:rPr>
      </w:pPr>
      <w:r w:rsidRPr="00CA5193">
        <w:rPr>
          <w:rStyle w:val="TextoNormalCursivaCaracter"/>
        </w:rPr>
        <w:t xml:space="preserve">    Doctrina constitucional, </w:t>
      </w:r>
      <w:r w:rsidRPr="00CA5193">
        <w:rPr>
          <w:rStyle w:val="TextoNormalCaracter"/>
        </w:rPr>
        <w:t xml:space="preserve">Auto </w:t>
      </w:r>
      <w:hyperlink w:anchor="AUTO_2007_255" w:history="1">
        <w:r w:rsidRPr="00CA5193">
          <w:rPr>
            <w:rStyle w:val="TextoNormalCaracter"/>
          </w:rPr>
          <w:t>255/2007</w:t>
        </w:r>
      </w:hyperlink>
      <w:r w:rsidRPr="00CA5193">
        <w:rPr>
          <w:rStyle w:val="TextoNormalCaracter"/>
        </w:rPr>
        <w:t>.</w:t>
      </w:r>
    </w:p>
    <w:p w:rsidR="00CA5193" w:rsidRPr="00CA5193" w:rsidRDefault="00CA5193" w:rsidP="00CA5193">
      <w:pPr>
        <w:pStyle w:val="TextoNormalSangraFrancesa"/>
        <w:rPr>
          <w:rStyle w:val="TextoNormalCaracter"/>
        </w:rPr>
      </w:pPr>
      <w:bookmarkStart w:id="835" w:name="DESCRIPTORALFABETICO85"/>
      <w:r w:rsidRPr="00CA5193">
        <w:rPr>
          <w:rStyle w:val="TextoNormalNegritaCaracter"/>
        </w:rPr>
        <w:t>Derecho a la defensa</w:t>
      </w:r>
      <w:bookmarkEnd w:id="835"/>
      <w:r w:rsidRPr="00CA5193">
        <w:rPr>
          <w:rStyle w:val="TextoNormalCaracter"/>
        </w:rPr>
        <w:t xml:space="preserve">, Sentencia </w:t>
      </w:r>
      <w:hyperlink w:anchor="SENTENCIA_2007_175" w:history="1">
        <w:r w:rsidRPr="00CA5193">
          <w:rPr>
            <w:rStyle w:val="TextoNormalCaracter"/>
          </w:rPr>
          <w:t>175/2007</w:t>
        </w:r>
      </w:hyperlink>
      <w:r w:rsidRPr="00CA5193">
        <w:rPr>
          <w:rStyle w:val="TextoNormalCaracter"/>
        </w:rPr>
        <w:t>, ff. 3, 4, 5.</w:t>
      </w:r>
    </w:p>
    <w:p w:rsidR="00CA5193" w:rsidRPr="00CA5193" w:rsidRDefault="00CA5193" w:rsidP="00CA5193">
      <w:pPr>
        <w:pStyle w:val="TextoNormalSangraFrancesa"/>
        <w:rPr>
          <w:rStyle w:val="TextoNormalCaracter"/>
        </w:rPr>
      </w:pPr>
      <w:r w:rsidRPr="00CA5193">
        <w:rPr>
          <w:rStyle w:val="TextoNormalCaracter"/>
        </w:rPr>
        <w:t xml:space="preserve">    Auto </w:t>
      </w:r>
      <w:hyperlink w:anchor="AUTO_2007_264" w:history="1">
        <w:r w:rsidRPr="00CA5193">
          <w:rPr>
            <w:rStyle w:val="TextoNormalCaracter"/>
          </w:rPr>
          <w:t>264/2007</w:t>
        </w:r>
      </w:hyperlink>
      <w:r w:rsidRPr="00CA5193">
        <w:rPr>
          <w:rStyle w:val="TextoNormalCaracter"/>
        </w:rPr>
        <w:t>.</w:t>
      </w:r>
    </w:p>
    <w:p w:rsidR="00CA5193" w:rsidRPr="00CA5193" w:rsidRDefault="00CA5193" w:rsidP="00CA5193">
      <w:pPr>
        <w:pStyle w:val="TextoNormalSangraFrancesa"/>
        <w:rPr>
          <w:rStyle w:val="TextoNormalNegritaCaracter"/>
        </w:rPr>
      </w:pPr>
      <w:r w:rsidRPr="00CA5193">
        <w:rPr>
          <w:rStyle w:val="TextoNormalCursivaCaracter"/>
        </w:rPr>
        <w:t>Derecho a la defensa contradictoria entre las partes</w:t>
      </w:r>
      <w:r>
        <w:t xml:space="preserve"> véase </w:t>
      </w:r>
      <w:hyperlink w:anchor="DESCRIPTORALFABETICO410" w:history="1">
        <w:r w:rsidRPr="00CA5193">
          <w:rPr>
            <w:rStyle w:val="TextoNormalNegritaCaracter"/>
          </w:rPr>
          <w:t>Principio de contradicción</w:t>
        </w:r>
      </w:hyperlink>
    </w:p>
    <w:p w:rsidR="00CA5193" w:rsidRPr="00CA5193" w:rsidRDefault="00CA5193" w:rsidP="00CA5193">
      <w:pPr>
        <w:pStyle w:val="TextoNormalSangraFrancesa"/>
        <w:rPr>
          <w:rStyle w:val="TextoNormalCaracter"/>
        </w:rPr>
      </w:pPr>
      <w:bookmarkStart w:id="836" w:name="DESCRIPTORALFABETICO55"/>
      <w:r w:rsidRPr="00CA5193">
        <w:rPr>
          <w:rStyle w:val="TextoNormalNegritaCaracter"/>
        </w:rPr>
        <w:t>Derecho a la ejecución de sentencias</w:t>
      </w:r>
      <w:bookmarkEnd w:id="836"/>
      <w:r w:rsidRPr="00CA5193">
        <w:rPr>
          <w:rStyle w:val="TextoNormalCaracter"/>
        </w:rPr>
        <w:t xml:space="preserve">, </w:t>
      </w:r>
    </w:p>
    <w:p w:rsidR="00CA5193" w:rsidRPr="00CA5193" w:rsidRDefault="00CA5193" w:rsidP="00CA5193">
      <w:pPr>
        <w:pStyle w:val="TextoNormalSangraFrancesa"/>
        <w:rPr>
          <w:rStyle w:val="TextoNormalCaracter"/>
        </w:rPr>
      </w:pPr>
      <w:r w:rsidRPr="00CA5193">
        <w:rPr>
          <w:rStyle w:val="TextoNormalCursivaCaracter"/>
        </w:rPr>
        <w:t xml:space="preserve">    Respetado, </w:t>
      </w:r>
      <w:r w:rsidRPr="00CA5193">
        <w:rPr>
          <w:rStyle w:val="TextoNormalCaracter"/>
        </w:rPr>
        <w:t xml:space="preserve">Auto </w:t>
      </w:r>
      <w:hyperlink w:anchor="AUTO_2007_312" w:history="1">
        <w:r w:rsidRPr="00CA5193">
          <w:rPr>
            <w:rStyle w:val="TextoNormalCaracter"/>
          </w:rPr>
          <w:t>312/2007</w:t>
        </w:r>
      </w:hyperlink>
      <w:r w:rsidRPr="00CA5193">
        <w:rPr>
          <w:rStyle w:val="TextoNormalCaracter"/>
        </w:rPr>
        <w:t>.</w:t>
      </w:r>
    </w:p>
    <w:p w:rsidR="00CA5193" w:rsidRPr="00CA5193" w:rsidRDefault="00CA5193" w:rsidP="00CA5193">
      <w:pPr>
        <w:pStyle w:val="TextoNormalSangraFrancesa"/>
        <w:rPr>
          <w:rStyle w:val="TextoNormalCaracter"/>
        </w:rPr>
      </w:pPr>
      <w:r w:rsidRPr="00CA5193">
        <w:rPr>
          <w:rStyle w:val="TextoNormalCursivaCaracter"/>
        </w:rPr>
        <w:t xml:space="preserve">    Vulnerado, </w:t>
      </w:r>
      <w:r w:rsidRPr="00CA5193">
        <w:rPr>
          <w:rStyle w:val="TextoNormalCaracter"/>
        </w:rPr>
        <w:t xml:space="preserve">Sentencia </w:t>
      </w:r>
      <w:hyperlink w:anchor="SENTENCIA_2007_121" w:history="1">
        <w:r w:rsidRPr="00CA5193">
          <w:rPr>
            <w:rStyle w:val="TextoNormalCaracter"/>
          </w:rPr>
          <w:t>121/2007</w:t>
        </w:r>
      </w:hyperlink>
      <w:r w:rsidRPr="00CA5193">
        <w:rPr>
          <w:rStyle w:val="TextoNormalCaracter"/>
        </w:rPr>
        <w:t>, ff. 1, 2.</w:t>
      </w:r>
    </w:p>
    <w:p w:rsidR="00CA5193" w:rsidRPr="00CA5193" w:rsidRDefault="00CA5193" w:rsidP="00CA5193">
      <w:pPr>
        <w:pStyle w:val="TextoNormalSangraFrancesa"/>
        <w:rPr>
          <w:rStyle w:val="TextoNormalCaracter"/>
        </w:rPr>
      </w:pPr>
      <w:bookmarkStart w:id="837" w:name="DESCRIPTORALFABETICO37"/>
      <w:r w:rsidRPr="00CA5193">
        <w:rPr>
          <w:rStyle w:val="TextoNormalNegritaCaracter"/>
        </w:rPr>
        <w:t>Derecho a la integridad física y moral</w:t>
      </w:r>
      <w:bookmarkEnd w:id="837"/>
      <w:r w:rsidRPr="00CA5193">
        <w:rPr>
          <w:rStyle w:val="TextoNormalCaracter"/>
        </w:rPr>
        <w:t xml:space="preserve">, Sentencias </w:t>
      </w:r>
      <w:hyperlink w:anchor="SENTENCIA_2007_140" w:history="1">
        <w:r w:rsidRPr="00CA5193">
          <w:rPr>
            <w:rStyle w:val="TextoNormalCaracter"/>
          </w:rPr>
          <w:t>140/2007</w:t>
        </w:r>
      </w:hyperlink>
      <w:r w:rsidRPr="00CA5193">
        <w:rPr>
          <w:rStyle w:val="TextoNormalCaracter"/>
        </w:rPr>
        <w:t xml:space="preserve">, f. 2; </w:t>
      </w:r>
      <w:hyperlink w:anchor="SENTENCIA_2007_160" w:history="1">
        <w:r w:rsidRPr="00CA5193">
          <w:rPr>
            <w:rStyle w:val="TextoNormalCaracter"/>
          </w:rPr>
          <w:t>160/2007</w:t>
        </w:r>
      </w:hyperlink>
      <w:r w:rsidRPr="00CA5193">
        <w:rPr>
          <w:rStyle w:val="TextoNormalCaracter"/>
        </w:rPr>
        <w:t>, ff. 2, 4, 5.</w:t>
      </w:r>
    </w:p>
    <w:p w:rsidR="00CA5193" w:rsidRPr="00CA5193" w:rsidRDefault="00CA5193" w:rsidP="00CA5193">
      <w:pPr>
        <w:pStyle w:val="TextoNormalSangraFrancesa"/>
        <w:rPr>
          <w:rStyle w:val="TextoNormalCaracter"/>
        </w:rPr>
      </w:pPr>
      <w:bookmarkStart w:id="838" w:name="DESCRIPTORALFABETICO39"/>
      <w:r w:rsidRPr="00CA5193">
        <w:rPr>
          <w:rStyle w:val="TextoNormalNegritaCaracter"/>
        </w:rPr>
        <w:t>Derecho a la intimidad</w:t>
      </w:r>
      <w:bookmarkEnd w:id="838"/>
      <w:r w:rsidRPr="00CA5193">
        <w:rPr>
          <w:rStyle w:val="TextoNormalCaracter"/>
        </w:rPr>
        <w:t xml:space="preserve">, Sentencia </w:t>
      </w:r>
      <w:hyperlink w:anchor="SENTENCIA_2007_110" w:history="1">
        <w:r w:rsidRPr="00CA5193">
          <w:rPr>
            <w:rStyle w:val="TextoNormalCaracter"/>
          </w:rPr>
          <w:t>110/2007</w:t>
        </w:r>
      </w:hyperlink>
      <w:r w:rsidRPr="00CA5193">
        <w:rPr>
          <w:rStyle w:val="TextoNormalCaracter"/>
        </w:rPr>
        <w:t>, f. 9.</w:t>
      </w:r>
    </w:p>
    <w:p w:rsidR="00CA5193" w:rsidRPr="00CA5193" w:rsidRDefault="00CA5193" w:rsidP="00CA5193">
      <w:pPr>
        <w:pStyle w:val="TextoNormalSangraFrancesa"/>
        <w:rPr>
          <w:rStyle w:val="TextoNormalCaracter"/>
        </w:rPr>
      </w:pPr>
      <w:r w:rsidRPr="00CA5193">
        <w:rPr>
          <w:rStyle w:val="TextoNormalCursivaCaracter"/>
        </w:rPr>
        <w:t xml:space="preserve">    Respetado, </w:t>
      </w:r>
      <w:r w:rsidRPr="00CA5193">
        <w:rPr>
          <w:rStyle w:val="TextoNormalCaracter"/>
        </w:rPr>
        <w:t xml:space="preserve">Sentencia </w:t>
      </w:r>
      <w:hyperlink w:anchor="SENTENCIA_2007_128" w:history="1">
        <w:r w:rsidRPr="00CA5193">
          <w:rPr>
            <w:rStyle w:val="TextoNormalCaracter"/>
          </w:rPr>
          <w:t>128/2007</w:t>
        </w:r>
      </w:hyperlink>
      <w:r w:rsidRPr="00CA5193">
        <w:rPr>
          <w:rStyle w:val="TextoNormalCaracter"/>
        </w:rPr>
        <w:t>, ff. 4, 10.</w:t>
      </w:r>
    </w:p>
    <w:p w:rsidR="00CA5193" w:rsidRPr="00CA5193" w:rsidRDefault="00CA5193" w:rsidP="00CA5193">
      <w:pPr>
        <w:pStyle w:val="TextoNormalSangraFrancesa"/>
        <w:rPr>
          <w:rStyle w:val="TextoNormalNegritaCaracter"/>
        </w:rPr>
      </w:pPr>
      <w:r w:rsidRPr="00CA5193">
        <w:rPr>
          <w:rStyle w:val="TextoNormalCursivaCaracter"/>
        </w:rPr>
        <w:t>Derecho a la intimidad personal</w:t>
      </w:r>
      <w:r>
        <w:t xml:space="preserve"> véase </w:t>
      </w:r>
      <w:hyperlink w:anchor="DESCRIPTORALFABETICO39" w:history="1">
        <w:r w:rsidRPr="00CA5193">
          <w:rPr>
            <w:rStyle w:val="TextoNormalNegritaCaracter"/>
          </w:rPr>
          <w:t>Derecho a la intimidad</w:t>
        </w:r>
      </w:hyperlink>
    </w:p>
    <w:p w:rsidR="00CA5193" w:rsidRPr="00CA5193" w:rsidRDefault="00CA5193" w:rsidP="00CA5193">
      <w:pPr>
        <w:pStyle w:val="TextoNormalSangraFrancesa"/>
        <w:rPr>
          <w:rStyle w:val="TextoNormalNegritaCaracter"/>
        </w:rPr>
      </w:pPr>
      <w:r w:rsidRPr="00CA5193">
        <w:rPr>
          <w:rStyle w:val="TextoNormalCursivaCaracter"/>
        </w:rPr>
        <w:t>Derecho a la intimidad personal y familiar</w:t>
      </w:r>
      <w:r>
        <w:t xml:space="preserve"> véase </w:t>
      </w:r>
      <w:hyperlink w:anchor="DESCRIPTORALFABETICO39" w:history="1">
        <w:r w:rsidRPr="00CA5193">
          <w:rPr>
            <w:rStyle w:val="TextoNormalNegritaCaracter"/>
          </w:rPr>
          <w:t>Derecho a la intimidad</w:t>
        </w:r>
      </w:hyperlink>
    </w:p>
    <w:p w:rsidR="00CA5193" w:rsidRPr="00CA5193" w:rsidRDefault="00CA5193" w:rsidP="00CA5193">
      <w:pPr>
        <w:pStyle w:val="TextoNormalSangraFrancesa"/>
        <w:rPr>
          <w:rStyle w:val="TextoNormalCaracter"/>
        </w:rPr>
      </w:pPr>
      <w:bookmarkStart w:id="839" w:name="DESCRIPTORALFABETICO40"/>
      <w:r w:rsidRPr="00CA5193">
        <w:rPr>
          <w:rStyle w:val="TextoNormalNegritaCaracter"/>
        </w:rPr>
        <w:t>Derecho a la libertad personal</w:t>
      </w:r>
      <w:bookmarkEnd w:id="839"/>
      <w:r w:rsidRPr="00CA5193">
        <w:rPr>
          <w:rStyle w:val="TextoNormalCaracter"/>
        </w:rPr>
        <w:t xml:space="preserve">, </w:t>
      </w:r>
    </w:p>
    <w:p w:rsidR="00CA5193" w:rsidRPr="00CA5193" w:rsidRDefault="00CA5193" w:rsidP="00CA5193">
      <w:pPr>
        <w:pStyle w:val="TextoNormalSangraFrancesa"/>
        <w:rPr>
          <w:rStyle w:val="TextoNormalCaracter"/>
        </w:rPr>
      </w:pPr>
      <w:r w:rsidRPr="00CA5193">
        <w:rPr>
          <w:rStyle w:val="TextoNormalCursivaCaracter"/>
        </w:rPr>
        <w:t xml:space="preserve">    Respetado, </w:t>
      </w:r>
      <w:r w:rsidRPr="00CA5193">
        <w:rPr>
          <w:rStyle w:val="TextoNormalCaracter"/>
        </w:rPr>
        <w:t xml:space="preserve">Sentencias </w:t>
      </w:r>
      <w:hyperlink w:anchor="SENTENCIA_2007_149" w:history="1">
        <w:r w:rsidRPr="00CA5193">
          <w:rPr>
            <w:rStyle w:val="TextoNormalCaracter"/>
          </w:rPr>
          <w:t>149/2007</w:t>
        </w:r>
      </w:hyperlink>
      <w:r w:rsidRPr="00CA5193">
        <w:rPr>
          <w:rStyle w:val="TextoNormalCaracter"/>
        </w:rPr>
        <w:t xml:space="preserve">, ff. 2, 4; </w:t>
      </w:r>
      <w:hyperlink w:anchor="SENTENCIA_2007_151" w:history="1">
        <w:r w:rsidRPr="00CA5193">
          <w:rPr>
            <w:rStyle w:val="TextoNormalCaracter"/>
          </w:rPr>
          <w:t>151/2007</w:t>
        </w:r>
      </w:hyperlink>
      <w:r w:rsidRPr="00CA5193">
        <w:rPr>
          <w:rStyle w:val="TextoNormalCaracter"/>
        </w:rPr>
        <w:t xml:space="preserve">, ff. 2, 4; </w:t>
      </w:r>
      <w:hyperlink w:anchor="SENTENCIA_2007_152" w:history="1">
        <w:r w:rsidRPr="00CA5193">
          <w:rPr>
            <w:rStyle w:val="TextoNormalCaracter"/>
          </w:rPr>
          <w:t>152/2007</w:t>
        </w:r>
      </w:hyperlink>
      <w:r w:rsidRPr="00CA5193">
        <w:rPr>
          <w:rStyle w:val="TextoNormalCaracter"/>
        </w:rPr>
        <w:t>, ff. 3, 5.</w:t>
      </w:r>
    </w:p>
    <w:p w:rsidR="00CA5193" w:rsidRPr="00CA5193" w:rsidRDefault="00CA5193" w:rsidP="00CA5193">
      <w:pPr>
        <w:pStyle w:val="TextoNormalSangraFrancesa"/>
        <w:rPr>
          <w:rStyle w:val="TextoNormalCaracter"/>
        </w:rPr>
      </w:pPr>
      <w:r w:rsidRPr="00CA5193">
        <w:rPr>
          <w:rStyle w:val="TextoNormalCursivaCaracter"/>
        </w:rPr>
        <w:t xml:space="preserve">    Vulnerado, </w:t>
      </w:r>
      <w:r w:rsidRPr="00CA5193">
        <w:rPr>
          <w:rStyle w:val="TextoNormalCaracter"/>
        </w:rPr>
        <w:t xml:space="preserve">Sentencias </w:t>
      </w:r>
      <w:hyperlink w:anchor="SENTENCIA_2007_95" w:history="1">
        <w:r w:rsidRPr="00CA5193">
          <w:rPr>
            <w:rStyle w:val="TextoNormalCaracter"/>
          </w:rPr>
          <w:t>95/2007</w:t>
        </w:r>
      </w:hyperlink>
      <w:r w:rsidRPr="00CA5193">
        <w:rPr>
          <w:rStyle w:val="TextoNormalCaracter"/>
        </w:rPr>
        <w:t xml:space="preserve">, f. 5; </w:t>
      </w:r>
      <w:hyperlink w:anchor="SENTENCIA_2007_165" w:history="1">
        <w:r w:rsidRPr="00CA5193">
          <w:rPr>
            <w:rStyle w:val="TextoNormalCaracter"/>
          </w:rPr>
          <w:t>165/2007</w:t>
        </w:r>
      </w:hyperlink>
      <w:r w:rsidRPr="00CA5193">
        <w:rPr>
          <w:rStyle w:val="TextoNormalCaracter"/>
        </w:rPr>
        <w:t>, ff. 2, 3.</w:t>
      </w:r>
    </w:p>
    <w:p w:rsidR="00CA5193" w:rsidRPr="00CA5193" w:rsidRDefault="00CA5193" w:rsidP="00CA5193">
      <w:pPr>
        <w:pStyle w:val="TextoNormalSangraFrancesa"/>
        <w:rPr>
          <w:rStyle w:val="TextoNormalCaracter"/>
        </w:rPr>
      </w:pPr>
      <w:bookmarkStart w:id="840" w:name="DESCRIPTORALFABETICO42"/>
      <w:r w:rsidRPr="00CA5193">
        <w:rPr>
          <w:rStyle w:val="TextoNormalNegritaCaracter"/>
        </w:rPr>
        <w:t>Derecho a la participación en los asuntos públicos</w:t>
      </w:r>
      <w:bookmarkEnd w:id="840"/>
      <w:r w:rsidRPr="00CA5193">
        <w:rPr>
          <w:rStyle w:val="TextoNormalCaracter"/>
        </w:rPr>
        <w:t xml:space="preserve">, Sentencias </w:t>
      </w:r>
      <w:hyperlink w:anchor="SENTENCIA_2007_110" w:history="1">
        <w:r w:rsidRPr="00CA5193">
          <w:rPr>
            <w:rStyle w:val="TextoNormalCaracter"/>
          </w:rPr>
          <w:t>110/2007</w:t>
        </w:r>
      </w:hyperlink>
      <w:r w:rsidRPr="00CA5193">
        <w:rPr>
          <w:rStyle w:val="TextoNormalCaracter"/>
        </w:rPr>
        <w:t xml:space="preserve">, f. 11; </w:t>
      </w:r>
      <w:hyperlink w:anchor="SENTENCIA_2007_112" w:history="1">
        <w:r w:rsidRPr="00CA5193">
          <w:rPr>
            <w:rStyle w:val="TextoNormalCaracter"/>
          </w:rPr>
          <w:t>112/2007</w:t>
        </w:r>
      </w:hyperlink>
      <w:r w:rsidRPr="00CA5193">
        <w:rPr>
          <w:rStyle w:val="TextoNormalCaracter"/>
        </w:rPr>
        <w:t>, f. 9.</w:t>
      </w:r>
    </w:p>
    <w:p w:rsidR="00CA5193" w:rsidRPr="00CA5193" w:rsidRDefault="00CA5193" w:rsidP="00CA5193">
      <w:pPr>
        <w:pStyle w:val="TextoNormalSangraFrancesa"/>
        <w:rPr>
          <w:rStyle w:val="TextoNormalCaracter"/>
        </w:rPr>
      </w:pPr>
      <w:bookmarkStart w:id="841" w:name="DESCRIPTORALFABETICO43"/>
      <w:r w:rsidRPr="00CA5193">
        <w:rPr>
          <w:rStyle w:val="TextoNormalNegritaCaracter"/>
        </w:rPr>
        <w:t>Derecho a la presunción de inocencia</w:t>
      </w:r>
      <w:bookmarkEnd w:id="841"/>
      <w:r w:rsidRPr="00CA5193">
        <w:rPr>
          <w:rStyle w:val="TextoNormalCaracter"/>
        </w:rPr>
        <w:t xml:space="preserve">, Sentencias </w:t>
      </w:r>
      <w:hyperlink w:anchor="SENTENCIA_2007_116" w:history="1">
        <w:r w:rsidRPr="00CA5193">
          <w:rPr>
            <w:rStyle w:val="TextoNormalCaracter"/>
          </w:rPr>
          <w:t>116/2007</w:t>
        </w:r>
      </w:hyperlink>
      <w:r w:rsidRPr="00CA5193">
        <w:rPr>
          <w:rStyle w:val="TextoNormalCaracter"/>
        </w:rPr>
        <w:t xml:space="preserve">, ff. 4, 5; </w:t>
      </w:r>
      <w:hyperlink w:anchor="SENTENCIA_2007_117" w:history="1">
        <w:r w:rsidRPr="00CA5193">
          <w:rPr>
            <w:rStyle w:val="TextoNormalCaracter"/>
          </w:rPr>
          <w:t>117/2007</w:t>
        </w:r>
      </w:hyperlink>
      <w:r w:rsidRPr="00CA5193">
        <w:rPr>
          <w:rStyle w:val="TextoNormalCaracter"/>
        </w:rPr>
        <w:t xml:space="preserve">, ff. 3, 4, 5, 6, 7, 8; </w:t>
      </w:r>
      <w:hyperlink w:anchor="SENTENCIA_2007_126" w:history="1">
        <w:r w:rsidRPr="00CA5193">
          <w:rPr>
            <w:rStyle w:val="TextoNormalCaracter"/>
          </w:rPr>
          <w:t>126/2007</w:t>
        </w:r>
      </w:hyperlink>
      <w:r w:rsidRPr="00CA5193">
        <w:rPr>
          <w:rStyle w:val="TextoNormalCaracter"/>
        </w:rPr>
        <w:t xml:space="preserve">, f. 6; </w:t>
      </w:r>
      <w:hyperlink w:anchor="SENTENCIA_2007_134" w:history="1">
        <w:r w:rsidRPr="00CA5193">
          <w:rPr>
            <w:rStyle w:val="TextoNormalCaracter"/>
          </w:rPr>
          <w:t>134/2007</w:t>
        </w:r>
      </w:hyperlink>
      <w:r w:rsidRPr="00CA5193">
        <w:rPr>
          <w:rStyle w:val="TextoNormalCaracter"/>
        </w:rPr>
        <w:t xml:space="preserve">, ff. 4, 5; </w:t>
      </w:r>
      <w:hyperlink w:anchor="SENTENCIA_2007_137" w:history="1">
        <w:r w:rsidRPr="00CA5193">
          <w:rPr>
            <w:rStyle w:val="TextoNormalCaracter"/>
          </w:rPr>
          <w:t>137/2007</w:t>
        </w:r>
      </w:hyperlink>
      <w:r w:rsidRPr="00CA5193">
        <w:rPr>
          <w:rStyle w:val="TextoNormalCaracter"/>
        </w:rPr>
        <w:t xml:space="preserve">, f. 3; </w:t>
      </w:r>
      <w:hyperlink w:anchor="SENTENCIA_2007_175" w:history="1">
        <w:r w:rsidRPr="00CA5193">
          <w:rPr>
            <w:rStyle w:val="TextoNormalCaracter"/>
          </w:rPr>
          <w:t>175/2007</w:t>
        </w:r>
      </w:hyperlink>
      <w:r w:rsidRPr="00CA5193">
        <w:rPr>
          <w:rStyle w:val="TextoNormalCaracter"/>
        </w:rPr>
        <w:t>, f. 4.</w:t>
      </w:r>
    </w:p>
    <w:p w:rsidR="00CA5193" w:rsidRPr="00CA5193" w:rsidRDefault="00CA5193" w:rsidP="00CA5193">
      <w:pPr>
        <w:pStyle w:val="TextoNormalSangraFrancesa"/>
        <w:rPr>
          <w:rStyle w:val="TextoNormalCaracter"/>
        </w:rPr>
      </w:pPr>
      <w:r w:rsidRPr="00CA5193">
        <w:rPr>
          <w:rStyle w:val="TextoNormalCaracter"/>
        </w:rPr>
        <w:t xml:space="preserve">    Autos </w:t>
      </w:r>
      <w:hyperlink w:anchor="AUTO_2007_245" w:history="1">
        <w:r w:rsidRPr="00CA5193">
          <w:rPr>
            <w:rStyle w:val="TextoNormalCaracter"/>
          </w:rPr>
          <w:t>245/2007</w:t>
        </w:r>
      </w:hyperlink>
      <w:r w:rsidRPr="00CA5193">
        <w:rPr>
          <w:rStyle w:val="TextoNormalCaracter"/>
        </w:rPr>
        <w:t xml:space="preserve">; </w:t>
      </w:r>
      <w:hyperlink w:anchor="AUTO_2007_266" w:history="1">
        <w:r w:rsidRPr="00CA5193">
          <w:rPr>
            <w:rStyle w:val="TextoNormalCaracter"/>
          </w:rPr>
          <w:t>266/2007</w:t>
        </w:r>
      </w:hyperlink>
      <w:r w:rsidRPr="00CA5193">
        <w:rPr>
          <w:rStyle w:val="TextoNormalCaracter"/>
        </w:rPr>
        <w:t>.</w:t>
      </w:r>
    </w:p>
    <w:p w:rsidR="00CA5193" w:rsidRPr="00CA5193" w:rsidRDefault="00CA5193" w:rsidP="00CA5193">
      <w:pPr>
        <w:pStyle w:val="TextoNormalSangraFrancesa"/>
        <w:rPr>
          <w:rStyle w:val="TextoNormalCaracter"/>
        </w:rPr>
      </w:pPr>
      <w:r w:rsidRPr="00CA5193">
        <w:rPr>
          <w:rStyle w:val="TextoNormalCursivaCaracter"/>
        </w:rPr>
        <w:t xml:space="preserve">    Respetado, </w:t>
      </w:r>
      <w:r w:rsidRPr="00CA5193">
        <w:rPr>
          <w:rStyle w:val="TextoNormalCaracter"/>
        </w:rPr>
        <w:t xml:space="preserve">Sentencias </w:t>
      </w:r>
      <w:hyperlink w:anchor="SENTENCIA_2007_116" w:history="1">
        <w:r w:rsidRPr="00CA5193">
          <w:rPr>
            <w:rStyle w:val="TextoNormalCaracter"/>
          </w:rPr>
          <w:t>116/2007</w:t>
        </w:r>
      </w:hyperlink>
      <w:r w:rsidRPr="00CA5193">
        <w:rPr>
          <w:rStyle w:val="TextoNormalCaracter"/>
        </w:rPr>
        <w:t xml:space="preserve">, ff. 4, 5; </w:t>
      </w:r>
      <w:hyperlink w:anchor="SENTENCIA_2007_117" w:history="1">
        <w:r w:rsidRPr="00CA5193">
          <w:rPr>
            <w:rStyle w:val="TextoNormalCaracter"/>
          </w:rPr>
          <w:t>117/2007</w:t>
        </w:r>
      </w:hyperlink>
      <w:r w:rsidRPr="00CA5193">
        <w:rPr>
          <w:rStyle w:val="TextoNormalCaracter"/>
        </w:rPr>
        <w:t>, ff. 3 a 8.</w:t>
      </w:r>
    </w:p>
    <w:p w:rsidR="00CA5193" w:rsidRPr="00CA5193" w:rsidRDefault="00CA5193" w:rsidP="00CA5193">
      <w:pPr>
        <w:pStyle w:val="TextoNormalSangraFrancesa"/>
        <w:rPr>
          <w:rStyle w:val="TextoNormalCaracter"/>
        </w:rPr>
      </w:pPr>
      <w:r w:rsidRPr="00CA5193">
        <w:rPr>
          <w:rStyle w:val="TextoNormalCursivaCaracter"/>
        </w:rPr>
        <w:lastRenderedPageBreak/>
        <w:t xml:space="preserve">    Vulnerado, </w:t>
      </w:r>
      <w:r w:rsidRPr="00CA5193">
        <w:rPr>
          <w:rStyle w:val="TextoNormalCaracter"/>
        </w:rPr>
        <w:t xml:space="preserve">Sentencias </w:t>
      </w:r>
      <w:hyperlink w:anchor="SENTENCIA_2007_126" w:history="1">
        <w:r w:rsidRPr="00CA5193">
          <w:rPr>
            <w:rStyle w:val="TextoNormalCaracter"/>
          </w:rPr>
          <w:t>126/2007</w:t>
        </w:r>
      </w:hyperlink>
      <w:r w:rsidRPr="00CA5193">
        <w:rPr>
          <w:rStyle w:val="TextoNormalCaracter"/>
        </w:rPr>
        <w:t xml:space="preserve">, f. 6; </w:t>
      </w:r>
      <w:hyperlink w:anchor="SENTENCIA_2007_137" w:history="1">
        <w:r w:rsidRPr="00CA5193">
          <w:rPr>
            <w:rStyle w:val="TextoNormalCaracter"/>
          </w:rPr>
          <w:t>137/2007</w:t>
        </w:r>
      </w:hyperlink>
      <w:r w:rsidRPr="00CA5193">
        <w:rPr>
          <w:rStyle w:val="TextoNormalCaracter"/>
        </w:rPr>
        <w:t xml:space="preserve">, f. 5; </w:t>
      </w:r>
      <w:hyperlink w:anchor="SENTENCIA_2007_164" w:history="1">
        <w:r w:rsidRPr="00CA5193">
          <w:rPr>
            <w:rStyle w:val="TextoNormalCaracter"/>
          </w:rPr>
          <w:t>164/2007</w:t>
        </w:r>
      </w:hyperlink>
      <w:r w:rsidRPr="00CA5193">
        <w:rPr>
          <w:rStyle w:val="TextoNormalCaracter"/>
        </w:rPr>
        <w:t>, f. 5.</w:t>
      </w:r>
    </w:p>
    <w:p w:rsidR="00CA5193" w:rsidRPr="00CA5193" w:rsidRDefault="00CA5193" w:rsidP="00CA5193">
      <w:pPr>
        <w:pStyle w:val="TextoNormalSangraFrancesa"/>
        <w:rPr>
          <w:rStyle w:val="TextoNormalCaracter"/>
        </w:rPr>
      </w:pPr>
      <w:bookmarkStart w:id="842" w:name="DESCRIPTORALFABETICO44"/>
      <w:r w:rsidRPr="00CA5193">
        <w:rPr>
          <w:rStyle w:val="TextoNormalNegritaCaracter"/>
        </w:rPr>
        <w:t>Derecho a la protección de datos personales</w:t>
      </w:r>
      <w:bookmarkEnd w:id="842"/>
      <w:r w:rsidRPr="00CA5193">
        <w:rPr>
          <w:rStyle w:val="TextoNormalCaracter"/>
        </w:rPr>
        <w:t xml:space="preserve">, Sentencia </w:t>
      </w:r>
      <w:hyperlink w:anchor="SENTENCIA_2007_110" w:history="1">
        <w:r w:rsidRPr="00CA5193">
          <w:rPr>
            <w:rStyle w:val="TextoNormalCaracter"/>
          </w:rPr>
          <w:t>110/2007</w:t>
        </w:r>
      </w:hyperlink>
      <w:r w:rsidRPr="00CA5193">
        <w:rPr>
          <w:rStyle w:val="TextoNormalCaracter"/>
        </w:rPr>
        <w:t>, f. 9.</w:t>
      </w:r>
    </w:p>
    <w:p w:rsidR="00CA5193" w:rsidRPr="00CA5193" w:rsidRDefault="00CA5193" w:rsidP="00CA5193">
      <w:pPr>
        <w:pStyle w:val="TextoNormalSangraFrancesa"/>
        <w:rPr>
          <w:rStyle w:val="TextoNormalCaracter"/>
        </w:rPr>
      </w:pPr>
      <w:bookmarkStart w:id="843" w:name="DESCRIPTORALFABETICO88"/>
      <w:r w:rsidRPr="00CA5193">
        <w:rPr>
          <w:rStyle w:val="TextoNormalNegritaCaracter"/>
        </w:rPr>
        <w:t>Derecho a la prueba</w:t>
      </w:r>
      <w:bookmarkEnd w:id="843"/>
      <w:r w:rsidRPr="00CA5193">
        <w:rPr>
          <w:rStyle w:val="TextoNormalCaracter"/>
        </w:rPr>
        <w:t xml:space="preserve">, Sentencias </w:t>
      </w:r>
      <w:hyperlink w:anchor="SENTENCIA_2007_110" w:history="1">
        <w:r w:rsidRPr="00CA5193">
          <w:rPr>
            <w:rStyle w:val="TextoNormalCaracter"/>
          </w:rPr>
          <w:t>110/2007</w:t>
        </w:r>
      </w:hyperlink>
      <w:r w:rsidRPr="00CA5193">
        <w:rPr>
          <w:rStyle w:val="TextoNormalCaracter"/>
        </w:rPr>
        <w:t xml:space="preserve">, f. 8; </w:t>
      </w:r>
      <w:hyperlink w:anchor="SENTENCIA_2007_126" w:history="1">
        <w:r w:rsidRPr="00CA5193">
          <w:rPr>
            <w:rStyle w:val="TextoNormalCaracter"/>
          </w:rPr>
          <w:t>126/2007</w:t>
        </w:r>
      </w:hyperlink>
      <w:r w:rsidRPr="00CA5193">
        <w:rPr>
          <w:rStyle w:val="TextoNormalCaracter"/>
        </w:rPr>
        <w:t xml:space="preserve">, ff. 2, 3, 5; </w:t>
      </w:r>
      <w:hyperlink w:anchor="SENTENCIA_2007_136" w:history="1">
        <w:r w:rsidRPr="00CA5193">
          <w:rPr>
            <w:rStyle w:val="TextoNormalCaracter"/>
          </w:rPr>
          <w:t>136/2007</w:t>
        </w:r>
      </w:hyperlink>
      <w:r w:rsidRPr="00CA5193">
        <w:rPr>
          <w:rStyle w:val="TextoNormalCaracter"/>
        </w:rPr>
        <w:t>, f. 3.</w:t>
      </w:r>
    </w:p>
    <w:p w:rsidR="00CA5193" w:rsidRPr="00CA5193" w:rsidRDefault="00CA5193" w:rsidP="00CA5193">
      <w:pPr>
        <w:pStyle w:val="TextoNormalSangraFrancesa"/>
        <w:rPr>
          <w:rStyle w:val="TextoNormalCaracter"/>
        </w:rPr>
      </w:pPr>
      <w:r w:rsidRPr="00CA5193">
        <w:rPr>
          <w:rStyle w:val="TextoNormalCaracter"/>
        </w:rPr>
        <w:t xml:space="preserve">    Auto </w:t>
      </w:r>
      <w:hyperlink w:anchor="AUTO_2007_269" w:history="1">
        <w:r w:rsidRPr="00CA5193">
          <w:rPr>
            <w:rStyle w:val="TextoNormalCaracter"/>
          </w:rPr>
          <w:t>269/2007</w:t>
        </w:r>
      </w:hyperlink>
      <w:r w:rsidRPr="00CA5193">
        <w:rPr>
          <w:rStyle w:val="TextoNormalCaracter"/>
        </w:rPr>
        <w:t>.</w:t>
      </w:r>
    </w:p>
    <w:p w:rsidR="00CA5193" w:rsidRPr="00CA5193" w:rsidRDefault="00CA5193" w:rsidP="00CA5193">
      <w:pPr>
        <w:pStyle w:val="TextoNormalSangraFrancesa"/>
        <w:rPr>
          <w:rStyle w:val="TextoNormalCaracter"/>
        </w:rPr>
      </w:pPr>
      <w:r w:rsidRPr="00CA5193">
        <w:rPr>
          <w:rStyle w:val="TextoNormalCursivaCaracter"/>
        </w:rPr>
        <w:t xml:space="preserve">    Doctrina constitucional, </w:t>
      </w:r>
      <w:r w:rsidRPr="00CA5193">
        <w:rPr>
          <w:rStyle w:val="TextoNormalCaracter"/>
        </w:rPr>
        <w:t xml:space="preserve">Sentencia </w:t>
      </w:r>
      <w:hyperlink w:anchor="SENTENCIA_2007_110" w:history="1">
        <w:r w:rsidRPr="00CA5193">
          <w:rPr>
            <w:rStyle w:val="TextoNormalCaracter"/>
          </w:rPr>
          <w:t>110/2007</w:t>
        </w:r>
      </w:hyperlink>
      <w:r w:rsidRPr="00CA5193">
        <w:rPr>
          <w:rStyle w:val="TextoNormalCaracter"/>
        </w:rPr>
        <w:t>, f. 17.</w:t>
      </w:r>
    </w:p>
    <w:p w:rsidR="00CA5193" w:rsidRPr="00CA5193" w:rsidRDefault="00CA5193" w:rsidP="00CA5193">
      <w:pPr>
        <w:pStyle w:val="TextoNormalSangraFrancesa"/>
        <w:rPr>
          <w:rStyle w:val="TextoNormalCaracter"/>
        </w:rPr>
      </w:pPr>
      <w:r w:rsidRPr="00CA5193">
        <w:rPr>
          <w:rStyle w:val="TextoNormalCaracter"/>
        </w:rPr>
        <w:t xml:space="preserve">    Auto </w:t>
      </w:r>
      <w:hyperlink w:anchor="AUTO_2007_266" w:history="1">
        <w:r w:rsidRPr="00CA5193">
          <w:rPr>
            <w:rStyle w:val="TextoNormalCaracter"/>
          </w:rPr>
          <w:t>266/2007</w:t>
        </w:r>
      </w:hyperlink>
      <w:r w:rsidRPr="00CA5193">
        <w:rPr>
          <w:rStyle w:val="TextoNormalCaracter"/>
        </w:rPr>
        <w:t>.</w:t>
      </w:r>
    </w:p>
    <w:p w:rsidR="00CA5193" w:rsidRPr="00CA5193" w:rsidRDefault="00CA5193" w:rsidP="00CA5193">
      <w:pPr>
        <w:pStyle w:val="TextoNormalSangraFrancesa"/>
        <w:rPr>
          <w:rStyle w:val="TextoNormalCaracter"/>
        </w:rPr>
      </w:pPr>
      <w:r w:rsidRPr="00CA5193">
        <w:rPr>
          <w:rStyle w:val="TextoNormalCursivaCaracter"/>
        </w:rPr>
        <w:t xml:space="preserve">    Respetado, </w:t>
      </w:r>
      <w:r w:rsidRPr="00CA5193">
        <w:rPr>
          <w:rStyle w:val="TextoNormalCaracter"/>
        </w:rPr>
        <w:t xml:space="preserve">Sentencias </w:t>
      </w:r>
      <w:hyperlink w:anchor="SENTENCIA_2007_94" w:history="1">
        <w:r w:rsidRPr="00CA5193">
          <w:rPr>
            <w:rStyle w:val="TextoNormalCaracter"/>
          </w:rPr>
          <w:t>94/2007</w:t>
        </w:r>
      </w:hyperlink>
      <w:r w:rsidRPr="00CA5193">
        <w:rPr>
          <w:rStyle w:val="TextoNormalCaracter"/>
        </w:rPr>
        <w:t xml:space="preserve">, ff. 3 a 5; </w:t>
      </w:r>
      <w:hyperlink w:anchor="SENTENCIA_2007_110" w:history="1">
        <w:r w:rsidRPr="00CA5193">
          <w:rPr>
            <w:rStyle w:val="TextoNormalCaracter"/>
          </w:rPr>
          <w:t>110/2007</w:t>
        </w:r>
      </w:hyperlink>
      <w:r w:rsidRPr="00CA5193">
        <w:rPr>
          <w:rStyle w:val="TextoNormalCaracter"/>
        </w:rPr>
        <w:t xml:space="preserve">, f. 7; </w:t>
      </w:r>
      <w:hyperlink w:anchor="SENTENCIA_2007_152" w:history="1">
        <w:r w:rsidRPr="00CA5193">
          <w:rPr>
            <w:rStyle w:val="TextoNormalCaracter"/>
          </w:rPr>
          <w:t>152/2007</w:t>
        </w:r>
      </w:hyperlink>
      <w:r w:rsidRPr="00CA5193">
        <w:rPr>
          <w:rStyle w:val="TextoNormalCaracter"/>
        </w:rPr>
        <w:t>, f. 2.</w:t>
      </w:r>
    </w:p>
    <w:p w:rsidR="00CA5193" w:rsidRPr="00CA5193" w:rsidRDefault="00CA5193" w:rsidP="00CA5193">
      <w:pPr>
        <w:pStyle w:val="TextoNormalSangraFrancesa"/>
        <w:rPr>
          <w:rStyle w:val="TextoNormalCaracter"/>
        </w:rPr>
      </w:pPr>
      <w:r w:rsidRPr="00CA5193">
        <w:rPr>
          <w:rStyle w:val="TextoNormalCaracter"/>
        </w:rPr>
        <w:t xml:space="preserve">    Auto </w:t>
      </w:r>
      <w:hyperlink w:anchor="AUTO_2007_281" w:history="1">
        <w:r w:rsidRPr="00CA5193">
          <w:rPr>
            <w:rStyle w:val="TextoNormalCaracter"/>
          </w:rPr>
          <w:t>281/2007</w:t>
        </w:r>
      </w:hyperlink>
      <w:r w:rsidRPr="00CA5193">
        <w:rPr>
          <w:rStyle w:val="TextoNormalCaracter"/>
        </w:rPr>
        <w:t>.</w:t>
      </w:r>
    </w:p>
    <w:p w:rsidR="00CA5193" w:rsidRPr="00CA5193" w:rsidRDefault="00CA5193" w:rsidP="00CA5193">
      <w:pPr>
        <w:pStyle w:val="TextoNormalSangraFrancesa"/>
        <w:rPr>
          <w:rStyle w:val="TextoNormalCaracter"/>
        </w:rPr>
      </w:pPr>
      <w:r w:rsidRPr="00CA5193">
        <w:rPr>
          <w:rStyle w:val="TextoNormalCursivaCaracter"/>
        </w:rPr>
        <w:t xml:space="preserve">    Vulnerado, </w:t>
      </w:r>
      <w:r w:rsidRPr="00CA5193">
        <w:rPr>
          <w:rStyle w:val="TextoNormalCaracter"/>
        </w:rPr>
        <w:t xml:space="preserve">Sentencia </w:t>
      </w:r>
      <w:hyperlink w:anchor="SENTENCIA_2007_136" w:history="1">
        <w:r w:rsidRPr="00CA5193">
          <w:rPr>
            <w:rStyle w:val="TextoNormalCaracter"/>
          </w:rPr>
          <w:t>136/2007</w:t>
        </w:r>
      </w:hyperlink>
      <w:r w:rsidRPr="00CA5193">
        <w:rPr>
          <w:rStyle w:val="TextoNormalCaracter"/>
        </w:rPr>
        <w:t>, ff. 2, 3.</w:t>
      </w:r>
    </w:p>
    <w:p w:rsidR="00CA5193" w:rsidRPr="00CA5193" w:rsidRDefault="00CA5193" w:rsidP="00CA5193">
      <w:pPr>
        <w:pStyle w:val="TextoNormalSangraFrancesa"/>
        <w:rPr>
          <w:rStyle w:val="TextoNormalCaracter"/>
        </w:rPr>
      </w:pPr>
      <w:bookmarkStart w:id="844" w:name="DESCRIPTORALFABETICO48"/>
      <w:r w:rsidRPr="00CA5193">
        <w:rPr>
          <w:rStyle w:val="TextoNormalNegritaCaracter"/>
        </w:rPr>
        <w:t>Derecho a la tutela judicial efectiva</w:t>
      </w:r>
      <w:bookmarkEnd w:id="844"/>
      <w:r w:rsidRPr="00CA5193">
        <w:rPr>
          <w:rStyle w:val="TextoNormalCaracter"/>
        </w:rPr>
        <w:t xml:space="preserve">, Sentencias </w:t>
      </w:r>
      <w:hyperlink w:anchor="SENTENCIA_2007_148" w:history="1">
        <w:r w:rsidRPr="00CA5193">
          <w:rPr>
            <w:rStyle w:val="TextoNormalCaracter"/>
          </w:rPr>
          <w:t>148/2007</w:t>
        </w:r>
      </w:hyperlink>
      <w:r w:rsidRPr="00CA5193">
        <w:rPr>
          <w:rStyle w:val="TextoNormalCaracter"/>
        </w:rPr>
        <w:t xml:space="preserve">, ff. 2, 3; </w:t>
      </w:r>
      <w:hyperlink w:anchor="SENTENCIA_2007_154" w:history="1">
        <w:r w:rsidRPr="00CA5193">
          <w:rPr>
            <w:rStyle w:val="TextoNormalCaracter"/>
          </w:rPr>
          <w:t>154/2007</w:t>
        </w:r>
      </w:hyperlink>
      <w:r w:rsidRPr="00CA5193">
        <w:rPr>
          <w:rStyle w:val="TextoNormalCaracter"/>
        </w:rPr>
        <w:t xml:space="preserve">, f. 4; </w:t>
      </w:r>
      <w:hyperlink w:anchor="SENTENCIA_2007_167" w:history="1">
        <w:r w:rsidRPr="00CA5193">
          <w:rPr>
            <w:rStyle w:val="TextoNormalCaracter"/>
          </w:rPr>
          <w:t>167/2007</w:t>
        </w:r>
      </w:hyperlink>
      <w:r w:rsidRPr="00CA5193">
        <w:rPr>
          <w:rStyle w:val="TextoNormalCaracter"/>
        </w:rPr>
        <w:t xml:space="preserve">, f. 4; </w:t>
      </w:r>
      <w:hyperlink w:anchor="SENTENCIA_2007_173" w:history="1">
        <w:r w:rsidRPr="00CA5193">
          <w:rPr>
            <w:rStyle w:val="TextoNormalCaracter"/>
          </w:rPr>
          <w:t>173/2007</w:t>
        </w:r>
      </w:hyperlink>
      <w:r w:rsidRPr="00CA5193">
        <w:rPr>
          <w:rStyle w:val="TextoNormalCaracter"/>
        </w:rPr>
        <w:t>, f. 4.</w:t>
      </w:r>
    </w:p>
    <w:p w:rsidR="00CA5193" w:rsidRPr="00CA5193" w:rsidRDefault="00CA5193" w:rsidP="00CA5193">
      <w:pPr>
        <w:pStyle w:val="TextoNormalSangraFrancesa"/>
        <w:rPr>
          <w:rStyle w:val="TextoNormalCaracter"/>
        </w:rPr>
      </w:pPr>
      <w:r w:rsidRPr="00CA5193">
        <w:rPr>
          <w:rStyle w:val="TextoNormalCaracter"/>
        </w:rPr>
        <w:t xml:space="preserve">    Autos </w:t>
      </w:r>
      <w:hyperlink w:anchor="AUTO_2007_245" w:history="1">
        <w:r w:rsidRPr="00CA5193">
          <w:rPr>
            <w:rStyle w:val="TextoNormalCaracter"/>
          </w:rPr>
          <w:t>245/2007</w:t>
        </w:r>
      </w:hyperlink>
      <w:r w:rsidRPr="00CA5193">
        <w:rPr>
          <w:rStyle w:val="TextoNormalCaracter"/>
        </w:rPr>
        <w:t xml:space="preserve">; </w:t>
      </w:r>
      <w:hyperlink w:anchor="AUTO_2007_266" w:history="1">
        <w:r w:rsidRPr="00CA5193">
          <w:rPr>
            <w:rStyle w:val="TextoNormalCaracter"/>
          </w:rPr>
          <w:t>266/2007</w:t>
        </w:r>
      </w:hyperlink>
      <w:r w:rsidRPr="00CA5193">
        <w:rPr>
          <w:rStyle w:val="TextoNormalCaracter"/>
        </w:rPr>
        <w:t>.</w:t>
      </w:r>
    </w:p>
    <w:p w:rsidR="00CA5193" w:rsidRPr="00CA5193" w:rsidRDefault="00CA5193" w:rsidP="00CA5193">
      <w:pPr>
        <w:pStyle w:val="TextoNormalSangraFrancesa"/>
        <w:rPr>
          <w:rStyle w:val="TextoNormalCaracter"/>
        </w:rPr>
      </w:pPr>
      <w:bookmarkStart w:id="845" w:name="DESCRIPTORALFABETICO76"/>
      <w:r w:rsidRPr="00CA5193">
        <w:rPr>
          <w:rStyle w:val="TextoNormalNegritaCaracter"/>
        </w:rPr>
        <w:t>Derecho a la tutela judicial sin indefensión</w:t>
      </w:r>
      <w:bookmarkEnd w:id="845"/>
      <w:r w:rsidRPr="00CA5193">
        <w:rPr>
          <w:rStyle w:val="TextoNormalCaracter"/>
        </w:rPr>
        <w:t xml:space="preserve">, Sentencia </w:t>
      </w:r>
      <w:hyperlink w:anchor="SENTENCIA_2007_131" w:history="1">
        <w:r w:rsidRPr="00CA5193">
          <w:rPr>
            <w:rStyle w:val="TextoNormalCaracter"/>
          </w:rPr>
          <w:t>131/2007</w:t>
        </w:r>
      </w:hyperlink>
      <w:r w:rsidRPr="00CA5193">
        <w:rPr>
          <w:rStyle w:val="TextoNormalCaracter"/>
        </w:rPr>
        <w:t>, f. 4.</w:t>
      </w:r>
    </w:p>
    <w:p w:rsidR="00CA5193" w:rsidRPr="00CA5193" w:rsidRDefault="00CA5193" w:rsidP="00CA5193">
      <w:pPr>
        <w:pStyle w:val="TextoNormalSangraFrancesa"/>
        <w:rPr>
          <w:rStyle w:val="TextoNormalCaracter"/>
        </w:rPr>
      </w:pPr>
      <w:r w:rsidRPr="00CA5193">
        <w:rPr>
          <w:rStyle w:val="TextoNormalCursivaCaracter"/>
        </w:rPr>
        <w:t xml:space="preserve">    Respetado, </w:t>
      </w:r>
      <w:r w:rsidRPr="00CA5193">
        <w:rPr>
          <w:rStyle w:val="TextoNormalCaracter"/>
        </w:rPr>
        <w:t xml:space="preserve">Sentencia </w:t>
      </w:r>
      <w:hyperlink w:anchor="SENTENCIA_2007_110" w:history="1">
        <w:r w:rsidRPr="00CA5193">
          <w:rPr>
            <w:rStyle w:val="TextoNormalCaracter"/>
          </w:rPr>
          <w:t>110/2007</w:t>
        </w:r>
      </w:hyperlink>
      <w:r w:rsidRPr="00CA5193">
        <w:rPr>
          <w:rStyle w:val="TextoNormalCaracter"/>
        </w:rPr>
        <w:t>, f. 6.</w:t>
      </w:r>
    </w:p>
    <w:p w:rsidR="00CA5193" w:rsidRPr="00CA5193" w:rsidRDefault="00CA5193" w:rsidP="00CA5193">
      <w:pPr>
        <w:pStyle w:val="TextoNormalSangraFrancesa"/>
        <w:rPr>
          <w:rStyle w:val="TextoNormalCaracter"/>
        </w:rPr>
      </w:pPr>
      <w:r w:rsidRPr="00CA5193">
        <w:rPr>
          <w:rStyle w:val="TextoNormalCursivaCaracter"/>
        </w:rPr>
        <w:t xml:space="preserve">    Vulnerado, </w:t>
      </w:r>
      <w:r w:rsidRPr="00CA5193">
        <w:rPr>
          <w:rStyle w:val="TextoNormalCaracter"/>
        </w:rPr>
        <w:t xml:space="preserve">Sentencias </w:t>
      </w:r>
      <w:hyperlink w:anchor="SENTENCIA_2007_162" w:history="1">
        <w:r w:rsidRPr="00CA5193">
          <w:rPr>
            <w:rStyle w:val="TextoNormalCaracter"/>
          </w:rPr>
          <w:t>162/2007</w:t>
        </w:r>
      </w:hyperlink>
      <w:r w:rsidRPr="00CA5193">
        <w:rPr>
          <w:rStyle w:val="TextoNormalCaracter"/>
        </w:rPr>
        <w:t xml:space="preserve">, ff. 2, 3; </w:t>
      </w:r>
      <w:hyperlink w:anchor="SENTENCIA_2007_163" w:history="1">
        <w:r w:rsidRPr="00CA5193">
          <w:rPr>
            <w:rStyle w:val="TextoNormalCaracter"/>
          </w:rPr>
          <w:t>163/2007</w:t>
        </w:r>
      </w:hyperlink>
      <w:r w:rsidRPr="00CA5193">
        <w:rPr>
          <w:rStyle w:val="TextoNormalCaracter"/>
        </w:rPr>
        <w:t>, f. 3.</w:t>
      </w:r>
    </w:p>
    <w:p w:rsidR="00CA5193" w:rsidRPr="00CA5193" w:rsidRDefault="00CA5193" w:rsidP="00CA5193">
      <w:pPr>
        <w:pStyle w:val="TextoNormalSangraFrancesa"/>
        <w:rPr>
          <w:rStyle w:val="TextoNormalNegritaCaracter"/>
        </w:rPr>
      </w:pPr>
      <w:r w:rsidRPr="00CA5193">
        <w:rPr>
          <w:rStyle w:val="TextoNormalCursivaCaracter"/>
        </w:rPr>
        <w:t>Derecho a promover la persecución penal</w:t>
      </w:r>
      <w:r>
        <w:t xml:space="preserve"> véase </w:t>
      </w:r>
      <w:hyperlink w:anchor="DESCRIPTORALFABETICO51" w:history="1">
        <w:r w:rsidRPr="00CA5193">
          <w:rPr>
            <w:rStyle w:val="TextoNormalNegritaCaracter"/>
            <w:i/>
          </w:rPr>
          <w:t>Ius ut procedatur</w:t>
        </w:r>
      </w:hyperlink>
    </w:p>
    <w:p w:rsidR="00CA5193" w:rsidRPr="00CA5193" w:rsidRDefault="00CA5193" w:rsidP="00CA5193">
      <w:pPr>
        <w:pStyle w:val="TextoNormalSangraFrancesa"/>
        <w:rPr>
          <w:rStyle w:val="TextoNormalCaracter"/>
        </w:rPr>
      </w:pPr>
      <w:bookmarkStart w:id="846" w:name="DESCRIPTORALFABETICO89"/>
      <w:r w:rsidRPr="00CA5193">
        <w:rPr>
          <w:rStyle w:val="TextoNormalNegritaCaracter"/>
        </w:rPr>
        <w:t>Derecho a ser informado de la acusación</w:t>
      </w:r>
      <w:bookmarkEnd w:id="846"/>
      <w:r w:rsidRPr="00CA5193">
        <w:rPr>
          <w:rStyle w:val="TextoNormalCaracter"/>
        </w:rPr>
        <w:t xml:space="preserve">, Sentencia </w:t>
      </w:r>
      <w:hyperlink w:anchor="SENTENCIA_2007_116" w:history="1">
        <w:r w:rsidRPr="00CA5193">
          <w:rPr>
            <w:rStyle w:val="TextoNormalCaracter"/>
          </w:rPr>
          <w:t>116/2007</w:t>
        </w:r>
      </w:hyperlink>
      <w:r w:rsidRPr="00CA5193">
        <w:rPr>
          <w:rStyle w:val="TextoNormalCaracter"/>
        </w:rPr>
        <w:t>, f. 2.</w:t>
      </w:r>
    </w:p>
    <w:p w:rsidR="00CA5193" w:rsidRPr="00CA5193" w:rsidRDefault="00CA5193" w:rsidP="00CA5193">
      <w:pPr>
        <w:pStyle w:val="TextoNormalSangraFrancesa"/>
        <w:rPr>
          <w:rStyle w:val="TextoNormalCaracter"/>
        </w:rPr>
      </w:pPr>
      <w:r w:rsidRPr="00CA5193">
        <w:rPr>
          <w:rStyle w:val="TextoNormalCursivaCaracter"/>
        </w:rPr>
        <w:t xml:space="preserve">    Vulnerado, </w:t>
      </w:r>
      <w:r w:rsidRPr="00CA5193">
        <w:rPr>
          <w:rStyle w:val="TextoNormalCaracter"/>
        </w:rPr>
        <w:t xml:space="preserve">Sentencia </w:t>
      </w:r>
      <w:hyperlink w:anchor="SENTENCIA_2007_157" w:history="1">
        <w:r w:rsidRPr="00CA5193">
          <w:rPr>
            <w:rStyle w:val="TextoNormalCaracter"/>
          </w:rPr>
          <w:t>157/2007</w:t>
        </w:r>
      </w:hyperlink>
      <w:r w:rsidRPr="00CA5193">
        <w:rPr>
          <w:rStyle w:val="TextoNormalCaracter"/>
        </w:rPr>
        <w:t>, f. 3.</w:t>
      </w:r>
    </w:p>
    <w:p w:rsidR="00CA5193" w:rsidRPr="00CA5193" w:rsidRDefault="00CA5193" w:rsidP="00CA5193">
      <w:pPr>
        <w:pStyle w:val="TextoNormalSangraFrancesa"/>
        <w:rPr>
          <w:rStyle w:val="TextoNormalCaracter"/>
        </w:rPr>
      </w:pPr>
      <w:bookmarkStart w:id="847" w:name="DESCRIPTORALFABETICO90"/>
      <w:r w:rsidRPr="00CA5193">
        <w:rPr>
          <w:rStyle w:val="TextoNormalNegritaCaracter"/>
        </w:rPr>
        <w:t>Derecho a un juez imparcial</w:t>
      </w:r>
      <w:bookmarkEnd w:id="847"/>
      <w:r w:rsidRPr="00CA5193">
        <w:rPr>
          <w:rStyle w:val="TextoNormalCaracter"/>
        </w:rPr>
        <w:t xml:space="preserve">, Sentencia </w:t>
      </w:r>
      <w:hyperlink w:anchor="SENTENCIA_2007_156" w:history="1">
        <w:r w:rsidRPr="00CA5193">
          <w:rPr>
            <w:rStyle w:val="TextoNormalCaracter"/>
          </w:rPr>
          <w:t>156/2007</w:t>
        </w:r>
      </w:hyperlink>
      <w:r w:rsidRPr="00CA5193">
        <w:rPr>
          <w:rStyle w:val="TextoNormalCaracter"/>
        </w:rPr>
        <w:t>, ff. 5, 6.</w:t>
      </w:r>
    </w:p>
    <w:p w:rsidR="00CA5193" w:rsidRPr="00CA5193" w:rsidRDefault="00CA5193" w:rsidP="00CA5193">
      <w:pPr>
        <w:pStyle w:val="TextoNormalSangraFrancesa"/>
        <w:rPr>
          <w:rStyle w:val="TextoNormalCaracter"/>
        </w:rPr>
      </w:pPr>
      <w:r w:rsidRPr="00CA5193">
        <w:rPr>
          <w:rStyle w:val="TextoNormalCursivaCaracter"/>
        </w:rPr>
        <w:t xml:space="preserve">    Respetado, </w:t>
      </w:r>
      <w:r w:rsidRPr="00CA5193">
        <w:rPr>
          <w:rStyle w:val="TextoNormalCaracter"/>
        </w:rPr>
        <w:t xml:space="preserve">Sentencia </w:t>
      </w:r>
      <w:hyperlink w:anchor="SENTENCIA_2007_110" w:history="1">
        <w:r w:rsidRPr="00CA5193">
          <w:rPr>
            <w:rStyle w:val="TextoNormalCaracter"/>
          </w:rPr>
          <w:t>110/2007</w:t>
        </w:r>
      </w:hyperlink>
      <w:r w:rsidRPr="00CA5193">
        <w:rPr>
          <w:rStyle w:val="TextoNormalCaracter"/>
        </w:rPr>
        <w:t>, f. 5.</w:t>
      </w:r>
    </w:p>
    <w:p w:rsidR="00CA5193" w:rsidRPr="00CA5193" w:rsidRDefault="00CA5193" w:rsidP="00CA5193">
      <w:pPr>
        <w:pStyle w:val="TextoNormalSangraFrancesa"/>
        <w:rPr>
          <w:rStyle w:val="TextoNormalCaracter"/>
        </w:rPr>
      </w:pPr>
      <w:r w:rsidRPr="00CA5193">
        <w:rPr>
          <w:rStyle w:val="TextoNormalCaracter"/>
        </w:rPr>
        <w:t xml:space="preserve">    Auto </w:t>
      </w:r>
      <w:hyperlink w:anchor="AUTO_2007_315" w:history="1">
        <w:r w:rsidRPr="00CA5193">
          <w:rPr>
            <w:rStyle w:val="TextoNormalCaracter"/>
          </w:rPr>
          <w:t>315/2007</w:t>
        </w:r>
      </w:hyperlink>
      <w:r w:rsidRPr="00CA5193">
        <w:rPr>
          <w:rStyle w:val="TextoNormalCaracter"/>
        </w:rPr>
        <w:t>.</w:t>
      </w:r>
    </w:p>
    <w:p w:rsidR="00CA5193" w:rsidRPr="00CA5193" w:rsidRDefault="00CA5193" w:rsidP="00CA5193">
      <w:pPr>
        <w:pStyle w:val="TextoNormalSangraFrancesa"/>
        <w:rPr>
          <w:rStyle w:val="TextoNormalCaracter"/>
        </w:rPr>
      </w:pPr>
      <w:r w:rsidRPr="00CA5193">
        <w:rPr>
          <w:rStyle w:val="TextoNormalCursivaCaracter"/>
        </w:rPr>
        <w:t xml:space="preserve">    Vulnerado, </w:t>
      </w:r>
      <w:r w:rsidRPr="00CA5193">
        <w:rPr>
          <w:rStyle w:val="TextoNormalCaracter"/>
        </w:rPr>
        <w:t xml:space="preserve">Sentencia </w:t>
      </w:r>
      <w:hyperlink w:anchor="SENTENCIA_2007_156" w:history="1">
        <w:r w:rsidRPr="00CA5193">
          <w:rPr>
            <w:rStyle w:val="TextoNormalCaracter"/>
          </w:rPr>
          <w:t>156/2007</w:t>
        </w:r>
      </w:hyperlink>
      <w:r w:rsidRPr="00CA5193">
        <w:rPr>
          <w:rStyle w:val="TextoNormalCaracter"/>
        </w:rPr>
        <w:t>, ff. 5 a 7.</w:t>
      </w:r>
    </w:p>
    <w:p w:rsidR="00CA5193" w:rsidRPr="00CA5193" w:rsidRDefault="00CA5193" w:rsidP="00CA5193">
      <w:pPr>
        <w:pStyle w:val="TextoNormalSangraFrancesa"/>
        <w:rPr>
          <w:rStyle w:val="TextoNormalCaracter"/>
        </w:rPr>
      </w:pPr>
      <w:bookmarkStart w:id="848" w:name="DESCRIPTORALFABETICO84"/>
      <w:r w:rsidRPr="00CA5193">
        <w:rPr>
          <w:rStyle w:val="TextoNormalNegritaCaracter"/>
        </w:rPr>
        <w:t>Derecho a un proceso con todas las garantías</w:t>
      </w:r>
      <w:bookmarkEnd w:id="848"/>
      <w:r w:rsidRPr="00CA5193">
        <w:rPr>
          <w:rStyle w:val="TextoNormalCaracter"/>
        </w:rPr>
        <w:t xml:space="preserve">, Sentencia </w:t>
      </w:r>
      <w:hyperlink w:anchor="SENTENCIA_2007_126" w:history="1">
        <w:r w:rsidRPr="00CA5193">
          <w:rPr>
            <w:rStyle w:val="TextoNormalCaracter"/>
          </w:rPr>
          <w:t>126/2007</w:t>
        </w:r>
      </w:hyperlink>
      <w:r w:rsidRPr="00CA5193">
        <w:rPr>
          <w:rStyle w:val="TextoNormalCaracter"/>
        </w:rPr>
        <w:t>, ff. 3 a 5.</w:t>
      </w:r>
    </w:p>
    <w:p w:rsidR="00CA5193" w:rsidRPr="00CA5193" w:rsidRDefault="00CA5193" w:rsidP="00CA5193">
      <w:pPr>
        <w:pStyle w:val="TextoNormalSangraFrancesa"/>
        <w:rPr>
          <w:rStyle w:val="TextoNormalCaracter"/>
        </w:rPr>
      </w:pPr>
      <w:r w:rsidRPr="00CA5193">
        <w:rPr>
          <w:rStyle w:val="TextoNormalCaracter"/>
        </w:rPr>
        <w:t xml:space="preserve">    Auto </w:t>
      </w:r>
      <w:hyperlink w:anchor="AUTO_2007_264" w:history="1">
        <w:r w:rsidRPr="00CA5193">
          <w:rPr>
            <w:rStyle w:val="TextoNormalCaracter"/>
          </w:rPr>
          <w:t>264/2007</w:t>
        </w:r>
      </w:hyperlink>
      <w:r w:rsidRPr="00CA5193">
        <w:rPr>
          <w:rStyle w:val="TextoNormalCaracter"/>
        </w:rPr>
        <w:t>.</w:t>
      </w:r>
    </w:p>
    <w:p w:rsidR="00CA5193" w:rsidRPr="00CA5193" w:rsidRDefault="00CA5193" w:rsidP="00CA5193">
      <w:pPr>
        <w:pStyle w:val="TextoNormalSangraFrancesa"/>
        <w:rPr>
          <w:rStyle w:val="TextoNormalCaracter"/>
        </w:rPr>
      </w:pPr>
      <w:r w:rsidRPr="00CA5193">
        <w:rPr>
          <w:rStyle w:val="TextoNormalCursivaCaracter"/>
        </w:rPr>
        <w:t xml:space="preserve">    Respetado, </w:t>
      </w:r>
      <w:r w:rsidRPr="00CA5193">
        <w:rPr>
          <w:rStyle w:val="TextoNormalCaracter"/>
        </w:rPr>
        <w:t xml:space="preserve">Sentencia </w:t>
      </w:r>
      <w:hyperlink w:anchor="SENTENCIA_2007_137" w:history="1">
        <w:r w:rsidRPr="00CA5193">
          <w:rPr>
            <w:rStyle w:val="TextoNormalCaracter"/>
          </w:rPr>
          <w:t>137/2007</w:t>
        </w:r>
      </w:hyperlink>
      <w:r w:rsidRPr="00CA5193">
        <w:rPr>
          <w:rStyle w:val="TextoNormalCaracter"/>
        </w:rPr>
        <w:t>, f. 2.</w:t>
      </w:r>
    </w:p>
    <w:p w:rsidR="00CA5193" w:rsidRPr="00CA5193" w:rsidRDefault="00CA5193" w:rsidP="00CA5193">
      <w:pPr>
        <w:pStyle w:val="TextoNormalSangraFrancesa"/>
        <w:rPr>
          <w:rStyle w:val="TextoNormalCaracter"/>
        </w:rPr>
      </w:pPr>
      <w:r w:rsidRPr="00CA5193">
        <w:rPr>
          <w:rStyle w:val="TextoNormalCursivaCaracter"/>
        </w:rPr>
        <w:t xml:space="preserve">    Vulnerado, </w:t>
      </w:r>
      <w:r w:rsidRPr="00CA5193">
        <w:rPr>
          <w:rStyle w:val="TextoNormalCaracter"/>
        </w:rPr>
        <w:t xml:space="preserve">Sentencias </w:t>
      </w:r>
      <w:hyperlink w:anchor="SENTENCIA_2007_126" w:history="1">
        <w:r w:rsidRPr="00CA5193">
          <w:rPr>
            <w:rStyle w:val="TextoNormalCaracter"/>
          </w:rPr>
          <w:t>126/2007</w:t>
        </w:r>
      </w:hyperlink>
      <w:r w:rsidRPr="00CA5193">
        <w:rPr>
          <w:rStyle w:val="TextoNormalCaracter"/>
        </w:rPr>
        <w:t xml:space="preserve">, f. 5; </w:t>
      </w:r>
      <w:hyperlink w:anchor="SENTENCIA_2007_134" w:history="1">
        <w:r w:rsidRPr="00CA5193">
          <w:rPr>
            <w:rStyle w:val="TextoNormalCaracter"/>
          </w:rPr>
          <w:t>134/2007</w:t>
        </w:r>
      </w:hyperlink>
      <w:r w:rsidRPr="00CA5193">
        <w:rPr>
          <w:rStyle w:val="TextoNormalCaracter"/>
        </w:rPr>
        <w:t xml:space="preserve">, ff. 2, 4; </w:t>
      </w:r>
      <w:hyperlink w:anchor="SENTENCIA_2007_142" w:history="1">
        <w:r w:rsidRPr="00CA5193">
          <w:rPr>
            <w:rStyle w:val="TextoNormalCaracter"/>
          </w:rPr>
          <w:t>142/2007</w:t>
        </w:r>
      </w:hyperlink>
      <w:r w:rsidRPr="00CA5193">
        <w:rPr>
          <w:rStyle w:val="TextoNormalCaracter"/>
        </w:rPr>
        <w:t xml:space="preserve">, f. 4; </w:t>
      </w:r>
      <w:hyperlink w:anchor="SENTENCIA_2007_164" w:history="1">
        <w:r w:rsidRPr="00CA5193">
          <w:rPr>
            <w:rStyle w:val="TextoNormalCaracter"/>
          </w:rPr>
          <w:t>164/2007</w:t>
        </w:r>
      </w:hyperlink>
      <w:r w:rsidRPr="00CA5193">
        <w:rPr>
          <w:rStyle w:val="TextoNormalCaracter"/>
        </w:rPr>
        <w:t>, f. 5.</w:t>
      </w:r>
    </w:p>
    <w:p w:rsidR="00CA5193" w:rsidRPr="00CA5193" w:rsidRDefault="00CA5193" w:rsidP="00CA5193">
      <w:pPr>
        <w:pStyle w:val="TextoNormalSangraFrancesa"/>
        <w:rPr>
          <w:rStyle w:val="TextoNormalCaracter"/>
        </w:rPr>
      </w:pPr>
      <w:bookmarkStart w:id="849" w:name="DESCRIPTORALFABETICO91"/>
      <w:r w:rsidRPr="00CA5193">
        <w:rPr>
          <w:rStyle w:val="TextoNormalNegritaCaracter"/>
        </w:rPr>
        <w:t>Derecho a un proceso sin dilaciones indebidas</w:t>
      </w:r>
      <w:bookmarkEnd w:id="849"/>
      <w:r w:rsidRPr="00CA5193">
        <w:rPr>
          <w:rStyle w:val="TextoNormalCaracter"/>
        </w:rPr>
        <w:t xml:space="preserve">, </w:t>
      </w:r>
    </w:p>
    <w:p w:rsidR="00CA5193" w:rsidRPr="00CA5193" w:rsidRDefault="00CA5193" w:rsidP="00CA5193">
      <w:pPr>
        <w:pStyle w:val="TextoNormalSangraFrancesa"/>
        <w:rPr>
          <w:rStyle w:val="TextoNormalCaracter"/>
        </w:rPr>
      </w:pPr>
      <w:r w:rsidRPr="00CA5193">
        <w:rPr>
          <w:rStyle w:val="TextoNormalCursivaCaracter"/>
        </w:rPr>
        <w:t xml:space="preserve">    Doctrina constitucional, </w:t>
      </w:r>
      <w:r w:rsidRPr="00CA5193">
        <w:rPr>
          <w:rStyle w:val="TextoNormalCaracter"/>
        </w:rPr>
        <w:t xml:space="preserve">Sentencia </w:t>
      </w:r>
      <w:hyperlink w:anchor="SENTENCIA_2007_178" w:history="1">
        <w:r w:rsidRPr="00CA5193">
          <w:rPr>
            <w:rStyle w:val="TextoNormalCaracter"/>
          </w:rPr>
          <w:t>178/2007</w:t>
        </w:r>
      </w:hyperlink>
      <w:r w:rsidRPr="00CA5193">
        <w:rPr>
          <w:rStyle w:val="TextoNormalCaracter"/>
        </w:rPr>
        <w:t>, f. 2.</w:t>
      </w:r>
    </w:p>
    <w:p w:rsidR="00CA5193" w:rsidRPr="00CA5193" w:rsidRDefault="00CA5193" w:rsidP="00CA5193">
      <w:pPr>
        <w:pStyle w:val="TextoNormalSangraFrancesa"/>
        <w:rPr>
          <w:rStyle w:val="TextoNormalNegritaCaracter"/>
        </w:rPr>
      </w:pPr>
      <w:r w:rsidRPr="00CA5193">
        <w:rPr>
          <w:rStyle w:val="TextoNormalCursivaCaracter"/>
        </w:rPr>
        <w:t>Derecho a utilizar los medios de prueba pertinentes</w:t>
      </w:r>
      <w:r>
        <w:t xml:space="preserve"> véase </w:t>
      </w:r>
      <w:hyperlink w:anchor="DESCRIPTORALFABETICO88" w:history="1">
        <w:r w:rsidRPr="00CA5193">
          <w:rPr>
            <w:rStyle w:val="TextoNormalNegritaCaracter"/>
          </w:rPr>
          <w:t>Derecho a la prueba</w:t>
        </w:r>
      </w:hyperlink>
    </w:p>
    <w:p w:rsidR="00CA5193" w:rsidRPr="00CA5193" w:rsidRDefault="00CA5193" w:rsidP="00CA5193">
      <w:pPr>
        <w:pStyle w:val="TextoNormalSangraFrancesa"/>
        <w:rPr>
          <w:rStyle w:val="TextoNormalCaracter"/>
        </w:rPr>
      </w:pPr>
      <w:bookmarkStart w:id="850" w:name="DESCRIPTORALFABETICO93"/>
      <w:r w:rsidRPr="00CA5193">
        <w:rPr>
          <w:rStyle w:val="TextoNormalNegritaCaracter"/>
        </w:rPr>
        <w:t>Derecho al secreto de las comunicaciones</w:t>
      </w:r>
      <w:bookmarkEnd w:id="850"/>
      <w:r w:rsidRPr="00CA5193">
        <w:rPr>
          <w:rStyle w:val="TextoNormalCaracter"/>
        </w:rPr>
        <w:t xml:space="preserve">, Auto </w:t>
      </w:r>
      <w:hyperlink w:anchor="AUTO_2007_245" w:history="1">
        <w:r w:rsidRPr="00CA5193">
          <w:rPr>
            <w:rStyle w:val="TextoNormalCaracter"/>
          </w:rPr>
          <w:t>245/2007</w:t>
        </w:r>
      </w:hyperlink>
      <w:r w:rsidRPr="00CA5193">
        <w:rPr>
          <w:rStyle w:val="TextoNormalCaracter"/>
        </w:rPr>
        <w:t>.</w:t>
      </w:r>
    </w:p>
    <w:p w:rsidR="00CA5193" w:rsidRPr="00CA5193" w:rsidRDefault="00CA5193" w:rsidP="00CA5193">
      <w:pPr>
        <w:pStyle w:val="TextoNormalSangraFrancesa"/>
        <w:rPr>
          <w:rStyle w:val="TextoNormalCaracter"/>
        </w:rPr>
      </w:pPr>
      <w:r w:rsidRPr="00CA5193">
        <w:rPr>
          <w:rStyle w:val="TextoNormalCursivaCaracter"/>
        </w:rPr>
        <w:t xml:space="preserve">    Respetado, </w:t>
      </w:r>
      <w:r w:rsidRPr="00CA5193">
        <w:rPr>
          <w:rStyle w:val="TextoNormalCaracter"/>
        </w:rPr>
        <w:t xml:space="preserve">Auto </w:t>
      </w:r>
      <w:hyperlink w:anchor="AUTO_2007_245" w:history="1">
        <w:r w:rsidRPr="00CA5193">
          <w:rPr>
            <w:rStyle w:val="TextoNormalCaracter"/>
          </w:rPr>
          <w:t>245/2007</w:t>
        </w:r>
      </w:hyperlink>
      <w:r w:rsidRPr="00CA5193">
        <w:rPr>
          <w:rStyle w:val="TextoNormalCaracter"/>
        </w:rPr>
        <w:t>.</w:t>
      </w:r>
    </w:p>
    <w:p w:rsidR="00CA5193" w:rsidRPr="00CA5193" w:rsidRDefault="00CA5193" w:rsidP="00CA5193">
      <w:pPr>
        <w:pStyle w:val="TextoNormalSangraFrancesa"/>
        <w:rPr>
          <w:rStyle w:val="TextoNormalCaracter"/>
        </w:rPr>
      </w:pPr>
      <w:bookmarkStart w:id="851" w:name="DESCRIPTORALFABETICO105"/>
      <w:r w:rsidRPr="00CA5193">
        <w:rPr>
          <w:rStyle w:val="TextoNormalNegritaCaracter"/>
        </w:rPr>
        <w:t>Derecho de las confesiones religiosas a definir su propio credo</w:t>
      </w:r>
      <w:bookmarkEnd w:id="851"/>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ff. 5, 9.</w:t>
      </w:r>
    </w:p>
    <w:p w:rsidR="00CA5193" w:rsidRPr="00CA5193" w:rsidRDefault="00CA5193" w:rsidP="00CA5193">
      <w:pPr>
        <w:pStyle w:val="TextoNormalSangraFrancesa"/>
        <w:rPr>
          <w:rStyle w:val="TextoNormalCaracter"/>
        </w:rPr>
      </w:pPr>
      <w:bookmarkStart w:id="852" w:name="DESCRIPTORALFABETICO289"/>
      <w:r w:rsidRPr="00CA5193">
        <w:rPr>
          <w:rStyle w:val="TextoNormalNegritaCaracter"/>
        </w:rPr>
        <w:t>Derecho supletorio</w:t>
      </w:r>
      <w:bookmarkEnd w:id="852"/>
      <w:r w:rsidRPr="00CA5193">
        <w:rPr>
          <w:rStyle w:val="TextoNormalCaracter"/>
        </w:rPr>
        <w:t xml:space="preserve">, Sentencia </w:t>
      </w:r>
      <w:hyperlink w:anchor="SENTENCIA_2007_130" w:history="1">
        <w:r w:rsidRPr="00CA5193">
          <w:rPr>
            <w:rStyle w:val="TextoNormalCaracter"/>
          </w:rPr>
          <w:t>130/2007</w:t>
        </w:r>
      </w:hyperlink>
      <w:r w:rsidRPr="00CA5193">
        <w:rPr>
          <w:rStyle w:val="TextoNormalCaracter"/>
        </w:rPr>
        <w:t>, f. 4.</w:t>
      </w:r>
    </w:p>
    <w:p w:rsidR="00CA5193" w:rsidRPr="00CA5193" w:rsidRDefault="00CA5193" w:rsidP="00CA5193">
      <w:pPr>
        <w:pStyle w:val="TextoNormalSangraFrancesa"/>
        <w:rPr>
          <w:rStyle w:val="TextoNormalNegritaCaracter"/>
        </w:rPr>
      </w:pPr>
      <w:r w:rsidRPr="00CA5193">
        <w:rPr>
          <w:rStyle w:val="TextoNormalCursivaCaracter"/>
        </w:rPr>
        <w:t>Derechos &lt;em&gt;ex lege&lt;/em&gt;</w:t>
      </w:r>
      <w:r>
        <w:t xml:space="preserve"> véase </w:t>
      </w:r>
      <w:hyperlink w:anchor="DESCRIPTORALFABETICO96" w:history="1">
        <w:r w:rsidRPr="00CA5193">
          <w:rPr>
            <w:rStyle w:val="TextoNormalNegritaCaracter"/>
          </w:rPr>
          <w:t>Derechos de configuración legal</w:t>
        </w:r>
      </w:hyperlink>
    </w:p>
    <w:p w:rsidR="00CA5193" w:rsidRPr="00CA5193" w:rsidRDefault="00CA5193" w:rsidP="00CA5193">
      <w:pPr>
        <w:pStyle w:val="TextoNormalSangraFrancesa"/>
        <w:rPr>
          <w:rStyle w:val="TextoNormalCaracter"/>
        </w:rPr>
      </w:pPr>
      <w:bookmarkStart w:id="853" w:name="DESCRIPTORALFABETICO96"/>
      <w:r w:rsidRPr="00CA5193">
        <w:rPr>
          <w:rStyle w:val="TextoNormalNegritaCaracter"/>
        </w:rPr>
        <w:t>Derechos de configuración legal</w:t>
      </w:r>
      <w:bookmarkEnd w:id="853"/>
      <w:r w:rsidRPr="00CA5193">
        <w:rPr>
          <w:rStyle w:val="TextoNormalCaracter"/>
        </w:rPr>
        <w:t xml:space="preserve">, Sentencias </w:t>
      </w:r>
      <w:hyperlink w:anchor="SENTENCIA_2007_167" w:history="1">
        <w:r w:rsidRPr="00CA5193">
          <w:rPr>
            <w:rStyle w:val="TextoNormalCaracter"/>
          </w:rPr>
          <w:t>167/2007</w:t>
        </w:r>
      </w:hyperlink>
      <w:r w:rsidRPr="00CA5193">
        <w:rPr>
          <w:rStyle w:val="TextoNormalCaracter"/>
        </w:rPr>
        <w:t xml:space="preserve">, f. 8; </w:t>
      </w:r>
      <w:hyperlink w:anchor="SENTENCIA_2007_168" w:history="1">
        <w:r w:rsidRPr="00CA5193">
          <w:rPr>
            <w:rStyle w:val="TextoNormalCaracter"/>
          </w:rPr>
          <w:t>168/2007</w:t>
        </w:r>
      </w:hyperlink>
      <w:r w:rsidRPr="00CA5193">
        <w:rPr>
          <w:rStyle w:val="TextoNormalCaracter"/>
        </w:rPr>
        <w:t xml:space="preserve">, f. 4; </w:t>
      </w:r>
      <w:hyperlink w:anchor="SENTENCIA_2007_169" w:history="1">
        <w:r w:rsidRPr="00CA5193">
          <w:rPr>
            <w:rStyle w:val="TextoNormalCaracter"/>
          </w:rPr>
          <w:t>169/2007</w:t>
        </w:r>
      </w:hyperlink>
      <w:r w:rsidRPr="00CA5193">
        <w:rPr>
          <w:rStyle w:val="TextoNormalCaracter"/>
        </w:rPr>
        <w:t xml:space="preserve">, f. 6; </w:t>
      </w:r>
      <w:hyperlink w:anchor="SENTENCIA_2007_170" w:history="1">
        <w:r w:rsidRPr="00CA5193">
          <w:rPr>
            <w:rStyle w:val="TextoNormalCaracter"/>
          </w:rPr>
          <w:t>170/2007</w:t>
        </w:r>
      </w:hyperlink>
      <w:r w:rsidRPr="00CA5193">
        <w:rPr>
          <w:rStyle w:val="TextoNormalCaracter"/>
        </w:rPr>
        <w:t>, f. 5.</w:t>
      </w:r>
    </w:p>
    <w:p w:rsidR="00CA5193" w:rsidRPr="00CA5193" w:rsidRDefault="00CA5193" w:rsidP="00CA5193">
      <w:pPr>
        <w:pStyle w:val="TextoNormalSangraFrancesa"/>
        <w:rPr>
          <w:rStyle w:val="TextoNormalCaracter"/>
        </w:rPr>
      </w:pPr>
      <w:bookmarkStart w:id="854" w:name="DESCRIPTORALFABETICO196"/>
      <w:r w:rsidRPr="00CA5193">
        <w:rPr>
          <w:rStyle w:val="TextoNormalNegritaCaracter"/>
        </w:rPr>
        <w:t>Derechos de los afiliados a partidos políticos</w:t>
      </w:r>
      <w:bookmarkEnd w:id="854"/>
      <w:r w:rsidRPr="00CA5193">
        <w:rPr>
          <w:rStyle w:val="TextoNormalCaracter"/>
        </w:rPr>
        <w:t xml:space="preserve">, Sentencia </w:t>
      </w:r>
      <w:hyperlink w:anchor="SENTENCIA_2007_110" w:history="1">
        <w:r w:rsidRPr="00CA5193">
          <w:rPr>
            <w:rStyle w:val="TextoNormalCaracter"/>
          </w:rPr>
          <w:t>110/2007</w:t>
        </w:r>
      </w:hyperlink>
      <w:r w:rsidRPr="00CA5193">
        <w:rPr>
          <w:rStyle w:val="TextoNormalCaracter"/>
        </w:rPr>
        <w:t>, ff. 11, 12.</w:t>
      </w:r>
    </w:p>
    <w:p w:rsidR="00CA5193" w:rsidRPr="00CA5193" w:rsidRDefault="00CA5193" w:rsidP="00CA5193">
      <w:pPr>
        <w:pStyle w:val="TextoNormalSangraFrancesa"/>
        <w:rPr>
          <w:rStyle w:val="TextoNormalCaracter"/>
        </w:rPr>
      </w:pPr>
      <w:bookmarkStart w:id="855" w:name="DESCRIPTORALFABETICO108"/>
      <w:r w:rsidRPr="00CA5193">
        <w:rPr>
          <w:rStyle w:val="TextoNormalNegritaCaracter"/>
        </w:rPr>
        <w:t>Derechos fundamentales de terceros</w:t>
      </w:r>
      <w:bookmarkEnd w:id="855"/>
      <w:r w:rsidRPr="00CA5193">
        <w:rPr>
          <w:rStyle w:val="TextoNormalCaracter"/>
        </w:rPr>
        <w:t xml:space="preserve">, Auto </w:t>
      </w:r>
      <w:hyperlink w:anchor="AUTO_2007_262" w:history="1">
        <w:r w:rsidRPr="00CA5193">
          <w:rPr>
            <w:rStyle w:val="TextoNormalCaracter"/>
          </w:rPr>
          <w:t>262/2007</w:t>
        </w:r>
      </w:hyperlink>
      <w:r w:rsidRPr="00CA5193">
        <w:rPr>
          <w:rStyle w:val="TextoNormalCaracter"/>
        </w:rPr>
        <w:t>.</w:t>
      </w:r>
    </w:p>
    <w:p w:rsidR="00CA5193" w:rsidRPr="00CA5193" w:rsidRDefault="00CA5193" w:rsidP="00CA5193">
      <w:pPr>
        <w:pStyle w:val="TextoNormalSangraFrancesa"/>
        <w:rPr>
          <w:rStyle w:val="TextoNormalNegritaCaracter"/>
        </w:rPr>
      </w:pPr>
      <w:r w:rsidRPr="00CA5193">
        <w:rPr>
          <w:rStyle w:val="TextoNormalCursivaCaracter"/>
        </w:rPr>
        <w:t>Derechos y libertades fundamentales</w:t>
      </w:r>
      <w:r>
        <w:t xml:space="preserve"> véase </w:t>
      </w:r>
      <w:hyperlink w:anchor="DESCRIPTORALFABETICO107" w:history="1">
        <w:r w:rsidRPr="00CA5193">
          <w:rPr>
            <w:rStyle w:val="TextoNormalNegritaCaracter"/>
          </w:rPr>
          <w:t>Teoría general de los derechos fundamentales</w:t>
        </w:r>
      </w:hyperlink>
    </w:p>
    <w:p w:rsidR="00CA5193" w:rsidRPr="00CA5193" w:rsidRDefault="00CA5193" w:rsidP="00CA5193">
      <w:pPr>
        <w:pStyle w:val="TextoNormalSangraFrancesa"/>
        <w:rPr>
          <w:rStyle w:val="TextoNormalCaracter"/>
        </w:rPr>
      </w:pPr>
      <w:bookmarkStart w:id="856" w:name="DESCRIPTORALFABETICO162"/>
      <w:r w:rsidRPr="00CA5193">
        <w:rPr>
          <w:rStyle w:val="TextoNormalNegritaCaracter"/>
        </w:rPr>
        <w:t>Derechos y libertades no susceptibles de amparo</w:t>
      </w:r>
      <w:bookmarkEnd w:id="856"/>
      <w:r w:rsidRPr="00CA5193">
        <w:rPr>
          <w:rStyle w:val="TextoNormalCaracter"/>
        </w:rPr>
        <w:t xml:space="preserve">, Sentencias </w:t>
      </w:r>
      <w:hyperlink w:anchor="SENTENCIA_2007_91" w:history="1">
        <w:r w:rsidRPr="00CA5193">
          <w:rPr>
            <w:rStyle w:val="TextoNormalCaracter"/>
          </w:rPr>
          <w:t>91/2007</w:t>
        </w:r>
      </w:hyperlink>
      <w:r w:rsidRPr="00CA5193">
        <w:rPr>
          <w:rStyle w:val="TextoNormalCaracter"/>
        </w:rPr>
        <w:t xml:space="preserve">, f. 4; </w:t>
      </w:r>
      <w:hyperlink w:anchor="SENTENCIA_2007_116" w:history="1">
        <w:r w:rsidRPr="00CA5193">
          <w:rPr>
            <w:rStyle w:val="TextoNormalCaracter"/>
          </w:rPr>
          <w:t>116/2007</w:t>
        </w:r>
      </w:hyperlink>
      <w:r w:rsidRPr="00CA5193">
        <w:rPr>
          <w:rStyle w:val="TextoNormalCaracter"/>
        </w:rPr>
        <w:t xml:space="preserve">, f. 10; </w:t>
      </w:r>
      <w:hyperlink w:anchor="SENTENCIA_2007_169" w:history="1">
        <w:r w:rsidRPr="00CA5193">
          <w:rPr>
            <w:rStyle w:val="TextoNormalCaracter"/>
          </w:rPr>
          <w:t>169/2007</w:t>
        </w:r>
      </w:hyperlink>
      <w:r w:rsidRPr="00CA5193">
        <w:rPr>
          <w:rStyle w:val="TextoNormalCaracter"/>
        </w:rPr>
        <w:t>, f. 2.</w:t>
      </w:r>
    </w:p>
    <w:p w:rsidR="00CA5193" w:rsidRPr="00CA5193" w:rsidRDefault="00CA5193" w:rsidP="00CA5193">
      <w:pPr>
        <w:pStyle w:val="TextoNormalSangraFrancesa"/>
        <w:rPr>
          <w:rStyle w:val="TextoNormalCaracter"/>
        </w:rPr>
      </w:pPr>
      <w:bookmarkStart w:id="857" w:name="DESCRIPTORALFABETICO390"/>
      <w:r w:rsidRPr="00CA5193">
        <w:rPr>
          <w:rStyle w:val="TextoNormalNegritaCaracter"/>
        </w:rPr>
        <w:t>Desestimación de incidente de nulidad de actuaciones</w:t>
      </w:r>
      <w:bookmarkEnd w:id="857"/>
      <w:r w:rsidRPr="00CA5193">
        <w:rPr>
          <w:rStyle w:val="TextoNormalCaracter"/>
        </w:rPr>
        <w:t xml:space="preserve">, Sentencia </w:t>
      </w:r>
      <w:hyperlink w:anchor="SENTENCIA_2007_92" w:history="1">
        <w:r w:rsidRPr="00CA5193">
          <w:rPr>
            <w:rStyle w:val="TextoNormalCaracter"/>
          </w:rPr>
          <w:t>92/2007</w:t>
        </w:r>
      </w:hyperlink>
      <w:r w:rsidRPr="00CA5193">
        <w:rPr>
          <w:rStyle w:val="TextoNormalCaracter"/>
        </w:rPr>
        <w:t>, f. 2.</w:t>
      </w:r>
    </w:p>
    <w:p w:rsidR="00CA5193" w:rsidRPr="00CA5193" w:rsidRDefault="00CA5193" w:rsidP="00CA5193">
      <w:pPr>
        <w:pStyle w:val="TextoNormalSangraFrancesa"/>
        <w:rPr>
          <w:rStyle w:val="TextoNormalCaracter"/>
        </w:rPr>
      </w:pPr>
      <w:bookmarkStart w:id="858" w:name="DESCRIPTORALFABETICO141"/>
      <w:r w:rsidRPr="00CA5193">
        <w:rPr>
          <w:rStyle w:val="TextoNormalNegritaCaracter"/>
        </w:rPr>
        <w:t>Desestimación de recurso de súplica contra providencias de inadmisión del Tribunal Constitucional</w:t>
      </w:r>
      <w:bookmarkEnd w:id="858"/>
      <w:r w:rsidRPr="00CA5193">
        <w:rPr>
          <w:rStyle w:val="TextoNormalCaracter"/>
        </w:rPr>
        <w:t xml:space="preserve">, Autos </w:t>
      </w:r>
      <w:hyperlink w:anchor="AUTO_2007_234" w:history="1">
        <w:r w:rsidRPr="00CA5193">
          <w:rPr>
            <w:rStyle w:val="TextoNormalCaracter"/>
          </w:rPr>
          <w:t>234/2007</w:t>
        </w:r>
      </w:hyperlink>
      <w:r w:rsidRPr="00CA5193">
        <w:rPr>
          <w:rStyle w:val="TextoNormalCaracter"/>
        </w:rPr>
        <w:t xml:space="preserve">; </w:t>
      </w:r>
      <w:hyperlink w:anchor="AUTO_2007_265" w:history="1">
        <w:r w:rsidRPr="00CA5193">
          <w:rPr>
            <w:rStyle w:val="TextoNormalCaracter"/>
          </w:rPr>
          <w:t>265/2007</w:t>
        </w:r>
      </w:hyperlink>
      <w:r w:rsidRPr="00CA5193">
        <w:rPr>
          <w:rStyle w:val="TextoNormalCaracter"/>
        </w:rPr>
        <w:t xml:space="preserve">; </w:t>
      </w:r>
      <w:hyperlink w:anchor="AUTO_2007_275" w:history="1">
        <w:r w:rsidRPr="00CA5193">
          <w:rPr>
            <w:rStyle w:val="TextoNormalCaracter"/>
          </w:rPr>
          <w:t>275/2007</w:t>
        </w:r>
      </w:hyperlink>
      <w:r w:rsidRPr="00CA5193">
        <w:rPr>
          <w:rStyle w:val="TextoNormalCaracter"/>
        </w:rPr>
        <w:t xml:space="preserve">; </w:t>
      </w:r>
      <w:hyperlink w:anchor="AUTO_2007_278" w:history="1">
        <w:r w:rsidRPr="00CA5193">
          <w:rPr>
            <w:rStyle w:val="TextoNormalCaracter"/>
          </w:rPr>
          <w:t>278/2007</w:t>
        </w:r>
      </w:hyperlink>
      <w:r w:rsidRPr="00CA5193">
        <w:rPr>
          <w:rStyle w:val="TextoNormalCaracter"/>
        </w:rPr>
        <w:t xml:space="preserve">; </w:t>
      </w:r>
      <w:hyperlink w:anchor="AUTO_2007_325" w:history="1">
        <w:r w:rsidRPr="00CA5193">
          <w:rPr>
            <w:rStyle w:val="TextoNormalCaracter"/>
          </w:rPr>
          <w:t>325/2007</w:t>
        </w:r>
      </w:hyperlink>
      <w:r w:rsidRPr="00CA5193">
        <w:rPr>
          <w:rStyle w:val="TextoNormalCaracter"/>
        </w:rPr>
        <w:t xml:space="preserve">; </w:t>
      </w:r>
      <w:hyperlink w:anchor="AUTO_2007_327" w:history="1">
        <w:r w:rsidRPr="00CA5193">
          <w:rPr>
            <w:rStyle w:val="TextoNormalCaracter"/>
          </w:rPr>
          <w:t>327/2007</w:t>
        </w:r>
      </w:hyperlink>
      <w:r w:rsidRPr="00CA5193">
        <w:rPr>
          <w:rStyle w:val="TextoNormalCaracter"/>
        </w:rPr>
        <w:t>.</w:t>
      </w:r>
    </w:p>
    <w:p w:rsidR="00CA5193" w:rsidRPr="00CA5193" w:rsidRDefault="00CA5193" w:rsidP="00CA5193">
      <w:pPr>
        <w:pStyle w:val="TextoNormalSangraFrancesa"/>
        <w:rPr>
          <w:rStyle w:val="TextoNormalCaracter"/>
        </w:rPr>
      </w:pPr>
      <w:bookmarkStart w:id="859" w:name="DESCRIPTORALFABETICO120"/>
      <w:r w:rsidRPr="00CA5193">
        <w:rPr>
          <w:rStyle w:val="TextoNormalNegritaCaracter"/>
        </w:rPr>
        <w:t>Desistimiento de la solicitud de suspensión cautelar</w:t>
      </w:r>
      <w:bookmarkEnd w:id="859"/>
      <w:r w:rsidRPr="00CA5193">
        <w:rPr>
          <w:rStyle w:val="TextoNormalCaracter"/>
        </w:rPr>
        <w:t xml:space="preserve">, Auto </w:t>
      </w:r>
      <w:hyperlink w:anchor="AUTO_2007_333" w:history="1">
        <w:r w:rsidRPr="00CA5193">
          <w:rPr>
            <w:rStyle w:val="TextoNormalCaracter"/>
          </w:rPr>
          <w:t>333/2007</w:t>
        </w:r>
      </w:hyperlink>
      <w:r w:rsidRPr="00CA5193">
        <w:rPr>
          <w:rStyle w:val="TextoNormalCaracter"/>
        </w:rPr>
        <w:t>.</w:t>
      </w:r>
    </w:p>
    <w:p w:rsidR="00CA5193" w:rsidRPr="00CA5193" w:rsidRDefault="00CA5193" w:rsidP="00CA5193">
      <w:pPr>
        <w:pStyle w:val="TextoNormalSangraFrancesa"/>
        <w:rPr>
          <w:rStyle w:val="TextoNormalCaracter"/>
        </w:rPr>
      </w:pPr>
      <w:bookmarkStart w:id="860" w:name="DESCRIPTORALFABETICO424"/>
      <w:r w:rsidRPr="00CA5193">
        <w:rPr>
          <w:rStyle w:val="TextoNormalNegritaCaracter"/>
        </w:rPr>
        <w:t>Desistimiento en el proceso judicial</w:t>
      </w:r>
      <w:bookmarkEnd w:id="860"/>
      <w:r w:rsidRPr="00CA5193">
        <w:rPr>
          <w:rStyle w:val="TextoNormalCaracter"/>
        </w:rPr>
        <w:t xml:space="preserve">, Sentencia </w:t>
      </w:r>
      <w:hyperlink w:anchor="SENTENCIA_2007_123" w:history="1">
        <w:r w:rsidRPr="00CA5193">
          <w:rPr>
            <w:rStyle w:val="TextoNormalCaracter"/>
          </w:rPr>
          <w:t>123/2007</w:t>
        </w:r>
      </w:hyperlink>
      <w:r w:rsidRPr="00CA5193">
        <w:rPr>
          <w:rStyle w:val="TextoNormalCaracter"/>
        </w:rPr>
        <w:t>, f. 3.</w:t>
      </w:r>
    </w:p>
    <w:p w:rsidR="00CA5193" w:rsidRPr="00CA5193" w:rsidRDefault="00CA5193" w:rsidP="00CA5193">
      <w:pPr>
        <w:pStyle w:val="TextoNormalSangraFrancesa"/>
        <w:rPr>
          <w:rStyle w:val="TextoNormalCaracter"/>
        </w:rPr>
      </w:pPr>
      <w:bookmarkStart w:id="861" w:name="DESCRIPTORALFABETICO448"/>
      <w:r w:rsidRPr="00CA5193">
        <w:rPr>
          <w:rStyle w:val="TextoNormalNegritaCaracter"/>
        </w:rPr>
        <w:lastRenderedPageBreak/>
        <w:t>Detención preventiva</w:t>
      </w:r>
      <w:bookmarkEnd w:id="861"/>
      <w:r w:rsidRPr="00CA5193">
        <w:rPr>
          <w:rStyle w:val="TextoNormalCaracter"/>
        </w:rPr>
        <w:t xml:space="preserve">, Sentencia </w:t>
      </w:r>
      <w:hyperlink w:anchor="SENTENCIA_2007_165" w:history="1">
        <w:r w:rsidRPr="00CA5193">
          <w:rPr>
            <w:rStyle w:val="TextoNormalCaracter"/>
          </w:rPr>
          <w:t>165/2007</w:t>
        </w:r>
      </w:hyperlink>
      <w:r w:rsidRPr="00CA5193">
        <w:rPr>
          <w:rStyle w:val="TextoNormalCaracter"/>
        </w:rPr>
        <w:t>, ff. 2, 3.</w:t>
      </w:r>
    </w:p>
    <w:p w:rsidR="00CA5193" w:rsidRPr="00CA5193" w:rsidRDefault="00CA5193" w:rsidP="00CA5193">
      <w:pPr>
        <w:pStyle w:val="TextoNormalSangraFrancesa"/>
        <w:rPr>
          <w:rStyle w:val="TextoNormalCaracter"/>
        </w:rPr>
      </w:pPr>
      <w:bookmarkStart w:id="862" w:name="DESCRIPTORALFABETICO320"/>
      <w:r w:rsidRPr="00CA5193">
        <w:rPr>
          <w:rStyle w:val="TextoNormalNegritaCaracter"/>
        </w:rPr>
        <w:t>Determinación del sujeto responsable</w:t>
      </w:r>
      <w:bookmarkEnd w:id="862"/>
      <w:r w:rsidRPr="00CA5193">
        <w:rPr>
          <w:rStyle w:val="TextoNormalCaracter"/>
        </w:rPr>
        <w:t xml:space="preserve">, Sentencia </w:t>
      </w:r>
      <w:hyperlink w:anchor="SENTENCIA_2007_121" w:history="1">
        <w:r w:rsidRPr="00CA5193">
          <w:rPr>
            <w:rStyle w:val="TextoNormalCaracter"/>
          </w:rPr>
          <w:t>121/2007</w:t>
        </w:r>
      </w:hyperlink>
      <w:r w:rsidRPr="00CA5193">
        <w:rPr>
          <w:rStyle w:val="TextoNormalCaracter"/>
        </w:rPr>
        <w:t>, f. 2.</w:t>
      </w:r>
    </w:p>
    <w:p w:rsidR="00CA5193" w:rsidRPr="00CA5193" w:rsidRDefault="00CA5193" w:rsidP="00CA5193">
      <w:pPr>
        <w:pStyle w:val="TextoNormalSangraFrancesa"/>
        <w:rPr>
          <w:rStyle w:val="TextoNormalNegritaCaracter"/>
        </w:rPr>
      </w:pPr>
      <w:r w:rsidRPr="00CA5193">
        <w:rPr>
          <w:rStyle w:val="TextoNormalCursivaCaracter"/>
        </w:rPr>
        <w:t>Dies a quo</w:t>
      </w:r>
      <w:r>
        <w:t xml:space="preserve"> véase </w:t>
      </w:r>
      <w:hyperlink w:anchor="DESCRIPTORALFABETICO407" w:history="1">
        <w:r w:rsidRPr="00CA5193">
          <w:rPr>
            <w:rStyle w:val="TextoNormalNegritaCaracter"/>
          </w:rPr>
          <w:t>Término inicial</w:t>
        </w:r>
      </w:hyperlink>
    </w:p>
    <w:p w:rsidR="00CA5193" w:rsidRPr="00CA5193" w:rsidRDefault="00CA5193" w:rsidP="00CA5193">
      <w:pPr>
        <w:pStyle w:val="TextoNormalSangraFrancesa"/>
        <w:rPr>
          <w:rStyle w:val="TextoNormalCaracter"/>
        </w:rPr>
      </w:pPr>
      <w:bookmarkStart w:id="863" w:name="DESCRIPTORALFABETICO19"/>
      <w:r w:rsidRPr="00CA5193">
        <w:rPr>
          <w:rStyle w:val="TextoNormalNegritaCaracter"/>
        </w:rPr>
        <w:t>Diligencia de los partícipes en el procedimiento electoral</w:t>
      </w:r>
      <w:bookmarkEnd w:id="863"/>
      <w:r w:rsidRPr="00CA5193">
        <w:rPr>
          <w:rStyle w:val="TextoNormalCaracter"/>
        </w:rPr>
        <w:t xml:space="preserve">, Sentencia </w:t>
      </w:r>
      <w:hyperlink w:anchor="SENTENCIA_2007_169" w:history="1">
        <w:r w:rsidRPr="00CA5193">
          <w:rPr>
            <w:rStyle w:val="TextoNormalCaracter"/>
          </w:rPr>
          <w:t>169/2007</w:t>
        </w:r>
      </w:hyperlink>
      <w:r w:rsidRPr="00CA5193">
        <w:rPr>
          <w:rStyle w:val="TextoNormalCaracter"/>
        </w:rPr>
        <w:t>, f. 2.</w:t>
      </w:r>
    </w:p>
    <w:p w:rsidR="00CA5193" w:rsidRPr="00CA5193" w:rsidRDefault="00CA5193" w:rsidP="00CA5193">
      <w:pPr>
        <w:pStyle w:val="TextoNormalSangraFrancesa"/>
        <w:rPr>
          <w:rStyle w:val="TextoNormalCaracter"/>
        </w:rPr>
      </w:pPr>
      <w:bookmarkStart w:id="864" w:name="DESCRIPTORALFABETICO356"/>
      <w:r w:rsidRPr="00CA5193">
        <w:rPr>
          <w:rStyle w:val="TextoNormalNegritaCaracter"/>
        </w:rPr>
        <w:t>Diligencia procesal de la parte</w:t>
      </w:r>
      <w:bookmarkEnd w:id="864"/>
      <w:r w:rsidRPr="00CA5193">
        <w:rPr>
          <w:rStyle w:val="TextoNormalCaracter"/>
        </w:rPr>
        <w:t xml:space="preserve">, Sentencia </w:t>
      </w:r>
      <w:hyperlink w:anchor="SENTENCIA_2007_131" w:history="1">
        <w:r w:rsidRPr="00CA5193">
          <w:rPr>
            <w:rStyle w:val="TextoNormalCaracter"/>
          </w:rPr>
          <w:t>131/2007</w:t>
        </w:r>
      </w:hyperlink>
      <w:r w:rsidRPr="00CA5193">
        <w:rPr>
          <w:rStyle w:val="TextoNormalCaracter"/>
        </w:rPr>
        <w:t>, f. 4.</w:t>
      </w:r>
    </w:p>
    <w:p w:rsidR="00CA5193" w:rsidRPr="00CA5193" w:rsidRDefault="00CA5193" w:rsidP="00CA5193">
      <w:pPr>
        <w:pStyle w:val="TextoNormalSangraFrancesa"/>
        <w:rPr>
          <w:rStyle w:val="TextoNormalNegritaCaracter"/>
        </w:rPr>
      </w:pPr>
      <w:r w:rsidRPr="00CA5193">
        <w:rPr>
          <w:rStyle w:val="TextoNormalCursivaCaracter"/>
        </w:rPr>
        <w:t>Diligencia procesal de la parte</w:t>
      </w:r>
      <w:r>
        <w:t xml:space="preserve"> véase </w:t>
      </w:r>
      <w:hyperlink w:anchor="DESCRIPTORALFABETICO356" w:history="1">
        <w:r w:rsidRPr="00CA5193">
          <w:rPr>
            <w:rStyle w:val="TextoNormalNegritaCaracter"/>
          </w:rPr>
          <w:t>Diligencia procesal de la parte</w:t>
        </w:r>
      </w:hyperlink>
    </w:p>
    <w:p w:rsidR="00CA5193" w:rsidRPr="00CA5193" w:rsidRDefault="00CA5193" w:rsidP="00CA5193">
      <w:pPr>
        <w:pStyle w:val="TextoNormalSangraFrancesa"/>
        <w:rPr>
          <w:rStyle w:val="TextoNormalCaracter"/>
        </w:rPr>
      </w:pPr>
      <w:bookmarkStart w:id="865" w:name="DESCRIPTORALFABETICO211"/>
      <w:r w:rsidRPr="00CA5193">
        <w:rPr>
          <w:rStyle w:val="TextoNormalNegritaCaracter"/>
        </w:rPr>
        <w:t>Diputados autonómicos</w:t>
      </w:r>
      <w:bookmarkEnd w:id="865"/>
      <w:r w:rsidRPr="00CA5193">
        <w:rPr>
          <w:rStyle w:val="TextoNormalCaracter"/>
        </w:rPr>
        <w:t xml:space="preserve">, Sentencia </w:t>
      </w:r>
      <w:hyperlink w:anchor="SENTENCIA_2007_141" w:history="1">
        <w:r w:rsidRPr="00CA5193">
          <w:rPr>
            <w:rStyle w:val="TextoNormalCaracter"/>
          </w:rPr>
          <w:t>141/2007</w:t>
        </w:r>
      </w:hyperlink>
      <w:r w:rsidRPr="00CA5193">
        <w:rPr>
          <w:rStyle w:val="TextoNormalCaracter"/>
        </w:rPr>
        <w:t>, ff. 1, 2, 3, 4, 5, 6.</w:t>
      </w:r>
    </w:p>
    <w:p w:rsidR="00CA5193" w:rsidRPr="00CA5193" w:rsidRDefault="00CA5193" w:rsidP="00CA5193">
      <w:pPr>
        <w:pStyle w:val="TextoNormalSangraFrancesa"/>
        <w:rPr>
          <w:rStyle w:val="TextoNormalCaracter"/>
        </w:rPr>
      </w:pPr>
      <w:bookmarkStart w:id="866" w:name="DESCRIPTORALFABETICO24"/>
      <w:r w:rsidRPr="00CA5193">
        <w:rPr>
          <w:rStyle w:val="TextoNormalNegritaCaracter"/>
        </w:rPr>
        <w:t>Discriminación entre cuerpos de funcionarios</w:t>
      </w:r>
      <w:bookmarkEnd w:id="866"/>
      <w:r w:rsidRPr="00CA5193">
        <w:rPr>
          <w:rStyle w:val="TextoNormalCaracter"/>
        </w:rPr>
        <w:t xml:space="preserve">, Sentencia </w:t>
      </w:r>
      <w:hyperlink w:anchor="SENTENCIA_2007_129" w:history="1">
        <w:r w:rsidRPr="00CA5193">
          <w:rPr>
            <w:rStyle w:val="TextoNormalCaracter"/>
          </w:rPr>
          <w:t>129/2007</w:t>
        </w:r>
      </w:hyperlink>
      <w:r w:rsidRPr="00CA5193">
        <w:rPr>
          <w:rStyle w:val="TextoNormalCaracter"/>
        </w:rPr>
        <w:t>, f. 2.</w:t>
      </w:r>
    </w:p>
    <w:p w:rsidR="00CA5193" w:rsidRPr="00CA5193" w:rsidRDefault="00CA5193" w:rsidP="00CA5193">
      <w:pPr>
        <w:pStyle w:val="TextoNormalSangraFrancesa"/>
        <w:rPr>
          <w:rStyle w:val="TextoNormalCaracter"/>
        </w:rPr>
      </w:pPr>
      <w:bookmarkStart w:id="867" w:name="DESCRIPTORALFABETICO81"/>
      <w:r w:rsidRPr="00CA5193">
        <w:rPr>
          <w:rStyle w:val="TextoNormalNegritaCaracter"/>
        </w:rPr>
        <w:t>Discriminación por razón de edad</w:t>
      </w:r>
      <w:bookmarkEnd w:id="867"/>
      <w:r w:rsidRPr="00CA5193">
        <w:rPr>
          <w:rStyle w:val="TextoNormalCaracter"/>
        </w:rPr>
        <w:t xml:space="preserve">, Autos </w:t>
      </w:r>
      <w:hyperlink w:anchor="AUTO_2007_352" w:history="1">
        <w:r w:rsidRPr="00CA5193">
          <w:rPr>
            <w:rStyle w:val="TextoNormalCaracter"/>
          </w:rPr>
          <w:t>352/2007</w:t>
        </w:r>
      </w:hyperlink>
      <w:r w:rsidRPr="00CA5193">
        <w:rPr>
          <w:rStyle w:val="TextoNormalCaracter"/>
        </w:rPr>
        <w:t xml:space="preserve">; </w:t>
      </w:r>
      <w:hyperlink w:anchor="AUTO_2007_353" w:history="1">
        <w:r w:rsidRPr="00CA5193">
          <w:rPr>
            <w:rStyle w:val="TextoNormalCaracter"/>
          </w:rPr>
          <w:t>353/2007</w:t>
        </w:r>
      </w:hyperlink>
      <w:r w:rsidRPr="00CA5193">
        <w:rPr>
          <w:rStyle w:val="TextoNormalCaracter"/>
        </w:rPr>
        <w:t>.</w:t>
      </w:r>
    </w:p>
    <w:p w:rsidR="00CA5193" w:rsidRPr="00CA5193" w:rsidRDefault="00CA5193" w:rsidP="00CA5193">
      <w:pPr>
        <w:pStyle w:val="TextoNormalSangraFrancesa"/>
        <w:rPr>
          <w:rStyle w:val="TextoNormalCaracter"/>
        </w:rPr>
      </w:pPr>
      <w:bookmarkStart w:id="868" w:name="DESCRIPTORALFABETICO82"/>
      <w:r w:rsidRPr="00CA5193">
        <w:rPr>
          <w:rStyle w:val="TextoNormalNegritaCaracter"/>
        </w:rPr>
        <w:t>Discriminación por razón de matrimonio</w:t>
      </w:r>
      <w:bookmarkEnd w:id="868"/>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ff. 4, 10, VP.</w:t>
      </w:r>
    </w:p>
    <w:p w:rsidR="00CA5193" w:rsidRPr="00CA5193" w:rsidRDefault="00CA5193" w:rsidP="00CA5193">
      <w:pPr>
        <w:pStyle w:val="TextoNormalSangraFrancesa"/>
        <w:rPr>
          <w:rStyle w:val="TextoNormalNegritaCaracter"/>
        </w:rPr>
      </w:pPr>
      <w:r w:rsidRPr="00CA5193">
        <w:rPr>
          <w:rStyle w:val="TextoNormalCursivaCaracter"/>
        </w:rPr>
        <w:t>Disolución judicial de partidos políticos</w:t>
      </w:r>
      <w:r>
        <w:t xml:space="preserve"> véase </w:t>
      </w:r>
      <w:hyperlink w:anchor="DESCRIPTORALFABETICO197" w:history="1">
        <w:r w:rsidRPr="00CA5193">
          <w:rPr>
            <w:rStyle w:val="TextoNormalNegritaCaracter"/>
          </w:rPr>
          <w:t>Ilegalización de partidos políticos</w:t>
        </w:r>
      </w:hyperlink>
    </w:p>
    <w:p w:rsidR="00CA5193" w:rsidRPr="00CA5193" w:rsidRDefault="00CA5193" w:rsidP="00CA5193">
      <w:pPr>
        <w:pStyle w:val="TextoNormalSangraFrancesa"/>
        <w:rPr>
          <w:rStyle w:val="TextoNormalCaracter"/>
        </w:rPr>
      </w:pPr>
      <w:bookmarkStart w:id="869" w:name="DESCRIPTORALFABETICO101"/>
      <w:r w:rsidRPr="00CA5193">
        <w:rPr>
          <w:rStyle w:val="TextoNormalNegritaCaracter"/>
        </w:rPr>
        <w:t>Divulgación de información imputable al titular</w:t>
      </w:r>
      <w:bookmarkEnd w:id="869"/>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ff. 4, 10.</w:t>
      </w:r>
    </w:p>
    <w:p w:rsidR="00CA5193" w:rsidRPr="00CA5193" w:rsidRDefault="00CA5193" w:rsidP="00CA5193">
      <w:pPr>
        <w:pStyle w:val="TextoNormalSangraFrancesa"/>
        <w:rPr>
          <w:rStyle w:val="TextoNormalCaracter"/>
        </w:rPr>
      </w:pPr>
      <w:bookmarkStart w:id="870" w:name="DESCRIPTORALFABETICO56"/>
      <w:r w:rsidRPr="00CA5193">
        <w:rPr>
          <w:rStyle w:val="TextoNormalNegritaCaracter"/>
        </w:rPr>
        <w:t>Doble instancia</w:t>
      </w:r>
      <w:bookmarkEnd w:id="870"/>
      <w:r w:rsidRPr="00CA5193">
        <w:rPr>
          <w:rStyle w:val="TextoNormalCaracter"/>
        </w:rPr>
        <w:t xml:space="preserve">, </w:t>
      </w:r>
    </w:p>
    <w:p w:rsidR="00CA5193" w:rsidRPr="00CA5193" w:rsidRDefault="00CA5193" w:rsidP="00CA5193">
      <w:pPr>
        <w:pStyle w:val="TextoNormalSangraFrancesa"/>
        <w:rPr>
          <w:rStyle w:val="TextoNormalCaracter"/>
        </w:rPr>
      </w:pPr>
      <w:r w:rsidRPr="00CA5193">
        <w:rPr>
          <w:rStyle w:val="TextoNormalCursivaCaracter"/>
        </w:rPr>
        <w:t xml:space="preserve">    Reconocimiento constitucional, </w:t>
      </w:r>
      <w:r w:rsidRPr="00CA5193">
        <w:rPr>
          <w:rStyle w:val="TextoNormalCaracter"/>
        </w:rPr>
        <w:t xml:space="preserve">Sentencia </w:t>
      </w:r>
      <w:hyperlink w:anchor="SENTENCIA_2007_110" w:history="1">
        <w:r w:rsidRPr="00CA5193">
          <w:rPr>
            <w:rStyle w:val="TextoNormalCaracter"/>
          </w:rPr>
          <w:t>110/2007</w:t>
        </w:r>
      </w:hyperlink>
      <w:r w:rsidRPr="00CA5193">
        <w:rPr>
          <w:rStyle w:val="TextoNormalCaracter"/>
        </w:rPr>
        <w:t>, f. 4.</w:t>
      </w:r>
    </w:p>
    <w:p w:rsidR="00CA5193" w:rsidRPr="00CA5193" w:rsidRDefault="00CA5193" w:rsidP="00CA5193">
      <w:pPr>
        <w:pStyle w:val="TextoNormalSangraFrancesa"/>
        <w:rPr>
          <w:rStyle w:val="TextoNormalCaracter"/>
        </w:rPr>
      </w:pPr>
      <w:bookmarkStart w:id="871" w:name="DESCRIPTORALFABETICO285"/>
      <w:r w:rsidRPr="00CA5193">
        <w:rPr>
          <w:rStyle w:val="TextoNormalNegritaCaracter"/>
        </w:rPr>
        <w:t>Doctrina del Tribunal Europeo de Derechos Humanos</w:t>
      </w:r>
      <w:bookmarkEnd w:id="871"/>
      <w:r w:rsidRPr="00CA5193">
        <w:rPr>
          <w:rStyle w:val="TextoNormalCaracter"/>
        </w:rPr>
        <w:t xml:space="preserve">, Sentencias </w:t>
      </w:r>
      <w:hyperlink w:anchor="SENTENCIA_2007_140" w:history="1">
        <w:r w:rsidRPr="00CA5193">
          <w:rPr>
            <w:rStyle w:val="TextoNormalCaracter"/>
          </w:rPr>
          <w:t>140/2007</w:t>
        </w:r>
      </w:hyperlink>
      <w:r w:rsidRPr="00CA5193">
        <w:rPr>
          <w:rStyle w:val="TextoNormalCaracter"/>
        </w:rPr>
        <w:t xml:space="preserve">, f. 2; </w:t>
      </w:r>
      <w:hyperlink w:anchor="SENTENCIA_2007_156" w:history="1">
        <w:r w:rsidRPr="00CA5193">
          <w:rPr>
            <w:rStyle w:val="TextoNormalCaracter"/>
          </w:rPr>
          <w:t>156/2007</w:t>
        </w:r>
      </w:hyperlink>
      <w:r w:rsidRPr="00CA5193">
        <w:rPr>
          <w:rStyle w:val="TextoNormalCaracter"/>
        </w:rPr>
        <w:t>, ff. 5, 6.</w:t>
      </w:r>
    </w:p>
    <w:p w:rsidR="00CA5193" w:rsidRPr="00CA5193" w:rsidRDefault="00CA5193" w:rsidP="00CA5193">
      <w:pPr>
        <w:pStyle w:val="TextoNormalSangraFrancesa"/>
        <w:rPr>
          <w:rStyle w:val="TextoNormalCaracter"/>
        </w:rPr>
      </w:pPr>
      <w:bookmarkStart w:id="872" w:name="DESCRIPTORALFABETICO399"/>
      <w:r w:rsidRPr="00CA5193">
        <w:rPr>
          <w:rStyle w:val="TextoNormalNegritaCaracter"/>
        </w:rPr>
        <w:t>Domicilio profesional</w:t>
      </w:r>
      <w:bookmarkEnd w:id="872"/>
      <w:r w:rsidRPr="00CA5193">
        <w:rPr>
          <w:rStyle w:val="TextoNormalCaracter"/>
        </w:rPr>
        <w:t xml:space="preserve">, Sentencia </w:t>
      </w:r>
      <w:hyperlink w:anchor="SENTENCIA_2007_163" w:history="1">
        <w:r w:rsidRPr="00CA5193">
          <w:rPr>
            <w:rStyle w:val="TextoNormalCaracter"/>
          </w:rPr>
          <w:t>163/2007</w:t>
        </w:r>
      </w:hyperlink>
      <w:r w:rsidRPr="00CA5193">
        <w:rPr>
          <w:rStyle w:val="TextoNormalCaracter"/>
        </w:rPr>
        <w:t>, f. 3.</w:t>
      </w:r>
    </w:p>
    <w:p w:rsidR="00CA5193" w:rsidRPr="00CA5193" w:rsidRDefault="00CA5193" w:rsidP="00CA5193">
      <w:pPr>
        <w:pStyle w:val="TextoNormalSangraFrancesa"/>
        <w:rPr>
          <w:rStyle w:val="TextoNormalNegritaCaracter"/>
        </w:rPr>
      </w:pPr>
      <w:r w:rsidRPr="00CA5193">
        <w:rPr>
          <w:rStyle w:val="TextoNormalCursivaCaracter"/>
        </w:rPr>
        <w:t>Duración máxima de la prisión provisional</w:t>
      </w:r>
      <w:r>
        <w:t xml:space="preserve"> véase </w:t>
      </w:r>
      <w:hyperlink w:anchor="DESCRIPTORALFABETICO461" w:history="1">
        <w:r w:rsidRPr="00CA5193">
          <w:rPr>
            <w:rStyle w:val="TextoNormalNegritaCaracter"/>
          </w:rPr>
          <w:t>Plazo máximo de prisión provisional</w:t>
        </w:r>
      </w:hyperlink>
    </w:p>
    <w:p w:rsidR="00CA5193" w:rsidRDefault="00CA5193" w:rsidP="00CA5193">
      <w:pPr>
        <w:pStyle w:val="TextoNormalSangraFrancesa"/>
      </w:pPr>
    </w:p>
    <w:p w:rsidR="00CA5193" w:rsidRDefault="00CA5193" w:rsidP="00CA5193">
      <w:pPr>
        <w:pStyle w:val="TextoNormalSangraFrancesa"/>
      </w:pPr>
    </w:p>
    <w:p w:rsidR="00CA5193" w:rsidRDefault="00CA5193" w:rsidP="00CA5193">
      <w:pPr>
        <w:pStyle w:val="TextoNormalNegritaCentrado"/>
      </w:pPr>
      <w:r>
        <w:t>E</w:t>
      </w:r>
    </w:p>
    <w:p w:rsidR="00CA5193" w:rsidRDefault="00CA5193" w:rsidP="00CA5193">
      <w:pPr>
        <w:pStyle w:val="TextoNormalNegritaCentrado"/>
      </w:pPr>
    </w:p>
    <w:p w:rsidR="00CA5193" w:rsidRDefault="00CA5193" w:rsidP="00CA5193">
      <w:pPr>
        <w:pStyle w:val="TextoNormalNegritaCentrado"/>
      </w:pPr>
    </w:p>
    <w:p w:rsidR="00CA5193" w:rsidRDefault="00CA5193" w:rsidP="00CA5193">
      <w:pPr>
        <w:pStyle w:val="TextoNormalNegritaCentrado"/>
      </w:pPr>
    </w:p>
    <w:p w:rsidR="00CA5193" w:rsidRPr="00CA5193" w:rsidRDefault="00CA5193" w:rsidP="00CA5193">
      <w:pPr>
        <w:pStyle w:val="TextoNormalSangraFrancesa"/>
        <w:rPr>
          <w:rStyle w:val="TextoNormalCaracter"/>
        </w:rPr>
      </w:pPr>
      <w:bookmarkStart w:id="873" w:name="DESCRIPTORALFABETICO189"/>
      <w:r w:rsidRPr="00CA5193">
        <w:rPr>
          <w:rStyle w:val="TextoNormalNegritaCaracter"/>
        </w:rPr>
        <w:t>Efectos de la sentencia de amparo</w:t>
      </w:r>
      <w:bookmarkEnd w:id="873"/>
      <w:r w:rsidRPr="00CA5193">
        <w:rPr>
          <w:rStyle w:val="TextoNormalCaracter"/>
        </w:rPr>
        <w:t xml:space="preserve">, Sentencias </w:t>
      </w:r>
      <w:hyperlink w:anchor="SENTENCIA_2007_97" w:history="1">
        <w:r w:rsidRPr="00CA5193">
          <w:rPr>
            <w:rStyle w:val="TextoNormalCaracter"/>
          </w:rPr>
          <w:t>97/2007</w:t>
        </w:r>
      </w:hyperlink>
      <w:r w:rsidRPr="00CA5193">
        <w:rPr>
          <w:rStyle w:val="TextoNormalCaracter"/>
        </w:rPr>
        <w:t xml:space="preserve">, f. 5; </w:t>
      </w:r>
      <w:hyperlink w:anchor="SENTENCIA_2007_100" w:history="1">
        <w:r w:rsidRPr="00CA5193">
          <w:rPr>
            <w:rStyle w:val="TextoNormalCaracter"/>
          </w:rPr>
          <w:t>100/2007</w:t>
        </w:r>
      </w:hyperlink>
      <w:r w:rsidRPr="00CA5193">
        <w:rPr>
          <w:rStyle w:val="TextoNormalCaracter"/>
        </w:rPr>
        <w:t>, f. 4.</w:t>
      </w:r>
    </w:p>
    <w:p w:rsidR="00CA5193" w:rsidRPr="00CA5193" w:rsidRDefault="00CA5193" w:rsidP="00CA5193">
      <w:pPr>
        <w:pStyle w:val="TextoNormalSangraFrancesa"/>
        <w:rPr>
          <w:rStyle w:val="TextoNormalCaracter"/>
        </w:rPr>
      </w:pPr>
      <w:bookmarkStart w:id="874" w:name="DESCRIPTORALFABETICO292"/>
      <w:r w:rsidRPr="00CA5193">
        <w:rPr>
          <w:rStyle w:val="TextoNormalNegritaCaracter"/>
        </w:rPr>
        <w:t>Eficacia territorial de las normas jurídicas</w:t>
      </w:r>
      <w:bookmarkEnd w:id="874"/>
      <w:r w:rsidRPr="00CA5193">
        <w:rPr>
          <w:rStyle w:val="TextoNormalCaracter"/>
        </w:rPr>
        <w:t xml:space="preserve">, Sentencia </w:t>
      </w:r>
      <w:hyperlink w:anchor="SENTENCIA_2007_172" w:history="1">
        <w:r w:rsidRPr="00CA5193">
          <w:rPr>
            <w:rStyle w:val="TextoNormalCaracter"/>
          </w:rPr>
          <w:t>172/2007</w:t>
        </w:r>
      </w:hyperlink>
      <w:r w:rsidRPr="00CA5193">
        <w:rPr>
          <w:rStyle w:val="TextoNormalCaracter"/>
        </w:rPr>
        <w:t>, f. 4.</w:t>
      </w:r>
    </w:p>
    <w:p w:rsidR="00CA5193" w:rsidRPr="00CA5193" w:rsidRDefault="00CA5193" w:rsidP="00CA5193">
      <w:pPr>
        <w:pStyle w:val="TextoNormalSangraFrancesa"/>
        <w:rPr>
          <w:rStyle w:val="TextoNormalCaracter"/>
        </w:rPr>
      </w:pPr>
      <w:bookmarkStart w:id="875" w:name="DESCRIPTORALFABETICO358"/>
      <w:r w:rsidRPr="00CA5193">
        <w:rPr>
          <w:rStyle w:val="TextoNormalNegritaCaracter"/>
        </w:rPr>
        <w:t>Ejecución de sentencias</w:t>
      </w:r>
      <w:bookmarkEnd w:id="875"/>
      <w:r w:rsidRPr="00CA5193">
        <w:rPr>
          <w:rStyle w:val="TextoNormalCaracter"/>
        </w:rPr>
        <w:t xml:space="preserve">, Sentencia </w:t>
      </w:r>
      <w:hyperlink w:anchor="SENTENCIA_2007_121" w:history="1">
        <w:r w:rsidRPr="00CA5193">
          <w:rPr>
            <w:rStyle w:val="TextoNormalCaracter"/>
          </w:rPr>
          <w:t>121/2007</w:t>
        </w:r>
      </w:hyperlink>
      <w:r w:rsidRPr="00CA5193">
        <w:rPr>
          <w:rStyle w:val="TextoNormalCaracter"/>
        </w:rPr>
        <w:t>, ff. 1, 2.</w:t>
      </w:r>
    </w:p>
    <w:p w:rsidR="00CA5193" w:rsidRPr="00CA5193" w:rsidRDefault="00CA5193" w:rsidP="00CA5193">
      <w:pPr>
        <w:pStyle w:val="TextoNormalSangraFrancesa"/>
        <w:rPr>
          <w:rStyle w:val="TextoNormalNegritaCaracter"/>
        </w:rPr>
      </w:pPr>
      <w:r w:rsidRPr="00CA5193">
        <w:rPr>
          <w:rStyle w:val="TextoNormalCursivaCaracter"/>
        </w:rPr>
        <w:t>Ejecutividad de las sentencias</w:t>
      </w:r>
      <w:r>
        <w:t xml:space="preserve"> véase </w:t>
      </w:r>
      <w:hyperlink w:anchor="DESCRIPTORALFABETICO358" w:history="1">
        <w:r w:rsidRPr="00CA5193">
          <w:rPr>
            <w:rStyle w:val="TextoNormalNegritaCaracter"/>
          </w:rPr>
          <w:t>Ejecución de sentencias</w:t>
        </w:r>
      </w:hyperlink>
    </w:p>
    <w:p w:rsidR="00CA5193" w:rsidRPr="00CA5193" w:rsidRDefault="00CA5193" w:rsidP="00CA5193">
      <w:pPr>
        <w:pStyle w:val="TextoNormalSangraFrancesa"/>
        <w:rPr>
          <w:rStyle w:val="TextoNormalCaracter"/>
        </w:rPr>
      </w:pPr>
      <w:bookmarkStart w:id="876" w:name="DESCRIPTORALFABETICO10"/>
      <w:r w:rsidRPr="00CA5193">
        <w:rPr>
          <w:rStyle w:val="TextoNormalNegritaCaracter"/>
        </w:rPr>
        <w:t>Elecciones locales</w:t>
      </w:r>
      <w:bookmarkEnd w:id="876"/>
      <w:r w:rsidRPr="00CA5193">
        <w:rPr>
          <w:rStyle w:val="TextoNormalCaracter"/>
        </w:rPr>
        <w:t xml:space="preserve">, Sentencias </w:t>
      </w:r>
      <w:hyperlink w:anchor="SENTENCIA_2007_167" w:history="1">
        <w:r w:rsidRPr="00CA5193">
          <w:rPr>
            <w:rStyle w:val="TextoNormalCaracter"/>
          </w:rPr>
          <w:t>167/2007</w:t>
        </w:r>
      </w:hyperlink>
      <w:r w:rsidRPr="00CA5193">
        <w:rPr>
          <w:rStyle w:val="TextoNormalCaracter"/>
        </w:rPr>
        <w:t xml:space="preserve">, f. 8; </w:t>
      </w:r>
      <w:hyperlink w:anchor="SENTENCIA_2007_168" w:history="1">
        <w:r w:rsidRPr="00CA5193">
          <w:rPr>
            <w:rStyle w:val="TextoNormalCaracter"/>
          </w:rPr>
          <w:t>168/2007</w:t>
        </w:r>
      </w:hyperlink>
      <w:r w:rsidRPr="00CA5193">
        <w:rPr>
          <w:rStyle w:val="TextoNormalCaracter"/>
        </w:rPr>
        <w:t xml:space="preserve">, f. 4; </w:t>
      </w:r>
      <w:hyperlink w:anchor="SENTENCIA_2007_169" w:history="1">
        <w:r w:rsidRPr="00CA5193">
          <w:rPr>
            <w:rStyle w:val="TextoNormalCaracter"/>
          </w:rPr>
          <w:t>169/2007</w:t>
        </w:r>
      </w:hyperlink>
      <w:r w:rsidRPr="00CA5193">
        <w:rPr>
          <w:rStyle w:val="TextoNormalCaracter"/>
        </w:rPr>
        <w:t xml:space="preserve">, f. 6; </w:t>
      </w:r>
      <w:hyperlink w:anchor="SENTENCIA_2007_170" w:history="1">
        <w:r w:rsidRPr="00CA5193">
          <w:rPr>
            <w:rStyle w:val="TextoNormalCaracter"/>
          </w:rPr>
          <w:t>170/2007</w:t>
        </w:r>
      </w:hyperlink>
      <w:r w:rsidRPr="00CA5193">
        <w:rPr>
          <w:rStyle w:val="TextoNormalCaracter"/>
        </w:rPr>
        <w:t>, f. 5.</w:t>
      </w:r>
    </w:p>
    <w:p w:rsidR="00CA5193" w:rsidRPr="00CA5193" w:rsidRDefault="00CA5193" w:rsidP="00CA5193">
      <w:pPr>
        <w:pStyle w:val="TextoNormalSangraFrancesa"/>
        <w:rPr>
          <w:rStyle w:val="TextoNormalNegritaCaracter"/>
        </w:rPr>
      </w:pPr>
      <w:r w:rsidRPr="00CA5193">
        <w:rPr>
          <w:rStyle w:val="TextoNormalCursivaCaracter"/>
        </w:rPr>
        <w:t>Elecciones municipales</w:t>
      </w:r>
      <w:r>
        <w:t xml:space="preserve"> véase </w:t>
      </w:r>
      <w:hyperlink w:anchor="DESCRIPTORALFABETICO10" w:history="1">
        <w:r w:rsidRPr="00CA5193">
          <w:rPr>
            <w:rStyle w:val="TextoNormalNegritaCaracter"/>
          </w:rPr>
          <w:t>Elecciones locales</w:t>
        </w:r>
      </w:hyperlink>
    </w:p>
    <w:p w:rsidR="00CA5193" w:rsidRPr="00CA5193" w:rsidRDefault="00CA5193" w:rsidP="00CA5193">
      <w:pPr>
        <w:pStyle w:val="TextoNormalSangraFrancesa"/>
        <w:rPr>
          <w:rStyle w:val="TextoNormalCaracter"/>
        </w:rPr>
      </w:pPr>
      <w:bookmarkStart w:id="877" w:name="DESCRIPTORALFABETICO398"/>
      <w:r w:rsidRPr="00CA5193">
        <w:rPr>
          <w:rStyle w:val="TextoNormalNegritaCaracter"/>
        </w:rPr>
        <w:t>Embargo de bienes</w:t>
      </w:r>
      <w:bookmarkEnd w:id="877"/>
      <w:r w:rsidRPr="00CA5193">
        <w:rPr>
          <w:rStyle w:val="TextoNormalCaracter"/>
        </w:rPr>
        <w:t xml:space="preserve">, Sentencias </w:t>
      </w:r>
      <w:hyperlink w:anchor="SENTENCIA_2007_132" w:history="1">
        <w:r w:rsidRPr="00CA5193">
          <w:rPr>
            <w:rStyle w:val="TextoNormalCaracter"/>
          </w:rPr>
          <w:t>132/2007</w:t>
        </w:r>
      </w:hyperlink>
      <w:r w:rsidRPr="00CA5193">
        <w:rPr>
          <w:rStyle w:val="TextoNormalCaracter"/>
        </w:rPr>
        <w:t xml:space="preserve">, f. 5; </w:t>
      </w:r>
      <w:hyperlink w:anchor="SENTENCIA_2007_158" w:history="1">
        <w:r w:rsidRPr="00CA5193">
          <w:rPr>
            <w:rStyle w:val="TextoNormalCaracter"/>
          </w:rPr>
          <w:t>158/2007</w:t>
        </w:r>
      </w:hyperlink>
      <w:r w:rsidRPr="00CA5193">
        <w:rPr>
          <w:rStyle w:val="TextoNormalCaracter"/>
        </w:rPr>
        <w:t>, f. 3.</w:t>
      </w:r>
    </w:p>
    <w:p w:rsidR="00CA5193" w:rsidRPr="00CA5193" w:rsidRDefault="00CA5193" w:rsidP="00CA5193">
      <w:pPr>
        <w:pStyle w:val="TextoNormalSangraFrancesa"/>
        <w:rPr>
          <w:rStyle w:val="TextoNormalCaracter"/>
        </w:rPr>
      </w:pPr>
      <w:bookmarkStart w:id="878" w:name="DESCRIPTORALFABETICO339"/>
      <w:r w:rsidRPr="00CA5193">
        <w:rPr>
          <w:rStyle w:val="TextoNormalNegritaCaracter"/>
        </w:rPr>
        <w:t>Emplazamiento</w:t>
      </w:r>
      <w:bookmarkEnd w:id="878"/>
      <w:r w:rsidRPr="00CA5193">
        <w:rPr>
          <w:rStyle w:val="TextoNormalCaracter"/>
        </w:rPr>
        <w:t xml:space="preserve">, Sentencias </w:t>
      </w:r>
      <w:hyperlink w:anchor="SENTENCIA_2007_96" w:history="1">
        <w:r w:rsidRPr="00CA5193">
          <w:rPr>
            <w:rStyle w:val="TextoNormalCaracter"/>
          </w:rPr>
          <w:t>96/2007</w:t>
        </w:r>
      </w:hyperlink>
      <w:r w:rsidRPr="00CA5193">
        <w:rPr>
          <w:rStyle w:val="TextoNormalCaracter"/>
        </w:rPr>
        <w:t xml:space="preserve">, ff. 3, 4, 5, 6; </w:t>
      </w:r>
      <w:hyperlink w:anchor="SENTENCIA_2007_97" w:history="1">
        <w:r w:rsidRPr="00CA5193">
          <w:rPr>
            <w:rStyle w:val="TextoNormalCaracter"/>
          </w:rPr>
          <w:t>97/2007</w:t>
        </w:r>
      </w:hyperlink>
      <w:r w:rsidRPr="00CA5193">
        <w:rPr>
          <w:rStyle w:val="TextoNormalCaracter"/>
        </w:rPr>
        <w:t xml:space="preserve">, ff. 3, 4; </w:t>
      </w:r>
      <w:hyperlink w:anchor="SENTENCIA_2007_99" w:history="1">
        <w:r w:rsidRPr="00CA5193">
          <w:rPr>
            <w:rStyle w:val="TextoNormalCaracter"/>
          </w:rPr>
          <w:t>99/2007</w:t>
        </w:r>
      </w:hyperlink>
      <w:r w:rsidRPr="00CA5193">
        <w:rPr>
          <w:rStyle w:val="TextoNormalCaracter"/>
        </w:rPr>
        <w:t xml:space="preserve">, ff. 3, 4, 5, 6; </w:t>
      </w:r>
      <w:hyperlink w:anchor="SENTENCIA_2007_100" w:history="1">
        <w:r w:rsidRPr="00CA5193">
          <w:rPr>
            <w:rStyle w:val="TextoNormalCaracter"/>
          </w:rPr>
          <w:t>100/2007</w:t>
        </w:r>
      </w:hyperlink>
      <w:r w:rsidRPr="00CA5193">
        <w:rPr>
          <w:rStyle w:val="TextoNormalCaracter"/>
        </w:rPr>
        <w:t xml:space="preserve">, ff. 2, 3; </w:t>
      </w:r>
      <w:hyperlink w:anchor="SENTENCIA_2007_101" w:history="1">
        <w:r w:rsidRPr="00CA5193">
          <w:rPr>
            <w:rStyle w:val="TextoNormalCaracter"/>
          </w:rPr>
          <w:t>101/2007</w:t>
        </w:r>
      </w:hyperlink>
      <w:r w:rsidRPr="00CA5193">
        <w:rPr>
          <w:rStyle w:val="TextoNormalCaracter"/>
        </w:rPr>
        <w:t xml:space="preserve">, f. 5; </w:t>
      </w:r>
      <w:hyperlink w:anchor="SENTENCIA_2007_102" w:history="1">
        <w:r w:rsidRPr="00CA5193">
          <w:rPr>
            <w:rStyle w:val="TextoNormalCaracter"/>
          </w:rPr>
          <w:t>102/2007</w:t>
        </w:r>
      </w:hyperlink>
      <w:r w:rsidRPr="00CA5193">
        <w:rPr>
          <w:rStyle w:val="TextoNormalCaracter"/>
        </w:rPr>
        <w:t xml:space="preserve">, f. 5; </w:t>
      </w:r>
      <w:hyperlink w:anchor="SENTENCIA_2007_104" w:history="1">
        <w:r w:rsidRPr="00CA5193">
          <w:rPr>
            <w:rStyle w:val="TextoNormalCaracter"/>
          </w:rPr>
          <w:t>104/2007</w:t>
        </w:r>
      </w:hyperlink>
      <w:r w:rsidRPr="00CA5193">
        <w:rPr>
          <w:rStyle w:val="TextoNormalCaracter"/>
        </w:rPr>
        <w:t xml:space="preserve">, f. 2; </w:t>
      </w:r>
      <w:hyperlink w:anchor="SENTENCIA_2007_105" w:history="1">
        <w:r w:rsidRPr="00CA5193">
          <w:rPr>
            <w:rStyle w:val="TextoNormalCaracter"/>
          </w:rPr>
          <w:t>105/2007</w:t>
        </w:r>
      </w:hyperlink>
      <w:r w:rsidRPr="00CA5193">
        <w:rPr>
          <w:rStyle w:val="TextoNormalCaracter"/>
        </w:rPr>
        <w:t xml:space="preserve">, f. 1; </w:t>
      </w:r>
      <w:hyperlink w:anchor="SENTENCIA_2007_110" w:history="1">
        <w:r w:rsidRPr="00CA5193">
          <w:rPr>
            <w:rStyle w:val="TextoNormalCaracter"/>
          </w:rPr>
          <w:t>110/2007</w:t>
        </w:r>
      </w:hyperlink>
      <w:r w:rsidRPr="00CA5193">
        <w:rPr>
          <w:rStyle w:val="TextoNormalCaracter"/>
        </w:rPr>
        <w:t xml:space="preserve">, f. 6; </w:t>
      </w:r>
      <w:hyperlink w:anchor="SENTENCIA_2007_162" w:history="1">
        <w:r w:rsidRPr="00CA5193">
          <w:rPr>
            <w:rStyle w:val="TextoNormalCaracter"/>
          </w:rPr>
          <w:t>162/2007</w:t>
        </w:r>
      </w:hyperlink>
      <w:r w:rsidRPr="00CA5193">
        <w:rPr>
          <w:rStyle w:val="TextoNormalCaracter"/>
        </w:rPr>
        <w:t xml:space="preserve">, ff. 2, 3; </w:t>
      </w:r>
      <w:hyperlink w:anchor="SENTENCIA_2007_163" w:history="1">
        <w:r w:rsidRPr="00CA5193">
          <w:rPr>
            <w:rStyle w:val="TextoNormalCaracter"/>
          </w:rPr>
          <w:t>163/2007</w:t>
        </w:r>
      </w:hyperlink>
      <w:r w:rsidRPr="00CA5193">
        <w:rPr>
          <w:rStyle w:val="TextoNormalCaracter"/>
        </w:rPr>
        <w:t>, f. 3.</w:t>
      </w:r>
    </w:p>
    <w:p w:rsidR="00CA5193" w:rsidRPr="00CA5193" w:rsidRDefault="00CA5193" w:rsidP="00CA5193">
      <w:pPr>
        <w:pStyle w:val="TextoNormalSangraFrancesa"/>
        <w:rPr>
          <w:rStyle w:val="TextoNormalCaracter"/>
        </w:rPr>
      </w:pPr>
      <w:bookmarkStart w:id="879" w:name="DESCRIPTORALFABETICO340"/>
      <w:r w:rsidRPr="00CA5193">
        <w:rPr>
          <w:rStyle w:val="TextoNormalNegritaCaracter"/>
        </w:rPr>
        <w:t>Emplazamiento edictal</w:t>
      </w:r>
      <w:bookmarkEnd w:id="879"/>
      <w:r w:rsidRPr="00CA5193">
        <w:rPr>
          <w:rStyle w:val="TextoNormalCaracter"/>
        </w:rPr>
        <w:t xml:space="preserve">, Sentencia </w:t>
      </w:r>
      <w:hyperlink w:anchor="SENTENCIA_2007_157" w:history="1">
        <w:r w:rsidRPr="00CA5193">
          <w:rPr>
            <w:rStyle w:val="TextoNormalCaracter"/>
          </w:rPr>
          <w:t>157/2007</w:t>
        </w:r>
      </w:hyperlink>
      <w:r w:rsidRPr="00CA5193">
        <w:rPr>
          <w:rStyle w:val="TextoNormalCaracter"/>
        </w:rPr>
        <w:t>, ff. 3, 4.</w:t>
      </w:r>
    </w:p>
    <w:p w:rsidR="00CA5193" w:rsidRPr="00CA5193" w:rsidRDefault="00CA5193" w:rsidP="00CA5193">
      <w:pPr>
        <w:pStyle w:val="TextoNormalSangraFrancesa"/>
        <w:rPr>
          <w:rStyle w:val="TextoNormalCaracter"/>
        </w:rPr>
      </w:pPr>
      <w:r w:rsidRPr="00CA5193">
        <w:rPr>
          <w:rStyle w:val="TextoNormalCursivaCaracter"/>
        </w:rPr>
        <w:t xml:space="preserve">    Doctrina constitucional, </w:t>
      </w:r>
      <w:r w:rsidRPr="00CA5193">
        <w:rPr>
          <w:rStyle w:val="TextoNormalCaracter"/>
        </w:rPr>
        <w:t xml:space="preserve">Sentencias </w:t>
      </w:r>
      <w:hyperlink w:anchor="SENTENCIA_2007_162" w:history="1">
        <w:r w:rsidRPr="00CA5193">
          <w:rPr>
            <w:rStyle w:val="TextoNormalCaracter"/>
          </w:rPr>
          <w:t>162/2007</w:t>
        </w:r>
      </w:hyperlink>
      <w:r w:rsidRPr="00CA5193">
        <w:rPr>
          <w:rStyle w:val="TextoNormalCaracter"/>
        </w:rPr>
        <w:t xml:space="preserve">, ff. 2, 3; </w:t>
      </w:r>
      <w:hyperlink w:anchor="SENTENCIA_2007_163" w:history="1">
        <w:r w:rsidRPr="00CA5193">
          <w:rPr>
            <w:rStyle w:val="TextoNormalCaracter"/>
          </w:rPr>
          <w:t>163/2007</w:t>
        </w:r>
      </w:hyperlink>
      <w:r w:rsidRPr="00CA5193">
        <w:rPr>
          <w:rStyle w:val="TextoNormalCaracter"/>
        </w:rPr>
        <w:t>, f. 3.</w:t>
      </w:r>
    </w:p>
    <w:p w:rsidR="00CA5193" w:rsidRPr="00CA5193" w:rsidRDefault="00CA5193" w:rsidP="00CA5193">
      <w:pPr>
        <w:pStyle w:val="TextoNormalSangraFrancesa"/>
        <w:rPr>
          <w:rStyle w:val="TextoNormalCaracter"/>
        </w:rPr>
      </w:pPr>
      <w:bookmarkStart w:id="880" w:name="DESCRIPTORALFABETICO341"/>
      <w:r w:rsidRPr="00CA5193">
        <w:rPr>
          <w:rStyle w:val="TextoNormalNegritaCaracter"/>
        </w:rPr>
        <w:t>Emplazamiento edictal causante de indefensión</w:t>
      </w:r>
      <w:bookmarkEnd w:id="880"/>
      <w:r w:rsidRPr="00CA5193">
        <w:rPr>
          <w:rStyle w:val="TextoNormalCaracter"/>
        </w:rPr>
        <w:t xml:space="preserve">, Sentencia </w:t>
      </w:r>
      <w:hyperlink w:anchor="SENTENCIA_2007_158" w:history="1">
        <w:r w:rsidRPr="00CA5193">
          <w:rPr>
            <w:rStyle w:val="TextoNormalCaracter"/>
          </w:rPr>
          <w:t>158/2007</w:t>
        </w:r>
      </w:hyperlink>
      <w:r w:rsidRPr="00CA5193">
        <w:rPr>
          <w:rStyle w:val="TextoNormalCaracter"/>
        </w:rPr>
        <w:t>, ff. 2, 3.</w:t>
      </w:r>
    </w:p>
    <w:p w:rsidR="00CA5193" w:rsidRPr="00CA5193" w:rsidRDefault="00CA5193" w:rsidP="00CA5193">
      <w:pPr>
        <w:pStyle w:val="TextoNormalSangraFrancesa"/>
        <w:rPr>
          <w:rStyle w:val="TextoNormalCaracter"/>
        </w:rPr>
      </w:pPr>
      <w:bookmarkStart w:id="881" w:name="DESCRIPTORALFABETICO342"/>
      <w:r w:rsidRPr="00CA5193">
        <w:rPr>
          <w:rStyle w:val="TextoNormalNegritaCaracter"/>
        </w:rPr>
        <w:t>Emplazamiento edictal sin agotar los medios de comunicación efectiva</w:t>
      </w:r>
      <w:bookmarkEnd w:id="881"/>
      <w:r w:rsidRPr="00CA5193">
        <w:rPr>
          <w:rStyle w:val="TextoNormalCaracter"/>
        </w:rPr>
        <w:t xml:space="preserve">, Sentencias </w:t>
      </w:r>
      <w:hyperlink w:anchor="SENTENCIA_2007_157" w:history="1">
        <w:r w:rsidRPr="00CA5193">
          <w:rPr>
            <w:rStyle w:val="TextoNormalCaracter"/>
          </w:rPr>
          <w:t>157/2007</w:t>
        </w:r>
      </w:hyperlink>
      <w:r w:rsidRPr="00CA5193">
        <w:rPr>
          <w:rStyle w:val="TextoNormalCaracter"/>
        </w:rPr>
        <w:t xml:space="preserve">, f. 4; </w:t>
      </w:r>
      <w:hyperlink w:anchor="SENTENCIA_2007_158" w:history="1">
        <w:r w:rsidRPr="00CA5193">
          <w:rPr>
            <w:rStyle w:val="TextoNormalCaracter"/>
          </w:rPr>
          <w:t>158/2007</w:t>
        </w:r>
      </w:hyperlink>
      <w:r w:rsidRPr="00CA5193">
        <w:rPr>
          <w:rStyle w:val="TextoNormalCaracter"/>
        </w:rPr>
        <w:t>, ff. 2, 3.</w:t>
      </w:r>
    </w:p>
    <w:p w:rsidR="00CA5193" w:rsidRPr="00CA5193" w:rsidRDefault="00CA5193" w:rsidP="00CA5193">
      <w:pPr>
        <w:pStyle w:val="TextoNormalSangraFrancesa"/>
        <w:rPr>
          <w:rStyle w:val="TextoNormalCaracter"/>
        </w:rPr>
      </w:pPr>
      <w:bookmarkStart w:id="882" w:name="DESCRIPTORALFABETICO247"/>
      <w:r w:rsidRPr="00CA5193">
        <w:rPr>
          <w:rStyle w:val="TextoNormalNegritaCaracter"/>
        </w:rPr>
        <w:t>Enseñanza de religión</w:t>
      </w:r>
      <w:bookmarkEnd w:id="882"/>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ff. 4, 5, 7, 9, 10, 11, 12, VP.</w:t>
      </w:r>
    </w:p>
    <w:p w:rsidR="00CA5193" w:rsidRPr="00CA5193" w:rsidRDefault="00CA5193" w:rsidP="00CA5193">
      <w:pPr>
        <w:pStyle w:val="TextoNormalSangraFrancesa"/>
        <w:rPr>
          <w:rStyle w:val="TextoNormalCaracter"/>
        </w:rPr>
      </w:pPr>
      <w:r w:rsidRPr="00CA5193">
        <w:rPr>
          <w:rStyle w:val="TextoNormalCaracter"/>
        </w:rPr>
        <w:t xml:space="preserve">    Auto </w:t>
      </w:r>
      <w:hyperlink w:anchor="AUTO_2007_257" w:history="1">
        <w:r w:rsidRPr="00CA5193">
          <w:rPr>
            <w:rStyle w:val="TextoNormalCaracter"/>
          </w:rPr>
          <w:t>257/2007</w:t>
        </w:r>
      </w:hyperlink>
      <w:r w:rsidRPr="00CA5193">
        <w:rPr>
          <w:rStyle w:val="TextoNormalCaracter"/>
        </w:rPr>
        <w:t>.</w:t>
      </w:r>
    </w:p>
    <w:p w:rsidR="00CA5193" w:rsidRPr="00CA5193" w:rsidRDefault="00CA5193" w:rsidP="00CA5193">
      <w:pPr>
        <w:pStyle w:val="TextoNormalSangraFrancesa"/>
        <w:rPr>
          <w:rStyle w:val="TextoNormalCaracter"/>
        </w:rPr>
      </w:pPr>
      <w:bookmarkStart w:id="883" w:name="DESCRIPTORALFABETICO308"/>
      <w:r w:rsidRPr="00CA5193">
        <w:rPr>
          <w:rStyle w:val="TextoNormalNegritaCaracter"/>
        </w:rPr>
        <w:t>Entidades de gestión de la propiedad intelectual</w:t>
      </w:r>
      <w:bookmarkEnd w:id="883"/>
      <w:r w:rsidRPr="00CA5193">
        <w:rPr>
          <w:rStyle w:val="TextoNormalCaracter"/>
        </w:rPr>
        <w:t xml:space="preserve">, Sentencia </w:t>
      </w:r>
      <w:hyperlink w:anchor="SENTENCIA_2007_166" w:history="1">
        <w:r w:rsidRPr="00CA5193">
          <w:rPr>
            <w:rStyle w:val="TextoNormalCaracter"/>
          </w:rPr>
          <w:t>166/2007</w:t>
        </w:r>
      </w:hyperlink>
      <w:r w:rsidRPr="00CA5193">
        <w:rPr>
          <w:rStyle w:val="TextoNormalCaracter"/>
        </w:rPr>
        <w:t>, ff. 3, 8.</w:t>
      </w:r>
    </w:p>
    <w:p w:rsidR="00CA5193" w:rsidRPr="00CA5193" w:rsidRDefault="00CA5193" w:rsidP="00CA5193">
      <w:pPr>
        <w:pStyle w:val="TextoNormalSangraFrancesa"/>
        <w:rPr>
          <w:rStyle w:val="TextoNormalCaracter"/>
        </w:rPr>
      </w:pPr>
      <w:bookmarkStart w:id="884" w:name="DESCRIPTORALFABETICO57"/>
      <w:r w:rsidRPr="00CA5193">
        <w:rPr>
          <w:rStyle w:val="TextoNormalNegritaCaracter"/>
        </w:rPr>
        <w:t>Error patente</w:t>
      </w:r>
      <w:bookmarkEnd w:id="884"/>
      <w:r w:rsidRPr="00CA5193">
        <w:rPr>
          <w:rStyle w:val="TextoNormalCaracter"/>
        </w:rPr>
        <w:t xml:space="preserve">, </w:t>
      </w:r>
    </w:p>
    <w:p w:rsidR="00CA5193" w:rsidRPr="00CA5193" w:rsidRDefault="00CA5193" w:rsidP="00CA5193">
      <w:pPr>
        <w:pStyle w:val="TextoNormalSangraFrancesa"/>
        <w:rPr>
          <w:rStyle w:val="TextoNormalCaracter"/>
        </w:rPr>
      </w:pPr>
      <w:r w:rsidRPr="00CA5193">
        <w:rPr>
          <w:rStyle w:val="TextoNormalCursivaCaracter"/>
        </w:rPr>
        <w:t xml:space="preserve">    Respetado, </w:t>
      </w:r>
      <w:r w:rsidRPr="00CA5193">
        <w:rPr>
          <w:rStyle w:val="TextoNormalCaracter"/>
        </w:rPr>
        <w:t xml:space="preserve">Auto </w:t>
      </w:r>
      <w:hyperlink w:anchor="AUTO_2007_313" w:history="1">
        <w:r w:rsidRPr="00CA5193">
          <w:rPr>
            <w:rStyle w:val="TextoNormalCaracter"/>
          </w:rPr>
          <w:t>313/2007</w:t>
        </w:r>
      </w:hyperlink>
      <w:r w:rsidRPr="00CA5193">
        <w:rPr>
          <w:rStyle w:val="TextoNormalCaracter"/>
        </w:rPr>
        <w:t>.</w:t>
      </w:r>
    </w:p>
    <w:p w:rsidR="00CA5193" w:rsidRPr="00CA5193" w:rsidRDefault="00CA5193" w:rsidP="00CA5193">
      <w:pPr>
        <w:pStyle w:val="TextoNormalSangraFrancesa"/>
        <w:rPr>
          <w:rStyle w:val="TextoNormalCaracter"/>
        </w:rPr>
      </w:pPr>
      <w:r w:rsidRPr="00CA5193">
        <w:rPr>
          <w:rStyle w:val="TextoNormalCursivaCaracter"/>
        </w:rPr>
        <w:t xml:space="preserve">    Vulnerado, </w:t>
      </w:r>
      <w:r w:rsidRPr="00CA5193">
        <w:rPr>
          <w:rStyle w:val="TextoNormalCaracter"/>
        </w:rPr>
        <w:t xml:space="preserve">Sentencia </w:t>
      </w:r>
      <w:hyperlink w:anchor="SENTENCIA_2007_161" w:history="1">
        <w:r w:rsidRPr="00CA5193">
          <w:rPr>
            <w:rStyle w:val="TextoNormalCaracter"/>
          </w:rPr>
          <w:t>161/2007</w:t>
        </w:r>
      </w:hyperlink>
      <w:r w:rsidRPr="00CA5193">
        <w:rPr>
          <w:rStyle w:val="TextoNormalCaracter"/>
        </w:rPr>
        <w:t>, f. 4.</w:t>
      </w:r>
    </w:p>
    <w:p w:rsidR="00CA5193" w:rsidRPr="00CA5193" w:rsidRDefault="00CA5193" w:rsidP="00CA5193">
      <w:pPr>
        <w:pStyle w:val="TextoNormalSangraFrancesa"/>
        <w:rPr>
          <w:rStyle w:val="TextoNormalCaracter"/>
        </w:rPr>
      </w:pPr>
      <w:bookmarkStart w:id="885" w:name="DESCRIPTORALFABETICO58"/>
      <w:r w:rsidRPr="00CA5193">
        <w:rPr>
          <w:rStyle w:val="TextoNormalNegritaCaracter"/>
        </w:rPr>
        <w:t>Error patente con relevancia constitucional</w:t>
      </w:r>
      <w:bookmarkEnd w:id="885"/>
      <w:r w:rsidRPr="00CA5193">
        <w:rPr>
          <w:rStyle w:val="TextoNormalCaracter"/>
        </w:rPr>
        <w:t xml:space="preserve">, Sentencia </w:t>
      </w:r>
      <w:hyperlink w:anchor="SENTENCIA_2007_161" w:history="1">
        <w:r w:rsidRPr="00CA5193">
          <w:rPr>
            <w:rStyle w:val="TextoNormalCaracter"/>
          </w:rPr>
          <w:t>161/2007</w:t>
        </w:r>
      </w:hyperlink>
      <w:r w:rsidRPr="00CA5193">
        <w:rPr>
          <w:rStyle w:val="TextoNormalCaracter"/>
        </w:rPr>
        <w:t>, f. 4.</w:t>
      </w:r>
    </w:p>
    <w:p w:rsidR="00CA5193" w:rsidRPr="00CA5193" w:rsidRDefault="00CA5193" w:rsidP="00CA5193">
      <w:pPr>
        <w:pStyle w:val="TextoNormalSangraFrancesa"/>
        <w:rPr>
          <w:rStyle w:val="TextoNormalCaracter"/>
        </w:rPr>
      </w:pPr>
      <w:bookmarkStart w:id="886" w:name="DESCRIPTORALFABETICO281"/>
      <w:r w:rsidRPr="00CA5193">
        <w:rPr>
          <w:rStyle w:val="TextoNormalNegritaCaracter"/>
        </w:rPr>
        <w:t>Escándalo canónico</w:t>
      </w:r>
      <w:bookmarkEnd w:id="886"/>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ff. 4, 9, VP.</w:t>
      </w:r>
    </w:p>
    <w:p w:rsidR="00CA5193" w:rsidRPr="00CA5193" w:rsidRDefault="00CA5193" w:rsidP="00CA5193">
      <w:pPr>
        <w:pStyle w:val="TextoNormalSangraFrancesa"/>
        <w:rPr>
          <w:rStyle w:val="TextoNormalCaracter"/>
        </w:rPr>
      </w:pPr>
      <w:bookmarkStart w:id="887" w:name="DESCRIPTORALFABETICO357"/>
      <w:r w:rsidRPr="00CA5193">
        <w:rPr>
          <w:rStyle w:val="TextoNormalNegritaCaracter"/>
        </w:rPr>
        <w:lastRenderedPageBreak/>
        <w:t>Escritos procesales</w:t>
      </w:r>
      <w:bookmarkEnd w:id="887"/>
      <w:r w:rsidRPr="00CA5193">
        <w:rPr>
          <w:rStyle w:val="TextoNormalCaracter"/>
        </w:rPr>
        <w:t xml:space="preserve">, Sentencia </w:t>
      </w:r>
      <w:hyperlink w:anchor="SENTENCIA_2007_109" w:history="1">
        <w:r w:rsidRPr="00CA5193">
          <w:rPr>
            <w:rStyle w:val="TextoNormalCaracter"/>
          </w:rPr>
          <w:t>109/2007</w:t>
        </w:r>
      </w:hyperlink>
      <w:r w:rsidRPr="00CA5193">
        <w:rPr>
          <w:rStyle w:val="TextoNormalCaracter"/>
        </w:rPr>
        <w:t>, f. 2.</w:t>
      </w:r>
    </w:p>
    <w:p w:rsidR="00CA5193" w:rsidRPr="00CA5193" w:rsidRDefault="00CA5193" w:rsidP="00CA5193">
      <w:pPr>
        <w:pStyle w:val="TextoNormalSangraFrancesa"/>
        <w:rPr>
          <w:rStyle w:val="TextoNormalCaracter"/>
        </w:rPr>
      </w:pPr>
      <w:bookmarkStart w:id="888" w:name="DESCRIPTORALFABETICO273"/>
      <w:r w:rsidRPr="00CA5193">
        <w:rPr>
          <w:rStyle w:val="TextoNormalNegritaCaracter"/>
        </w:rPr>
        <w:t>Espacios naturales protegidos</w:t>
      </w:r>
      <w:bookmarkEnd w:id="888"/>
      <w:r w:rsidRPr="00CA5193">
        <w:rPr>
          <w:rStyle w:val="TextoNormalCaracter"/>
        </w:rPr>
        <w:t xml:space="preserve">, Auto </w:t>
      </w:r>
      <w:hyperlink w:anchor="AUTO_2007_355" w:history="1">
        <w:r w:rsidRPr="00CA5193">
          <w:rPr>
            <w:rStyle w:val="TextoNormalCaracter"/>
          </w:rPr>
          <w:t>355/2007</w:t>
        </w:r>
      </w:hyperlink>
      <w:r w:rsidRPr="00CA5193">
        <w:rPr>
          <w:rStyle w:val="TextoNormalCaracter"/>
        </w:rPr>
        <w:t>.</w:t>
      </w:r>
    </w:p>
    <w:p w:rsidR="00CA5193" w:rsidRPr="00CA5193" w:rsidRDefault="00CA5193" w:rsidP="00CA5193">
      <w:pPr>
        <w:pStyle w:val="TextoNormalSangraFrancesa"/>
        <w:rPr>
          <w:rStyle w:val="TextoNormalCaracter"/>
        </w:rPr>
      </w:pPr>
      <w:bookmarkStart w:id="889" w:name="DESCRIPTORALFABETICO310"/>
      <w:r w:rsidRPr="00CA5193">
        <w:rPr>
          <w:rStyle w:val="TextoNormalNegritaCaracter"/>
        </w:rPr>
        <w:t>Establecimientos penitenciarios en el extranjero</w:t>
      </w:r>
      <w:bookmarkEnd w:id="889"/>
      <w:r w:rsidRPr="00CA5193">
        <w:rPr>
          <w:rStyle w:val="TextoNormalCaracter"/>
        </w:rPr>
        <w:t xml:space="preserve">, Sentencia </w:t>
      </w:r>
      <w:hyperlink w:anchor="SENTENCIA_2007_140" w:history="1">
        <w:r w:rsidRPr="00CA5193">
          <w:rPr>
            <w:rStyle w:val="TextoNormalCaracter"/>
          </w:rPr>
          <w:t>140/2007</w:t>
        </w:r>
      </w:hyperlink>
      <w:r w:rsidRPr="00CA5193">
        <w:rPr>
          <w:rStyle w:val="TextoNormalCaracter"/>
        </w:rPr>
        <w:t>, ff. 1, 2, 3, 4.</w:t>
      </w:r>
    </w:p>
    <w:p w:rsidR="00CA5193" w:rsidRPr="00CA5193" w:rsidRDefault="00CA5193" w:rsidP="00CA5193">
      <w:pPr>
        <w:pStyle w:val="TextoNormalSangraFrancesa"/>
        <w:rPr>
          <w:rStyle w:val="TextoNormalCaracter"/>
        </w:rPr>
      </w:pPr>
      <w:bookmarkStart w:id="890" w:name="DESCRIPTORALFABETICO139"/>
      <w:r w:rsidRPr="00CA5193">
        <w:rPr>
          <w:rStyle w:val="TextoNormalNegritaCaracter"/>
        </w:rPr>
        <w:t>Estimación e inadmisión de recurso de amparo</w:t>
      </w:r>
      <w:bookmarkEnd w:id="890"/>
      <w:r w:rsidRPr="00CA5193">
        <w:rPr>
          <w:rStyle w:val="TextoNormalCaracter"/>
        </w:rPr>
        <w:t xml:space="preserve">, Auto </w:t>
      </w:r>
      <w:hyperlink w:anchor="AUTO_2007_260" w:history="1">
        <w:r w:rsidRPr="00CA5193">
          <w:rPr>
            <w:rStyle w:val="TextoNormalCaracter"/>
          </w:rPr>
          <w:t>260/2007</w:t>
        </w:r>
      </w:hyperlink>
      <w:r w:rsidRPr="00CA5193">
        <w:rPr>
          <w:rStyle w:val="TextoNormalCaracter"/>
        </w:rPr>
        <w:t>.</w:t>
      </w:r>
    </w:p>
    <w:p w:rsidR="00CA5193" w:rsidRPr="00CA5193" w:rsidRDefault="00CA5193" w:rsidP="00CA5193">
      <w:pPr>
        <w:pStyle w:val="TextoNormalSangraFrancesa"/>
        <w:rPr>
          <w:rStyle w:val="TextoNormalNegritaCaracter"/>
        </w:rPr>
      </w:pPr>
      <w:r w:rsidRPr="00CA5193">
        <w:rPr>
          <w:rStyle w:val="TextoNormalCursivaCaracter"/>
        </w:rPr>
        <w:t>Euroorden</w:t>
      </w:r>
      <w:r>
        <w:t xml:space="preserve"> véase </w:t>
      </w:r>
      <w:hyperlink w:anchor="DESCRIPTORALFABETICO455" w:history="1">
        <w:r w:rsidRPr="00CA5193">
          <w:rPr>
            <w:rStyle w:val="TextoNormalNegritaCaracter"/>
          </w:rPr>
          <w:t>Orden europea de detención y entrega</w:t>
        </w:r>
      </w:hyperlink>
    </w:p>
    <w:p w:rsidR="00CA5193" w:rsidRPr="00CA5193" w:rsidRDefault="00CA5193" w:rsidP="00CA5193">
      <w:pPr>
        <w:pStyle w:val="TextoNormalSangraFrancesa"/>
        <w:rPr>
          <w:rStyle w:val="TextoNormalCaracter"/>
        </w:rPr>
      </w:pPr>
      <w:bookmarkStart w:id="891" w:name="DESCRIPTORALFABETICO458"/>
      <w:r w:rsidRPr="00CA5193">
        <w:rPr>
          <w:rStyle w:val="TextoNormalNegritaCaracter"/>
        </w:rPr>
        <w:t>Excepcionalidad de la prisión provisional</w:t>
      </w:r>
      <w:bookmarkEnd w:id="891"/>
      <w:r w:rsidRPr="00CA5193">
        <w:rPr>
          <w:rStyle w:val="TextoNormalCaracter"/>
        </w:rPr>
        <w:t xml:space="preserve">, Sentencia </w:t>
      </w:r>
      <w:hyperlink w:anchor="SENTENCIA_2007_95" w:history="1">
        <w:r w:rsidRPr="00CA5193">
          <w:rPr>
            <w:rStyle w:val="TextoNormalCaracter"/>
          </w:rPr>
          <w:t>95/2007</w:t>
        </w:r>
      </w:hyperlink>
      <w:r w:rsidRPr="00CA5193">
        <w:rPr>
          <w:rStyle w:val="TextoNormalCaracter"/>
        </w:rPr>
        <w:t>, f. 4.</w:t>
      </w:r>
    </w:p>
    <w:p w:rsidR="00CA5193" w:rsidRPr="00CA5193" w:rsidRDefault="00CA5193" w:rsidP="00CA5193">
      <w:pPr>
        <w:pStyle w:val="TextoNormalSangraFrancesa"/>
        <w:rPr>
          <w:rStyle w:val="TextoNormalCaracter"/>
        </w:rPr>
      </w:pPr>
      <w:bookmarkStart w:id="892" w:name="DESCRIPTORALFABETICO207"/>
      <w:r w:rsidRPr="00CA5193">
        <w:rPr>
          <w:rStyle w:val="TextoNormalNegritaCaracter"/>
        </w:rPr>
        <w:t>Exceso en el ejercicio de la delegación legislativa</w:t>
      </w:r>
      <w:bookmarkEnd w:id="892"/>
      <w:r w:rsidRPr="00CA5193">
        <w:rPr>
          <w:rStyle w:val="TextoNormalCaracter"/>
        </w:rPr>
        <w:t xml:space="preserve">, Sentencia </w:t>
      </w:r>
      <w:hyperlink w:anchor="SENTENCIA_2007_166" w:history="1">
        <w:r w:rsidRPr="00CA5193">
          <w:rPr>
            <w:rStyle w:val="TextoNormalCaracter"/>
          </w:rPr>
          <w:t>166/2007</w:t>
        </w:r>
      </w:hyperlink>
      <w:r w:rsidRPr="00CA5193">
        <w:rPr>
          <w:rStyle w:val="TextoNormalCaracter"/>
        </w:rPr>
        <w:t>, f. 3.</w:t>
      </w:r>
    </w:p>
    <w:p w:rsidR="00CA5193" w:rsidRPr="00CA5193" w:rsidRDefault="00CA5193" w:rsidP="00CA5193">
      <w:pPr>
        <w:pStyle w:val="TextoNormalSangraFrancesa"/>
        <w:rPr>
          <w:rStyle w:val="TextoNormalCaracter"/>
        </w:rPr>
      </w:pPr>
      <w:bookmarkStart w:id="893" w:name="DESCRIPTORALFABETICO149"/>
      <w:r w:rsidRPr="00CA5193">
        <w:rPr>
          <w:rStyle w:val="TextoNormalNegritaCaracter"/>
        </w:rPr>
        <w:t>Exigencias del juicio de relevancia</w:t>
      </w:r>
      <w:bookmarkEnd w:id="893"/>
      <w:r w:rsidRPr="00CA5193">
        <w:rPr>
          <w:rStyle w:val="TextoNormalCaracter"/>
        </w:rPr>
        <w:t xml:space="preserve">, Sentencia </w:t>
      </w:r>
      <w:hyperlink w:anchor="SENTENCIA_2007_166" w:history="1">
        <w:r w:rsidRPr="00CA5193">
          <w:rPr>
            <w:rStyle w:val="TextoNormalCaracter"/>
          </w:rPr>
          <w:t>166/2007</w:t>
        </w:r>
      </w:hyperlink>
      <w:r w:rsidRPr="00CA5193">
        <w:rPr>
          <w:rStyle w:val="TextoNormalCaracter"/>
        </w:rPr>
        <w:t>, f. 7.</w:t>
      </w:r>
    </w:p>
    <w:p w:rsidR="00CA5193" w:rsidRPr="00CA5193" w:rsidRDefault="00CA5193" w:rsidP="00CA5193">
      <w:pPr>
        <w:pStyle w:val="TextoNormalSangraFrancesa"/>
        <w:rPr>
          <w:rStyle w:val="TextoNormalNegritaCaracter"/>
        </w:rPr>
      </w:pPr>
      <w:r w:rsidRPr="00CA5193">
        <w:rPr>
          <w:rStyle w:val="TextoNormalCursivaCaracter"/>
        </w:rPr>
        <w:t>Extemporaneidad de la demanda de amparo</w:t>
      </w:r>
      <w:r>
        <w:t xml:space="preserve"> véase </w:t>
      </w:r>
      <w:hyperlink w:anchor="DESCRIPTORALFABETICO171" w:history="1">
        <w:r w:rsidRPr="00CA5193">
          <w:rPr>
            <w:rStyle w:val="TextoNormalNegritaCaracter"/>
          </w:rPr>
          <w:t>Extemporaneidad del recurso de amparo</w:t>
        </w:r>
      </w:hyperlink>
    </w:p>
    <w:p w:rsidR="00CA5193" w:rsidRPr="00CA5193" w:rsidRDefault="00CA5193" w:rsidP="00CA5193">
      <w:pPr>
        <w:pStyle w:val="TextoNormalSangraFrancesa"/>
        <w:rPr>
          <w:rStyle w:val="TextoNormalCaracter"/>
        </w:rPr>
      </w:pPr>
      <w:bookmarkStart w:id="894" w:name="DESCRIPTORALFABETICO171"/>
      <w:r w:rsidRPr="00CA5193">
        <w:rPr>
          <w:rStyle w:val="TextoNormalNegritaCaracter"/>
        </w:rPr>
        <w:t>Extemporaneidad del recurso de amparo</w:t>
      </w:r>
      <w:bookmarkEnd w:id="894"/>
      <w:r w:rsidRPr="00CA5193">
        <w:rPr>
          <w:rStyle w:val="TextoNormalCaracter"/>
        </w:rPr>
        <w:t xml:space="preserve">, Sentencia </w:t>
      </w:r>
      <w:hyperlink w:anchor="SENTENCIA_2007_174" w:history="1">
        <w:r w:rsidRPr="00CA5193">
          <w:rPr>
            <w:rStyle w:val="TextoNormalCaracter"/>
          </w:rPr>
          <w:t>174/2007</w:t>
        </w:r>
      </w:hyperlink>
      <w:r w:rsidRPr="00CA5193">
        <w:rPr>
          <w:rStyle w:val="TextoNormalCaracter"/>
        </w:rPr>
        <w:t>, f. único.</w:t>
      </w:r>
    </w:p>
    <w:p w:rsidR="00CA5193" w:rsidRPr="00CA5193" w:rsidRDefault="00CA5193" w:rsidP="00CA5193">
      <w:pPr>
        <w:pStyle w:val="TextoNormalSangraFrancesa"/>
        <w:rPr>
          <w:rStyle w:val="TextoNormalCaracter"/>
        </w:rPr>
      </w:pPr>
      <w:bookmarkStart w:id="895" w:name="DESCRIPTORALFABETICO329"/>
      <w:r w:rsidRPr="00CA5193">
        <w:rPr>
          <w:rStyle w:val="TextoNormalNegritaCaracter"/>
        </w:rPr>
        <w:t>Extinción del contrato de trabajo por no renovación de contrato temporal</w:t>
      </w:r>
      <w:bookmarkEnd w:id="895"/>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ff. 2, 4 a 7, 9 a 12, VP.</w:t>
      </w:r>
    </w:p>
    <w:p w:rsidR="00CA5193" w:rsidRPr="00CA5193" w:rsidRDefault="00CA5193" w:rsidP="00CA5193">
      <w:pPr>
        <w:pStyle w:val="TextoNormalSangraFrancesa"/>
        <w:rPr>
          <w:rStyle w:val="TextoNormalCaracter"/>
        </w:rPr>
      </w:pPr>
      <w:bookmarkStart w:id="896" w:name="DESCRIPTORALFABETICO449"/>
      <w:r w:rsidRPr="00CA5193">
        <w:rPr>
          <w:rStyle w:val="TextoNormalNegritaCaracter"/>
        </w:rPr>
        <w:t>Extradición</w:t>
      </w:r>
      <w:bookmarkEnd w:id="896"/>
      <w:r w:rsidRPr="00CA5193">
        <w:rPr>
          <w:rStyle w:val="TextoNormalCaracter"/>
        </w:rPr>
        <w:t xml:space="preserve">, Sentencia </w:t>
      </w:r>
      <w:hyperlink w:anchor="SENTENCIA_2007_140" w:history="1">
        <w:r w:rsidRPr="00CA5193">
          <w:rPr>
            <w:rStyle w:val="TextoNormalCaracter"/>
          </w:rPr>
          <w:t>140/2007</w:t>
        </w:r>
      </w:hyperlink>
      <w:r w:rsidRPr="00CA5193">
        <w:rPr>
          <w:rStyle w:val="TextoNormalCaracter"/>
        </w:rPr>
        <w:t>, ff. 2, 3.</w:t>
      </w:r>
    </w:p>
    <w:p w:rsidR="00CA5193" w:rsidRPr="00CA5193" w:rsidRDefault="00CA5193" w:rsidP="00CA5193">
      <w:pPr>
        <w:pStyle w:val="TextoNormalSangraFrancesa"/>
        <w:rPr>
          <w:rStyle w:val="TextoNormalCaracter"/>
        </w:rPr>
      </w:pPr>
      <w:bookmarkStart w:id="897" w:name="DESCRIPTORALFABETICO450"/>
      <w:r w:rsidRPr="00CA5193">
        <w:rPr>
          <w:rStyle w:val="TextoNormalNegritaCaracter"/>
        </w:rPr>
        <w:t>Extradición de nacional español</w:t>
      </w:r>
      <w:bookmarkEnd w:id="897"/>
      <w:r w:rsidRPr="00CA5193">
        <w:rPr>
          <w:rStyle w:val="TextoNormalCaracter"/>
        </w:rPr>
        <w:t xml:space="preserve">, Sentencia </w:t>
      </w:r>
      <w:hyperlink w:anchor="SENTENCIA_2007_140" w:history="1">
        <w:r w:rsidRPr="00CA5193">
          <w:rPr>
            <w:rStyle w:val="TextoNormalCaracter"/>
          </w:rPr>
          <w:t>140/2007</w:t>
        </w:r>
      </w:hyperlink>
      <w:r w:rsidRPr="00CA5193">
        <w:rPr>
          <w:rStyle w:val="TextoNormalCaracter"/>
        </w:rPr>
        <w:t>, ff. 1, 2, 3, 4.</w:t>
      </w:r>
    </w:p>
    <w:p w:rsidR="00CA5193" w:rsidRPr="00CA5193" w:rsidRDefault="00CA5193" w:rsidP="00CA5193">
      <w:pPr>
        <w:pStyle w:val="TextoNormalSangraFrancesa"/>
        <w:rPr>
          <w:rStyle w:val="TextoNormalNegritaCaracter"/>
        </w:rPr>
      </w:pPr>
      <w:r w:rsidRPr="00CA5193">
        <w:rPr>
          <w:rStyle w:val="TextoNormalCursivaCaracter"/>
        </w:rPr>
        <w:t>Extradición pasiva</w:t>
      </w:r>
      <w:r>
        <w:t xml:space="preserve"> véase </w:t>
      </w:r>
      <w:hyperlink w:anchor="DESCRIPTORALFABETICO449" w:history="1">
        <w:r w:rsidRPr="00CA5193">
          <w:rPr>
            <w:rStyle w:val="TextoNormalNegritaCaracter"/>
          </w:rPr>
          <w:t>Extradición</w:t>
        </w:r>
      </w:hyperlink>
    </w:p>
    <w:p w:rsidR="00CA5193" w:rsidRDefault="00CA5193" w:rsidP="00CA5193">
      <w:pPr>
        <w:pStyle w:val="TextoNormalSangraFrancesa"/>
      </w:pPr>
    </w:p>
    <w:p w:rsidR="00CA5193" w:rsidRDefault="00CA5193" w:rsidP="00CA5193">
      <w:pPr>
        <w:pStyle w:val="TextoNormalSangraFrancesa"/>
      </w:pPr>
    </w:p>
    <w:p w:rsidR="00CA5193" w:rsidRDefault="00CA5193" w:rsidP="00CA5193">
      <w:pPr>
        <w:pStyle w:val="TextoNormalNegritaCentrado"/>
      </w:pPr>
      <w:r>
        <w:t>F</w:t>
      </w:r>
    </w:p>
    <w:p w:rsidR="00CA5193" w:rsidRDefault="00CA5193" w:rsidP="00CA5193">
      <w:pPr>
        <w:pStyle w:val="TextoNormalNegritaCentrado"/>
      </w:pPr>
    </w:p>
    <w:p w:rsidR="00CA5193" w:rsidRDefault="00CA5193" w:rsidP="00CA5193">
      <w:pPr>
        <w:pStyle w:val="TextoNormalNegritaCentrado"/>
      </w:pPr>
    </w:p>
    <w:p w:rsidR="00CA5193" w:rsidRDefault="00CA5193" w:rsidP="00CA5193">
      <w:pPr>
        <w:pStyle w:val="TextoNormalNegritaCentrado"/>
      </w:pPr>
    </w:p>
    <w:p w:rsidR="00CA5193" w:rsidRPr="00CA5193" w:rsidRDefault="00CA5193" w:rsidP="00CA5193">
      <w:pPr>
        <w:pStyle w:val="TextoNormalSangraFrancesa"/>
        <w:rPr>
          <w:rStyle w:val="TextoNormalCaracter"/>
        </w:rPr>
      </w:pPr>
      <w:bookmarkStart w:id="898" w:name="DESCRIPTORALFABETICO31"/>
      <w:r w:rsidRPr="00CA5193">
        <w:rPr>
          <w:rStyle w:val="TextoNormalNegritaCaracter"/>
        </w:rPr>
        <w:t>Falta de identidad de supuestos de hecho</w:t>
      </w:r>
      <w:bookmarkEnd w:id="898"/>
      <w:r w:rsidRPr="00CA5193">
        <w:rPr>
          <w:rStyle w:val="TextoNormalCaracter"/>
        </w:rPr>
        <w:t xml:space="preserve">, Auto </w:t>
      </w:r>
      <w:hyperlink w:anchor="AUTO_2007_254" w:history="1">
        <w:r w:rsidRPr="00CA5193">
          <w:rPr>
            <w:rStyle w:val="TextoNormalCaracter"/>
          </w:rPr>
          <w:t>254/2007</w:t>
        </w:r>
      </w:hyperlink>
      <w:r w:rsidRPr="00CA5193">
        <w:rPr>
          <w:rStyle w:val="TextoNormalCaracter"/>
        </w:rPr>
        <w:t>.</w:t>
      </w:r>
    </w:p>
    <w:p w:rsidR="00CA5193" w:rsidRPr="00CA5193" w:rsidRDefault="00CA5193" w:rsidP="00CA5193">
      <w:pPr>
        <w:pStyle w:val="TextoNormalSangraFrancesa"/>
        <w:rPr>
          <w:rStyle w:val="TextoNormalCaracter"/>
        </w:rPr>
      </w:pPr>
      <w:bookmarkStart w:id="899" w:name="DESCRIPTORALFABETICO160"/>
      <w:r w:rsidRPr="00CA5193">
        <w:rPr>
          <w:rStyle w:val="TextoNormalNegritaCaracter"/>
        </w:rPr>
        <w:t>Falta de invocación del derecho vulnerado</w:t>
      </w:r>
      <w:bookmarkEnd w:id="899"/>
      <w:r w:rsidRPr="00CA5193">
        <w:rPr>
          <w:rStyle w:val="TextoNormalCaracter"/>
        </w:rPr>
        <w:t xml:space="preserve">, Sentencia </w:t>
      </w:r>
      <w:hyperlink w:anchor="SENTENCIA_2007_117" w:history="1">
        <w:r w:rsidRPr="00CA5193">
          <w:rPr>
            <w:rStyle w:val="TextoNormalCaracter"/>
          </w:rPr>
          <w:t>117/2007</w:t>
        </w:r>
      </w:hyperlink>
      <w:r w:rsidRPr="00CA5193">
        <w:rPr>
          <w:rStyle w:val="TextoNormalCaracter"/>
        </w:rPr>
        <w:t>, f. 1.</w:t>
      </w:r>
    </w:p>
    <w:p w:rsidR="00CA5193" w:rsidRPr="00CA5193" w:rsidRDefault="00CA5193" w:rsidP="00CA5193">
      <w:pPr>
        <w:pStyle w:val="TextoNormalSangraFrancesa"/>
        <w:rPr>
          <w:rStyle w:val="TextoNormalCaracter"/>
        </w:rPr>
      </w:pPr>
      <w:bookmarkStart w:id="900" w:name="DESCRIPTORALFABETICO69"/>
      <w:r w:rsidRPr="00CA5193">
        <w:rPr>
          <w:rStyle w:val="TextoNormalNegritaCaracter"/>
        </w:rPr>
        <w:t>Falta de motivación de las resoluciones judiciales</w:t>
      </w:r>
      <w:bookmarkEnd w:id="900"/>
      <w:r w:rsidRPr="00CA5193">
        <w:rPr>
          <w:rStyle w:val="TextoNormalCaracter"/>
        </w:rPr>
        <w:t xml:space="preserve">, Sentencia </w:t>
      </w:r>
      <w:hyperlink w:anchor="SENTENCIA_2007_122" w:history="1">
        <w:r w:rsidRPr="00CA5193">
          <w:rPr>
            <w:rStyle w:val="TextoNormalCaracter"/>
          </w:rPr>
          <w:t>122/2007</w:t>
        </w:r>
      </w:hyperlink>
      <w:r w:rsidRPr="00CA5193">
        <w:rPr>
          <w:rStyle w:val="TextoNormalCaracter"/>
        </w:rPr>
        <w:t>, ff. 4, 6.</w:t>
      </w:r>
    </w:p>
    <w:p w:rsidR="00CA5193" w:rsidRPr="00CA5193" w:rsidRDefault="00CA5193" w:rsidP="00CA5193">
      <w:pPr>
        <w:pStyle w:val="TextoNormalSangraFrancesa"/>
        <w:rPr>
          <w:rStyle w:val="TextoNormalCaracter"/>
        </w:rPr>
      </w:pPr>
      <w:bookmarkStart w:id="901" w:name="DESCRIPTORALFABETICO365"/>
      <w:r w:rsidRPr="00CA5193">
        <w:rPr>
          <w:rStyle w:val="TextoNormalNegritaCaracter"/>
        </w:rPr>
        <w:t>Falta de práctica de prueba admitida</w:t>
      </w:r>
      <w:bookmarkEnd w:id="901"/>
      <w:r w:rsidRPr="00CA5193">
        <w:rPr>
          <w:rStyle w:val="TextoNormalCaracter"/>
        </w:rPr>
        <w:t xml:space="preserve">, Auto </w:t>
      </w:r>
      <w:hyperlink w:anchor="AUTO_2007_281" w:history="1">
        <w:r w:rsidRPr="00CA5193">
          <w:rPr>
            <w:rStyle w:val="TextoNormalCaracter"/>
          </w:rPr>
          <w:t>281/2007</w:t>
        </w:r>
      </w:hyperlink>
      <w:r w:rsidRPr="00CA5193">
        <w:rPr>
          <w:rStyle w:val="TextoNormalCaracter"/>
        </w:rPr>
        <w:t>.</w:t>
      </w:r>
    </w:p>
    <w:p w:rsidR="00CA5193" w:rsidRPr="00CA5193" w:rsidRDefault="00CA5193" w:rsidP="00CA5193">
      <w:pPr>
        <w:pStyle w:val="TextoNormalSangraFrancesa"/>
        <w:rPr>
          <w:rStyle w:val="TextoNormalCaracter"/>
        </w:rPr>
      </w:pPr>
      <w:bookmarkStart w:id="902" w:name="DESCRIPTORALFABETICO272"/>
      <w:r w:rsidRPr="00CA5193">
        <w:rPr>
          <w:rStyle w:val="TextoNormalNegritaCaracter"/>
        </w:rPr>
        <w:t>Faltas penales</w:t>
      </w:r>
      <w:bookmarkEnd w:id="902"/>
      <w:r w:rsidRPr="00CA5193">
        <w:rPr>
          <w:rStyle w:val="TextoNormalCaracter"/>
        </w:rPr>
        <w:t xml:space="preserve">, Sentencia </w:t>
      </w:r>
      <w:hyperlink w:anchor="SENTENCIA_2007_117" w:history="1">
        <w:r w:rsidRPr="00CA5193">
          <w:rPr>
            <w:rStyle w:val="TextoNormalCaracter"/>
          </w:rPr>
          <w:t>117/2007</w:t>
        </w:r>
      </w:hyperlink>
      <w:r w:rsidRPr="00CA5193">
        <w:rPr>
          <w:rStyle w:val="TextoNormalCaracter"/>
        </w:rPr>
        <w:t>, f. 7.</w:t>
      </w:r>
    </w:p>
    <w:p w:rsidR="00CA5193" w:rsidRPr="00CA5193" w:rsidRDefault="00CA5193" w:rsidP="00CA5193">
      <w:pPr>
        <w:pStyle w:val="TextoNormalSangraFrancesa"/>
        <w:rPr>
          <w:rStyle w:val="TextoNormalCaracter"/>
        </w:rPr>
      </w:pPr>
      <w:bookmarkStart w:id="903" w:name="DESCRIPTORALFABETICO269"/>
      <w:r w:rsidRPr="00CA5193">
        <w:rPr>
          <w:rStyle w:val="TextoNormalNegritaCaracter"/>
        </w:rPr>
        <w:t>Favorecimiento de la inmigración ilegal</w:t>
      </w:r>
      <w:bookmarkEnd w:id="903"/>
      <w:r w:rsidRPr="00CA5193">
        <w:rPr>
          <w:rStyle w:val="TextoNormalCaracter"/>
        </w:rPr>
        <w:t xml:space="preserve">, Sentencia </w:t>
      </w:r>
      <w:hyperlink w:anchor="SENTENCIA_2007_117" w:history="1">
        <w:r w:rsidRPr="00CA5193">
          <w:rPr>
            <w:rStyle w:val="TextoNormalCaracter"/>
          </w:rPr>
          <w:t>117/2007</w:t>
        </w:r>
      </w:hyperlink>
      <w:r w:rsidRPr="00CA5193">
        <w:rPr>
          <w:rStyle w:val="TextoNormalCaracter"/>
        </w:rPr>
        <w:t>, f. 4.</w:t>
      </w:r>
    </w:p>
    <w:p w:rsidR="00CA5193" w:rsidRPr="00CA5193" w:rsidRDefault="00CA5193" w:rsidP="00CA5193">
      <w:pPr>
        <w:pStyle w:val="TextoNormalSangraFrancesa"/>
        <w:rPr>
          <w:rStyle w:val="TextoNormalCaracter"/>
        </w:rPr>
      </w:pPr>
      <w:bookmarkStart w:id="904" w:name="DESCRIPTORALFABETICO464"/>
      <w:r w:rsidRPr="00CA5193">
        <w:rPr>
          <w:rStyle w:val="TextoNormalNegritaCaracter"/>
        </w:rPr>
        <w:t>Fijación de fecha de licenciamiento definitivo</w:t>
      </w:r>
      <w:bookmarkEnd w:id="904"/>
      <w:r w:rsidRPr="00CA5193">
        <w:rPr>
          <w:rStyle w:val="TextoNormalCaracter"/>
        </w:rPr>
        <w:t xml:space="preserve">, Auto </w:t>
      </w:r>
      <w:hyperlink w:anchor="AUTO_2007_287" w:history="1">
        <w:r w:rsidRPr="00CA5193">
          <w:rPr>
            <w:rStyle w:val="TextoNormalCaracter"/>
          </w:rPr>
          <w:t>287/2007</w:t>
        </w:r>
      </w:hyperlink>
      <w:r w:rsidRPr="00CA5193">
        <w:rPr>
          <w:rStyle w:val="TextoNormalCaracter"/>
        </w:rPr>
        <w:t>.</w:t>
      </w:r>
    </w:p>
    <w:p w:rsidR="00CA5193" w:rsidRPr="00CA5193" w:rsidRDefault="00CA5193" w:rsidP="00CA5193">
      <w:pPr>
        <w:pStyle w:val="TextoNormalSangraFrancesa"/>
        <w:rPr>
          <w:rStyle w:val="TextoNormalCaracter"/>
        </w:rPr>
      </w:pPr>
      <w:bookmarkStart w:id="905" w:name="DESCRIPTORALFABETICO70"/>
      <w:r w:rsidRPr="00CA5193">
        <w:rPr>
          <w:rStyle w:val="TextoNormalNegritaCaracter"/>
        </w:rPr>
        <w:t>Fórmulas estereotipadas</w:t>
      </w:r>
      <w:bookmarkEnd w:id="905"/>
      <w:r w:rsidRPr="00CA5193">
        <w:rPr>
          <w:rStyle w:val="TextoNormalCaracter"/>
        </w:rPr>
        <w:t xml:space="preserve">, Sentencias </w:t>
      </w:r>
      <w:hyperlink w:anchor="SENTENCIA_2007_124" w:history="1">
        <w:r w:rsidRPr="00CA5193">
          <w:rPr>
            <w:rStyle w:val="TextoNormalCaracter"/>
          </w:rPr>
          <w:t>124/2007</w:t>
        </w:r>
      </w:hyperlink>
      <w:r w:rsidRPr="00CA5193">
        <w:rPr>
          <w:rStyle w:val="TextoNormalCaracter"/>
        </w:rPr>
        <w:t xml:space="preserve">, ff. 2, 3, 5; </w:t>
      </w:r>
      <w:hyperlink w:anchor="SENTENCIA_2007_155" w:history="1">
        <w:r w:rsidRPr="00CA5193">
          <w:rPr>
            <w:rStyle w:val="TextoNormalCaracter"/>
          </w:rPr>
          <w:t>155/2007</w:t>
        </w:r>
      </w:hyperlink>
      <w:r w:rsidRPr="00CA5193">
        <w:rPr>
          <w:rStyle w:val="TextoNormalCaracter"/>
        </w:rPr>
        <w:t>, f. 4.</w:t>
      </w:r>
    </w:p>
    <w:p w:rsidR="00CA5193" w:rsidRPr="00CA5193" w:rsidRDefault="00CA5193" w:rsidP="00CA5193">
      <w:pPr>
        <w:pStyle w:val="TextoNormalSangraFrancesa"/>
        <w:rPr>
          <w:rStyle w:val="TextoNormalCaracter"/>
        </w:rPr>
      </w:pPr>
      <w:bookmarkStart w:id="906" w:name="DESCRIPTORALFABETICO47"/>
      <w:r w:rsidRPr="00CA5193">
        <w:rPr>
          <w:rStyle w:val="TextoNormalNegritaCaracter"/>
        </w:rPr>
        <w:t>Fuentes accesibles al público</w:t>
      </w:r>
      <w:bookmarkEnd w:id="906"/>
      <w:r w:rsidRPr="00CA5193">
        <w:rPr>
          <w:rStyle w:val="TextoNormalCaracter"/>
        </w:rPr>
        <w:t xml:space="preserve">, Sentencia </w:t>
      </w:r>
      <w:hyperlink w:anchor="SENTENCIA_2007_110" w:history="1">
        <w:r w:rsidRPr="00CA5193">
          <w:rPr>
            <w:rStyle w:val="TextoNormalCaracter"/>
          </w:rPr>
          <w:t>110/2007</w:t>
        </w:r>
      </w:hyperlink>
      <w:r w:rsidRPr="00CA5193">
        <w:rPr>
          <w:rStyle w:val="TextoNormalCaracter"/>
        </w:rPr>
        <w:t>, f. 9.</w:t>
      </w:r>
    </w:p>
    <w:p w:rsidR="00CA5193" w:rsidRPr="00CA5193" w:rsidRDefault="00CA5193" w:rsidP="00CA5193">
      <w:pPr>
        <w:pStyle w:val="TextoNormalSangraFrancesa"/>
        <w:rPr>
          <w:rStyle w:val="TextoNormalCaracter"/>
        </w:rPr>
      </w:pPr>
      <w:bookmarkStart w:id="907" w:name="DESCRIPTORALFABETICO4"/>
      <w:r w:rsidRPr="00CA5193">
        <w:rPr>
          <w:rStyle w:val="TextoNormalNegritaCaracter"/>
        </w:rPr>
        <w:t>Funciones de las juntas electorales</w:t>
      </w:r>
      <w:bookmarkEnd w:id="907"/>
      <w:r w:rsidRPr="00CA5193">
        <w:rPr>
          <w:rStyle w:val="TextoNormalCaracter"/>
        </w:rPr>
        <w:t xml:space="preserve">, Sentencia </w:t>
      </w:r>
      <w:hyperlink w:anchor="SENTENCIA_2007_105" w:history="1">
        <w:r w:rsidRPr="00CA5193">
          <w:rPr>
            <w:rStyle w:val="TextoNormalCaracter"/>
          </w:rPr>
          <w:t>105/2007</w:t>
        </w:r>
      </w:hyperlink>
      <w:r w:rsidRPr="00CA5193">
        <w:rPr>
          <w:rStyle w:val="TextoNormalCaracter"/>
        </w:rPr>
        <w:t>, f. 3.</w:t>
      </w:r>
    </w:p>
    <w:p w:rsidR="00CA5193" w:rsidRPr="00CA5193" w:rsidRDefault="00CA5193" w:rsidP="00CA5193">
      <w:pPr>
        <w:pStyle w:val="TextoNormalSangraFrancesa"/>
        <w:rPr>
          <w:rStyle w:val="TextoNormalCaracter"/>
        </w:rPr>
      </w:pPr>
      <w:bookmarkStart w:id="908" w:name="DESCRIPTORALFABETICO212"/>
      <w:r w:rsidRPr="00CA5193">
        <w:rPr>
          <w:rStyle w:val="TextoNormalNegritaCaracter"/>
        </w:rPr>
        <w:t>Funciones representativas</w:t>
      </w:r>
      <w:bookmarkEnd w:id="908"/>
      <w:r w:rsidRPr="00CA5193">
        <w:rPr>
          <w:rStyle w:val="TextoNormalCaracter"/>
        </w:rPr>
        <w:t xml:space="preserve">, Sentencia </w:t>
      </w:r>
      <w:hyperlink w:anchor="SENTENCIA_2007_141" w:history="1">
        <w:r w:rsidRPr="00CA5193">
          <w:rPr>
            <w:rStyle w:val="TextoNormalCaracter"/>
          </w:rPr>
          <w:t>141/2007</w:t>
        </w:r>
      </w:hyperlink>
      <w:r w:rsidRPr="00CA5193">
        <w:rPr>
          <w:rStyle w:val="TextoNormalCaracter"/>
        </w:rPr>
        <w:t>, ff. 3 a 5.</w:t>
      </w:r>
    </w:p>
    <w:p w:rsidR="00CA5193" w:rsidRPr="00CA5193" w:rsidRDefault="00CA5193" w:rsidP="00CA5193">
      <w:pPr>
        <w:pStyle w:val="TextoNormalSangraFrancesa"/>
        <w:rPr>
          <w:rStyle w:val="TextoNormalCaracter"/>
        </w:rPr>
      </w:pPr>
      <w:bookmarkStart w:id="909" w:name="DESCRIPTORALFABETICO159"/>
      <w:r w:rsidRPr="00CA5193">
        <w:rPr>
          <w:rStyle w:val="TextoNormalNegritaCaracter"/>
        </w:rPr>
        <w:t>Fundamentación de la demanda de amparo</w:t>
      </w:r>
      <w:bookmarkEnd w:id="909"/>
      <w:r w:rsidRPr="00CA5193">
        <w:rPr>
          <w:rStyle w:val="TextoNormalCaracter"/>
        </w:rPr>
        <w:t xml:space="preserve">, Sentencia </w:t>
      </w:r>
      <w:hyperlink w:anchor="SENTENCIA_2007_110" w:history="1">
        <w:r w:rsidRPr="00CA5193">
          <w:rPr>
            <w:rStyle w:val="TextoNormalCaracter"/>
          </w:rPr>
          <w:t>110/2007</w:t>
        </w:r>
      </w:hyperlink>
      <w:r w:rsidRPr="00CA5193">
        <w:rPr>
          <w:rStyle w:val="TextoNormalCaracter"/>
        </w:rPr>
        <w:t>, ff. 2, 7.</w:t>
      </w:r>
    </w:p>
    <w:p w:rsidR="00CA5193" w:rsidRDefault="00CA5193" w:rsidP="00CA5193">
      <w:pPr>
        <w:pStyle w:val="TextoNormalSangraFrancesa"/>
      </w:pPr>
    </w:p>
    <w:p w:rsidR="00CA5193" w:rsidRDefault="00CA5193" w:rsidP="00CA5193">
      <w:pPr>
        <w:pStyle w:val="TextoNormalSangraFrancesa"/>
      </w:pPr>
    </w:p>
    <w:p w:rsidR="00CA5193" w:rsidRDefault="00CA5193" w:rsidP="00CA5193">
      <w:pPr>
        <w:pStyle w:val="TextoNormalNegritaCentrado"/>
      </w:pPr>
      <w:r>
        <w:t>G</w:t>
      </w:r>
    </w:p>
    <w:p w:rsidR="00CA5193" w:rsidRDefault="00CA5193" w:rsidP="00CA5193">
      <w:pPr>
        <w:pStyle w:val="TextoNormalNegritaCentrado"/>
      </w:pPr>
    </w:p>
    <w:p w:rsidR="00CA5193" w:rsidRDefault="00CA5193" w:rsidP="00CA5193">
      <w:pPr>
        <w:pStyle w:val="TextoNormalNegritaCentrado"/>
      </w:pPr>
    </w:p>
    <w:p w:rsidR="00CA5193" w:rsidRDefault="00CA5193" w:rsidP="00CA5193">
      <w:pPr>
        <w:pStyle w:val="TextoNormalNegritaCentrado"/>
      </w:pPr>
    </w:p>
    <w:p w:rsidR="00CA5193" w:rsidRPr="00CA5193" w:rsidRDefault="00CA5193" w:rsidP="00CA5193">
      <w:pPr>
        <w:pStyle w:val="TextoNormalSangraFrancesa"/>
        <w:rPr>
          <w:rStyle w:val="TextoNormalCaracter"/>
        </w:rPr>
      </w:pPr>
      <w:bookmarkStart w:id="910" w:name="DESCRIPTORALFABETICO228"/>
      <w:r w:rsidRPr="00CA5193">
        <w:rPr>
          <w:rStyle w:val="TextoNormalNegritaCaracter"/>
        </w:rPr>
        <w:t>Garantías constitucionales</w:t>
      </w:r>
      <w:bookmarkEnd w:id="910"/>
      <w:r w:rsidRPr="00CA5193">
        <w:rPr>
          <w:rStyle w:val="TextoNormalCaracter"/>
        </w:rPr>
        <w:t xml:space="preserve">, Sentencias </w:t>
      </w:r>
      <w:hyperlink w:anchor="SENTENCIA_2007_110" w:history="1">
        <w:r w:rsidRPr="00CA5193">
          <w:rPr>
            <w:rStyle w:val="TextoNormalCaracter"/>
          </w:rPr>
          <w:t>110/2007</w:t>
        </w:r>
      </w:hyperlink>
      <w:r w:rsidRPr="00CA5193">
        <w:rPr>
          <w:rStyle w:val="TextoNormalCaracter"/>
        </w:rPr>
        <w:t xml:space="preserve">, f. 3; </w:t>
      </w:r>
      <w:hyperlink w:anchor="SENTENCIA_2007_175" w:history="1">
        <w:r w:rsidRPr="00CA5193">
          <w:rPr>
            <w:rStyle w:val="TextoNormalCaracter"/>
          </w:rPr>
          <w:t>175/2007</w:t>
        </w:r>
      </w:hyperlink>
      <w:r w:rsidRPr="00CA5193">
        <w:rPr>
          <w:rStyle w:val="TextoNormalCaracter"/>
        </w:rPr>
        <w:t>, ff. 3, 4, 5, 6.</w:t>
      </w:r>
    </w:p>
    <w:p w:rsidR="00CA5193" w:rsidRPr="00CA5193" w:rsidRDefault="00CA5193" w:rsidP="00CA5193">
      <w:pPr>
        <w:pStyle w:val="TextoNormalSangraFrancesa"/>
        <w:rPr>
          <w:rStyle w:val="TextoNormalCaracter"/>
        </w:rPr>
      </w:pPr>
      <w:bookmarkStart w:id="911" w:name="DESCRIPTORALFABETICO451"/>
      <w:r w:rsidRPr="00CA5193">
        <w:rPr>
          <w:rStyle w:val="TextoNormalNegritaCaracter"/>
        </w:rPr>
        <w:t>Garantías de no sometimiento a trato inhumano</w:t>
      </w:r>
      <w:bookmarkEnd w:id="911"/>
      <w:r w:rsidRPr="00CA5193">
        <w:rPr>
          <w:rStyle w:val="TextoNormalCaracter"/>
        </w:rPr>
        <w:t xml:space="preserve">, Sentencia </w:t>
      </w:r>
      <w:hyperlink w:anchor="SENTENCIA_2007_140" w:history="1">
        <w:r w:rsidRPr="00CA5193">
          <w:rPr>
            <w:rStyle w:val="TextoNormalCaracter"/>
          </w:rPr>
          <w:t>140/2007</w:t>
        </w:r>
      </w:hyperlink>
      <w:r w:rsidRPr="00CA5193">
        <w:rPr>
          <w:rStyle w:val="TextoNormalCaracter"/>
        </w:rPr>
        <w:t>, ff. 2, 3.</w:t>
      </w:r>
    </w:p>
    <w:p w:rsidR="00CA5193" w:rsidRPr="00CA5193" w:rsidRDefault="00CA5193" w:rsidP="00CA5193">
      <w:pPr>
        <w:pStyle w:val="TextoNormalSangraFrancesa"/>
        <w:rPr>
          <w:rStyle w:val="TextoNormalNegritaCaracter"/>
        </w:rPr>
      </w:pPr>
      <w:r w:rsidRPr="00CA5193">
        <w:rPr>
          <w:rStyle w:val="TextoNormalCursivaCaracter"/>
        </w:rPr>
        <w:t>Garantías jurisdiccionales</w:t>
      </w:r>
      <w:r>
        <w:t xml:space="preserve"> véase </w:t>
      </w:r>
      <w:hyperlink w:anchor="DESCRIPTORALFABETICO92" w:history="1">
        <w:r w:rsidRPr="00CA5193">
          <w:rPr>
            <w:rStyle w:val="TextoNormalNegritaCaracter"/>
          </w:rPr>
          <w:t>Garantías procesales</w:t>
        </w:r>
      </w:hyperlink>
    </w:p>
    <w:p w:rsidR="00CA5193" w:rsidRPr="00CA5193" w:rsidRDefault="00CA5193" w:rsidP="00CA5193">
      <w:pPr>
        <w:pStyle w:val="TextoNormalSangraFrancesa"/>
        <w:rPr>
          <w:rStyle w:val="TextoNormalCaracter"/>
        </w:rPr>
      </w:pPr>
      <w:bookmarkStart w:id="912" w:name="DESCRIPTORALFABETICO92"/>
      <w:r w:rsidRPr="00CA5193">
        <w:rPr>
          <w:rStyle w:val="TextoNormalNegritaCaracter"/>
        </w:rPr>
        <w:t>Garantías procesales</w:t>
      </w:r>
      <w:bookmarkEnd w:id="912"/>
      <w:r w:rsidRPr="00CA5193">
        <w:rPr>
          <w:rStyle w:val="TextoNormalCaracter"/>
        </w:rPr>
        <w:t xml:space="preserve">, Sentencias </w:t>
      </w:r>
      <w:hyperlink w:anchor="SENTENCIA_2007_112" w:history="1">
        <w:r w:rsidRPr="00CA5193">
          <w:rPr>
            <w:rStyle w:val="TextoNormalCaracter"/>
          </w:rPr>
          <w:t>112/2007</w:t>
        </w:r>
      </w:hyperlink>
      <w:r w:rsidRPr="00CA5193">
        <w:rPr>
          <w:rStyle w:val="TextoNormalCaracter"/>
        </w:rPr>
        <w:t xml:space="preserve">, f. 5; </w:t>
      </w:r>
      <w:hyperlink w:anchor="SENTENCIA_2007_123" w:history="1">
        <w:r w:rsidRPr="00CA5193">
          <w:rPr>
            <w:rStyle w:val="TextoNormalCaracter"/>
          </w:rPr>
          <w:t>123/2007</w:t>
        </w:r>
      </w:hyperlink>
      <w:r w:rsidRPr="00CA5193">
        <w:rPr>
          <w:rStyle w:val="TextoNormalCaracter"/>
        </w:rPr>
        <w:t>, f. 3.</w:t>
      </w:r>
    </w:p>
    <w:p w:rsidR="00CA5193" w:rsidRPr="00CA5193" w:rsidRDefault="00CA5193" w:rsidP="00CA5193">
      <w:pPr>
        <w:pStyle w:val="TextoNormalSangraFrancesa"/>
        <w:rPr>
          <w:rStyle w:val="TextoNormalCaracter"/>
        </w:rPr>
      </w:pPr>
      <w:bookmarkStart w:id="913" w:name="DESCRIPTORALFABETICO256"/>
      <w:r w:rsidRPr="00CA5193">
        <w:rPr>
          <w:rStyle w:val="TextoNormalNegritaCaracter"/>
        </w:rPr>
        <w:t>Grupos de la función pública</w:t>
      </w:r>
      <w:bookmarkEnd w:id="913"/>
      <w:r w:rsidRPr="00CA5193">
        <w:rPr>
          <w:rStyle w:val="TextoNormalCaracter"/>
        </w:rPr>
        <w:t xml:space="preserve">, Sentencia </w:t>
      </w:r>
      <w:hyperlink w:anchor="SENTENCIA_2007_147" w:history="1">
        <w:r w:rsidRPr="00CA5193">
          <w:rPr>
            <w:rStyle w:val="TextoNormalCaracter"/>
          </w:rPr>
          <w:t>147/2007</w:t>
        </w:r>
      </w:hyperlink>
      <w:r w:rsidRPr="00CA5193">
        <w:rPr>
          <w:rStyle w:val="TextoNormalCaracter"/>
        </w:rPr>
        <w:t>, f. 4.</w:t>
      </w:r>
    </w:p>
    <w:p w:rsidR="00CA5193" w:rsidRDefault="00CA5193" w:rsidP="00CA5193">
      <w:pPr>
        <w:pStyle w:val="TextoNormalSangraFrancesa"/>
      </w:pPr>
    </w:p>
    <w:p w:rsidR="00CA5193" w:rsidRDefault="00CA5193" w:rsidP="00CA5193">
      <w:pPr>
        <w:pStyle w:val="TextoNormalSangraFrancesa"/>
      </w:pPr>
    </w:p>
    <w:p w:rsidR="00CA5193" w:rsidRDefault="00CA5193" w:rsidP="00CA5193">
      <w:pPr>
        <w:pStyle w:val="TextoNormalNegritaCentrado"/>
      </w:pPr>
      <w:r>
        <w:lastRenderedPageBreak/>
        <w:t>H</w:t>
      </w:r>
    </w:p>
    <w:p w:rsidR="00CA5193" w:rsidRDefault="00CA5193" w:rsidP="00CA5193">
      <w:pPr>
        <w:pStyle w:val="TextoNormalNegritaCentrado"/>
      </w:pPr>
    </w:p>
    <w:p w:rsidR="00CA5193" w:rsidRDefault="00CA5193" w:rsidP="00CA5193">
      <w:pPr>
        <w:pStyle w:val="TextoNormalNegritaCentrado"/>
      </w:pPr>
    </w:p>
    <w:p w:rsidR="00CA5193" w:rsidRDefault="00CA5193" w:rsidP="00CA5193">
      <w:pPr>
        <w:pStyle w:val="TextoNormalNegritaCentrado"/>
      </w:pPr>
    </w:p>
    <w:p w:rsidR="00CA5193" w:rsidRPr="00CA5193" w:rsidRDefault="00CA5193" w:rsidP="00CA5193">
      <w:pPr>
        <w:pStyle w:val="TextoNormalSangraFrancesa"/>
        <w:rPr>
          <w:rStyle w:val="TextoNormalCaracter"/>
        </w:rPr>
      </w:pPr>
      <w:bookmarkStart w:id="914" w:name="DESCRIPTORALFABETICO369"/>
      <w:r w:rsidRPr="00CA5193">
        <w:rPr>
          <w:rStyle w:val="TextoNormalNegritaCaracter"/>
        </w:rPr>
        <w:t>Hechos probados</w:t>
      </w:r>
      <w:bookmarkEnd w:id="914"/>
      <w:r w:rsidRPr="00CA5193">
        <w:rPr>
          <w:rStyle w:val="TextoNormalCaracter"/>
        </w:rPr>
        <w:t xml:space="preserve">, Sentencia </w:t>
      </w:r>
      <w:hyperlink w:anchor="SENTENCIA_2007_117" w:history="1">
        <w:r w:rsidRPr="00CA5193">
          <w:rPr>
            <w:rStyle w:val="TextoNormalCaracter"/>
          </w:rPr>
          <w:t>117/2007</w:t>
        </w:r>
      </w:hyperlink>
      <w:r w:rsidRPr="00CA5193">
        <w:rPr>
          <w:rStyle w:val="TextoNormalCaracter"/>
        </w:rPr>
        <w:t>, ff. 3 a 8.</w:t>
      </w:r>
    </w:p>
    <w:p w:rsidR="00CA5193" w:rsidRDefault="00CA5193" w:rsidP="00CA5193">
      <w:pPr>
        <w:pStyle w:val="TextoNormalSangraFrancesa"/>
      </w:pPr>
    </w:p>
    <w:p w:rsidR="00CA5193" w:rsidRDefault="00CA5193" w:rsidP="00CA5193">
      <w:pPr>
        <w:pStyle w:val="TextoNormalSangraFrancesa"/>
      </w:pPr>
    </w:p>
    <w:p w:rsidR="00CA5193" w:rsidRDefault="00CA5193" w:rsidP="00CA5193">
      <w:pPr>
        <w:pStyle w:val="TextoNormalNegritaCentrado"/>
      </w:pPr>
      <w:r>
        <w:t>I</w:t>
      </w:r>
    </w:p>
    <w:p w:rsidR="00CA5193" w:rsidRDefault="00CA5193" w:rsidP="00CA5193">
      <w:pPr>
        <w:pStyle w:val="TextoNormalNegritaCentrado"/>
      </w:pPr>
    </w:p>
    <w:p w:rsidR="00CA5193" w:rsidRDefault="00CA5193" w:rsidP="00CA5193">
      <w:pPr>
        <w:pStyle w:val="TextoNormalNegritaCentrado"/>
      </w:pPr>
    </w:p>
    <w:p w:rsidR="00CA5193" w:rsidRDefault="00CA5193" w:rsidP="00CA5193">
      <w:pPr>
        <w:pStyle w:val="TextoNormalNegritaCentrado"/>
      </w:pPr>
    </w:p>
    <w:p w:rsidR="00CA5193" w:rsidRPr="00CA5193" w:rsidRDefault="00CA5193" w:rsidP="00CA5193">
      <w:pPr>
        <w:pStyle w:val="TextoNormalSangraFrancesa"/>
        <w:rPr>
          <w:rStyle w:val="TextoNormalCaracter"/>
        </w:rPr>
      </w:pPr>
      <w:bookmarkStart w:id="915" w:name="DESCRIPTORALFABETICO242"/>
      <w:r w:rsidRPr="00CA5193">
        <w:rPr>
          <w:rStyle w:val="TextoNormalNegritaCaracter"/>
        </w:rPr>
        <w:t>Identificación del conductor</w:t>
      </w:r>
      <w:bookmarkEnd w:id="915"/>
      <w:r w:rsidRPr="00CA5193">
        <w:rPr>
          <w:rStyle w:val="TextoNormalCaracter"/>
        </w:rPr>
        <w:t xml:space="preserve">, Sentencia </w:t>
      </w:r>
      <w:hyperlink w:anchor="SENTENCIA_2007_157" w:history="1">
        <w:r w:rsidRPr="00CA5193">
          <w:rPr>
            <w:rStyle w:val="TextoNormalCaracter"/>
          </w:rPr>
          <w:t>157/2007</w:t>
        </w:r>
      </w:hyperlink>
      <w:r w:rsidRPr="00CA5193">
        <w:rPr>
          <w:rStyle w:val="TextoNormalCaracter"/>
        </w:rPr>
        <w:t>, ff. 3, 4.</w:t>
      </w:r>
    </w:p>
    <w:p w:rsidR="00CA5193" w:rsidRPr="00CA5193" w:rsidRDefault="00CA5193" w:rsidP="00CA5193">
      <w:pPr>
        <w:pStyle w:val="TextoNormalSangraFrancesa"/>
        <w:rPr>
          <w:rStyle w:val="TextoNormalCaracter"/>
        </w:rPr>
      </w:pPr>
      <w:bookmarkStart w:id="916" w:name="DESCRIPTORALFABETICO314"/>
      <w:r w:rsidRPr="00CA5193">
        <w:rPr>
          <w:rStyle w:val="TextoNormalNegritaCaracter"/>
        </w:rPr>
        <w:t>Iglesia católica</w:t>
      </w:r>
      <w:bookmarkEnd w:id="916"/>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ff. 5, 9, 10, 11, 12, VP.</w:t>
      </w:r>
    </w:p>
    <w:p w:rsidR="00CA5193" w:rsidRPr="00CA5193" w:rsidRDefault="00CA5193" w:rsidP="00CA5193">
      <w:pPr>
        <w:pStyle w:val="TextoNormalSangraFrancesa"/>
        <w:rPr>
          <w:rStyle w:val="TextoNormalCaracter"/>
        </w:rPr>
      </w:pPr>
      <w:bookmarkStart w:id="917" w:name="DESCRIPTORALFABETICO23"/>
      <w:r w:rsidRPr="00CA5193">
        <w:rPr>
          <w:rStyle w:val="TextoNormalNegritaCaracter"/>
        </w:rPr>
        <w:t>Igualdad en el acceso a la función pública</w:t>
      </w:r>
      <w:bookmarkEnd w:id="917"/>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f. 4, VP.</w:t>
      </w:r>
    </w:p>
    <w:p w:rsidR="00CA5193" w:rsidRPr="00CA5193" w:rsidRDefault="00CA5193" w:rsidP="00CA5193">
      <w:pPr>
        <w:pStyle w:val="TextoNormalSangraFrancesa"/>
        <w:rPr>
          <w:rStyle w:val="TextoNormalCaracter"/>
        </w:rPr>
      </w:pPr>
      <w:bookmarkStart w:id="918" w:name="DESCRIPTORALFABETICO32"/>
      <w:r w:rsidRPr="00CA5193">
        <w:rPr>
          <w:rStyle w:val="TextoNormalNegritaCaracter"/>
        </w:rPr>
        <w:t>Igualdad en la aplicación de la ley</w:t>
      </w:r>
      <w:bookmarkEnd w:id="918"/>
      <w:r w:rsidRPr="00CA5193">
        <w:rPr>
          <w:rStyle w:val="TextoNormalCaracter"/>
        </w:rPr>
        <w:t xml:space="preserve">, Sentencia </w:t>
      </w:r>
      <w:hyperlink w:anchor="SENTENCIA_2007_147" w:history="1">
        <w:r w:rsidRPr="00CA5193">
          <w:rPr>
            <w:rStyle w:val="TextoNormalCaracter"/>
          </w:rPr>
          <w:t>147/2007</w:t>
        </w:r>
      </w:hyperlink>
      <w:r w:rsidRPr="00CA5193">
        <w:rPr>
          <w:rStyle w:val="TextoNormalCaracter"/>
        </w:rPr>
        <w:t>, ff. 3, 4.</w:t>
      </w:r>
    </w:p>
    <w:p w:rsidR="00CA5193" w:rsidRPr="00CA5193" w:rsidRDefault="00CA5193" w:rsidP="00CA5193">
      <w:pPr>
        <w:pStyle w:val="TextoNormalSangraFrancesa"/>
        <w:rPr>
          <w:rStyle w:val="TextoNormalCaracter"/>
        </w:rPr>
      </w:pPr>
      <w:r w:rsidRPr="00CA5193">
        <w:rPr>
          <w:rStyle w:val="TextoNormalCaracter"/>
        </w:rPr>
        <w:t xml:space="preserve">    Autos </w:t>
      </w:r>
      <w:hyperlink w:anchor="AUTO_2007_254" w:history="1">
        <w:r w:rsidRPr="00CA5193">
          <w:rPr>
            <w:rStyle w:val="TextoNormalCaracter"/>
          </w:rPr>
          <w:t>254/2007</w:t>
        </w:r>
      </w:hyperlink>
      <w:r w:rsidRPr="00CA5193">
        <w:rPr>
          <w:rStyle w:val="TextoNormalCaracter"/>
        </w:rPr>
        <w:t xml:space="preserve">; </w:t>
      </w:r>
      <w:hyperlink w:anchor="AUTO_2007_312" w:history="1">
        <w:r w:rsidRPr="00CA5193">
          <w:rPr>
            <w:rStyle w:val="TextoNormalCaracter"/>
          </w:rPr>
          <w:t>312/2007</w:t>
        </w:r>
      </w:hyperlink>
      <w:r w:rsidRPr="00CA5193">
        <w:rPr>
          <w:rStyle w:val="TextoNormalCaracter"/>
        </w:rPr>
        <w:t xml:space="preserve">; </w:t>
      </w:r>
      <w:hyperlink w:anchor="AUTO_2007_352" w:history="1">
        <w:r w:rsidRPr="00CA5193">
          <w:rPr>
            <w:rStyle w:val="TextoNormalCaracter"/>
          </w:rPr>
          <w:t>352/2007</w:t>
        </w:r>
      </w:hyperlink>
      <w:r w:rsidRPr="00CA5193">
        <w:rPr>
          <w:rStyle w:val="TextoNormalCaracter"/>
        </w:rPr>
        <w:t>.</w:t>
      </w:r>
    </w:p>
    <w:p w:rsidR="00CA5193" w:rsidRPr="00CA5193" w:rsidRDefault="00CA5193" w:rsidP="00CA5193">
      <w:pPr>
        <w:pStyle w:val="TextoNormalSangraFrancesa"/>
        <w:rPr>
          <w:rStyle w:val="TextoNormalCaracter"/>
        </w:rPr>
      </w:pPr>
      <w:r w:rsidRPr="00CA5193">
        <w:rPr>
          <w:rStyle w:val="TextoNormalCursivaCaracter"/>
        </w:rPr>
        <w:t xml:space="preserve">    Doctrina constitucional, </w:t>
      </w:r>
      <w:r w:rsidRPr="00CA5193">
        <w:rPr>
          <w:rStyle w:val="TextoNormalCaracter"/>
        </w:rPr>
        <w:t xml:space="preserve">Sentencia </w:t>
      </w:r>
      <w:hyperlink w:anchor="SENTENCIA_2007_147" w:history="1">
        <w:r w:rsidRPr="00CA5193">
          <w:rPr>
            <w:rStyle w:val="TextoNormalCaracter"/>
          </w:rPr>
          <w:t>147/2007</w:t>
        </w:r>
      </w:hyperlink>
      <w:r w:rsidRPr="00CA5193">
        <w:rPr>
          <w:rStyle w:val="TextoNormalCaracter"/>
        </w:rPr>
        <w:t>, f. 3.</w:t>
      </w:r>
    </w:p>
    <w:p w:rsidR="00CA5193" w:rsidRPr="00CA5193" w:rsidRDefault="00CA5193" w:rsidP="00CA5193">
      <w:pPr>
        <w:pStyle w:val="TextoNormalSangraFrancesa"/>
        <w:rPr>
          <w:rStyle w:val="TextoNormalCaracter"/>
        </w:rPr>
      </w:pPr>
      <w:bookmarkStart w:id="919" w:name="DESCRIPTORALFABETICO34"/>
      <w:r w:rsidRPr="00CA5193">
        <w:rPr>
          <w:rStyle w:val="TextoNormalNegritaCaracter"/>
        </w:rPr>
        <w:t>Igualdad en la legalidad</w:t>
      </w:r>
      <w:bookmarkEnd w:id="919"/>
      <w:r w:rsidRPr="00CA5193">
        <w:rPr>
          <w:rStyle w:val="TextoNormalCaracter"/>
        </w:rPr>
        <w:t xml:space="preserve">, Sentencia </w:t>
      </w:r>
      <w:hyperlink w:anchor="SENTENCIA_2007_110" w:history="1">
        <w:r w:rsidRPr="00CA5193">
          <w:rPr>
            <w:rStyle w:val="TextoNormalCaracter"/>
          </w:rPr>
          <w:t>110/2007</w:t>
        </w:r>
      </w:hyperlink>
      <w:r w:rsidRPr="00CA5193">
        <w:rPr>
          <w:rStyle w:val="TextoNormalCaracter"/>
        </w:rPr>
        <w:t>, f. 2.</w:t>
      </w:r>
    </w:p>
    <w:p w:rsidR="00CA5193" w:rsidRPr="00CA5193" w:rsidRDefault="00CA5193" w:rsidP="00CA5193">
      <w:pPr>
        <w:pStyle w:val="TextoNormalSangraFrancesa"/>
        <w:rPr>
          <w:rStyle w:val="TextoNormalNegritaCaracter"/>
        </w:rPr>
      </w:pPr>
      <w:r w:rsidRPr="00CA5193">
        <w:rPr>
          <w:rStyle w:val="TextoNormalCursivaCaracter"/>
        </w:rPr>
        <w:t>Igualdad en materia tributaria</w:t>
      </w:r>
      <w:r>
        <w:t xml:space="preserve"> véase </w:t>
      </w:r>
      <w:hyperlink w:anchor="DESCRIPTORALFABETICO220" w:history="1">
        <w:r w:rsidRPr="00CA5193">
          <w:rPr>
            <w:rStyle w:val="TextoNormalNegritaCaracter"/>
          </w:rPr>
          <w:t>Igualdad tributaria</w:t>
        </w:r>
      </w:hyperlink>
    </w:p>
    <w:p w:rsidR="00CA5193" w:rsidRPr="00CA5193" w:rsidRDefault="00CA5193" w:rsidP="00CA5193">
      <w:pPr>
        <w:pStyle w:val="TextoNormalSangraFrancesa"/>
        <w:rPr>
          <w:rStyle w:val="TextoNormalCaracter"/>
        </w:rPr>
      </w:pPr>
      <w:bookmarkStart w:id="920" w:name="DESCRIPTORALFABETICO220"/>
      <w:r w:rsidRPr="00CA5193">
        <w:rPr>
          <w:rStyle w:val="TextoNormalNegritaCaracter"/>
        </w:rPr>
        <w:t>Igualdad tributaria</w:t>
      </w:r>
      <w:bookmarkEnd w:id="920"/>
      <w:r w:rsidRPr="00CA5193">
        <w:rPr>
          <w:rStyle w:val="TextoNormalCaracter"/>
        </w:rPr>
        <w:t xml:space="preserve">, Sentencia </w:t>
      </w:r>
      <w:hyperlink w:anchor="SENTENCIA_2007_91" w:history="1">
        <w:r w:rsidRPr="00CA5193">
          <w:rPr>
            <w:rStyle w:val="TextoNormalCaracter"/>
          </w:rPr>
          <w:t>91/2007</w:t>
        </w:r>
      </w:hyperlink>
      <w:r w:rsidRPr="00CA5193">
        <w:rPr>
          <w:rStyle w:val="TextoNormalCaracter"/>
        </w:rPr>
        <w:t>, f. 4.</w:t>
      </w:r>
    </w:p>
    <w:p w:rsidR="00CA5193" w:rsidRPr="00CA5193" w:rsidRDefault="00CA5193" w:rsidP="00CA5193">
      <w:pPr>
        <w:pStyle w:val="TextoNormalSangraFrancesa"/>
        <w:rPr>
          <w:rStyle w:val="TextoNormalCaracter"/>
        </w:rPr>
      </w:pPr>
      <w:bookmarkStart w:id="921" w:name="DESCRIPTORALFABETICO221"/>
      <w:r w:rsidRPr="00CA5193">
        <w:rPr>
          <w:rStyle w:val="TextoNormalNegritaCaracter"/>
        </w:rPr>
        <w:t xml:space="preserve">Igualdad tributaria </w:t>
      </w:r>
      <w:r w:rsidRPr="00CA5193">
        <w:rPr>
          <w:rStyle w:val="TextoNormalNegritaCaracter"/>
          <w:i/>
        </w:rPr>
        <w:t>versus</w:t>
      </w:r>
      <w:r w:rsidRPr="00CA5193">
        <w:rPr>
          <w:rStyle w:val="TextoNormalNegritaCaracter"/>
        </w:rPr>
        <w:t xml:space="preserve"> derecho a la igualdad</w:t>
      </w:r>
      <w:bookmarkEnd w:id="921"/>
      <w:r w:rsidRPr="00CA5193">
        <w:rPr>
          <w:rStyle w:val="TextoNormalCaracter"/>
        </w:rPr>
        <w:t xml:space="preserve">, Sentencia </w:t>
      </w:r>
      <w:hyperlink w:anchor="SENTENCIA_2007_91" w:history="1">
        <w:r w:rsidRPr="00CA5193">
          <w:rPr>
            <w:rStyle w:val="TextoNormalCaracter"/>
          </w:rPr>
          <w:t>91/2007</w:t>
        </w:r>
      </w:hyperlink>
      <w:r w:rsidRPr="00CA5193">
        <w:rPr>
          <w:rStyle w:val="TextoNormalCaracter"/>
        </w:rPr>
        <w:t>, f. 4.</w:t>
      </w:r>
    </w:p>
    <w:p w:rsidR="00CA5193" w:rsidRPr="00CA5193" w:rsidRDefault="00CA5193" w:rsidP="00CA5193">
      <w:pPr>
        <w:pStyle w:val="TextoNormalSangraFrancesa"/>
        <w:rPr>
          <w:rStyle w:val="TextoNormalCaracter"/>
        </w:rPr>
      </w:pPr>
      <w:bookmarkStart w:id="922" w:name="DESCRIPTORALFABETICO197"/>
      <w:r w:rsidRPr="00CA5193">
        <w:rPr>
          <w:rStyle w:val="TextoNormalNegritaCaracter"/>
        </w:rPr>
        <w:t>Ilegalización de partidos políticos</w:t>
      </w:r>
      <w:bookmarkEnd w:id="922"/>
      <w:r w:rsidRPr="00CA5193">
        <w:rPr>
          <w:rStyle w:val="TextoNormalCaracter"/>
        </w:rPr>
        <w:t xml:space="preserve">, Sentencias </w:t>
      </w:r>
      <w:hyperlink w:anchor="SENTENCIA_2007_110" w:history="1">
        <w:r w:rsidRPr="00CA5193">
          <w:rPr>
            <w:rStyle w:val="TextoNormalCaracter"/>
          </w:rPr>
          <w:t>110/2007</w:t>
        </w:r>
      </w:hyperlink>
      <w:r w:rsidRPr="00CA5193">
        <w:rPr>
          <w:rStyle w:val="TextoNormalCaracter"/>
        </w:rPr>
        <w:t xml:space="preserve">, f. 11; </w:t>
      </w:r>
      <w:hyperlink w:anchor="SENTENCIA_2007_112" w:history="1">
        <w:r w:rsidRPr="00CA5193">
          <w:rPr>
            <w:rStyle w:val="TextoNormalCaracter"/>
          </w:rPr>
          <w:t>112/2007</w:t>
        </w:r>
      </w:hyperlink>
      <w:r w:rsidRPr="00CA5193">
        <w:rPr>
          <w:rStyle w:val="TextoNormalCaracter"/>
        </w:rPr>
        <w:t>, ff. 4 a 11.</w:t>
      </w:r>
    </w:p>
    <w:p w:rsidR="00CA5193" w:rsidRPr="00CA5193" w:rsidRDefault="00CA5193" w:rsidP="00CA5193">
      <w:pPr>
        <w:pStyle w:val="TextoNormalSangraFrancesa"/>
        <w:rPr>
          <w:rStyle w:val="TextoNormalCaracter"/>
        </w:rPr>
      </w:pPr>
      <w:bookmarkStart w:id="923" w:name="DESCRIPTORALFABETICO200"/>
      <w:r w:rsidRPr="00CA5193">
        <w:rPr>
          <w:rStyle w:val="TextoNormalNegritaCaracter"/>
        </w:rPr>
        <w:t>Imparcialidad objetiva</w:t>
      </w:r>
      <w:bookmarkEnd w:id="923"/>
      <w:r w:rsidRPr="00CA5193">
        <w:rPr>
          <w:rStyle w:val="TextoNormalCaracter"/>
        </w:rPr>
        <w:t xml:space="preserve">, Sentencias </w:t>
      </w:r>
      <w:hyperlink w:anchor="SENTENCIA_2007_110" w:history="1">
        <w:r w:rsidRPr="00CA5193">
          <w:rPr>
            <w:rStyle w:val="TextoNormalCaracter"/>
          </w:rPr>
          <w:t>110/2007</w:t>
        </w:r>
      </w:hyperlink>
      <w:r w:rsidRPr="00CA5193">
        <w:rPr>
          <w:rStyle w:val="TextoNormalCaracter"/>
        </w:rPr>
        <w:t xml:space="preserve">, f. 5; </w:t>
      </w:r>
      <w:hyperlink w:anchor="SENTENCIA_2007_156" w:history="1">
        <w:r w:rsidRPr="00CA5193">
          <w:rPr>
            <w:rStyle w:val="TextoNormalCaracter"/>
          </w:rPr>
          <w:t>156/2007</w:t>
        </w:r>
      </w:hyperlink>
      <w:r w:rsidRPr="00CA5193">
        <w:rPr>
          <w:rStyle w:val="TextoNormalCaracter"/>
        </w:rPr>
        <w:t>, ff. 5 a 7.</w:t>
      </w:r>
    </w:p>
    <w:p w:rsidR="00CA5193" w:rsidRPr="00CA5193" w:rsidRDefault="00CA5193" w:rsidP="00CA5193">
      <w:pPr>
        <w:pStyle w:val="TextoNormalSangraFrancesa"/>
        <w:rPr>
          <w:rStyle w:val="TextoNormalCaracter"/>
        </w:rPr>
      </w:pPr>
      <w:r w:rsidRPr="00CA5193">
        <w:rPr>
          <w:rStyle w:val="TextoNormalCaracter"/>
        </w:rPr>
        <w:t xml:space="preserve">    Auto </w:t>
      </w:r>
      <w:hyperlink w:anchor="AUTO_2007_315" w:history="1">
        <w:r w:rsidRPr="00CA5193">
          <w:rPr>
            <w:rStyle w:val="TextoNormalCaracter"/>
          </w:rPr>
          <w:t>315/2007</w:t>
        </w:r>
      </w:hyperlink>
      <w:r w:rsidRPr="00CA5193">
        <w:rPr>
          <w:rStyle w:val="TextoNormalCaracter"/>
        </w:rPr>
        <w:t>.</w:t>
      </w:r>
    </w:p>
    <w:p w:rsidR="00CA5193" w:rsidRPr="00CA5193" w:rsidRDefault="00CA5193" w:rsidP="00CA5193">
      <w:pPr>
        <w:pStyle w:val="TextoNormalSangraFrancesa"/>
        <w:rPr>
          <w:rStyle w:val="TextoNormalNegritaCaracter"/>
        </w:rPr>
      </w:pPr>
      <w:r w:rsidRPr="00CA5193">
        <w:rPr>
          <w:rStyle w:val="TextoNormalCursivaCaracter"/>
        </w:rPr>
        <w:t>Imposición de costas procesales</w:t>
      </w:r>
      <w:r>
        <w:t xml:space="preserve"> véase </w:t>
      </w:r>
      <w:hyperlink w:anchor="DESCRIPTORALFABETICO349" w:history="1">
        <w:r w:rsidRPr="00CA5193">
          <w:rPr>
            <w:rStyle w:val="TextoNormalNegritaCaracter"/>
          </w:rPr>
          <w:t>Condena en costas procesales</w:t>
        </w:r>
      </w:hyperlink>
    </w:p>
    <w:p w:rsidR="00CA5193" w:rsidRPr="00CA5193" w:rsidRDefault="00CA5193" w:rsidP="00CA5193">
      <w:pPr>
        <w:pStyle w:val="TextoNormalSangraFrancesa"/>
        <w:rPr>
          <w:rStyle w:val="TextoNormalCaracter"/>
        </w:rPr>
      </w:pPr>
      <w:bookmarkStart w:id="924" w:name="DESCRIPTORALFABETICO157"/>
      <w:r w:rsidRPr="00CA5193">
        <w:rPr>
          <w:rStyle w:val="TextoNormalNegritaCaracter"/>
        </w:rPr>
        <w:t>Improcedencia de condena en costas procesales en el recurso de amparo</w:t>
      </w:r>
      <w:bookmarkEnd w:id="924"/>
      <w:r w:rsidRPr="00CA5193">
        <w:rPr>
          <w:rStyle w:val="TextoNormalCaracter"/>
        </w:rPr>
        <w:t xml:space="preserve">, Auto </w:t>
      </w:r>
      <w:hyperlink w:anchor="AUTO_2007_285" w:history="1">
        <w:r w:rsidRPr="00CA5193">
          <w:rPr>
            <w:rStyle w:val="TextoNormalCaracter"/>
          </w:rPr>
          <w:t>285/2007</w:t>
        </w:r>
      </w:hyperlink>
      <w:r w:rsidRPr="00CA5193">
        <w:rPr>
          <w:rStyle w:val="TextoNormalCaracter"/>
        </w:rPr>
        <w:t>.</w:t>
      </w:r>
    </w:p>
    <w:p w:rsidR="00CA5193" w:rsidRPr="00CA5193" w:rsidRDefault="00CA5193" w:rsidP="00CA5193">
      <w:pPr>
        <w:pStyle w:val="TextoNormalSangraFrancesa"/>
        <w:rPr>
          <w:rStyle w:val="TextoNormalCaracter"/>
        </w:rPr>
      </w:pPr>
      <w:bookmarkStart w:id="925" w:name="DESCRIPTORALFABETICO166"/>
      <w:r w:rsidRPr="00CA5193">
        <w:rPr>
          <w:rStyle w:val="TextoNormalNegritaCaracter"/>
        </w:rPr>
        <w:t>Improcedencia de pronunciamiento sobre vulneraciones susceptibles de reparación judicial</w:t>
      </w:r>
      <w:bookmarkEnd w:id="925"/>
      <w:r w:rsidRPr="00CA5193">
        <w:rPr>
          <w:rStyle w:val="TextoNormalCaracter"/>
        </w:rPr>
        <w:t xml:space="preserve">, Sentencias </w:t>
      </w:r>
      <w:hyperlink w:anchor="SENTENCIA_2007_96" w:history="1">
        <w:r w:rsidRPr="00CA5193">
          <w:rPr>
            <w:rStyle w:val="TextoNormalCaracter"/>
          </w:rPr>
          <w:t>96/2007</w:t>
        </w:r>
      </w:hyperlink>
      <w:r w:rsidRPr="00CA5193">
        <w:rPr>
          <w:rStyle w:val="TextoNormalCaracter"/>
        </w:rPr>
        <w:t xml:space="preserve">, f. 2; </w:t>
      </w:r>
      <w:hyperlink w:anchor="SENTENCIA_2007_99" w:history="1">
        <w:r w:rsidRPr="00CA5193">
          <w:rPr>
            <w:rStyle w:val="TextoNormalCaracter"/>
          </w:rPr>
          <w:t>99/2007</w:t>
        </w:r>
      </w:hyperlink>
      <w:r w:rsidRPr="00CA5193">
        <w:rPr>
          <w:rStyle w:val="TextoNormalCaracter"/>
        </w:rPr>
        <w:t>, f. 2.</w:t>
      </w:r>
    </w:p>
    <w:p w:rsidR="00CA5193" w:rsidRPr="00CA5193" w:rsidRDefault="00CA5193" w:rsidP="00CA5193">
      <w:pPr>
        <w:pStyle w:val="TextoNormalSangraFrancesa"/>
        <w:rPr>
          <w:rStyle w:val="TextoNormalCaracter"/>
        </w:rPr>
      </w:pPr>
      <w:bookmarkStart w:id="926" w:name="DESCRIPTORALFABETICO2"/>
      <w:r w:rsidRPr="00CA5193">
        <w:rPr>
          <w:rStyle w:val="TextoNormalNegritaCaracter"/>
        </w:rPr>
        <w:t>Impuesto sobre el valor añadido</w:t>
      </w:r>
      <w:bookmarkEnd w:id="926"/>
      <w:r w:rsidRPr="00CA5193">
        <w:rPr>
          <w:rStyle w:val="TextoNormalCaracter"/>
        </w:rPr>
        <w:t xml:space="preserve">, Sentencia </w:t>
      </w:r>
      <w:hyperlink w:anchor="SENTENCIA_2007_144" w:history="1">
        <w:r w:rsidRPr="00CA5193">
          <w:rPr>
            <w:rStyle w:val="TextoNormalCaracter"/>
          </w:rPr>
          <w:t>144/2007</w:t>
        </w:r>
      </w:hyperlink>
      <w:r w:rsidRPr="00CA5193">
        <w:rPr>
          <w:rStyle w:val="TextoNormalCaracter"/>
        </w:rPr>
        <w:t>, ff. 1, 5.</w:t>
      </w:r>
    </w:p>
    <w:p w:rsidR="00CA5193" w:rsidRPr="00CA5193" w:rsidRDefault="00CA5193" w:rsidP="00CA5193">
      <w:pPr>
        <w:pStyle w:val="TextoNormalSangraFrancesa"/>
        <w:rPr>
          <w:rStyle w:val="TextoNormalCaracter"/>
        </w:rPr>
      </w:pPr>
      <w:bookmarkStart w:id="927" w:name="DESCRIPTORALFABETICO260"/>
      <w:r w:rsidRPr="00CA5193">
        <w:rPr>
          <w:rStyle w:val="TextoNormalNegritaCaracter"/>
        </w:rPr>
        <w:t>Impugnación de relación de puestos de trabajo</w:t>
      </w:r>
      <w:bookmarkEnd w:id="927"/>
      <w:r w:rsidRPr="00CA5193">
        <w:rPr>
          <w:rStyle w:val="TextoNormalCaracter"/>
        </w:rPr>
        <w:t xml:space="preserve">, Sentencia </w:t>
      </w:r>
      <w:hyperlink w:anchor="SENTENCIA_2007_129" w:history="1">
        <w:r w:rsidRPr="00CA5193">
          <w:rPr>
            <w:rStyle w:val="TextoNormalCaracter"/>
          </w:rPr>
          <w:t>129/2007</w:t>
        </w:r>
      </w:hyperlink>
      <w:r w:rsidRPr="00CA5193">
        <w:rPr>
          <w:rStyle w:val="TextoNormalCaracter"/>
        </w:rPr>
        <w:t>, f. 4.</w:t>
      </w:r>
    </w:p>
    <w:p w:rsidR="00CA5193" w:rsidRPr="00CA5193" w:rsidRDefault="00CA5193" w:rsidP="00CA5193">
      <w:pPr>
        <w:pStyle w:val="TextoNormalSangraFrancesa"/>
        <w:rPr>
          <w:rStyle w:val="TextoNormalCaracter"/>
        </w:rPr>
      </w:pPr>
      <w:bookmarkStart w:id="928" w:name="DESCRIPTORALFABETICO3"/>
      <w:r w:rsidRPr="00CA5193">
        <w:rPr>
          <w:rStyle w:val="TextoNormalNegritaCaracter"/>
        </w:rPr>
        <w:t>Imputación de renta de bienes inmuebles</w:t>
      </w:r>
      <w:bookmarkEnd w:id="928"/>
      <w:r w:rsidRPr="00CA5193">
        <w:rPr>
          <w:rStyle w:val="TextoNormalCaracter"/>
        </w:rPr>
        <w:t xml:space="preserve">, Sentencia </w:t>
      </w:r>
      <w:hyperlink w:anchor="SENTENCIA_2007_91" w:history="1">
        <w:r w:rsidRPr="00CA5193">
          <w:rPr>
            <w:rStyle w:val="TextoNormalCaracter"/>
          </w:rPr>
          <w:t>91/2007</w:t>
        </w:r>
      </w:hyperlink>
      <w:r w:rsidRPr="00CA5193">
        <w:rPr>
          <w:rStyle w:val="TextoNormalCaracter"/>
        </w:rPr>
        <w:t>, f. 3.</w:t>
      </w:r>
    </w:p>
    <w:p w:rsidR="00CA5193" w:rsidRPr="00CA5193" w:rsidRDefault="00CA5193" w:rsidP="00CA5193">
      <w:pPr>
        <w:pStyle w:val="TextoNormalSangraFrancesa"/>
        <w:rPr>
          <w:rStyle w:val="TextoNormalCaracter"/>
        </w:rPr>
      </w:pPr>
      <w:bookmarkStart w:id="929" w:name="DESCRIPTORALFABETICO41"/>
      <w:r w:rsidRPr="00CA5193">
        <w:rPr>
          <w:rStyle w:val="TextoNormalNegritaCaracter"/>
        </w:rPr>
        <w:t>Inadmisión a trámite de habeas corpus por razones de fondo</w:t>
      </w:r>
      <w:bookmarkEnd w:id="929"/>
      <w:r w:rsidRPr="00CA5193">
        <w:rPr>
          <w:rStyle w:val="TextoNormalCaracter"/>
        </w:rPr>
        <w:t xml:space="preserve">, Sentencia </w:t>
      </w:r>
      <w:hyperlink w:anchor="SENTENCIA_2007_165" w:history="1">
        <w:r w:rsidRPr="00CA5193">
          <w:rPr>
            <w:rStyle w:val="TextoNormalCaracter"/>
          </w:rPr>
          <w:t>165/2007</w:t>
        </w:r>
      </w:hyperlink>
      <w:r w:rsidRPr="00CA5193">
        <w:rPr>
          <w:rStyle w:val="TextoNormalCaracter"/>
        </w:rPr>
        <w:t>, ff. 4, 5.</w:t>
      </w:r>
    </w:p>
    <w:p w:rsidR="00CA5193" w:rsidRPr="00CA5193" w:rsidRDefault="00CA5193" w:rsidP="00CA5193">
      <w:pPr>
        <w:pStyle w:val="TextoNormalSangraFrancesa"/>
        <w:rPr>
          <w:rStyle w:val="TextoNormalCaracter"/>
        </w:rPr>
      </w:pPr>
      <w:bookmarkStart w:id="930" w:name="DESCRIPTORALFABETICO146"/>
      <w:r w:rsidRPr="00CA5193">
        <w:rPr>
          <w:rStyle w:val="TextoNormalNegritaCaracter"/>
        </w:rPr>
        <w:t>Inadmisión de cuestión de inconstitucionalidad</w:t>
      </w:r>
      <w:bookmarkEnd w:id="930"/>
      <w:r w:rsidRPr="00CA5193">
        <w:rPr>
          <w:rStyle w:val="TextoNormalCaracter"/>
        </w:rPr>
        <w:t xml:space="preserve">, Sentencia </w:t>
      </w:r>
      <w:hyperlink w:anchor="SENTENCIA_2007_166" w:history="1">
        <w:r w:rsidRPr="00CA5193">
          <w:rPr>
            <w:rStyle w:val="TextoNormalCaracter"/>
          </w:rPr>
          <w:t>166/2007</w:t>
        </w:r>
      </w:hyperlink>
      <w:r w:rsidRPr="00CA5193">
        <w:rPr>
          <w:rStyle w:val="TextoNormalCaracter"/>
        </w:rPr>
        <w:t>, f. 7.</w:t>
      </w:r>
    </w:p>
    <w:p w:rsidR="00CA5193" w:rsidRPr="00CA5193" w:rsidRDefault="00CA5193" w:rsidP="00CA5193">
      <w:pPr>
        <w:pStyle w:val="TextoNormalSangraFrancesa"/>
        <w:rPr>
          <w:rStyle w:val="TextoNormalCaracter"/>
        </w:rPr>
      </w:pPr>
      <w:r w:rsidRPr="00CA5193">
        <w:rPr>
          <w:rStyle w:val="TextoNormalCaracter"/>
        </w:rPr>
        <w:t xml:space="preserve">    Auto </w:t>
      </w:r>
      <w:hyperlink w:anchor="AUTO_2007_247" w:history="1">
        <w:r w:rsidRPr="00CA5193">
          <w:rPr>
            <w:rStyle w:val="TextoNormalCaracter"/>
          </w:rPr>
          <w:t>247/2007</w:t>
        </w:r>
      </w:hyperlink>
      <w:r w:rsidRPr="00CA5193">
        <w:rPr>
          <w:rStyle w:val="TextoNormalCaracter"/>
        </w:rPr>
        <w:t>.</w:t>
      </w:r>
    </w:p>
    <w:p w:rsidR="00CA5193" w:rsidRPr="00CA5193" w:rsidRDefault="00CA5193" w:rsidP="00CA5193">
      <w:pPr>
        <w:pStyle w:val="TextoNormalSangraFrancesa"/>
        <w:rPr>
          <w:rStyle w:val="TextoNormalCaracter"/>
        </w:rPr>
      </w:pPr>
      <w:bookmarkStart w:id="931" w:name="DESCRIPTORALFABETICO435"/>
      <w:r w:rsidRPr="00CA5193">
        <w:rPr>
          <w:rStyle w:val="TextoNormalNegritaCaracter"/>
        </w:rPr>
        <w:t>Inadmisión de recurso contencioso-administrativo</w:t>
      </w:r>
      <w:bookmarkEnd w:id="931"/>
      <w:r w:rsidRPr="00CA5193">
        <w:rPr>
          <w:rStyle w:val="TextoNormalCaracter"/>
        </w:rPr>
        <w:t xml:space="preserve">, Sentencia </w:t>
      </w:r>
      <w:hyperlink w:anchor="SENTENCIA_2007_133" w:history="1">
        <w:r w:rsidRPr="00CA5193">
          <w:rPr>
            <w:rStyle w:val="TextoNormalCaracter"/>
          </w:rPr>
          <w:t>133/2007</w:t>
        </w:r>
      </w:hyperlink>
      <w:r w:rsidRPr="00CA5193">
        <w:rPr>
          <w:rStyle w:val="TextoNormalCaracter"/>
        </w:rPr>
        <w:t>, f. 2.</w:t>
      </w:r>
    </w:p>
    <w:p w:rsidR="00CA5193" w:rsidRPr="00CA5193" w:rsidRDefault="00CA5193" w:rsidP="00CA5193">
      <w:pPr>
        <w:pStyle w:val="TextoNormalSangraFrancesa"/>
        <w:rPr>
          <w:rStyle w:val="TextoNormalCaracter"/>
        </w:rPr>
      </w:pPr>
      <w:bookmarkStart w:id="932" w:name="DESCRIPTORALFABETICO436"/>
      <w:r w:rsidRPr="00CA5193">
        <w:rPr>
          <w:rStyle w:val="TextoNormalNegritaCaracter"/>
        </w:rPr>
        <w:t>Inadmisión de recurso contencioso-administrativo por extemporaneidad</w:t>
      </w:r>
      <w:bookmarkEnd w:id="932"/>
      <w:r w:rsidRPr="00CA5193">
        <w:rPr>
          <w:rStyle w:val="TextoNormalCaracter"/>
        </w:rPr>
        <w:t xml:space="preserve">, Sentencias </w:t>
      </w:r>
      <w:hyperlink w:anchor="SENTENCIA_2007_130" w:history="1">
        <w:r w:rsidRPr="00CA5193">
          <w:rPr>
            <w:rStyle w:val="TextoNormalCaracter"/>
          </w:rPr>
          <w:t>130/2007</w:t>
        </w:r>
      </w:hyperlink>
      <w:r w:rsidRPr="00CA5193">
        <w:rPr>
          <w:rStyle w:val="TextoNormalCaracter"/>
        </w:rPr>
        <w:t xml:space="preserve">, f. 4; </w:t>
      </w:r>
      <w:hyperlink w:anchor="SENTENCIA_2007_131" w:history="1">
        <w:r w:rsidRPr="00CA5193">
          <w:rPr>
            <w:rStyle w:val="TextoNormalCaracter"/>
          </w:rPr>
          <w:t>131/2007</w:t>
        </w:r>
      </w:hyperlink>
      <w:r w:rsidRPr="00CA5193">
        <w:rPr>
          <w:rStyle w:val="TextoNormalCaracter"/>
        </w:rPr>
        <w:t xml:space="preserve">, f. 2; </w:t>
      </w:r>
      <w:hyperlink w:anchor="SENTENCIA_2007_148" w:history="1">
        <w:r w:rsidRPr="00CA5193">
          <w:rPr>
            <w:rStyle w:val="TextoNormalCaracter"/>
          </w:rPr>
          <w:t>148/2007</w:t>
        </w:r>
      </w:hyperlink>
      <w:r w:rsidRPr="00CA5193">
        <w:rPr>
          <w:rStyle w:val="TextoNormalCaracter"/>
        </w:rPr>
        <w:t xml:space="preserve">, ff. 2, 3; </w:t>
      </w:r>
      <w:hyperlink w:anchor="SENTENCIA_2007_159" w:history="1">
        <w:r w:rsidRPr="00CA5193">
          <w:rPr>
            <w:rStyle w:val="TextoNormalCaracter"/>
          </w:rPr>
          <w:t>159/2007</w:t>
        </w:r>
      </w:hyperlink>
      <w:r w:rsidRPr="00CA5193">
        <w:rPr>
          <w:rStyle w:val="TextoNormalCaracter"/>
        </w:rPr>
        <w:t xml:space="preserve">, ff. 2, 3; </w:t>
      </w:r>
      <w:hyperlink w:anchor="SENTENCIA_2007_173" w:history="1">
        <w:r w:rsidRPr="00CA5193">
          <w:rPr>
            <w:rStyle w:val="TextoNormalCaracter"/>
          </w:rPr>
          <w:t>173/2007</w:t>
        </w:r>
      </w:hyperlink>
      <w:r w:rsidRPr="00CA5193">
        <w:rPr>
          <w:rStyle w:val="TextoNormalCaracter"/>
        </w:rPr>
        <w:t>, f. 4.</w:t>
      </w:r>
    </w:p>
    <w:p w:rsidR="00CA5193" w:rsidRPr="00CA5193" w:rsidRDefault="00CA5193" w:rsidP="00CA5193">
      <w:pPr>
        <w:pStyle w:val="TextoNormalSangraFrancesa"/>
        <w:rPr>
          <w:rStyle w:val="TextoNormalCaracter"/>
        </w:rPr>
      </w:pPr>
      <w:bookmarkStart w:id="933" w:name="DESCRIPTORALFABETICO175"/>
      <w:r w:rsidRPr="00CA5193">
        <w:rPr>
          <w:rStyle w:val="TextoNormalNegritaCaracter"/>
        </w:rPr>
        <w:t>Inadmisión de recurso de amparo</w:t>
      </w:r>
      <w:bookmarkEnd w:id="933"/>
      <w:r w:rsidRPr="00CA5193">
        <w:rPr>
          <w:rStyle w:val="TextoNormalCaracter"/>
        </w:rPr>
        <w:t xml:space="preserve">, Sentencias </w:t>
      </w:r>
      <w:hyperlink w:anchor="SENTENCIA_2007_101" w:history="1">
        <w:r w:rsidRPr="00CA5193">
          <w:rPr>
            <w:rStyle w:val="TextoNormalCaracter"/>
          </w:rPr>
          <w:t>101/2007</w:t>
        </w:r>
      </w:hyperlink>
      <w:r w:rsidRPr="00CA5193">
        <w:rPr>
          <w:rStyle w:val="TextoNormalCaracter"/>
        </w:rPr>
        <w:t xml:space="preserve">, f. 5; </w:t>
      </w:r>
      <w:hyperlink w:anchor="SENTENCIA_2007_102" w:history="1">
        <w:r w:rsidRPr="00CA5193">
          <w:rPr>
            <w:rStyle w:val="TextoNormalCaracter"/>
          </w:rPr>
          <w:t>102/2007</w:t>
        </w:r>
      </w:hyperlink>
      <w:r w:rsidRPr="00CA5193">
        <w:rPr>
          <w:rStyle w:val="TextoNormalCaracter"/>
        </w:rPr>
        <w:t xml:space="preserve">, f. 2; </w:t>
      </w:r>
      <w:hyperlink w:anchor="SENTENCIA_2007_174" w:history="1">
        <w:r w:rsidRPr="00CA5193">
          <w:rPr>
            <w:rStyle w:val="TextoNormalCaracter"/>
          </w:rPr>
          <w:t>174/2007</w:t>
        </w:r>
      </w:hyperlink>
      <w:r w:rsidRPr="00CA5193">
        <w:rPr>
          <w:rStyle w:val="TextoNormalCaracter"/>
        </w:rPr>
        <w:t>, f. único.</w:t>
      </w:r>
    </w:p>
    <w:p w:rsidR="00CA5193" w:rsidRPr="00CA5193" w:rsidRDefault="00CA5193" w:rsidP="00CA5193">
      <w:pPr>
        <w:pStyle w:val="TextoNormalSangraFrancesa"/>
        <w:rPr>
          <w:rStyle w:val="TextoNormalCaracter"/>
        </w:rPr>
      </w:pPr>
      <w:r w:rsidRPr="00CA5193">
        <w:rPr>
          <w:rStyle w:val="TextoNormalCaracter"/>
        </w:rPr>
        <w:t xml:space="preserve">    Autos </w:t>
      </w:r>
      <w:hyperlink w:anchor="AUTO_2007_231" w:history="1">
        <w:r w:rsidRPr="00CA5193">
          <w:rPr>
            <w:rStyle w:val="TextoNormalCaracter"/>
          </w:rPr>
          <w:t>231/2007</w:t>
        </w:r>
      </w:hyperlink>
      <w:r w:rsidRPr="00CA5193">
        <w:rPr>
          <w:rStyle w:val="TextoNormalCaracter"/>
        </w:rPr>
        <w:t xml:space="preserve">; </w:t>
      </w:r>
      <w:hyperlink w:anchor="AUTO_2007_262" w:history="1">
        <w:r w:rsidRPr="00CA5193">
          <w:rPr>
            <w:rStyle w:val="TextoNormalCaracter"/>
          </w:rPr>
          <w:t>262/2007</w:t>
        </w:r>
      </w:hyperlink>
      <w:r w:rsidRPr="00CA5193">
        <w:rPr>
          <w:rStyle w:val="TextoNormalCaracter"/>
        </w:rPr>
        <w:t xml:space="preserve">; </w:t>
      </w:r>
      <w:hyperlink w:anchor="AUTO_2007_271" w:history="1">
        <w:r w:rsidRPr="00CA5193">
          <w:rPr>
            <w:rStyle w:val="TextoNormalCaracter"/>
          </w:rPr>
          <w:t>271/2007</w:t>
        </w:r>
      </w:hyperlink>
      <w:r w:rsidRPr="00CA5193">
        <w:rPr>
          <w:rStyle w:val="TextoNormalCaracter"/>
        </w:rPr>
        <w:t xml:space="preserve">; </w:t>
      </w:r>
      <w:hyperlink w:anchor="AUTO_2007_316" w:history="1">
        <w:r w:rsidRPr="00CA5193">
          <w:rPr>
            <w:rStyle w:val="TextoNormalCaracter"/>
          </w:rPr>
          <w:t>316/2007</w:t>
        </w:r>
      </w:hyperlink>
      <w:r w:rsidRPr="00CA5193">
        <w:rPr>
          <w:rStyle w:val="TextoNormalCaracter"/>
        </w:rPr>
        <w:t xml:space="preserve">; </w:t>
      </w:r>
      <w:hyperlink w:anchor="AUTO_2007_317" w:history="1">
        <w:r w:rsidRPr="00CA5193">
          <w:rPr>
            <w:rStyle w:val="TextoNormalCaracter"/>
          </w:rPr>
          <w:t>317/2007</w:t>
        </w:r>
      </w:hyperlink>
      <w:r w:rsidRPr="00CA5193">
        <w:rPr>
          <w:rStyle w:val="TextoNormalCaracter"/>
        </w:rPr>
        <w:t>.</w:t>
      </w:r>
    </w:p>
    <w:p w:rsidR="00CA5193" w:rsidRPr="00CA5193" w:rsidRDefault="00CA5193" w:rsidP="00CA5193">
      <w:pPr>
        <w:pStyle w:val="TextoNormalSangraFrancesa"/>
        <w:rPr>
          <w:rStyle w:val="TextoNormalCaracter"/>
        </w:rPr>
      </w:pPr>
      <w:bookmarkStart w:id="934" w:name="DESCRIPTORALFABETICO177"/>
      <w:r w:rsidRPr="00CA5193">
        <w:rPr>
          <w:rStyle w:val="TextoNormalNegritaCaracter"/>
        </w:rPr>
        <w:t>Inadmisión de recurso de amparo por providencia</w:t>
      </w:r>
      <w:bookmarkEnd w:id="934"/>
      <w:r w:rsidRPr="00CA5193">
        <w:rPr>
          <w:rStyle w:val="TextoNormalCaracter"/>
        </w:rPr>
        <w:t xml:space="preserve">, Auto </w:t>
      </w:r>
      <w:hyperlink w:anchor="AUTO_2007_260" w:history="1">
        <w:r w:rsidRPr="00CA5193">
          <w:rPr>
            <w:rStyle w:val="TextoNormalCaracter"/>
          </w:rPr>
          <w:t>260/2007</w:t>
        </w:r>
      </w:hyperlink>
      <w:r w:rsidRPr="00CA5193">
        <w:rPr>
          <w:rStyle w:val="TextoNormalCaracter"/>
        </w:rPr>
        <w:t>.</w:t>
      </w:r>
    </w:p>
    <w:p w:rsidR="00CA5193" w:rsidRPr="00CA5193" w:rsidRDefault="00CA5193" w:rsidP="00CA5193">
      <w:pPr>
        <w:pStyle w:val="TextoNormalSangraFrancesa"/>
        <w:rPr>
          <w:rStyle w:val="TextoNormalCaracter"/>
        </w:rPr>
      </w:pPr>
      <w:bookmarkStart w:id="935" w:name="DESCRIPTORALFABETICO466"/>
      <w:r w:rsidRPr="00CA5193">
        <w:rPr>
          <w:rStyle w:val="TextoNormalNegritaCaracter"/>
        </w:rPr>
        <w:t>Inadmisión de recurso de apelación en juicio de faltas por extemporaneidad</w:t>
      </w:r>
      <w:bookmarkEnd w:id="935"/>
      <w:r w:rsidRPr="00CA5193">
        <w:rPr>
          <w:rStyle w:val="TextoNormalCaracter"/>
        </w:rPr>
        <w:t xml:space="preserve">, Sentencia </w:t>
      </w:r>
      <w:hyperlink w:anchor="SENTENCIA_2007_122" w:history="1">
        <w:r w:rsidRPr="00CA5193">
          <w:rPr>
            <w:rStyle w:val="TextoNormalCaracter"/>
          </w:rPr>
          <w:t>122/2007</w:t>
        </w:r>
      </w:hyperlink>
      <w:r w:rsidRPr="00CA5193">
        <w:rPr>
          <w:rStyle w:val="TextoNormalCaracter"/>
        </w:rPr>
        <w:t>, ff. 4, 6.</w:t>
      </w:r>
    </w:p>
    <w:p w:rsidR="00CA5193" w:rsidRPr="00CA5193" w:rsidRDefault="00CA5193" w:rsidP="00CA5193">
      <w:pPr>
        <w:pStyle w:val="TextoNormalSangraFrancesa"/>
        <w:rPr>
          <w:rStyle w:val="TextoNormalCaracter"/>
        </w:rPr>
      </w:pPr>
      <w:bookmarkStart w:id="936" w:name="DESCRIPTORALFABETICO433"/>
      <w:r w:rsidRPr="00CA5193">
        <w:rPr>
          <w:rStyle w:val="TextoNormalNegritaCaracter"/>
        </w:rPr>
        <w:t>Inadmisión de recurso de casación civil</w:t>
      </w:r>
      <w:bookmarkEnd w:id="936"/>
      <w:r w:rsidRPr="00CA5193">
        <w:rPr>
          <w:rStyle w:val="TextoNormalCaracter"/>
        </w:rPr>
        <w:t xml:space="preserve">, Auto </w:t>
      </w:r>
      <w:hyperlink w:anchor="AUTO_2007_282" w:history="1">
        <w:r w:rsidRPr="00CA5193">
          <w:rPr>
            <w:rStyle w:val="TextoNormalCaracter"/>
          </w:rPr>
          <w:t>282/2007</w:t>
        </w:r>
      </w:hyperlink>
      <w:r w:rsidRPr="00CA5193">
        <w:rPr>
          <w:rStyle w:val="TextoNormalCaracter"/>
        </w:rPr>
        <w:t>.</w:t>
      </w:r>
    </w:p>
    <w:p w:rsidR="00CA5193" w:rsidRPr="00CA5193" w:rsidRDefault="00CA5193" w:rsidP="00CA5193">
      <w:pPr>
        <w:pStyle w:val="TextoNormalSangraFrancesa"/>
        <w:rPr>
          <w:rStyle w:val="TextoNormalCaracter"/>
        </w:rPr>
      </w:pPr>
      <w:bookmarkStart w:id="937" w:name="DESCRIPTORALFABETICO420"/>
      <w:r w:rsidRPr="00CA5193">
        <w:rPr>
          <w:rStyle w:val="TextoNormalNegritaCaracter"/>
        </w:rPr>
        <w:t>Inadmisión de recurso de reforma</w:t>
      </w:r>
      <w:bookmarkEnd w:id="937"/>
      <w:r w:rsidRPr="00CA5193">
        <w:rPr>
          <w:rStyle w:val="TextoNormalCaracter"/>
        </w:rPr>
        <w:t xml:space="preserve">, Sentencia </w:t>
      </w:r>
      <w:hyperlink w:anchor="SENTENCIA_2007_124" w:history="1">
        <w:r w:rsidRPr="00CA5193">
          <w:rPr>
            <w:rStyle w:val="TextoNormalCaracter"/>
          </w:rPr>
          <w:t>124/2007</w:t>
        </w:r>
      </w:hyperlink>
      <w:r w:rsidRPr="00CA5193">
        <w:rPr>
          <w:rStyle w:val="TextoNormalCaracter"/>
        </w:rPr>
        <w:t>, f. 2.</w:t>
      </w:r>
    </w:p>
    <w:p w:rsidR="00CA5193" w:rsidRPr="00CA5193" w:rsidRDefault="00CA5193" w:rsidP="00CA5193">
      <w:pPr>
        <w:pStyle w:val="TextoNormalSangraFrancesa"/>
        <w:rPr>
          <w:rStyle w:val="TextoNormalCaracter"/>
        </w:rPr>
      </w:pPr>
      <w:bookmarkStart w:id="938" w:name="DESCRIPTORALFABETICO413"/>
      <w:r w:rsidRPr="00CA5193">
        <w:rPr>
          <w:rStyle w:val="TextoNormalNegritaCaracter"/>
        </w:rPr>
        <w:t>Inadmisión por falta de requisitos procesales</w:t>
      </w:r>
      <w:bookmarkEnd w:id="938"/>
      <w:r w:rsidRPr="00CA5193">
        <w:rPr>
          <w:rStyle w:val="TextoNormalCaracter"/>
        </w:rPr>
        <w:t xml:space="preserve">, Sentencia </w:t>
      </w:r>
      <w:hyperlink w:anchor="SENTENCIA_2007_93" w:history="1">
        <w:r w:rsidRPr="00CA5193">
          <w:rPr>
            <w:rStyle w:val="TextoNormalCaracter"/>
          </w:rPr>
          <w:t>93/2007</w:t>
        </w:r>
      </w:hyperlink>
      <w:r w:rsidRPr="00CA5193">
        <w:rPr>
          <w:rStyle w:val="TextoNormalCaracter"/>
        </w:rPr>
        <w:t>, f. 3.</w:t>
      </w:r>
    </w:p>
    <w:p w:rsidR="00CA5193" w:rsidRPr="00CA5193" w:rsidRDefault="00CA5193" w:rsidP="00CA5193">
      <w:pPr>
        <w:pStyle w:val="TextoNormalSangraFrancesa"/>
        <w:rPr>
          <w:rStyle w:val="TextoNormalCaracter"/>
        </w:rPr>
      </w:pPr>
      <w:bookmarkStart w:id="939" w:name="DESCRIPTORALFABETICO389"/>
      <w:r w:rsidRPr="00CA5193">
        <w:rPr>
          <w:rStyle w:val="TextoNormalNegritaCaracter"/>
        </w:rPr>
        <w:lastRenderedPageBreak/>
        <w:t>Incidente de nulidad de actuaciones</w:t>
      </w:r>
      <w:bookmarkEnd w:id="939"/>
      <w:r w:rsidRPr="00CA5193">
        <w:rPr>
          <w:rStyle w:val="TextoNormalCaracter"/>
        </w:rPr>
        <w:t xml:space="preserve">, Sentencias </w:t>
      </w:r>
      <w:hyperlink w:anchor="SENTENCIA_2007_124" w:history="1">
        <w:r w:rsidRPr="00CA5193">
          <w:rPr>
            <w:rStyle w:val="TextoNormalCaracter"/>
          </w:rPr>
          <w:t>124/2007</w:t>
        </w:r>
      </w:hyperlink>
      <w:r w:rsidRPr="00CA5193">
        <w:rPr>
          <w:rStyle w:val="TextoNormalCaracter"/>
        </w:rPr>
        <w:t xml:space="preserve">, f. 3; </w:t>
      </w:r>
      <w:hyperlink w:anchor="SENTENCIA_2007_132" w:history="1">
        <w:r w:rsidRPr="00CA5193">
          <w:rPr>
            <w:rStyle w:val="TextoNormalCaracter"/>
          </w:rPr>
          <w:t>132/2007</w:t>
        </w:r>
      </w:hyperlink>
      <w:r w:rsidRPr="00CA5193">
        <w:rPr>
          <w:rStyle w:val="TextoNormalCaracter"/>
        </w:rPr>
        <w:t xml:space="preserve">, f. 3; </w:t>
      </w:r>
      <w:hyperlink w:anchor="SENTENCIA_2007_135" w:history="1">
        <w:r w:rsidRPr="00CA5193">
          <w:rPr>
            <w:rStyle w:val="TextoNormalCaracter"/>
          </w:rPr>
          <w:t>135/2007</w:t>
        </w:r>
      </w:hyperlink>
      <w:r w:rsidRPr="00CA5193">
        <w:rPr>
          <w:rStyle w:val="TextoNormalCaracter"/>
        </w:rPr>
        <w:t xml:space="preserve">, ff. 4, 5; </w:t>
      </w:r>
      <w:hyperlink w:anchor="SENTENCIA_2007_144" w:history="1">
        <w:r w:rsidRPr="00CA5193">
          <w:rPr>
            <w:rStyle w:val="TextoNormalCaracter"/>
          </w:rPr>
          <w:t>144/2007</w:t>
        </w:r>
      </w:hyperlink>
      <w:r w:rsidRPr="00CA5193">
        <w:rPr>
          <w:rStyle w:val="TextoNormalCaracter"/>
        </w:rPr>
        <w:t>, ff. 1 a 3.</w:t>
      </w:r>
    </w:p>
    <w:p w:rsidR="00CA5193" w:rsidRPr="00CA5193" w:rsidRDefault="00CA5193" w:rsidP="00CA5193">
      <w:pPr>
        <w:pStyle w:val="TextoNormalSangraFrancesa"/>
        <w:rPr>
          <w:rStyle w:val="TextoNormalCaracter"/>
        </w:rPr>
      </w:pPr>
      <w:r w:rsidRPr="00CA5193">
        <w:rPr>
          <w:rStyle w:val="TextoNormalCaracter"/>
        </w:rPr>
        <w:t xml:space="preserve">    Auto </w:t>
      </w:r>
      <w:hyperlink w:anchor="AUTO_2007_278" w:history="1">
        <w:r w:rsidRPr="00CA5193">
          <w:rPr>
            <w:rStyle w:val="TextoNormalCaracter"/>
          </w:rPr>
          <w:t>278/2007</w:t>
        </w:r>
      </w:hyperlink>
      <w:r w:rsidRPr="00CA5193">
        <w:rPr>
          <w:rStyle w:val="TextoNormalCaracter"/>
        </w:rPr>
        <w:t>.</w:t>
      </w:r>
    </w:p>
    <w:p w:rsidR="00CA5193" w:rsidRPr="00CA5193" w:rsidRDefault="00CA5193" w:rsidP="00CA5193">
      <w:pPr>
        <w:pStyle w:val="TextoNormalSangraFrancesa"/>
        <w:rPr>
          <w:rStyle w:val="TextoNormalCaracter"/>
        </w:rPr>
      </w:pPr>
      <w:bookmarkStart w:id="940" w:name="DESCRIPTORALFABETICO391"/>
      <w:r w:rsidRPr="00CA5193">
        <w:rPr>
          <w:rStyle w:val="TextoNormalNegritaCaracter"/>
        </w:rPr>
        <w:t>Incidente de nulidad de actuaciones exigible</w:t>
      </w:r>
      <w:bookmarkEnd w:id="940"/>
      <w:r w:rsidRPr="00CA5193">
        <w:rPr>
          <w:rStyle w:val="TextoNormalCaracter"/>
        </w:rPr>
        <w:t xml:space="preserve">, Auto </w:t>
      </w:r>
      <w:hyperlink w:anchor="AUTO_2007_265" w:history="1">
        <w:r w:rsidRPr="00CA5193">
          <w:rPr>
            <w:rStyle w:val="TextoNormalCaracter"/>
          </w:rPr>
          <w:t>265/2007</w:t>
        </w:r>
      </w:hyperlink>
      <w:r w:rsidRPr="00CA5193">
        <w:rPr>
          <w:rStyle w:val="TextoNormalCaracter"/>
        </w:rPr>
        <w:t>.</w:t>
      </w:r>
    </w:p>
    <w:p w:rsidR="00CA5193" w:rsidRPr="00CA5193" w:rsidRDefault="00CA5193" w:rsidP="00CA5193">
      <w:pPr>
        <w:pStyle w:val="TextoNormalSangraFrancesa"/>
        <w:rPr>
          <w:rStyle w:val="TextoNormalCaracter"/>
        </w:rPr>
      </w:pPr>
      <w:bookmarkStart w:id="941" w:name="DESCRIPTORALFABETICO392"/>
      <w:r w:rsidRPr="00CA5193">
        <w:rPr>
          <w:rStyle w:val="TextoNormalNegritaCaracter"/>
        </w:rPr>
        <w:t>Incidente de nulidad de actuaciones no exigible</w:t>
      </w:r>
      <w:bookmarkEnd w:id="941"/>
      <w:r w:rsidRPr="00CA5193">
        <w:rPr>
          <w:rStyle w:val="TextoNormalCaracter"/>
        </w:rPr>
        <w:t xml:space="preserve">, Sentencia </w:t>
      </w:r>
      <w:hyperlink w:anchor="SENTENCIA_2007_96" w:history="1">
        <w:r w:rsidRPr="00CA5193">
          <w:rPr>
            <w:rStyle w:val="TextoNormalCaracter"/>
          </w:rPr>
          <w:t>96/2007</w:t>
        </w:r>
      </w:hyperlink>
      <w:r w:rsidRPr="00CA5193">
        <w:rPr>
          <w:rStyle w:val="TextoNormalCaracter"/>
        </w:rPr>
        <w:t>, f. 3.</w:t>
      </w:r>
    </w:p>
    <w:p w:rsidR="00CA5193" w:rsidRPr="00CA5193" w:rsidRDefault="00CA5193" w:rsidP="00CA5193">
      <w:pPr>
        <w:pStyle w:val="TextoNormalSangraFrancesa"/>
        <w:rPr>
          <w:rStyle w:val="TextoNormalCaracter"/>
        </w:rPr>
      </w:pPr>
      <w:bookmarkStart w:id="942" w:name="DESCRIPTORALFABETICO393"/>
      <w:r w:rsidRPr="00CA5193">
        <w:rPr>
          <w:rStyle w:val="TextoNormalNegritaCaracter"/>
        </w:rPr>
        <w:t>Incidente de nulidad de actuaciones no manifiestamente improcedente</w:t>
      </w:r>
      <w:bookmarkEnd w:id="942"/>
      <w:r w:rsidRPr="00CA5193">
        <w:rPr>
          <w:rStyle w:val="TextoNormalCaracter"/>
        </w:rPr>
        <w:t xml:space="preserve">, Sentencias </w:t>
      </w:r>
      <w:hyperlink w:anchor="SENTENCIA_2007_124" w:history="1">
        <w:r w:rsidRPr="00CA5193">
          <w:rPr>
            <w:rStyle w:val="TextoNormalCaracter"/>
          </w:rPr>
          <w:t>124/2007</w:t>
        </w:r>
      </w:hyperlink>
      <w:r w:rsidRPr="00CA5193">
        <w:rPr>
          <w:rStyle w:val="TextoNormalCaracter"/>
        </w:rPr>
        <w:t xml:space="preserve">, f. 3; </w:t>
      </w:r>
      <w:hyperlink w:anchor="SENTENCIA_2007_135" w:history="1">
        <w:r w:rsidRPr="00CA5193">
          <w:rPr>
            <w:rStyle w:val="TextoNormalCaracter"/>
          </w:rPr>
          <w:t>135/2007</w:t>
        </w:r>
      </w:hyperlink>
      <w:r w:rsidRPr="00CA5193">
        <w:rPr>
          <w:rStyle w:val="TextoNormalCaracter"/>
        </w:rPr>
        <w:t xml:space="preserve">, ff. 4, 5; </w:t>
      </w:r>
      <w:hyperlink w:anchor="SENTENCIA_2007_143" w:history="1">
        <w:r w:rsidRPr="00CA5193">
          <w:rPr>
            <w:rStyle w:val="TextoNormalCaracter"/>
          </w:rPr>
          <w:t>143/2007</w:t>
        </w:r>
      </w:hyperlink>
      <w:r w:rsidRPr="00CA5193">
        <w:rPr>
          <w:rStyle w:val="TextoNormalCaracter"/>
        </w:rPr>
        <w:t>, f. 2.</w:t>
      </w:r>
    </w:p>
    <w:p w:rsidR="00CA5193" w:rsidRPr="00CA5193" w:rsidRDefault="00CA5193" w:rsidP="00CA5193">
      <w:pPr>
        <w:pStyle w:val="TextoNormalSangraFrancesa"/>
        <w:rPr>
          <w:rStyle w:val="TextoNormalCaracter"/>
        </w:rPr>
      </w:pPr>
      <w:bookmarkStart w:id="943" w:name="DESCRIPTORALFABETICO174"/>
      <w:r w:rsidRPr="00CA5193">
        <w:rPr>
          <w:rStyle w:val="TextoNormalNegritaCaracter"/>
        </w:rPr>
        <w:t>Incidente de nulidad de actuaciones pendiente</w:t>
      </w:r>
      <w:bookmarkEnd w:id="943"/>
      <w:r w:rsidRPr="00CA5193">
        <w:rPr>
          <w:rStyle w:val="TextoNormalCaracter"/>
        </w:rPr>
        <w:t xml:space="preserve">, Auto </w:t>
      </w:r>
      <w:hyperlink w:anchor="AUTO_2007_256" w:history="1">
        <w:r w:rsidRPr="00CA5193">
          <w:rPr>
            <w:rStyle w:val="TextoNormalCaracter"/>
          </w:rPr>
          <w:t>256/2007</w:t>
        </w:r>
      </w:hyperlink>
      <w:r w:rsidRPr="00CA5193">
        <w:rPr>
          <w:rStyle w:val="TextoNormalCaracter"/>
        </w:rPr>
        <w:t>.</w:t>
      </w:r>
    </w:p>
    <w:p w:rsidR="00CA5193" w:rsidRPr="00CA5193" w:rsidRDefault="00CA5193" w:rsidP="00CA5193">
      <w:pPr>
        <w:pStyle w:val="TextoNormalSangraFrancesa"/>
        <w:rPr>
          <w:rStyle w:val="TextoNormalCaracter"/>
        </w:rPr>
      </w:pPr>
      <w:bookmarkStart w:id="944" w:name="DESCRIPTORALFABETICO59"/>
      <w:r w:rsidRPr="00CA5193">
        <w:rPr>
          <w:rStyle w:val="TextoNormalNegritaCaracter"/>
        </w:rPr>
        <w:t>Incongruencia de las resoluciones judiciales</w:t>
      </w:r>
      <w:bookmarkEnd w:id="944"/>
      <w:r w:rsidRPr="00CA5193">
        <w:rPr>
          <w:rStyle w:val="TextoNormalCaracter"/>
        </w:rPr>
        <w:t xml:space="preserve">, Sentencia </w:t>
      </w:r>
      <w:hyperlink w:anchor="SENTENCIA_2007_124" w:history="1">
        <w:r w:rsidRPr="00CA5193">
          <w:rPr>
            <w:rStyle w:val="TextoNormalCaracter"/>
          </w:rPr>
          <w:t>124/2007</w:t>
        </w:r>
      </w:hyperlink>
      <w:r w:rsidRPr="00CA5193">
        <w:rPr>
          <w:rStyle w:val="TextoNormalCaracter"/>
        </w:rPr>
        <w:t>, f. 3.</w:t>
      </w:r>
    </w:p>
    <w:p w:rsidR="00CA5193" w:rsidRPr="00CA5193" w:rsidRDefault="00CA5193" w:rsidP="00CA5193">
      <w:pPr>
        <w:pStyle w:val="TextoNormalSangraFrancesa"/>
        <w:rPr>
          <w:rStyle w:val="TextoNormalCaracter"/>
        </w:rPr>
      </w:pPr>
      <w:bookmarkStart w:id="945" w:name="DESCRIPTORALFABETICO60"/>
      <w:r w:rsidRPr="00CA5193">
        <w:rPr>
          <w:rStyle w:val="TextoNormalNegritaCaracter"/>
        </w:rPr>
        <w:t>Incongruencia de las sentencias</w:t>
      </w:r>
      <w:bookmarkEnd w:id="945"/>
      <w:r w:rsidRPr="00CA5193">
        <w:rPr>
          <w:rStyle w:val="TextoNormalCaracter"/>
        </w:rPr>
        <w:t xml:space="preserve">, Sentencias </w:t>
      </w:r>
      <w:hyperlink w:anchor="SENTENCIA_2007_123" w:history="1">
        <w:r w:rsidRPr="00CA5193">
          <w:rPr>
            <w:rStyle w:val="TextoNormalCaracter"/>
          </w:rPr>
          <w:t>123/2007</w:t>
        </w:r>
      </w:hyperlink>
      <w:r w:rsidRPr="00CA5193">
        <w:rPr>
          <w:rStyle w:val="TextoNormalCaracter"/>
        </w:rPr>
        <w:t xml:space="preserve">, f. 3; </w:t>
      </w:r>
      <w:hyperlink w:anchor="SENTENCIA_2007_135" w:history="1">
        <w:r w:rsidRPr="00CA5193">
          <w:rPr>
            <w:rStyle w:val="TextoNormalCaracter"/>
          </w:rPr>
          <w:t>135/2007</w:t>
        </w:r>
      </w:hyperlink>
      <w:r w:rsidRPr="00CA5193">
        <w:rPr>
          <w:rStyle w:val="TextoNormalCaracter"/>
        </w:rPr>
        <w:t xml:space="preserve">, f. 6; </w:t>
      </w:r>
      <w:hyperlink w:anchor="SENTENCIA_2007_144" w:history="1">
        <w:r w:rsidRPr="00CA5193">
          <w:rPr>
            <w:rStyle w:val="TextoNormalCaracter"/>
          </w:rPr>
          <w:t>144/2007</w:t>
        </w:r>
      </w:hyperlink>
      <w:r w:rsidRPr="00CA5193">
        <w:rPr>
          <w:rStyle w:val="TextoNormalCaracter"/>
        </w:rPr>
        <w:t xml:space="preserve">, ff. 1 a 3; </w:t>
      </w:r>
      <w:hyperlink w:anchor="SENTENCIA_2007_154" w:history="1">
        <w:r w:rsidRPr="00CA5193">
          <w:rPr>
            <w:rStyle w:val="TextoNormalCaracter"/>
          </w:rPr>
          <w:t>154/2007</w:t>
        </w:r>
      </w:hyperlink>
      <w:r w:rsidRPr="00CA5193">
        <w:rPr>
          <w:rStyle w:val="TextoNormalCaracter"/>
        </w:rPr>
        <w:t>, f. 3.</w:t>
      </w:r>
    </w:p>
    <w:p w:rsidR="00CA5193" w:rsidRPr="00CA5193" w:rsidRDefault="00CA5193" w:rsidP="00CA5193">
      <w:pPr>
        <w:pStyle w:val="TextoNormalSangraFrancesa"/>
        <w:rPr>
          <w:rStyle w:val="TextoNormalCaracter"/>
        </w:rPr>
      </w:pPr>
      <w:r w:rsidRPr="00CA5193">
        <w:rPr>
          <w:rStyle w:val="TextoNormalCursivaCaracter"/>
        </w:rPr>
        <w:t xml:space="preserve">    Respetado, </w:t>
      </w:r>
      <w:r w:rsidRPr="00CA5193">
        <w:rPr>
          <w:rStyle w:val="TextoNormalCaracter"/>
        </w:rPr>
        <w:t xml:space="preserve">Sentencia </w:t>
      </w:r>
      <w:hyperlink w:anchor="SENTENCIA_2007_143" w:history="1">
        <w:r w:rsidRPr="00CA5193">
          <w:rPr>
            <w:rStyle w:val="TextoNormalCaracter"/>
          </w:rPr>
          <w:t>143/2007</w:t>
        </w:r>
      </w:hyperlink>
      <w:r w:rsidRPr="00CA5193">
        <w:rPr>
          <w:rStyle w:val="TextoNormalCaracter"/>
        </w:rPr>
        <w:t>, f. 3.</w:t>
      </w:r>
    </w:p>
    <w:p w:rsidR="00CA5193" w:rsidRPr="00CA5193" w:rsidRDefault="00CA5193" w:rsidP="00CA5193">
      <w:pPr>
        <w:pStyle w:val="TextoNormalSangraFrancesa"/>
        <w:rPr>
          <w:rStyle w:val="TextoNormalCaracter"/>
        </w:rPr>
      </w:pPr>
      <w:r w:rsidRPr="00CA5193">
        <w:rPr>
          <w:rStyle w:val="TextoNormalCaracter"/>
        </w:rPr>
        <w:t xml:space="preserve">    Autos </w:t>
      </w:r>
      <w:hyperlink w:anchor="AUTO_2007_237" w:history="1">
        <w:r w:rsidRPr="00CA5193">
          <w:rPr>
            <w:rStyle w:val="TextoNormalCaracter"/>
          </w:rPr>
          <w:t>237/2007</w:t>
        </w:r>
      </w:hyperlink>
      <w:r w:rsidRPr="00CA5193">
        <w:rPr>
          <w:rStyle w:val="TextoNormalCaracter"/>
        </w:rPr>
        <w:t xml:space="preserve">; </w:t>
      </w:r>
      <w:hyperlink w:anchor="AUTO_2007_313" w:history="1">
        <w:r w:rsidRPr="00CA5193">
          <w:rPr>
            <w:rStyle w:val="TextoNormalCaracter"/>
          </w:rPr>
          <w:t>313/2007</w:t>
        </w:r>
      </w:hyperlink>
      <w:r w:rsidRPr="00CA5193">
        <w:rPr>
          <w:rStyle w:val="TextoNormalCaracter"/>
        </w:rPr>
        <w:t>.</w:t>
      </w:r>
    </w:p>
    <w:p w:rsidR="00CA5193" w:rsidRPr="00CA5193" w:rsidRDefault="00CA5193" w:rsidP="00CA5193">
      <w:pPr>
        <w:pStyle w:val="TextoNormalSangraFrancesa"/>
        <w:rPr>
          <w:rStyle w:val="TextoNormalCaracter"/>
        </w:rPr>
      </w:pPr>
      <w:r w:rsidRPr="00CA5193">
        <w:rPr>
          <w:rStyle w:val="TextoNormalCursivaCaracter"/>
        </w:rPr>
        <w:t xml:space="preserve">    Vulnerado, </w:t>
      </w:r>
      <w:r w:rsidRPr="00CA5193">
        <w:rPr>
          <w:rStyle w:val="TextoNormalCaracter"/>
        </w:rPr>
        <w:t xml:space="preserve">Sentencias </w:t>
      </w:r>
      <w:hyperlink w:anchor="SENTENCIA_2007_135" w:history="1">
        <w:r w:rsidRPr="00CA5193">
          <w:rPr>
            <w:rStyle w:val="TextoNormalCaracter"/>
          </w:rPr>
          <w:t>135/2007</w:t>
        </w:r>
      </w:hyperlink>
      <w:r w:rsidRPr="00CA5193">
        <w:rPr>
          <w:rStyle w:val="TextoNormalCaracter"/>
        </w:rPr>
        <w:t xml:space="preserve">, f. 6; </w:t>
      </w:r>
      <w:hyperlink w:anchor="SENTENCIA_2007_138" w:history="1">
        <w:r w:rsidRPr="00CA5193">
          <w:rPr>
            <w:rStyle w:val="TextoNormalCaracter"/>
          </w:rPr>
          <w:t>138/2007</w:t>
        </w:r>
      </w:hyperlink>
      <w:r w:rsidRPr="00CA5193">
        <w:rPr>
          <w:rStyle w:val="TextoNormalCaracter"/>
        </w:rPr>
        <w:t xml:space="preserve">, ff. 2, 3; </w:t>
      </w:r>
      <w:hyperlink w:anchor="SENTENCIA_2007_144" w:history="1">
        <w:r w:rsidRPr="00CA5193">
          <w:rPr>
            <w:rStyle w:val="TextoNormalCaracter"/>
          </w:rPr>
          <w:t>144/2007</w:t>
        </w:r>
      </w:hyperlink>
      <w:r w:rsidRPr="00CA5193">
        <w:rPr>
          <w:rStyle w:val="TextoNormalCaracter"/>
        </w:rPr>
        <w:t xml:space="preserve">, ff. 2, 4, 5; </w:t>
      </w:r>
      <w:hyperlink w:anchor="SENTENCIA_2007_167" w:history="1">
        <w:r w:rsidRPr="00CA5193">
          <w:rPr>
            <w:rStyle w:val="TextoNormalCaracter"/>
          </w:rPr>
          <w:t>167/2007</w:t>
        </w:r>
      </w:hyperlink>
      <w:r w:rsidRPr="00CA5193">
        <w:rPr>
          <w:rStyle w:val="TextoNormalCaracter"/>
        </w:rPr>
        <w:t xml:space="preserve">, ff. 2 a 4; </w:t>
      </w:r>
      <w:hyperlink w:anchor="SENTENCIA_2007_176" w:history="1">
        <w:r w:rsidRPr="00CA5193">
          <w:rPr>
            <w:rStyle w:val="TextoNormalCaracter"/>
          </w:rPr>
          <w:t>176/2007</w:t>
        </w:r>
      </w:hyperlink>
      <w:r w:rsidRPr="00CA5193">
        <w:rPr>
          <w:rStyle w:val="TextoNormalCaracter"/>
        </w:rPr>
        <w:t>, ff. 2, 4.</w:t>
      </w:r>
    </w:p>
    <w:p w:rsidR="00CA5193" w:rsidRPr="00CA5193" w:rsidRDefault="00CA5193" w:rsidP="00CA5193">
      <w:pPr>
        <w:pStyle w:val="TextoNormalSangraFrancesa"/>
        <w:rPr>
          <w:rStyle w:val="TextoNormalCaracter"/>
        </w:rPr>
      </w:pPr>
      <w:bookmarkStart w:id="946" w:name="DESCRIPTORALFABETICO61"/>
      <w:r w:rsidRPr="00CA5193">
        <w:rPr>
          <w:rStyle w:val="TextoNormalNegritaCaracter"/>
        </w:rPr>
        <w:t xml:space="preserve">Incongruencia </w:t>
      </w:r>
      <w:r w:rsidRPr="00CA5193">
        <w:rPr>
          <w:rStyle w:val="TextoNormalNegritaCaracter"/>
          <w:i/>
        </w:rPr>
        <w:t>extra petita</w:t>
      </w:r>
      <w:bookmarkEnd w:id="946"/>
      <w:r w:rsidRPr="00CA5193">
        <w:rPr>
          <w:rStyle w:val="TextoNormalCaracter"/>
        </w:rPr>
        <w:t xml:space="preserve">, Sentencia </w:t>
      </w:r>
      <w:hyperlink w:anchor="SENTENCIA_2007_132" w:history="1">
        <w:r w:rsidRPr="00CA5193">
          <w:rPr>
            <w:rStyle w:val="TextoNormalCaracter"/>
          </w:rPr>
          <w:t>132/2007</w:t>
        </w:r>
      </w:hyperlink>
      <w:r w:rsidRPr="00CA5193">
        <w:rPr>
          <w:rStyle w:val="TextoNormalCaracter"/>
        </w:rPr>
        <w:t>, f. 2.</w:t>
      </w:r>
    </w:p>
    <w:p w:rsidR="00CA5193" w:rsidRPr="00CA5193" w:rsidRDefault="00CA5193" w:rsidP="00CA5193">
      <w:pPr>
        <w:pStyle w:val="TextoNormalSangraFrancesa"/>
        <w:rPr>
          <w:rStyle w:val="TextoNormalCaracter"/>
        </w:rPr>
      </w:pPr>
      <w:bookmarkStart w:id="947" w:name="DESCRIPTORALFABETICO62"/>
      <w:r w:rsidRPr="00CA5193">
        <w:rPr>
          <w:rStyle w:val="TextoNormalNegritaCaracter"/>
        </w:rPr>
        <w:t>Incongruencia omisiva</w:t>
      </w:r>
      <w:bookmarkEnd w:id="947"/>
      <w:r w:rsidRPr="00CA5193">
        <w:rPr>
          <w:rStyle w:val="TextoNormalCaracter"/>
        </w:rPr>
        <w:t xml:space="preserve">, Sentencias </w:t>
      </w:r>
      <w:hyperlink w:anchor="SENTENCIA_2007_135" w:history="1">
        <w:r w:rsidRPr="00CA5193">
          <w:rPr>
            <w:rStyle w:val="TextoNormalCaracter"/>
          </w:rPr>
          <w:t>135/2007</w:t>
        </w:r>
      </w:hyperlink>
      <w:r w:rsidRPr="00CA5193">
        <w:rPr>
          <w:rStyle w:val="TextoNormalCaracter"/>
        </w:rPr>
        <w:t xml:space="preserve">, f. 6; </w:t>
      </w:r>
      <w:hyperlink w:anchor="SENTENCIA_2007_138" w:history="1">
        <w:r w:rsidRPr="00CA5193">
          <w:rPr>
            <w:rStyle w:val="TextoNormalCaracter"/>
          </w:rPr>
          <w:t>138/2007</w:t>
        </w:r>
      </w:hyperlink>
      <w:r w:rsidRPr="00CA5193">
        <w:rPr>
          <w:rStyle w:val="TextoNormalCaracter"/>
        </w:rPr>
        <w:t xml:space="preserve">, ff. 2, 3; </w:t>
      </w:r>
      <w:hyperlink w:anchor="SENTENCIA_2007_144" w:history="1">
        <w:r w:rsidRPr="00CA5193">
          <w:rPr>
            <w:rStyle w:val="TextoNormalCaracter"/>
          </w:rPr>
          <w:t>144/2007</w:t>
        </w:r>
      </w:hyperlink>
      <w:r w:rsidRPr="00CA5193">
        <w:rPr>
          <w:rStyle w:val="TextoNormalCaracter"/>
        </w:rPr>
        <w:t xml:space="preserve">, ff. 2, 4, 5; </w:t>
      </w:r>
      <w:hyperlink w:anchor="SENTENCIA_2007_167" w:history="1">
        <w:r w:rsidRPr="00CA5193">
          <w:rPr>
            <w:rStyle w:val="TextoNormalCaracter"/>
          </w:rPr>
          <w:t>167/2007</w:t>
        </w:r>
      </w:hyperlink>
      <w:r w:rsidRPr="00CA5193">
        <w:rPr>
          <w:rStyle w:val="TextoNormalCaracter"/>
        </w:rPr>
        <w:t xml:space="preserve">, ff. 2 a 4; </w:t>
      </w:r>
      <w:hyperlink w:anchor="SENTENCIA_2007_176" w:history="1">
        <w:r w:rsidRPr="00CA5193">
          <w:rPr>
            <w:rStyle w:val="TextoNormalCaracter"/>
          </w:rPr>
          <w:t>176/2007</w:t>
        </w:r>
      </w:hyperlink>
      <w:r w:rsidRPr="00CA5193">
        <w:rPr>
          <w:rStyle w:val="TextoNormalCaracter"/>
        </w:rPr>
        <w:t>, ff. 2, 4.</w:t>
      </w:r>
    </w:p>
    <w:p w:rsidR="00CA5193" w:rsidRPr="00CA5193" w:rsidRDefault="00CA5193" w:rsidP="00CA5193">
      <w:pPr>
        <w:pStyle w:val="TextoNormalSangraFrancesa"/>
        <w:rPr>
          <w:rStyle w:val="TextoNormalCaracter"/>
        </w:rPr>
      </w:pPr>
      <w:r w:rsidRPr="00CA5193">
        <w:rPr>
          <w:rStyle w:val="TextoNormalCaracter"/>
        </w:rPr>
        <w:t xml:space="preserve">    Auto </w:t>
      </w:r>
      <w:hyperlink w:anchor="AUTO_2007_237" w:history="1">
        <w:r w:rsidRPr="00CA5193">
          <w:rPr>
            <w:rStyle w:val="TextoNormalCaracter"/>
          </w:rPr>
          <w:t>237/2007</w:t>
        </w:r>
      </w:hyperlink>
      <w:r w:rsidRPr="00CA5193">
        <w:rPr>
          <w:rStyle w:val="TextoNormalCaracter"/>
        </w:rPr>
        <w:t>.</w:t>
      </w:r>
    </w:p>
    <w:p w:rsidR="00CA5193" w:rsidRPr="00CA5193" w:rsidRDefault="00CA5193" w:rsidP="00CA5193">
      <w:pPr>
        <w:pStyle w:val="TextoNormalSangraFrancesa"/>
        <w:rPr>
          <w:rStyle w:val="TextoNormalCaracter"/>
        </w:rPr>
      </w:pPr>
      <w:bookmarkStart w:id="948" w:name="DESCRIPTORALFABETICO394"/>
      <w:r w:rsidRPr="00CA5193">
        <w:rPr>
          <w:rStyle w:val="TextoNormalNegritaCaracter"/>
        </w:rPr>
        <w:t>Indefensión</w:t>
      </w:r>
      <w:bookmarkEnd w:id="948"/>
      <w:r w:rsidRPr="00CA5193">
        <w:rPr>
          <w:rStyle w:val="TextoNormalCaracter"/>
        </w:rPr>
        <w:t xml:space="preserve">, Sentencias </w:t>
      </w:r>
      <w:hyperlink w:anchor="SENTENCIA_2007_116" w:history="1">
        <w:r w:rsidRPr="00CA5193">
          <w:rPr>
            <w:rStyle w:val="TextoNormalCaracter"/>
          </w:rPr>
          <w:t>116/2007</w:t>
        </w:r>
      </w:hyperlink>
      <w:r w:rsidRPr="00CA5193">
        <w:rPr>
          <w:rStyle w:val="TextoNormalCaracter"/>
        </w:rPr>
        <w:t xml:space="preserve">, f. 3; </w:t>
      </w:r>
      <w:hyperlink w:anchor="SENTENCIA_2007_123" w:history="1">
        <w:r w:rsidRPr="00CA5193">
          <w:rPr>
            <w:rStyle w:val="TextoNormalCaracter"/>
          </w:rPr>
          <w:t>123/2007</w:t>
        </w:r>
      </w:hyperlink>
      <w:r w:rsidRPr="00CA5193">
        <w:rPr>
          <w:rStyle w:val="TextoNormalCaracter"/>
        </w:rPr>
        <w:t xml:space="preserve">, f. 3; </w:t>
      </w:r>
      <w:hyperlink w:anchor="SENTENCIA_2007_175" w:history="1">
        <w:r w:rsidRPr="00CA5193">
          <w:rPr>
            <w:rStyle w:val="TextoNormalCaracter"/>
          </w:rPr>
          <w:t>175/2007</w:t>
        </w:r>
      </w:hyperlink>
      <w:r w:rsidRPr="00CA5193">
        <w:rPr>
          <w:rStyle w:val="TextoNormalCaracter"/>
        </w:rPr>
        <w:t>, ff. 3 a 5.</w:t>
      </w:r>
    </w:p>
    <w:p w:rsidR="00CA5193" w:rsidRPr="00CA5193" w:rsidRDefault="00CA5193" w:rsidP="00CA5193">
      <w:pPr>
        <w:pStyle w:val="TextoNormalSangraFrancesa"/>
        <w:rPr>
          <w:rStyle w:val="TextoNormalCaracter"/>
        </w:rPr>
      </w:pPr>
      <w:bookmarkStart w:id="949" w:name="DESCRIPTORALFABETICO78"/>
      <w:r w:rsidRPr="00CA5193">
        <w:rPr>
          <w:rStyle w:val="TextoNormalNegritaCaracter"/>
        </w:rPr>
        <w:t>Indefensión imputable al órgano judicial</w:t>
      </w:r>
      <w:bookmarkEnd w:id="949"/>
      <w:r w:rsidRPr="00CA5193">
        <w:rPr>
          <w:rStyle w:val="TextoNormalCaracter"/>
        </w:rPr>
        <w:t xml:space="preserve">, Sentencia </w:t>
      </w:r>
      <w:hyperlink w:anchor="SENTENCIA_2007_162" w:history="1">
        <w:r w:rsidRPr="00CA5193">
          <w:rPr>
            <w:rStyle w:val="TextoNormalCaracter"/>
          </w:rPr>
          <w:t>162/2007</w:t>
        </w:r>
      </w:hyperlink>
      <w:r w:rsidRPr="00CA5193">
        <w:rPr>
          <w:rStyle w:val="TextoNormalCaracter"/>
        </w:rPr>
        <w:t>, f. 4.</w:t>
      </w:r>
    </w:p>
    <w:p w:rsidR="00CA5193" w:rsidRPr="00CA5193" w:rsidRDefault="00CA5193" w:rsidP="00CA5193">
      <w:pPr>
        <w:pStyle w:val="TextoNormalSangraFrancesa"/>
        <w:rPr>
          <w:rStyle w:val="TextoNormalCaracter"/>
        </w:rPr>
      </w:pPr>
      <w:bookmarkStart w:id="950" w:name="DESCRIPTORALFABETICO79"/>
      <w:r w:rsidRPr="00CA5193">
        <w:rPr>
          <w:rStyle w:val="TextoNormalNegritaCaracter"/>
        </w:rPr>
        <w:t>Indefensión imputable al recurrente</w:t>
      </w:r>
      <w:bookmarkEnd w:id="950"/>
      <w:r w:rsidRPr="00CA5193">
        <w:rPr>
          <w:rStyle w:val="TextoNormalCaracter"/>
        </w:rPr>
        <w:t xml:space="preserve">, Auto </w:t>
      </w:r>
      <w:hyperlink w:anchor="AUTO_2007_281" w:history="1">
        <w:r w:rsidRPr="00CA5193">
          <w:rPr>
            <w:rStyle w:val="TextoNormalCaracter"/>
          </w:rPr>
          <w:t>281/2007</w:t>
        </w:r>
      </w:hyperlink>
      <w:r w:rsidRPr="00CA5193">
        <w:rPr>
          <w:rStyle w:val="TextoNormalCaracter"/>
        </w:rPr>
        <w:t>.</w:t>
      </w:r>
    </w:p>
    <w:p w:rsidR="00CA5193" w:rsidRPr="00CA5193" w:rsidRDefault="00CA5193" w:rsidP="00CA5193">
      <w:pPr>
        <w:pStyle w:val="TextoNormalSangraFrancesa"/>
        <w:rPr>
          <w:rStyle w:val="TextoNormalCaracter"/>
        </w:rPr>
      </w:pPr>
      <w:bookmarkStart w:id="951" w:name="DESCRIPTORALFABETICO80"/>
      <w:r w:rsidRPr="00CA5193">
        <w:rPr>
          <w:rStyle w:val="TextoNormalNegritaCaracter"/>
        </w:rPr>
        <w:t>Indefensión material</w:t>
      </w:r>
      <w:bookmarkEnd w:id="951"/>
      <w:r w:rsidRPr="00CA5193">
        <w:rPr>
          <w:rStyle w:val="TextoNormalCaracter"/>
        </w:rPr>
        <w:t xml:space="preserve">, Sentencia </w:t>
      </w:r>
      <w:hyperlink w:anchor="SENTENCIA_2007_109" w:history="1">
        <w:r w:rsidRPr="00CA5193">
          <w:rPr>
            <w:rStyle w:val="TextoNormalCaracter"/>
          </w:rPr>
          <w:t>109/2007</w:t>
        </w:r>
      </w:hyperlink>
      <w:r w:rsidRPr="00CA5193">
        <w:rPr>
          <w:rStyle w:val="TextoNormalCaracter"/>
        </w:rPr>
        <w:t>, f. 2.</w:t>
      </w:r>
    </w:p>
    <w:p w:rsidR="00CA5193" w:rsidRPr="00CA5193" w:rsidRDefault="00CA5193" w:rsidP="00CA5193">
      <w:pPr>
        <w:pStyle w:val="TextoNormalSangraFrancesa"/>
        <w:rPr>
          <w:rStyle w:val="TextoNormalCaracter"/>
        </w:rPr>
      </w:pPr>
      <w:bookmarkStart w:id="952" w:name="DESCRIPTORALFABETICO321"/>
      <w:r w:rsidRPr="00CA5193">
        <w:rPr>
          <w:rStyle w:val="TextoNormalNegritaCaracter"/>
        </w:rPr>
        <w:t>Indemnización por daños corporales</w:t>
      </w:r>
      <w:bookmarkEnd w:id="952"/>
      <w:r w:rsidRPr="00CA5193">
        <w:rPr>
          <w:rStyle w:val="TextoNormalCaracter"/>
        </w:rPr>
        <w:t xml:space="preserve">, Sentencia </w:t>
      </w:r>
      <w:hyperlink w:anchor="SENTENCIA_2007_136" w:history="1">
        <w:r w:rsidRPr="00CA5193">
          <w:rPr>
            <w:rStyle w:val="TextoNormalCaracter"/>
          </w:rPr>
          <w:t>136/2007</w:t>
        </w:r>
      </w:hyperlink>
      <w:r w:rsidRPr="00CA5193">
        <w:rPr>
          <w:rStyle w:val="TextoNormalCaracter"/>
        </w:rPr>
        <w:t>, f. 3.</w:t>
      </w:r>
    </w:p>
    <w:p w:rsidR="00CA5193" w:rsidRPr="00CA5193" w:rsidRDefault="00CA5193" w:rsidP="00CA5193">
      <w:pPr>
        <w:pStyle w:val="TextoNormalSangraFrancesa"/>
        <w:rPr>
          <w:rStyle w:val="TextoNormalCaracter"/>
        </w:rPr>
      </w:pPr>
      <w:bookmarkStart w:id="953" w:name="DESCRIPTORALFABETICO330"/>
      <w:r w:rsidRPr="00CA5193">
        <w:rPr>
          <w:rStyle w:val="TextoNormalNegritaCaracter"/>
        </w:rPr>
        <w:t>Indemnización por despido</w:t>
      </w:r>
      <w:bookmarkEnd w:id="953"/>
      <w:r w:rsidRPr="00CA5193">
        <w:rPr>
          <w:rStyle w:val="TextoNormalCaracter"/>
        </w:rPr>
        <w:t xml:space="preserve">, Auto </w:t>
      </w:r>
      <w:hyperlink w:anchor="AUTO_2007_270" w:history="1">
        <w:r w:rsidRPr="00CA5193">
          <w:rPr>
            <w:rStyle w:val="TextoNormalCaracter"/>
          </w:rPr>
          <w:t>270/2007</w:t>
        </w:r>
      </w:hyperlink>
      <w:r w:rsidRPr="00CA5193">
        <w:rPr>
          <w:rStyle w:val="TextoNormalCaracter"/>
        </w:rPr>
        <w:t>.</w:t>
      </w:r>
    </w:p>
    <w:p w:rsidR="00CA5193" w:rsidRPr="00CA5193" w:rsidRDefault="00CA5193" w:rsidP="00CA5193">
      <w:pPr>
        <w:pStyle w:val="TextoNormalSangraFrancesa"/>
        <w:rPr>
          <w:rStyle w:val="TextoNormalCaracter"/>
        </w:rPr>
      </w:pPr>
      <w:bookmarkStart w:id="954" w:name="DESCRIPTORALFABETICO414"/>
      <w:r w:rsidRPr="00CA5193">
        <w:rPr>
          <w:rStyle w:val="TextoNormalNegritaCaracter"/>
        </w:rPr>
        <w:t>Indicación de recursos</w:t>
      </w:r>
      <w:bookmarkEnd w:id="954"/>
      <w:r w:rsidRPr="00CA5193">
        <w:rPr>
          <w:rStyle w:val="TextoNormalCaracter"/>
        </w:rPr>
        <w:t xml:space="preserve">, Sentencia </w:t>
      </w:r>
      <w:hyperlink w:anchor="SENTENCIA_2007_155" w:history="1">
        <w:r w:rsidRPr="00CA5193">
          <w:rPr>
            <w:rStyle w:val="TextoNormalCaracter"/>
          </w:rPr>
          <w:t>155/2007</w:t>
        </w:r>
      </w:hyperlink>
      <w:r w:rsidRPr="00CA5193">
        <w:rPr>
          <w:rStyle w:val="TextoNormalCaracter"/>
        </w:rPr>
        <w:t>, f. 2.</w:t>
      </w:r>
    </w:p>
    <w:p w:rsidR="00CA5193" w:rsidRPr="00CA5193" w:rsidRDefault="00CA5193" w:rsidP="00CA5193">
      <w:pPr>
        <w:pStyle w:val="TextoNormalSangraFrancesa"/>
        <w:rPr>
          <w:rStyle w:val="TextoNormalCaracter"/>
        </w:rPr>
      </w:pPr>
      <w:bookmarkStart w:id="955" w:name="DESCRIPTORALFABETICO385"/>
      <w:r w:rsidRPr="00CA5193">
        <w:rPr>
          <w:rStyle w:val="TextoNormalNegritaCaracter"/>
        </w:rPr>
        <w:t>Inferencia insuficiente</w:t>
      </w:r>
      <w:bookmarkEnd w:id="955"/>
      <w:r w:rsidRPr="00CA5193">
        <w:rPr>
          <w:rStyle w:val="TextoNormalCaracter"/>
        </w:rPr>
        <w:t xml:space="preserve">, Sentencia </w:t>
      </w:r>
      <w:hyperlink w:anchor="SENTENCIA_2007_137" w:history="1">
        <w:r w:rsidRPr="00CA5193">
          <w:rPr>
            <w:rStyle w:val="TextoNormalCaracter"/>
          </w:rPr>
          <w:t>137/2007</w:t>
        </w:r>
      </w:hyperlink>
      <w:r w:rsidRPr="00CA5193">
        <w:rPr>
          <w:rStyle w:val="TextoNormalCaracter"/>
        </w:rPr>
        <w:t>, f. 5.</w:t>
      </w:r>
    </w:p>
    <w:p w:rsidR="00CA5193" w:rsidRPr="00CA5193" w:rsidRDefault="00CA5193" w:rsidP="00CA5193">
      <w:pPr>
        <w:pStyle w:val="TextoNormalSangraFrancesa"/>
        <w:rPr>
          <w:rStyle w:val="TextoNormalCaracter"/>
        </w:rPr>
      </w:pPr>
      <w:bookmarkStart w:id="956" w:name="DESCRIPTORALFABETICO386"/>
      <w:r w:rsidRPr="00CA5193">
        <w:rPr>
          <w:rStyle w:val="TextoNormalNegritaCaracter"/>
        </w:rPr>
        <w:t>Inferencia razonable</w:t>
      </w:r>
      <w:bookmarkEnd w:id="956"/>
      <w:r w:rsidRPr="00CA5193">
        <w:rPr>
          <w:rStyle w:val="TextoNormalCaracter"/>
        </w:rPr>
        <w:t xml:space="preserve">, Sentencia </w:t>
      </w:r>
      <w:hyperlink w:anchor="SENTENCIA_2007_125" w:history="1">
        <w:r w:rsidRPr="00CA5193">
          <w:rPr>
            <w:rStyle w:val="TextoNormalCaracter"/>
          </w:rPr>
          <w:t>125/2007</w:t>
        </w:r>
      </w:hyperlink>
      <w:r w:rsidRPr="00CA5193">
        <w:rPr>
          <w:rStyle w:val="TextoNormalCaracter"/>
        </w:rPr>
        <w:t>, f. 4.</w:t>
      </w:r>
    </w:p>
    <w:p w:rsidR="00CA5193" w:rsidRPr="00CA5193" w:rsidRDefault="00CA5193" w:rsidP="00CA5193">
      <w:pPr>
        <w:pStyle w:val="TextoNormalSangraFrancesa"/>
        <w:rPr>
          <w:rStyle w:val="TextoNormalCaracter"/>
        </w:rPr>
      </w:pPr>
      <w:bookmarkStart w:id="957" w:name="DESCRIPTORALFABETICO233"/>
      <w:r w:rsidRPr="00CA5193">
        <w:rPr>
          <w:rStyle w:val="TextoNormalNegritaCaracter"/>
        </w:rPr>
        <w:t>Informes administrativos</w:t>
      </w:r>
      <w:bookmarkEnd w:id="957"/>
      <w:r w:rsidRPr="00CA5193">
        <w:rPr>
          <w:rStyle w:val="TextoNormalCaracter"/>
        </w:rPr>
        <w:t xml:space="preserve">, Auto </w:t>
      </w:r>
      <w:hyperlink w:anchor="AUTO_2007_269" w:history="1">
        <w:r w:rsidRPr="00CA5193">
          <w:rPr>
            <w:rStyle w:val="TextoNormalCaracter"/>
          </w:rPr>
          <w:t>269/2007</w:t>
        </w:r>
      </w:hyperlink>
      <w:r w:rsidRPr="00CA5193">
        <w:rPr>
          <w:rStyle w:val="TextoNormalCaracter"/>
        </w:rPr>
        <w:t>.</w:t>
      </w:r>
    </w:p>
    <w:p w:rsidR="00CA5193" w:rsidRPr="00CA5193" w:rsidRDefault="00CA5193" w:rsidP="00CA5193">
      <w:pPr>
        <w:pStyle w:val="TextoNormalSangraFrancesa"/>
        <w:rPr>
          <w:rStyle w:val="TextoNormalCaracter"/>
        </w:rPr>
      </w:pPr>
      <w:bookmarkStart w:id="958" w:name="DESCRIPTORALFABETICO376"/>
      <w:r w:rsidRPr="00CA5193">
        <w:rPr>
          <w:rStyle w:val="TextoNormalNegritaCaracter"/>
        </w:rPr>
        <w:t>Informes policiales</w:t>
      </w:r>
      <w:bookmarkEnd w:id="958"/>
      <w:r w:rsidRPr="00CA5193">
        <w:rPr>
          <w:rStyle w:val="TextoNormalCaracter"/>
        </w:rPr>
        <w:t xml:space="preserve">, Sentencia </w:t>
      </w:r>
      <w:hyperlink w:anchor="SENTENCIA_2007_110" w:history="1">
        <w:r w:rsidRPr="00CA5193">
          <w:rPr>
            <w:rStyle w:val="TextoNormalCaracter"/>
          </w:rPr>
          <w:t>110/2007</w:t>
        </w:r>
      </w:hyperlink>
      <w:r w:rsidRPr="00CA5193">
        <w:rPr>
          <w:rStyle w:val="TextoNormalCaracter"/>
        </w:rPr>
        <w:t>, f. 8.</w:t>
      </w:r>
    </w:p>
    <w:p w:rsidR="00CA5193" w:rsidRPr="00CA5193" w:rsidRDefault="00CA5193" w:rsidP="00CA5193">
      <w:pPr>
        <w:pStyle w:val="TextoNormalSangraFrancesa"/>
        <w:rPr>
          <w:rStyle w:val="TextoNormalCaracter"/>
        </w:rPr>
      </w:pPr>
      <w:r w:rsidRPr="00CA5193">
        <w:rPr>
          <w:rStyle w:val="TextoNormalCaracter"/>
        </w:rPr>
        <w:t xml:space="preserve">    Auto </w:t>
      </w:r>
      <w:hyperlink w:anchor="AUTO_2007_281" w:history="1">
        <w:r w:rsidRPr="00CA5193">
          <w:rPr>
            <w:rStyle w:val="TextoNormalCaracter"/>
          </w:rPr>
          <w:t>281/2007</w:t>
        </w:r>
      </w:hyperlink>
      <w:r w:rsidRPr="00CA5193">
        <w:rPr>
          <w:rStyle w:val="TextoNormalCaracter"/>
        </w:rPr>
        <w:t>.</w:t>
      </w:r>
    </w:p>
    <w:p w:rsidR="00CA5193" w:rsidRPr="00CA5193" w:rsidRDefault="00CA5193" w:rsidP="00CA5193">
      <w:pPr>
        <w:pStyle w:val="TextoNormalSangraFrancesa"/>
        <w:rPr>
          <w:rStyle w:val="TextoNormalCaracter"/>
        </w:rPr>
      </w:pPr>
      <w:bookmarkStart w:id="959" w:name="DESCRIPTORALFABETICO297"/>
      <w:r w:rsidRPr="00CA5193">
        <w:rPr>
          <w:rStyle w:val="TextoNormalNegritaCaracter"/>
        </w:rPr>
        <w:t>Inhabilitación especial para el derecho de sufragio</w:t>
      </w:r>
      <w:bookmarkEnd w:id="959"/>
      <w:r w:rsidRPr="00CA5193">
        <w:rPr>
          <w:rStyle w:val="TextoNormalCaracter"/>
        </w:rPr>
        <w:t xml:space="preserve">, Autos </w:t>
      </w:r>
      <w:hyperlink w:anchor="AUTO_2007_248" w:history="1">
        <w:r w:rsidRPr="00CA5193">
          <w:rPr>
            <w:rStyle w:val="TextoNormalCaracter"/>
          </w:rPr>
          <w:t>248/2007</w:t>
        </w:r>
      </w:hyperlink>
      <w:r w:rsidRPr="00CA5193">
        <w:rPr>
          <w:rStyle w:val="TextoNormalCaracter"/>
        </w:rPr>
        <w:t xml:space="preserve">; </w:t>
      </w:r>
      <w:hyperlink w:anchor="AUTO_2007_249" w:history="1">
        <w:r w:rsidRPr="00CA5193">
          <w:rPr>
            <w:rStyle w:val="TextoNormalCaracter"/>
          </w:rPr>
          <w:t>249/2007</w:t>
        </w:r>
      </w:hyperlink>
      <w:r w:rsidRPr="00CA5193">
        <w:rPr>
          <w:rStyle w:val="TextoNormalCaracter"/>
        </w:rPr>
        <w:t xml:space="preserve">; </w:t>
      </w:r>
      <w:hyperlink w:anchor="AUTO_2007_283" w:history="1">
        <w:r w:rsidRPr="00CA5193">
          <w:rPr>
            <w:rStyle w:val="TextoNormalCaracter"/>
          </w:rPr>
          <w:t>283/2007</w:t>
        </w:r>
      </w:hyperlink>
      <w:r w:rsidRPr="00CA5193">
        <w:rPr>
          <w:rStyle w:val="TextoNormalCaracter"/>
        </w:rPr>
        <w:t xml:space="preserve">; </w:t>
      </w:r>
      <w:hyperlink w:anchor="AUTO_2007_286" w:history="1">
        <w:r w:rsidRPr="00CA5193">
          <w:rPr>
            <w:rStyle w:val="TextoNormalCaracter"/>
          </w:rPr>
          <w:t>286/2007</w:t>
        </w:r>
      </w:hyperlink>
      <w:r w:rsidRPr="00CA5193">
        <w:rPr>
          <w:rStyle w:val="TextoNormalCaracter"/>
        </w:rPr>
        <w:t>.</w:t>
      </w:r>
    </w:p>
    <w:p w:rsidR="00CA5193" w:rsidRPr="00CA5193" w:rsidRDefault="00CA5193" w:rsidP="00CA5193">
      <w:pPr>
        <w:pStyle w:val="TextoNormalSangraFrancesa"/>
        <w:rPr>
          <w:rStyle w:val="TextoNormalNegritaCaracter"/>
        </w:rPr>
      </w:pPr>
      <w:r w:rsidRPr="00CA5193">
        <w:rPr>
          <w:rStyle w:val="TextoNormalCursivaCaracter"/>
        </w:rPr>
        <w:t>Instrucción de recursos</w:t>
      </w:r>
      <w:r>
        <w:t xml:space="preserve"> véase </w:t>
      </w:r>
      <w:hyperlink w:anchor="DESCRIPTORALFABETICO414" w:history="1">
        <w:r w:rsidRPr="00CA5193">
          <w:rPr>
            <w:rStyle w:val="TextoNormalNegritaCaracter"/>
          </w:rPr>
          <w:t>Indicación de recursos</w:t>
        </w:r>
      </w:hyperlink>
    </w:p>
    <w:p w:rsidR="00CA5193" w:rsidRPr="00CA5193" w:rsidRDefault="00CA5193" w:rsidP="00CA5193">
      <w:pPr>
        <w:pStyle w:val="TextoNormalSangraFrancesa"/>
        <w:rPr>
          <w:rStyle w:val="TextoNormalCaracter"/>
        </w:rPr>
      </w:pPr>
      <w:bookmarkStart w:id="960" w:name="DESCRIPTORALFABETICO64"/>
      <w:r w:rsidRPr="00CA5193">
        <w:rPr>
          <w:rStyle w:val="TextoNormalNegritaCaracter"/>
        </w:rPr>
        <w:t>Intangibilidad de las resoluciones judiciales</w:t>
      </w:r>
      <w:bookmarkEnd w:id="960"/>
      <w:r w:rsidRPr="00CA5193">
        <w:rPr>
          <w:rStyle w:val="TextoNormalCaracter"/>
        </w:rPr>
        <w:t xml:space="preserve">, Auto </w:t>
      </w:r>
      <w:hyperlink w:anchor="AUTO_2007_278" w:history="1">
        <w:r w:rsidRPr="00CA5193">
          <w:rPr>
            <w:rStyle w:val="TextoNormalCaracter"/>
          </w:rPr>
          <w:t>278/2007</w:t>
        </w:r>
      </w:hyperlink>
      <w:r w:rsidRPr="00CA5193">
        <w:rPr>
          <w:rStyle w:val="TextoNormalCaracter"/>
        </w:rPr>
        <w:t>.</w:t>
      </w:r>
    </w:p>
    <w:p w:rsidR="00CA5193" w:rsidRPr="00CA5193" w:rsidRDefault="00CA5193" w:rsidP="00CA5193">
      <w:pPr>
        <w:pStyle w:val="TextoNormalSangraFrancesa"/>
        <w:rPr>
          <w:rStyle w:val="TextoNormalCaracter"/>
        </w:rPr>
      </w:pPr>
      <w:bookmarkStart w:id="961" w:name="DESCRIPTORALFABETICO65"/>
      <w:r w:rsidRPr="00CA5193">
        <w:rPr>
          <w:rStyle w:val="TextoNormalNegritaCaracter"/>
        </w:rPr>
        <w:t>Intangibilidad de las sentencias</w:t>
      </w:r>
      <w:bookmarkEnd w:id="961"/>
      <w:r w:rsidRPr="00CA5193">
        <w:rPr>
          <w:rStyle w:val="TextoNormalCaracter"/>
        </w:rPr>
        <w:t xml:space="preserve">, Sentencia </w:t>
      </w:r>
      <w:hyperlink w:anchor="SENTENCIA_2007_171" w:history="1">
        <w:r w:rsidRPr="00CA5193">
          <w:rPr>
            <w:rStyle w:val="TextoNormalCaracter"/>
          </w:rPr>
          <w:t>171/2007</w:t>
        </w:r>
      </w:hyperlink>
      <w:r w:rsidRPr="00CA5193">
        <w:rPr>
          <w:rStyle w:val="TextoNormalCaracter"/>
        </w:rPr>
        <w:t>, ff. 2, 4.</w:t>
      </w:r>
    </w:p>
    <w:p w:rsidR="00CA5193" w:rsidRPr="00CA5193" w:rsidRDefault="00CA5193" w:rsidP="00CA5193">
      <w:pPr>
        <w:pStyle w:val="TextoNormalSangraFrancesa"/>
        <w:rPr>
          <w:rStyle w:val="TextoNormalCaracter"/>
        </w:rPr>
      </w:pPr>
      <w:r w:rsidRPr="00CA5193">
        <w:rPr>
          <w:rStyle w:val="TextoNormalCursivaCaracter"/>
        </w:rPr>
        <w:t xml:space="preserve">    Vulnerado, </w:t>
      </w:r>
      <w:r w:rsidRPr="00CA5193">
        <w:rPr>
          <w:rStyle w:val="TextoNormalCaracter"/>
        </w:rPr>
        <w:t xml:space="preserve">Sentencia </w:t>
      </w:r>
      <w:hyperlink w:anchor="SENTENCIA_2007_171" w:history="1">
        <w:r w:rsidRPr="00CA5193">
          <w:rPr>
            <w:rStyle w:val="TextoNormalCaracter"/>
          </w:rPr>
          <w:t>171/2007</w:t>
        </w:r>
      </w:hyperlink>
      <w:r w:rsidRPr="00CA5193">
        <w:rPr>
          <w:rStyle w:val="TextoNormalCaracter"/>
        </w:rPr>
        <w:t>, f. 4.</w:t>
      </w:r>
    </w:p>
    <w:p w:rsidR="00CA5193" w:rsidRPr="00CA5193" w:rsidRDefault="00CA5193" w:rsidP="00CA5193">
      <w:pPr>
        <w:pStyle w:val="TextoNormalSangraFrancesa"/>
        <w:rPr>
          <w:rStyle w:val="TextoNormalCaracter"/>
        </w:rPr>
      </w:pPr>
      <w:bookmarkStart w:id="962" w:name="DESCRIPTORALFABETICO230"/>
      <w:r w:rsidRPr="00CA5193">
        <w:rPr>
          <w:rStyle w:val="TextoNormalNegritaCaracter"/>
        </w:rPr>
        <w:t>Interés ecológico preferente</w:t>
      </w:r>
      <w:bookmarkEnd w:id="962"/>
      <w:r w:rsidRPr="00CA5193">
        <w:rPr>
          <w:rStyle w:val="TextoNormalCaracter"/>
        </w:rPr>
        <w:t xml:space="preserve">, Auto </w:t>
      </w:r>
      <w:hyperlink w:anchor="AUTO_2007_355" w:history="1">
        <w:r w:rsidRPr="00CA5193">
          <w:rPr>
            <w:rStyle w:val="TextoNormalCaracter"/>
          </w:rPr>
          <w:t>355/2007</w:t>
        </w:r>
      </w:hyperlink>
      <w:r w:rsidRPr="00CA5193">
        <w:rPr>
          <w:rStyle w:val="TextoNormalCaracter"/>
        </w:rPr>
        <w:t>.</w:t>
      </w:r>
    </w:p>
    <w:p w:rsidR="00CA5193" w:rsidRPr="00CA5193" w:rsidRDefault="00CA5193" w:rsidP="00CA5193">
      <w:pPr>
        <w:pStyle w:val="TextoNormalSangraFrancesa"/>
        <w:rPr>
          <w:rStyle w:val="TextoNormalCaracter"/>
        </w:rPr>
      </w:pPr>
      <w:bookmarkStart w:id="963" w:name="DESCRIPTORALFABETICO229"/>
      <w:r w:rsidRPr="00CA5193">
        <w:rPr>
          <w:rStyle w:val="TextoNormalNegritaCaracter"/>
        </w:rPr>
        <w:t>Interés general</w:t>
      </w:r>
      <w:bookmarkEnd w:id="963"/>
      <w:r w:rsidRPr="00CA5193">
        <w:rPr>
          <w:rStyle w:val="TextoNormalCaracter"/>
        </w:rPr>
        <w:t xml:space="preserve">, Auto </w:t>
      </w:r>
      <w:hyperlink w:anchor="AUTO_2007_355" w:history="1">
        <w:r w:rsidRPr="00CA5193">
          <w:rPr>
            <w:rStyle w:val="TextoNormalCaracter"/>
          </w:rPr>
          <w:t>355/2007</w:t>
        </w:r>
      </w:hyperlink>
      <w:r w:rsidRPr="00CA5193">
        <w:rPr>
          <w:rStyle w:val="TextoNormalCaracter"/>
        </w:rPr>
        <w:t>.</w:t>
      </w:r>
    </w:p>
    <w:p w:rsidR="00CA5193" w:rsidRPr="00CA5193" w:rsidRDefault="00CA5193" w:rsidP="00CA5193">
      <w:pPr>
        <w:pStyle w:val="TextoNormalSangraFrancesa"/>
        <w:rPr>
          <w:rStyle w:val="TextoNormalCaracter"/>
        </w:rPr>
      </w:pPr>
      <w:bookmarkStart w:id="964" w:name="DESCRIPTORALFABETICO169"/>
      <w:r w:rsidRPr="00CA5193">
        <w:rPr>
          <w:rStyle w:val="TextoNormalNegritaCaracter"/>
        </w:rPr>
        <w:t>Interés legítimo en el recurso de amparo</w:t>
      </w:r>
      <w:bookmarkEnd w:id="964"/>
      <w:r w:rsidRPr="00CA5193">
        <w:rPr>
          <w:rStyle w:val="TextoNormalCaracter"/>
        </w:rPr>
        <w:t xml:space="preserve">, Sentencia </w:t>
      </w:r>
      <w:hyperlink w:anchor="SENTENCIA_2007_120" w:history="1">
        <w:r w:rsidRPr="00CA5193">
          <w:rPr>
            <w:rStyle w:val="TextoNormalCaracter"/>
          </w:rPr>
          <w:t>120/2007</w:t>
        </w:r>
      </w:hyperlink>
      <w:r w:rsidRPr="00CA5193">
        <w:rPr>
          <w:rStyle w:val="TextoNormalCaracter"/>
        </w:rPr>
        <w:t>, f. 1.</w:t>
      </w:r>
    </w:p>
    <w:p w:rsidR="00CA5193" w:rsidRPr="00CA5193" w:rsidRDefault="00CA5193" w:rsidP="00CA5193">
      <w:pPr>
        <w:pStyle w:val="TextoNormalSangraFrancesa"/>
        <w:rPr>
          <w:rStyle w:val="TextoNormalNegritaCaracter"/>
        </w:rPr>
      </w:pPr>
      <w:r w:rsidRPr="00CA5193">
        <w:rPr>
          <w:rStyle w:val="TextoNormalCursivaCaracter"/>
        </w:rPr>
        <w:t>Interés público</w:t>
      </w:r>
      <w:r>
        <w:t xml:space="preserve"> véase </w:t>
      </w:r>
      <w:hyperlink w:anchor="DESCRIPTORALFABETICO229" w:history="1">
        <w:r w:rsidRPr="00CA5193">
          <w:rPr>
            <w:rStyle w:val="TextoNormalNegritaCaracter"/>
          </w:rPr>
          <w:t>Interés general</w:t>
        </w:r>
      </w:hyperlink>
    </w:p>
    <w:p w:rsidR="00CA5193" w:rsidRPr="00CA5193" w:rsidRDefault="00CA5193" w:rsidP="00CA5193">
      <w:pPr>
        <w:pStyle w:val="TextoNormalSangraFrancesa"/>
        <w:rPr>
          <w:rStyle w:val="TextoNormalCaracter"/>
        </w:rPr>
      </w:pPr>
      <w:bookmarkStart w:id="965" w:name="DESCRIPTORALFABETICO226"/>
      <w:r w:rsidRPr="00CA5193">
        <w:rPr>
          <w:rStyle w:val="TextoNormalNegritaCaracter"/>
        </w:rPr>
        <w:t>Intereses particulares</w:t>
      </w:r>
      <w:bookmarkEnd w:id="965"/>
      <w:r w:rsidRPr="00CA5193">
        <w:rPr>
          <w:rStyle w:val="TextoNormalCaracter"/>
        </w:rPr>
        <w:t xml:space="preserve">, Auto </w:t>
      </w:r>
      <w:hyperlink w:anchor="AUTO_2007_355" w:history="1">
        <w:r w:rsidRPr="00CA5193">
          <w:rPr>
            <w:rStyle w:val="TextoNormalCaracter"/>
          </w:rPr>
          <w:t>355/2007</w:t>
        </w:r>
      </w:hyperlink>
      <w:r w:rsidRPr="00CA5193">
        <w:rPr>
          <w:rStyle w:val="TextoNormalCaracter"/>
        </w:rPr>
        <w:t>.</w:t>
      </w:r>
    </w:p>
    <w:p w:rsidR="00CA5193" w:rsidRPr="00CA5193" w:rsidRDefault="00CA5193" w:rsidP="00CA5193">
      <w:pPr>
        <w:pStyle w:val="TextoNormalSangraFrancesa"/>
        <w:rPr>
          <w:rStyle w:val="TextoNormalCaracter"/>
        </w:rPr>
      </w:pPr>
      <w:bookmarkStart w:id="966" w:name="DESCRIPTORALFABETICO293"/>
      <w:r w:rsidRPr="00CA5193">
        <w:rPr>
          <w:rStyle w:val="TextoNormalNegritaCaracter"/>
        </w:rPr>
        <w:t>Interpretación conforme a la Constitución</w:t>
      </w:r>
      <w:bookmarkEnd w:id="966"/>
      <w:r w:rsidRPr="00CA5193">
        <w:rPr>
          <w:rStyle w:val="TextoNormalCaracter"/>
        </w:rPr>
        <w:t xml:space="preserve">, Sentencia </w:t>
      </w:r>
      <w:hyperlink w:anchor="SENTENCIA_2007_127" w:history="1">
        <w:r w:rsidRPr="00CA5193">
          <w:rPr>
            <w:rStyle w:val="TextoNormalCaracter"/>
          </w:rPr>
          <w:t>127/2007</w:t>
        </w:r>
      </w:hyperlink>
      <w:r w:rsidRPr="00CA5193">
        <w:rPr>
          <w:rStyle w:val="TextoNormalCaracter"/>
        </w:rPr>
        <w:t>, VP I.</w:t>
      </w:r>
    </w:p>
    <w:p w:rsidR="00CA5193" w:rsidRPr="00CA5193" w:rsidRDefault="00CA5193" w:rsidP="00CA5193">
      <w:pPr>
        <w:pStyle w:val="TextoNormalSangraFrancesa"/>
        <w:rPr>
          <w:rStyle w:val="TextoNormalCaracter"/>
        </w:rPr>
      </w:pPr>
      <w:bookmarkStart w:id="967" w:name="DESCRIPTORALFABETICO294"/>
      <w:r w:rsidRPr="00CA5193">
        <w:rPr>
          <w:rStyle w:val="TextoNormalNegritaCaracter"/>
        </w:rPr>
        <w:t>Interpretación de las normas más favorable a los derechos fundamentales</w:t>
      </w:r>
      <w:bookmarkEnd w:id="967"/>
      <w:r w:rsidRPr="00CA5193">
        <w:rPr>
          <w:rStyle w:val="TextoNormalCaracter"/>
        </w:rPr>
        <w:t xml:space="preserve">, Sentencia </w:t>
      </w:r>
      <w:hyperlink w:anchor="SENTENCIA_2007_109" w:history="1">
        <w:r w:rsidRPr="00CA5193">
          <w:rPr>
            <w:rStyle w:val="TextoNormalCaracter"/>
          </w:rPr>
          <w:t>109/2007</w:t>
        </w:r>
      </w:hyperlink>
      <w:r w:rsidRPr="00CA5193">
        <w:rPr>
          <w:rStyle w:val="TextoNormalCaracter"/>
        </w:rPr>
        <w:t>, f. 3.</w:t>
      </w:r>
    </w:p>
    <w:p w:rsidR="00CA5193" w:rsidRPr="00CA5193" w:rsidRDefault="00CA5193" w:rsidP="00CA5193">
      <w:pPr>
        <w:pStyle w:val="TextoNormalSangraFrancesa"/>
        <w:rPr>
          <w:rStyle w:val="TextoNormalCaracter"/>
        </w:rPr>
      </w:pPr>
      <w:bookmarkStart w:id="968" w:name="DESCRIPTORALFABETICO295"/>
      <w:r w:rsidRPr="00CA5193">
        <w:rPr>
          <w:rStyle w:val="TextoNormalNegritaCaracter"/>
        </w:rPr>
        <w:t>Interpretación de los tipos penales</w:t>
      </w:r>
      <w:bookmarkEnd w:id="968"/>
      <w:r w:rsidRPr="00CA5193">
        <w:rPr>
          <w:rStyle w:val="TextoNormalCaracter"/>
        </w:rPr>
        <w:t xml:space="preserve">, Autos </w:t>
      </w:r>
      <w:hyperlink w:anchor="AUTO_2007_245" w:history="1">
        <w:r w:rsidRPr="00CA5193">
          <w:rPr>
            <w:rStyle w:val="TextoNormalCaracter"/>
          </w:rPr>
          <w:t>245/2007</w:t>
        </w:r>
      </w:hyperlink>
      <w:r w:rsidRPr="00CA5193">
        <w:rPr>
          <w:rStyle w:val="TextoNormalCaracter"/>
        </w:rPr>
        <w:t xml:space="preserve">; </w:t>
      </w:r>
      <w:hyperlink w:anchor="AUTO_2007_323" w:history="1">
        <w:r w:rsidRPr="00CA5193">
          <w:rPr>
            <w:rStyle w:val="TextoNormalCaracter"/>
          </w:rPr>
          <w:t>323/2007</w:t>
        </w:r>
      </w:hyperlink>
      <w:r w:rsidRPr="00CA5193">
        <w:rPr>
          <w:rStyle w:val="TextoNormalCaracter"/>
        </w:rPr>
        <w:t>.</w:t>
      </w:r>
    </w:p>
    <w:p w:rsidR="00CA5193" w:rsidRPr="00CA5193" w:rsidRDefault="00CA5193" w:rsidP="00CA5193">
      <w:pPr>
        <w:pStyle w:val="TextoNormalSangraFrancesa"/>
        <w:rPr>
          <w:rStyle w:val="TextoNormalCaracter"/>
        </w:rPr>
      </w:pPr>
      <w:bookmarkStart w:id="969" w:name="DESCRIPTORALFABETICO382"/>
      <w:r w:rsidRPr="00CA5193">
        <w:rPr>
          <w:rStyle w:val="TextoNormalNegritaCaracter"/>
        </w:rPr>
        <w:t>Interrogatorio de testigos</w:t>
      </w:r>
      <w:bookmarkEnd w:id="969"/>
      <w:r w:rsidRPr="00CA5193">
        <w:rPr>
          <w:rStyle w:val="TextoNormalCaracter"/>
        </w:rPr>
        <w:t xml:space="preserve">, Sentencia </w:t>
      </w:r>
      <w:hyperlink w:anchor="SENTENCIA_2007_94" w:history="1">
        <w:r w:rsidRPr="00CA5193">
          <w:rPr>
            <w:rStyle w:val="TextoNormalCaracter"/>
          </w:rPr>
          <w:t>94/2007</w:t>
        </w:r>
      </w:hyperlink>
      <w:r w:rsidRPr="00CA5193">
        <w:rPr>
          <w:rStyle w:val="TextoNormalCaracter"/>
        </w:rPr>
        <w:t>, ff. 3 a 5.</w:t>
      </w:r>
    </w:p>
    <w:p w:rsidR="00CA5193" w:rsidRPr="00CA5193" w:rsidRDefault="00CA5193" w:rsidP="00CA5193">
      <w:pPr>
        <w:pStyle w:val="TextoNormalSangraFrancesa"/>
        <w:rPr>
          <w:rStyle w:val="TextoNormalNegritaCaracter"/>
        </w:rPr>
      </w:pPr>
      <w:r w:rsidRPr="00CA5193">
        <w:rPr>
          <w:rStyle w:val="TextoNormalCursivaCaracter"/>
        </w:rPr>
        <w:t>Intervención de las comunicaciones telefónicas</w:t>
      </w:r>
      <w:r>
        <w:t xml:space="preserve"> véase </w:t>
      </w:r>
      <w:hyperlink w:anchor="DESCRIPTORALFABETICO94" w:history="1">
        <w:r w:rsidRPr="00CA5193">
          <w:rPr>
            <w:rStyle w:val="TextoNormalNegritaCaracter"/>
          </w:rPr>
          <w:t>Intervención telefónica</w:t>
        </w:r>
      </w:hyperlink>
    </w:p>
    <w:p w:rsidR="00CA5193" w:rsidRPr="00CA5193" w:rsidRDefault="00CA5193" w:rsidP="00CA5193">
      <w:pPr>
        <w:pStyle w:val="TextoNormalSangraFrancesa"/>
        <w:rPr>
          <w:rStyle w:val="TextoNormalCaracter"/>
        </w:rPr>
      </w:pPr>
      <w:bookmarkStart w:id="970" w:name="DESCRIPTORALFABETICO94"/>
      <w:r w:rsidRPr="00CA5193">
        <w:rPr>
          <w:rStyle w:val="TextoNormalNegritaCaracter"/>
        </w:rPr>
        <w:lastRenderedPageBreak/>
        <w:t>Intervención telefónica</w:t>
      </w:r>
      <w:bookmarkEnd w:id="970"/>
      <w:r w:rsidRPr="00CA5193">
        <w:rPr>
          <w:rStyle w:val="TextoNormalCaracter"/>
        </w:rPr>
        <w:t xml:space="preserve">, Auto </w:t>
      </w:r>
      <w:hyperlink w:anchor="AUTO_2007_245" w:history="1">
        <w:r w:rsidRPr="00CA5193">
          <w:rPr>
            <w:rStyle w:val="TextoNormalCaracter"/>
          </w:rPr>
          <w:t>245/2007</w:t>
        </w:r>
      </w:hyperlink>
      <w:r w:rsidRPr="00CA5193">
        <w:rPr>
          <w:rStyle w:val="TextoNormalCaracter"/>
        </w:rPr>
        <w:t>.</w:t>
      </w:r>
    </w:p>
    <w:p w:rsidR="00CA5193" w:rsidRPr="00CA5193" w:rsidRDefault="00CA5193" w:rsidP="00CA5193">
      <w:pPr>
        <w:pStyle w:val="TextoNormalSangraFrancesa"/>
        <w:rPr>
          <w:rStyle w:val="TextoNormalCaracter"/>
        </w:rPr>
      </w:pPr>
      <w:bookmarkStart w:id="971" w:name="DESCRIPTORALFABETICO252"/>
      <w:r w:rsidRPr="00CA5193">
        <w:rPr>
          <w:rStyle w:val="TextoNormalNegritaCaracter"/>
        </w:rPr>
        <w:t>Inutilidad para el servicio</w:t>
      </w:r>
      <w:bookmarkEnd w:id="971"/>
      <w:r w:rsidRPr="00CA5193">
        <w:rPr>
          <w:rStyle w:val="TextoNormalCaracter"/>
        </w:rPr>
        <w:t xml:space="preserve">, Sentencia </w:t>
      </w:r>
      <w:hyperlink w:anchor="SENTENCIA_2007_118" w:history="1">
        <w:r w:rsidRPr="00CA5193">
          <w:rPr>
            <w:rStyle w:val="TextoNormalCaracter"/>
          </w:rPr>
          <w:t>118/2007</w:t>
        </w:r>
      </w:hyperlink>
      <w:r w:rsidRPr="00CA5193">
        <w:rPr>
          <w:rStyle w:val="TextoNormalCaracter"/>
        </w:rPr>
        <w:t>, ff. 1, 2.</w:t>
      </w:r>
    </w:p>
    <w:p w:rsidR="00CA5193" w:rsidRPr="00CA5193" w:rsidRDefault="00CA5193" w:rsidP="00CA5193">
      <w:pPr>
        <w:pStyle w:val="TextoNormalSangraFrancesa"/>
        <w:rPr>
          <w:rStyle w:val="TextoNormalCaracter"/>
        </w:rPr>
      </w:pPr>
      <w:bookmarkStart w:id="972" w:name="DESCRIPTORALFABETICO251"/>
      <w:r w:rsidRPr="00CA5193">
        <w:rPr>
          <w:rStyle w:val="TextoNormalNegritaCaracter"/>
        </w:rPr>
        <w:t>Investigación de la paternidad</w:t>
      </w:r>
      <w:bookmarkEnd w:id="972"/>
      <w:r w:rsidRPr="00CA5193">
        <w:rPr>
          <w:rStyle w:val="TextoNormalCaracter"/>
        </w:rPr>
        <w:t xml:space="preserve">, Sentencia </w:t>
      </w:r>
      <w:hyperlink w:anchor="SENTENCIA_2007_177" w:history="1">
        <w:r w:rsidRPr="00CA5193">
          <w:rPr>
            <w:rStyle w:val="TextoNormalCaracter"/>
          </w:rPr>
          <w:t>177/2007</w:t>
        </w:r>
      </w:hyperlink>
      <w:r w:rsidRPr="00CA5193">
        <w:rPr>
          <w:rStyle w:val="TextoNormalCaracter"/>
        </w:rPr>
        <w:t>, f. 4.</w:t>
      </w:r>
    </w:p>
    <w:p w:rsidR="00CA5193" w:rsidRPr="00CA5193" w:rsidRDefault="00CA5193" w:rsidP="00CA5193">
      <w:pPr>
        <w:pStyle w:val="TextoNormalSangraFrancesa"/>
        <w:rPr>
          <w:rStyle w:val="TextoNormalCaracter"/>
        </w:rPr>
      </w:pPr>
      <w:bookmarkStart w:id="973" w:name="DESCRIPTORALFABETICO452"/>
      <w:r w:rsidRPr="00CA5193">
        <w:rPr>
          <w:rStyle w:val="TextoNormalNegritaCaracter"/>
        </w:rPr>
        <w:t>Investigación suficiente</w:t>
      </w:r>
      <w:bookmarkEnd w:id="973"/>
      <w:r w:rsidRPr="00CA5193">
        <w:rPr>
          <w:rStyle w:val="TextoNormalCaracter"/>
        </w:rPr>
        <w:t xml:space="preserve">, Auto </w:t>
      </w:r>
      <w:hyperlink w:anchor="AUTO_2007_246" w:history="1">
        <w:r w:rsidRPr="00CA5193">
          <w:rPr>
            <w:rStyle w:val="TextoNormalCaracter"/>
          </w:rPr>
          <w:t>246/2007</w:t>
        </w:r>
      </w:hyperlink>
      <w:r w:rsidRPr="00CA5193">
        <w:rPr>
          <w:rStyle w:val="TextoNormalCaracter"/>
        </w:rPr>
        <w:t>.</w:t>
      </w:r>
    </w:p>
    <w:p w:rsidR="00CA5193" w:rsidRPr="00CA5193" w:rsidRDefault="00CA5193" w:rsidP="00CA5193">
      <w:pPr>
        <w:pStyle w:val="TextoNormalSangraFrancesa"/>
        <w:rPr>
          <w:rStyle w:val="TextoNormalCaracter"/>
        </w:rPr>
      </w:pPr>
      <w:bookmarkStart w:id="974" w:name="DESCRIPTORALFABETICO161"/>
      <w:r w:rsidRPr="00CA5193">
        <w:rPr>
          <w:rStyle w:val="TextoNormalNegritaCaracter"/>
        </w:rPr>
        <w:t>Invocación extemporánea</w:t>
      </w:r>
      <w:bookmarkEnd w:id="974"/>
      <w:r w:rsidRPr="00CA5193">
        <w:rPr>
          <w:rStyle w:val="TextoNormalCaracter"/>
        </w:rPr>
        <w:t xml:space="preserve">, Sentencia </w:t>
      </w:r>
      <w:hyperlink w:anchor="SENTENCIA_2007_93" w:history="1">
        <w:r w:rsidRPr="00CA5193">
          <w:rPr>
            <w:rStyle w:val="TextoNormalCaracter"/>
          </w:rPr>
          <w:t>93/2007</w:t>
        </w:r>
      </w:hyperlink>
      <w:r w:rsidRPr="00CA5193">
        <w:rPr>
          <w:rStyle w:val="TextoNormalCaracter"/>
        </w:rPr>
        <w:t>, f. 3.</w:t>
      </w:r>
    </w:p>
    <w:p w:rsidR="00CA5193" w:rsidRPr="00CA5193" w:rsidRDefault="00CA5193" w:rsidP="00CA5193">
      <w:pPr>
        <w:pStyle w:val="TextoNormalSangraFrancesa"/>
        <w:rPr>
          <w:rStyle w:val="TextoNormalCaracter"/>
        </w:rPr>
      </w:pPr>
      <w:bookmarkStart w:id="975" w:name="DESCRIPTORALFABETICO66"/>
      <w:r w:rsidRPr="00CA5193">
        <w:rPr>
          <w:rStyle w:val="TextoNormalNegritaCaracter"/>
        </w:rPr>
        <w:t>Irrazonabilidad de las sentencias</w:t>
      </w:r>
      <w:bookmarkEnd w:id="975"/>
      <w:r w:rsidRPr="00CA5193">
        <w:rPr>
          <w:rStyle w:val="TextoNormalCaracter"/>
        </w:rPr>
        <w:t xml:space="preserve">, Sentencia </w:t>
      </w:r>
      <w:hyperlink w:anchor="SENTENCIA_2007_177" w:history="1">
        <w:r w:rsidRPr="00CA5193">
          <w:rPr>
            <w:rStyle w:val="TextoNormalCaracter"/>
          </w:rPr>
          <w:t>177/2007</w:t>
        </w:r>
      </w:hyperlink>
      <w:r w:rsidRPr="00CA5193">
        <w:rPr>
          <w:rStyle w:val="TextoNormalCaracter"/>
        </w:rPr>
        <w:t>, f. 5.</w:t>
      </w:r>
    </w:p>
    <w:p w:rsidR="00CA5193" w:rsidRPr="00CA5193" w:rsidRDefault="00CA5193" w:rsidP="00CA5193">
      <w:pPr>
        <w:pStyle w:val="TextoNormalSangraFrancesa"/>
        <w:rPr>
          <w:rStyle w:val="TextoNormalCaracter"/>
        </w:rPr>
      </w:pPr>
      <w:bookmarkStart w:id="976" w:name="DESCRIPTORALFABETICO20"/>
      <w:r w:rsidRPr="00CA5193">
        <w:rPr>
          <w:rStyle w:val="TextoNormalNegritaCaracter"/>
        </w:rPr>
        <w:t>Irregularidades electorales</w:t>
      </w:r>
      <w:bookmarkEnd w:id="976"/>
      <w:r w:rsidRPr="00CA5193">
        <w:rPr>
          <w:rStyle w:val="TextoNormalCaracter"/>
        </w:rPr>
        <w:t xml:space="preserve">, Sentencias </w:t>
      </w:r>
      <w:hyperlink w:anchor="SENTENCIA_2007_167" w:history="1">
        <w:r w:rsidRPr="00CA5193">
          <w:rPr>
            <w:rStyle w:val="TextoNormalCaracter"/>
          </w:rPr>
          <w:t>167/2007</w:t>
        </w:r>
      </w:hyperlink>
      <w:r w:rsidRPr="00CA5193">
        <w:rPr>
          <w:rStyle w:val="TextoNormalCaracter"/>
        </w:rPr>
        <w:t xml:space="preserve">, f. 8; </w:t>
      </w:r>
      <w:hyperlink w:anchor="SENTENCIA_2007_168" w:history="1">
        <w:r w:rsidRPr="00CA5193">
          <w:rPr>
            <w:rStyle w:val="TextoNormalCaracter"/>
          </w:rPr>
          <w:t>168/2007</w:t>
        </w:r>
      </w:hyperlink>
      <w:r w:rsidRPr="00CA5193">
        <w:rPr>
          <w:rStyle w:val="TextoNormalCaracter"/>
        </w:rPr>
        <w:t xml:space="preserve">, f. 5; </w:t>
      </w:r>
      <w:hyperlink w:anchor="SENTENCIA_2007_169" w:history="1">
        <w:r w:rsidRPr="00CA5193">
          <w:rPr>
            <w:rStyle w:val="TextoNormalCaracter"/>
          </w:rPr>
          <w:t>169/2007</w:t>
        </w:r>
      </w:hyperlink>
      <w:r w:rsidRPr="00CA5193">
        <w:rPr>
          <w:rStyle w:val="TextoNormalCaracter"/>
        </w:rPr>
        <w:t xml:space="preserve">, f. 7; </w:t>
      </w:r>
      <w:hyperlink w:anchor="SENTENCIA_2007_170" w:history="1">
        <w:r w:rsidRPr="00CA5193">
          <w:rPr>
            <w:rStyle w:val="TextoNormalCaracter"/>
          </w:rPr>
          <w:t>170/2007</w:t>
        </w:r>
      </w:hyperlink>
      <w:r w:rsidRPr="00CA5193">
        <w:rPr>
          <w:rStyle w:val="TextoNormalCaracter"/>
        </w:rPr>
        <w:t>, f. 6.</w:t>
      </w:r>
    </w:p>
    <w:p w:rsidR="00CA5193" w:rsidRPr="00CA5193" w:rsidRDefault="00CA5193" w:rsidP="00CA5193">
      <w:pPr>
        <w:pStyle w:val="TextoNormalSangraFrancesa"/>
        <w:rPr>
          <w:rStyle w:val="TextoNormalCaracter"/>
        </w:rPr>
      </w:pPr>
      <w:bookmarkStart w:id="977" w:name="DESCRIPTORALFABETICO347"/>
      <w:r w:rsidRPr="00CA5193">
        <w:rPr>
          <w:rStyle w:val="TextoNormalNegritaCaracter"/>
        </w:rPr>
        <w:t>Irreversibilidad de un proceso fenecido</w:t>
      </w:r>
      <w:bookmarkEnd w:id="977"/>
      <w:r w:rsidRPr="00CA5193">
        <w:rPr>
          <w:rStyle w:val="TextoNormalCaracter"/>
        </w:rPr>
        <w:t xml:space="preserve">, Sentencia </w:t>
      </w:r>
      <w:hyperlink w:anchor="SENTENCIA_2007_91" w:history="1">
        <w:r w:rsidRPr="00CA5193">
          <w:rPr>
            <w:rStyle w:val="TextoNormalCaracter"/>
          </w:rPr>
          <w:t>91/2007</w:t>
        </w:r>
      </w:hyperlink>
      <w:r w:rsidRPr="00CA5193">
        <w:rPr>
          <w:rStyle w:val="TextoNormalCaracter"/>
        </w:rPr>
        <w:t>, f. 4.</w:t>
      </w:r>
    </w:p>
    <w:p w:rsidR="00CA5193" w:rsidRPr="00CA5193" w:rsidRDefault="00CA5193" w:rsidP="00CA5193">
      <w:pPr>
        <w:pStyle w:val="TextoNormalSangraFrancesa"/>
        <w:rPr>
          <w:rStyle w:val="TextoNormalCaracter"/>
        </w:rPr>
      </w:pPr>
      <w:bookmarkStart w:id="978" w:name="DESCRIPTORALFABETICO28"/>
      <w:r w:rsidRPr="00CA5193">
        <w:rPr>
          <w:rStyle w:val="TextoNormalNegritaCaracter"/>
          <w:i/>
        </w:rPr>
        <w:t>Ius in officium</w:t>
      </w:r>
      <w:bookmarkEnd w:id="978"/>
      <w:r w:rsidRPr="00CA5193">
        <w:rPr>
          <w:rStyle w:val="TextoNormalCaracter"/>
        </w:rPr>
        <w:t xml:space="preserve">, Sentencia </w:t>
      </w:r>
      <w:hyperlink w:anchor="SENTENCIA_2007_141" w:history="1">
        <w:r w:rsidRPr="00CA5193">
          <w:rPr>
            <w:rStyle w:val="TextoNormalCaracter"/>
          </w:rPr>
          <w:t>141/2007</w:t>
        </w:r>
      </w:hyperlink>
      <w:r w:rsidRPr="00CA5193">
        <w:rPr>
          <w:rStyle w:val="TextoNormalCaracter"/>
        </w:rPr>
        <w:t>, f. 4.</w:t>
      </w:r>
    </w:p>
    <w:p w:rsidR="00CA5193" w:rsidRPr="00CA5193" w:rsidRDefault="00CA5193" w:rsidP="00CA5193">
      <w:pPr>
        <w:pStyle w:val="TextoNormalSangraFrancesa"/>
        <w:rPr>
          <w:rStyle w:val="TextoNormalCaracter"/>
        </w:rPr>
      </w:pPr>
      <w:bookmarkStart w:id="979" w:name="DESCRIPTORALFABETICO51"/>
      <w:r w:rsidRPr="00CA5193">
        <w:rPr>
          <w:rStyle w:val="TextoNormalNegritaCaracter"/>
          <w:i/>
        </w:rPr>
        <w:t>Ius ut procedatur</w:t>
      </w:r>
      <w:bookmarkEnd w:id="979"/>
      <w:r w:rsidRPr="00CA5193">
        <w:rPr>
          <w:rStyle w:val="TextoNormalCaracter"/>
        </w:rPr>
        <w:t xml:space="preserve">, Auto </w:t>
      </w:r>
      <w:hyperlink w:anchor="AUTO_2007_246" w:history="1">
        <w:r w:rsidRPr="00CA5193">
          <w:rPr>
            <w:rStyle w:val="TextoNormalCaracter"/>
          </w:rPr>
          <w:t>246/2007</w:t>
        </w:r>
      </w:hyperlink>
      <w:r w:rsidRPr="00CA5193">
        <w:rPr>
          <w:rStyle w:val="TextoNormalCaracter"/>
        </w:rPr>
        <w:t>.</w:t>
      </w:r>
    </w:p>
    <w:p w:rsidR="00CA5193" w:rsidRDefault="00CA5193" w:rsidP="00CA5193">
      <w:pPr>
        <w:pStyle w:val="TextoNormalSangraFrancesa"/>
      </w:pPr>
    </w:p>
    <w:p w:rsidR="00CA5193" w:rsidRDefault="00CA5193" w:rsidP="00CA5193">
      <w:pPr>
        <w:pStyle w:val="TextoNormalSangraFrancesa"/>
      </w:pPr>
    </w:p>
    <w:p w:rsidR="00CA5193" w:rsidRDefault="00CA5193" w:rsidP="00CA5193">
      <w:pPr>
        <w:pStyle w:val="TextoNormalNegritaCentrado"/>
      </w:pPr>
      <w:r>
        <w:t>J</w:t>
      </w:r>
    </w:p>
    <w:p w:rsidR="00CA5193" w:rsidRDefault="00CA5193" w:rsidP="00CA5193">
      <w:pPr>
        <w:pStyle w:val="TextoNormalNegritaCentrado"/>
      </w:pPr>
    </w:p>
    <w:p w:rsidR="00CA5193" w:rsidRDefault="00CA5193" w:rsidP="00CA5193">
      <w:pPr>
        <w:pStyle w:val="TextoNormalNegritaCentrado"/>
      </w:pPr>
    </w:p>
    <w:p w:rsidR="00CA5193" w:rsidRDefault="00CA5193" w:rsidP="00CA5193">
      <w:pPr>
        <w:pStyle w:val="TextoNormalNegritaCentrado"/>
      </w:pPr>
    </w:p>
    <w:p w:rsidR="00CA5193" w:rsidRPr="00CA5193" w:rsidRDefault="00CA5193" w:rsidP="00CA5193">
      <w:pPr>
        <w:pStyle w:val="TextoNormalSangraFrancesa"/>
        <w:rPr>
          <w:rStyle w:val="TextoNormalCaracter"/>
        </w:rPr>
      </w:pPr>
      <w:bookmarkStart w:id="980" w:name="DESCRIPTORALFABETICO201"/>
      <w:r w:rsidRPr="00CA5193">
        <w:rPr>
          <w:rStyle w:val="TextoNormalNegritaCaracter"/>
        </w:rPr>
        <w:t>Jueces y magistrados</w:t>
      </w:r>
      <w:bookmarkEnd w:id="980"/>
      <w:r w:rsidRPr="00CA5193">
        <w:rPr>
          <w:rStyle w:val="TextoNormalCaracter"/>
        </w:rPr>
        <w:t xml:space="preserve">, Sentencia </w:t>
      </w:r>
      <w:hyperlink w:anchor="SENTENCIA_2007_116" w:history="1">
        <w:r w:rsidRPr="00CA5193">
          <w:rPr>
            <w:rStyle w:val="TextoNormalCaracter"/>
          </w:rPr>
          <w:t>116/2007</w:t>
        </w:r>
      </w:hyperlink>
      <w:r w:rsidRPr="00CA5193">
        <w:rPr>
          <w:rStyle w:val="TextoNormalCaracter"/>
        </w:rPr>
        <w:t>, ff. 1, 2, 3, 4, 5, 6, 7, 8, 9, 10.</w:t>
      </w:r>
    </w:p>
    <w:p w:rsidR="00CA5193" w:rsidRPr="00CA5193" w:rsidRDefault="00CA5193" w:rsidP="00CA5193">
      <w:pPr>
        <w:pStyle w:val="TextoNormalSangraFrancesa"/>
        <w:rPr>
          <w:rStyle w:val="TextoNormalCaracter"/>
        </w:rPr>
      </w:pPr>
      <w:bookmarkStart w:id="981" w:name="DESCRIPTORALFABETICO453"/>
      <w:r w:rsidRPr="00CA5193">
        <w:rPr>
          <w:rStyle w:val="TextoNormalNegritaCaracter"/>
        </w:rPr>
        <w:t>Juicio de faltas</w:t>
      </w:r>
      <w:bookmarkEnd w:id="981"/>
      <w:r w:rsidRPr="00CA5193">
        <w:rPr>
          <w:rStyle w:val="TextoNormalCaracter"/>
        </w:rPr>
        <w:t xml:space="preserve">, Sentencia </w:t>
      </w:r>
      <w:hyperlink w:anchor="SENTENCIA_2007_122" w:history="1">
        <w:r w:rsidRPr="00CA5193">
          <w:rPr>
            <w:rStyle w:val="TextoNormalCaracter"/>
          </w:rPr>
          <w:t>122/2007</w:t>
        </w:r>
      </w:hyperlink>
      <w:r w:rsidRPr="00CA5193">
        <w:rPr>
          <w:rStyle w:val="TextoNormalCaracter"/>
        </w:rPr>
        <w:t>, ff. 2, 4, 6.</w:t>
      </w:r>
    </w:p>
    <w:p w:rsidR="00CA5193" w:rsidRPr="00CA5193" w:rsidRDefault="00CA5193" w:rsidP="00CA5193">
      <w:pPr>
        <w:pStyle w:val="TextoNormalSangraFrancesa"/>
        <w:rPr>
          <w:rStyle w:val="TextoNormalCaracter"/>
        </w:rPr>
      </w:pPr>
      <w:bookmarkStart w:id="982" w:name="DESCRIPTORALFABETICO150"/>
      <w:r w:rsidRPr="00CA5193">
        <w:rPr>
          <w:rStyle w:val="TextoNormalNegritaCaracter"/>
        </w:rPr>
        <w:t>Juicio de relevancia inconsistente</w:t>
      </w:r>
      <w:bookmarkEnd w:id="982"/>
      <w:r w:rsidRPr="00CA5193">
        <w:rPr>
          <w:rStyle w:val="TextoNormalCaracter"/>
        </w:rPr>
        <w:t xml:space="preserve">, Sentencia </w:t>
      </w:r>
      <w:hyperlink w:anchor="SENTENCIA_2007_166" w:history="1">
        <w:r w:rsidRPr="00CA5193">
          <w:rPr>
            <w:rStyle w:val="TextoNormalCaracter"/>
          </w:rPr>
          <w:t>166/2007</w:t>
        </w:r>
      </w:hyperlink>
      <w:r w:rsidRPr="00CA5193">
        <w:rPr>
          <w:rStyle w:val="TextoNormalCaracter"/>
        </w:rPr>
        <w:t>, f. 7.</w:t>
      </w:r>
    </w:p>
    <w:p w:rsidR="00CA5193" w:rsidRPr="00CA5193" w:rsidRDefault="00CA5193" w:rsidP="00CA5193">
      <w:pPr>
        <w:pStyle w:val="TextoNormalSangraFrancesa"/>
        <w:rPr>
          <w:rStyle w:val="TextoNormalCaracter"/>
        </w:rPr>
      </w:pPr>
      <w:bookmarkStart w:id="983" w:name="DESCRIPTORALFABETICO151"/>
      <w:r w:rsidRPr="00CA5193">
        <w:rPr>
          <w:rStyle w:val="TextoNormalNegritaCaracter"/>
        </w:rPr>
        <w:t>Juicio de relevancia inexistente</w:t>
      </w:r>
      <w:bookmarkEnd w:id="983"/>
      <w:r w:rsidRPr="00CA5193">
        <w:rPr>
          <w:rStyle w:val="TextoNormalCaracter"/>
        </w:rPr>
        <w:t xml:space="preserve">, Auto </w:t>
      </w:r>
      <w:hyperlink w:anchor="AUTO_2007_257" w:history="1">
        <w:r w:rsidRPr="00CA5193">
          <w:rPr>
            <w:rStyle w:val="TextoNormalCaracter"/>
          </w:rPr>
          <w:t>257/2007</w:t>
        </w:r>
      </w:hyperlink>
      <w:r w:rsidRPr="00CA5193">
        <w:rPr>
          <w:rStyle w:val="TextoNormalCaracter"/>
        </w:rPr>
        <w:t>.</w:t>
      </w:r>
    </w:p>
    <w:p w:rsidR="00CA5193" w:rsidRPr="00CA5193" w:rsidRDefault="00CA5193" w:rsidP="00CA5193">
      <w:pPr>
        <w:pStyle w:val="TextoNormalSangraFrancesa"/>
        <w:rPr>
          <w:rStyle w:val="TextoNormalCaracter"/>
        </w:rPr>
      </w:pPr>
      <w:bookmarkStart w:id="984" w:name="DESCRIPTORALFABETICO454"/>
      <w:r w:rsidRPr="00CA5193">
        <w:rPr>
          <w:rStyle w:val="TextoNormalNegritaCaracter"/>
        </w:rPr>
        <w:t>Juicio oral</w:t>
      </w:r>
      <w:bookmarkEnd w:id="984"/>
      <w:r w:rsidRPr="00CA5193">
        <w:rPr>
          <w:rStyle w:val="TextoNormalCaracter"/>
        </w:rPr>
        <w:t xml:space="preserve">, Auto </w:t>
      </w:r>
      <w:hyperlink w:anchor="AUTO_2007_264" w:history="1">
        <w:r w:rsidRPr="00CA5193">
          <w:rPr>
            <w:rStyle w:val="TextoNormalCaracter"/>
          </w:rPr>
          <w:t>264/2007</w:t>
        </w:r>
      </w:hyperlink>
      <w:r w:rsidRPr="00CA5193">
        <w:rPr>
          <w:rStyle w:val="TextoNormalCaracter"/>
        </w:rPr>
        <w:t>.</w:t>
      </w:r>
    </w:p>
    <w:p w:rsidR="00CA5193" w:rsidRPr="00CA5193" w:rsidRDefault="00CA5193" w:rsidP="00CA5193">
      <w:pPr>
        <w:pStyle w:val="TextoNormalSangraFrancesa"/>
        <w:rPr>
          <w:rStyle w:val="TextoNormalNegritaCaracter"/>
        </w:rPr>
      </w:pPr>
      <w:r w:rsidRPr="00CA5193">
        <w:rPr>
          <w:rStyle w:val="TextoNormalCursivaCaracter"/>
        </w:rPr>
        <w:t>Jurisdicción laboral</w:t>
      </w:r>
      <w:r>
        <w:t xml:space="preserve"> véase </w:t>
      </w:r>
      <w:hyperlink w:anchor="DESCRIPTORALFABETICO335" w:history="1">
        <w:r w:rsidRPr="00CA5193">
          <w:rPr>
            <w:rStyle w:val="TextoNormalNegritaCaracter"/>
          </w:rPr>
          <w:t>Jurisdicción social</w:t>
        </w:r>
      </w:hyperlink>
    </w:p>
    <w:p w:rsidR="00CA5193" w:rsidRPr="00CA5193" w:rsidRDefault="00CA5193" w:rsidP="00CA5193">
      <w:pPr>
        <w:pStyle w:val="TextoNormalSangraFrancesa"/>
        <w:rPr>
          <w:rStyle w:val="TextoNormalCaracter"/>
        </w:rPr>
      </w:pPr>
      <w:bookmarkStart w:id="985" w:name="DESCRIPTORALFABETICO335"/>
      <w:r w:rsidRPr="00CA5193">
        <w:rPr>
          <w:rStyle w:val="TextoNormalNegritaCaracter"/>
        </w:rPr>
        <w:t>Jurisdicción social</w:t>
      </w:r>
      <w:bookmarkEnd w:id="985"/>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f. 1.</w:t>
      </w:r>
    </w:p>
    <w:p w:rsidR="00CA5193" w:rsidRPr="00CA5193" w:rsidRDefault="00CA5193" w:rsidP="00CA5193">
      <w:pPr>
        <w:pStyle w:val="TextoNormalSangraFrancesa"/>
        <w:rPr>
          <w:rStyle w:val="TextoNormalCaracter"/>
        </w:rPr>
      </w:pPr>
      <w:bookmarkStart w:id="986" w:name="DESCRIPTORALFABETICO395"/>
      <w:r w:rsidRPr="00CA5193">
        <w:rPr>
          <w:rStyle w:val="TextoNormalNegritaCaracter"/>
        </w:rPr>
        <w:t>Justicia gratuita</w:t>
      </w:r>
      <w:bookmarkEnd w:id="986"/>
      <w:r w:rsidRPr="00CA5193">
        <w:rPr>
          <w:rStyle w:val="TextoNormalCaracter"/>
        </w:rPr>
        <w:t xml:space="preserve">, Sentencias </w:t>
      </w:r>
      <w:hyperlink w:anchor="SENTENCIA_2007_135" w:history="1">
        <w:r w:rsidRPr="00CA5193">
          <w:rPr>
            <w:rStyle w:val="TextoNormalCaracter"/>
          </w:rPr>
          <w:t>135/2007</w:t>
        </w:r>
      </w:hyperlink>
      <w:r w:rsidRPr="00CA5193">
        <w:rPr>
          <w:rStyle w:val="TextoNormalCaracter"/>
        </w:rPr>
        <w:t xml:space="preserve">, f. 2; </w:t>
      </w:r>
      <w:hyperlink w:anchor="SENTENCIA_2007_148" w:history="1">
        <w:r w:rsidRPr="00CA5193">
          <w:rPr>
            <w:rStyle w:val="TextoNormalCaracter"/>
          </w:rPr>
          <w:t>148/2007</w:t>
        </w:r>
      </w:hyperlink>
      <w:r w:rsidRPr="00CA5193">
        <w:rPr>
          <w:rStyle w:val="TextoNormalCaracter"/>
        </w:rPr>
        <w:t>, ff. 2, 3.</w:t>
      </w:r>
    </w:p>
    <w:p w:rsidR="00CA5193" w:rsidRPr="00CA5193" w:rsidRDefault="00CA5193" w:rsidP="00CA5193">
      <w:pPr>
        <w:pStyle w:val="TextoNormalSangraFrancesa"/>
        <w:rPr>
          <w:rStyle w:val="TextoNormalCaracter"/>
        </w:rPr>
      </w:pPr>
      <w:r w:rsidRPr="00CA5193">
        <w:rPr>
          <w:rStyle w:val="TextoNormalCursivaCaracter"/>
        </w:rPr>
        <w:t xml:space="preserve">    Alcance, </w:t>
      </w:r>
      <w:r w:rsidRPr="00CA5193">
        <w:rPr>
          <w:rStyle w:val="TextoNormalCaracter"/>
        </w:rPr>
        <w:t xml:space="preserve">Sentencia </w:t>
      </w:r>
      <w:hyperlink w:anchor="SENTENCIA_2007_135" w:history="1">
        <w:r w:rsidRPr="00CA5193">
          <w:rPr>
            <w:rStyle w:val="TextoNormalCaracter"/>
          </w:rPr>
          <w:t>135/2007</w:t>
        </w:r>
      </w:hyperlink>
      <w:r w:rsidRPr="00CA5193">
        <w:rPr>
          <w:rStyle w:val="TextoNormalCaracter"/>
        </w:rPr>
        <w:t>, f. 2.</w:t>
      </w:r>
    </w:p>
    <w:p w:rsidR="00CA5193" w:rsidRPr="00CA5193" w:rsidRDefault="00CA5193" w:rsidP="00CA5193">
      <w:pPr>
        <w:pStyle w:val="TextoNormalSangraFrancesa"/>
        <w:rPr>
          <w:rStyle w:val="TextoNormalCaracter"/>
        </w:rPr>
      </w:pPr>
      <w:bookmarkStart w:id="987" w:name="DESCRIPTORALFABETICO36"/>
      <w:r w:rsidRPr="00CA5193">
        <w:rPr>
          <w:rStyle w:val="TextoNormalNegritaCaracter"/>
        </w:rPr>
        <w:t>Justificación razonable del tratamiento legal diferenciado</w:t>
      </w:r>
      <w:bookmarkEnd w:id="987"/>
      <w:r w:rsidRPr="00CA5193">
        <w:rPr>
          <w:rStyle w:val="TextoNormalCaracter"/>
        </w:rPr>
        <w:t xml:space="preserve">, Autos </w:t>
      </w:r>
      <w:hyperlink w:anchor="AUTO_2007_352" w:history="1">
        <w:r w:rsidRPr="00CA5193">
          <w:rPr>
            <w:rStyle w:val="TextoNormalCaracter"/>
          </w:rPr>
          <w:t>352/2007</w:t>
        </w:r>
      </w:hyperlink>
      <w:r w:rsidRPr="00CA5193">
        <w:rPr>
          <w:rStyle w:val="TextoNormalCaracter"/>
        </w:rPr>
        <w:t xml:space="preserve">; </w:t>
      </w:r>
      <w:hyperlink w:anchor="AUTO_2007_353" w:history="1">
        <w:r w:rsidRPr="00CA5193">
          <w:rPr>
            <w:rStyle w:val="TextoNormalCaracter"/>
          </w:rPr>
          <w:t>353/2007</w:t>
        </w:r>
      </w:hyperlink>
      <w:r w:rsidRPr="00CA5193">
        <w:rPr>
          <w:rStyle w:val="TextoNormalCaracter"/>
        </w:rPr>
        <w:t>.</w:t>
      </w:r>
    </w:p>
    <w:p w:rsidR="00CA5193" w:rsidRPr="00CA5193" w:rsidRDefault="00CA5193" w:rsidP="00CA5193">
      <w:pPr>
        <w:pStyle w:val="TextoNormalSangraFrancesa"/>
        <w:rPr>
          <w:rStyle w:val="TextoNormalCaracter"/>
        </w:rPr>
      </w:pPr>
      <w:bookmarkStart w:id="988" w:name="DESCRIPTORALFABETICO204"/>
      <w:r w:rsidRPr="00CA5193">
        <w:rPr>
          <w:rStyle w:val="TextoNormalNegritaCaracter"/>
        </w:rPr>
        <w:t>Juzgado de Vigilancia Penitenciaria</w:t>
      </w:r>
      <w:bookmarkEnd w:id="988"/>
      <w:r w:rsidRPr="00CA5193">
        <w:rPr>
          <w:rStyle w:val="TextoNormalCaracter"/>
        </w:rPr>
        <w:t xml:space="preserve">, Sentencias </w:t>
      </w:r>
      <w:hyperlink w:anchor="SENTENCIA_2007_124" w:history="1">
        <w:r w:rsidRPr="00CA5193">
          <w:rPr>
            <w:rStyle w:val="TextoNormalCaracter"/>
          </w:rPr>
          <w:t>124/2007</w:t>
        </w:r>
      </w:hyperlink>
      <w:r w:rsidRPr="00CA5193">
        <w:rPr>
          <w:rStyle w:val="TextoNormalCaracter"/>
        </w:rPr>
        <w:t xml:space="preserve">, ff. 1, 2, 3, 4, 5, 6, 7; </w:t>
      </w:r>
      <w:hyperlink w:anchor="SENTENCIA_2007_155" w:history="1">
        <w:r w:rsidRPr="00CA5193">
          <w:rPr>
            <w:rStyle w:val="TextoNormalCaracter"/>
          </w:rPr>
          <w:t>155/2007</w:t>
        </w:r>
      </w:hyperlink>
      <w:r w:rsidRPr="00CA5193">
        <w:rPr>
          <w:rStyle w:val="TextoNormalCaracter"/>
        </w:rPr>
        <w:t>, f. 4.</w:t>
      </w:r>
    </w:p>
    <w:p w:rsidR="00CA5193" w:rsidRDefault="00CA5193" w:rsidP="00CA5193">
      <w:pPr>
        <w:pStyle w:val="TextoNormalSangraFrancesa"/>
      </w:pPr>
    </w:p>
    <w:p w:rsidR="00CA5193" w:rsidRDefault="00CA5193" w:rsidP="00CA5193">
      <w:pPr>
        <w:pStyle w:val="TextoNormalSangraFrancesa"/>
      </w:pPr>
    </w:p>
    <w:p w:rsidR="00CA5193" w:rsidRDefault="00CA5193" w:rsidP="00CA5193">
      <w:pPr>
        <w:pStyle w:val="TextoNormalNegritaCentrado"/>
      </w:pPr>
      <w:r>
        <w:t>L</w:t>
      </w:r>
    </w:p>
    <w:p w:rsidR="00CA5193" w:rsidRDefault="00CA5193" w:rsidP="00CA5193">
      <w:pPr>
        <w:pStyle w:val="TextoNormalNegritaCentrado"/>
      </w:pPr>
    </w:p>
    <w:p w:rsidR="00CA5193" w:rsidRDefault="00CA5193" w:rsidP="00CA5193">
      <w:pPr>
        <w:pStyle w:val="TextoNormalNegritaCentrado"/>
      </w:pPr>
    </w:p>
    <w:p w:rsidR="00CA5193" w:rsidRDefault="00CA5193" w:rsidP="00CA5193">
      <w:pPr>
        <w:pStyle w:val="TextoNormalNegritaCentrado"/>
      </w:pPr>
    </w:p>
    <w:p w:rsidR="00CA5193" w:rsidRPr="00CA5193" w:rsidRDefault="00CA5193" w:rsidP="00CA5193">
      <w:pPr>
        <w:pStyle w:val="TextoNormalSangraFrancesa"/>
        <w:rPr>
          <w:rStyle w:val="TextoNormalCaracter"/>
        </w:rPr>
      </w:pPr>
      <w:bookmarkStart w:id="989" w:name="DESCRIPTORALFABETICO287"/>
      <w:r w:rsidRPr="00CA5193">
        <w:rPr>
          <w:rStyle w:val="TextoNormalNegritaCaracter"/>
        </w:rPr>
        <w:t>Legislación procesal civil</w:t>
      </w:r>
      <w:bookmarkEnd w:id="989"/>
      <w:r w:rsidRPr="00CA5193">
        <w:rPr>
          <w:rStyle w:val="TextoNormalCaracter"/>
        </w:rPr>
        <w:t xml:space="preserve">, Sentencia </w:t>
      </w:r>
      <w:hyperlink w:anchor="SENTENCIA_2007_130" w:history="1">
        <w:r w:rsidRPr="00CA5193">
          <w:rPr>
            <w:rStyle w:val="TextoNormalCaracter"/>
          </w:rPr>
          <w:t>130/2007</w:t>
        </w:r>
      </w:hyperlink>
      <w:r w:rsidRPr="00CA5193">
        <w:rPr>
          <w:rStyle w:val="TextoNormalCaracter"/>
        </w:rPr>
        <w:t>, f. 4.</w:t>
      </w:r>
    </w:p>
    <w:p w:rsidR="00CA5193" w:rsidRPr="00CA5193" w:rsidRDefault="00CA5193" w:rsidP="00CA5193">
      <w:pPr>
        <w:pStyle w:val="TextoNormalSangraFrancesa"/>
        <w:rPr>
          <w:rStyle w:val="TextoNormalCaracter"/>
        </w:rPr>
      </w:pPr>
      <w:bookmarkStart w:id="990" w:name="DESCRIPTORALFABETICO137"/>
      <w:r w:rsidRPr="00CA5193">
        <w:rPr>
          <w:rStyle w:val="TextoNormalNegritaCaracter"/>
        </w:rPr>
        <w:t>Legitimación en conflictos en defensa de la autonomía local</w:t>
      </w:r>
      <w:bookmarkEnd w:id="990"/>
      <w:r w:rsidRPr="00CA5193">
        <w:rPr>
          <w:rStyle w:val="TextoNormalCaracter"/>
        </w:rPr>
        <w:t xml:space="preserve">, Auto </w:t>
      </w:r>
      <w:hyperlink w:anchor="AUTO_2007_322" w:history="1">
        <w:r w:rsidRPr="00CA5193">
          <w:rPr>
            <w:rStyle w:val="TextoNormalCaracter"/>
          </w:rPr>
          <w:t>322/2007</w:t>
        </w:r>
      </w:hyperlink>
      <w:r w:rsidRPr="00CA5193">
        <w:rPr>
          <w:rStyle w:val="TextoNormalCaracter"/>
        </w:rPr>
        <w:t>.</w:t>
      </w:r>
    </w:p>
    <w:p w:rsidR="00CA5193" w:rsidRPr="00CA5193" w:rsidRDefault="00CA5193" w:rsidP="00CA5193">
      <w:pPr>
        <w:pStyle w:val="TextoNormalSangraFrancesa"/>
        <w:rPr>
          <w:rStyle w:val="TextoNormalCaracter"/>
        </w:rPr>
      </w:pPr>
      <w:bookmarkStart w:id="991" w:name="DESCRIPTORALFABETICO170"/>
      <w:r w:rsidRPr="00CA5193">
        <w:rPr>
          <w:rStyle w:val="TextoNormalNegritaCaracter"/>
        </w:rPr>
        <w:t>Legitimación pasiva en el recurso de amparo</w:t>
      </w:r>
      <w:bookmarkEnd w:id="991"/>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f. 1.</w:t>
      </w:r>
    </w:p>
    <w:p w:rsidR="00CA5193" w:rsidRPr="00CA5193" w:rsidRDefault="00CA5193" w:rsidP="00CA5193">
      <w:pPr>
        <w:pStyle w:val="TextoNormalSangraFrancesa"/>
        <w:rPr>
          <w:rStyle w:val="TextoNormalCaracter"/>
        </w:rPr>
      </w:pPr>
      <w:bookmarkStart w:id="992" w:name="DESCRIPTORALFABETICO400"/>
      <w:r w:rsidRPr="00CA5193">
        <w:rPr>
          <w:rStyle w:val="TextoNormalNegritaCaracter"/>
        </w:rPr>
        <w:t>Legitimación por interés profesional o económico</w:t>
      </w:r>
      <w:bookmarkEnd w:id="992"/>
      <w:r w:rsidRPr="00CA5193">
        <w:rPr>
          <w:rStyle w:val="TextoNormalCaracter"/>
        </w:rPr>
        <w:t xml:space="preserve">, Sentencia </w:t>
      </w:r>
      <w:hyperlink w:anchor="SENTENCIA_2007_153" w:history="1">
        <w:r w:rsidRPr="00CA5193">
          <w:rPr>
            <w:rStyle w:val="TextoNormalCaracter"/>
          </w:rPr>
          <w:t>153/2007</w:t>
        </w:r>
      </w:hyperlink>
      <w:r w:rsidRPr="00CA5193">
        <w:rPr>
          <w:rStyle w:val="TextoNormalCaracter"/>
        </w:rPr>
        <w:t>, ff. 4 a 7.</w:t>
      </w:r>
    </w:p>
    <w:p w:rsidR="00CA5193" w:rsidRPr="00CA5193" w:rsidRDefault="00CA5193" w:rsidP="00CA5193">
      <w:pPr>
        <w:pStyle w:val="TextoNormalSangraFrancesa"/>
        <w:rPr>
          <w:rStyle w:val="TextoNormalCaracter"/>
        </w:rPr>
      </w:pPr>
      <w:bookmarkStart w:id="993" w:name="DESCRIPTORALFABETICO270"/>
      <w:r w:rsidRPr="00CA5193">
        <w:rPr>
          <w:rStyle w:val="TextoNormalNegritaCaracter"/>
        </w:rPr>
        <w:t>Lesiones</w:t>
      </w:r>
      <w:bookmarkEnd w:id="993"/>
      <w:r w:rsidRPr="00CA5193">
        <w:rPr>
          <w:rStyle w:val="TextoNormalCaracter"/>
        </w:rPr>
        <w:t xml:space="preserve">, Sentencia </w:t>
      </w:r>
      <w:hyperlink w:anchor="SENTENCIA_2007_117" w:history="1">
        <w:r w:rsidRPr="00CA5193">
          <w:rPr>
            <w:rStyle w:val="TextoNormalCaracter"/>
          </w:rPr>
          <w:t>117/2007</w:t>
        </w:r>
      </w:hyperlink>
      <w:r w:rsidRPr="00CA5193">
        <w:rPr>
          <w:rStyle w:val="TextoNormalCaracter"/>
        </w:rPr>
        <w:t>, f. 7.</w:t>
      </w:r>
    </w:p>
    <w:p w:rsidR="00CA5193" w:rsidRPr="00CA5193" w:rsidRDefault="00CA5193" w:rsidP="00CA5193">
      <w:pPr>
        <w:pStyle w:val="TextoNormalSangraFrancesa"/>
        <w:rPr>
          <w:rStyle w:val="TextoNormalCaracter"/>
        </w:rPr>
      </w:pPr>
      <w:bookmarkStart w:id="994" w:name="DESCRIPTORALFABETICO288"/>
      <w:r w:rsidRPr="00CA5193">
        <w:rPr>
          <w:rStyle w:val="TextoNormalNegritaCaracter"/>
        </w:rPr>
        <w:t>Leyes autonómicas</w:t>
      </w:r>
      <w:bookmarkEnd w:id="994"/>
      <w:r w:rsidRPr="00CA5193">
        <w:rPr>
          <w:rStyle w:val="TextoNormalCaracter"/>
        </w:rPr>
        <w:t xml:space="preserve">, Sentencia </w:t>
      </w:r>
      <w:hyperlink w:anchor="SENTENCIA_2007_172" w:history="1">
        <w:r w:rsidRPr="00CA5193">
          <w:rPr>
            <w:rStyle w:val="TextoNormalCaracter"/>
          </w:rPr>
          <w:t>172/2007</w:t>
        </w:r>
      </w:hyperlink>
      <w:r w:rsidRPr="00CA5193">
        <w:rPr>
          <w:rStyle w:val="TextoNormalCaracter"/>
        </w:rPr>
        <w:t>, f. 4.</w:t>
      </w:r>
    </w:p>
    <w:p w:rsidR="00CA5193" w:rsidRPr="00CA5193" w:rsidRDefault="00CA5193" w:rsidP="00CA5193">
      <w:pPr>
        <w:pStyle w:val="TextoNormalSangraFrancesa"/>
        <w:rPr>
          <w:rStyle w:val="TextoNormalNegritaCaracter"/>
        </w:rPr>
      </w:pPr>
      <w:r w:rsidRPr="00CA5193">
        <w:rPr>
          <w:rStyle w:val="TextoNormalCursivaCaracter"/>
        </w:rPr>
        <w:t>Leyes de las Comunidades Autónomas</w:t>
      </w:r>
      <w:r>
        <w:t xml:space="preserve"> véase </w:t>
      </w:r>
      <w:hyperlink w:anchor="DESCRIPTORALFABETICO288" w:history="1">
        <w:r w:rsidRPr="00CA5193">
          <w:rPr>
            <w:rStyle w:val="TextoNormalNegritaCaracter"/>
          </w:rPr>
          <w:t>Leyes autonómicas</w:t>
        </w:r>
      </w:hyperlink>
    </w:p>
    <w:p w:rsidR="00CA5193" w:rsidRPr="00CA5193" w:rsidRDefault="00CA5193" w:rsidP="00CA5193">
      <w:pPr>
        <w:pStyle w:val="TextoNormalSangraFrancesa"/>
        <w:rPr>
          <w:rStyle w:val="TextoNormalNegritaCaracter"/>
        </w:rPr>
      </w:pPr>
      <w:r w:rsidRPr="00CA5193">
        <w:rPr>
          <w:rStyle w:val="TextoNormalCursivaCaracter"/>
        </w:rPr>
        <w:t>Libertad de comunicación</w:t>
      </w:r>
      <w:r>
        <w:t xml:space="preserve"> véase </w:t>
      </w:r>
      <w:hyperlink w:anchor="DESCRIPTORALFABETICO100" w:history="1">
        <w:r w:rsidRPr="00CA5193">
          <w:rPr>
            <w:rStyle w:val="TextoNormalNegritaCaracter"/>
          </w:rPr>
          <w:t>Derecho a comunicar libremente información</w:t>
        </w:r>
      </w:hyperlink>
    </w:p>
    <w:p w:rsidR="00CA5193" w:rsidRPr="00CA5193" w:rsidRDefault="00CA5193" w:rsidP="00CA5193">
      <w:pPr>
        <w:pStyle w:val="TextoNormalSangraFrancesa"/>
        <w:rPr>
          <w:rStyle w:val="TextoNormalCaracter"/>
        </w:rPr>
      </w:pPr>
      <w:bookmarkStart w:id="995" w:name="DESCRIPTORALFABETICO97"/>
      <w:r w:rsidRPr="00CA5193">
        <w:rPr>
          <w:rStyle w:val="TextoNormalNegritaCaracter"/>
        </w:rPr>
        <w:t>Libertad de expresión</w:t>
      </w:r>
      <w:bookmarkEnd w:id="995"/>
      <w:r w:rsidRPr="00CA5193">
        <w:rPr>
          <w:rStyle w:val="TextoNormalCaracter"/>
        </w:rPr>
        <w:t xml:space="preserve">, Sentencias </w:t>
      </w:r>
      <w:hyperlink w:anchor="SENTENCIA_2007_125" w:history="1">
        <w:r w:rsidRPr="00CA5193">
          <w:rPr>
            <w:rStyle w:val="TextoNormalCaracter"/>
          </w:rPr>
          <w:t>125/2007</w:t>
        </w:r>
      </w:hyperlink>
      <w:r w:rsidRPr="00CA5193">
        <w:rPr>
          <w:rStyle w:val="TextoNormalCaracter"/>
        </w:rPr>
        <w:t xml:space="preserve">, ff. 1, 2, 3; </w:t>
      </w:r>
      <w:hyperlink w:anchor="SENTENCIA_2007_128" w:history="1">
        <w:r w:rsidRPr="00CA5193">
          <w:rPr>
            <w:rStyle w:val="TextoNormalCaracter"/>
          </w:rPr>
          <w:t>128/2007</w:t>
        </w:r>
      </w:hyperlink>
      <w:r w:rsidRPr="00CA5193">
        <w:rPr>
          <w:rStyle w:val="TextoNormalCaracter"/>
        </w:rPr>
        <w:t>, ff. 4, 10, 11, VP.</w:t>
      </w:r>
    </w:p>
    <w:p w:rsidR="00CA5193" w:rsidRPr="00CA5193" w:rsidRDefault="00CA5193" w:rsidP="00CA5193">
      <w:pPr>
        <w:pStyle w:val="TextoNormalSangraFrancesa"/>
        <w:rPr>
          <w:rStyle w:val="TextoNormalCaracter"/>
        </w:rPr>
      </w:pPr>
      <w:r w:rsidRPr="00CA5193">
        <w:rPr>
          <w:rStyle w:val="TextoNormalCursivaCaracter"/>
        </w:rPr>
        <w:t xml:space="preserve">    Doctrina constitucional, </w:t>
      </w:r>
      <w:r w:rsidRPr="00CA5193">
        <w:rPr>
          <w:rStyle w:val="TextoNormalCaracter"/>
        </w:rPr>
        <w:t xml:space="preserve">Sentencia </w:t>
      </w:r>
      <w:hyperlink w:anchor="SENTENCIA_2007_125" w:history="1">
        <w:r w:rsidRPr="00CA5193">
          <w:rPr>
            <w:rStyle w:val="TextoNormalCaracter"/>
          </w:rPr>
          <w:t>125/2007</w:t>
        </w:r>
      </w:hyperlink>
      <w:r w:rsidRPr="00CA5193">
        <w:rPr>
          <w:rStyle w:val="TextoNormalCaracter"/>
        </w:rPr>
        <w:t>, f. 2.</w:t>
      </w:r>
    </w:p>
    <w:p w:rsidR="00CA5193" w:rsidRPr="00CA5193" w:rsidRDefault="00CA5193" w:rsidP="00CA5193">
      <w:pPr>
        <w:pStyle w:val="TextoNormalSangraFrancesa"/>
        <w:rPr>
          <w:rStyle w:val="TextoNormalCaracter"/>
        </w:rPr>
      </w:pPr>
      <w:bookmarkStart w:id="996" w:name="DESCRIPTORALFABETICO99"/>
      <w:r w:rsidRPr="00CA5193">
        <w:rPr>
          <w:rStyle w:val="TextoNormalNegritaCaracter"/>
        </w:rPr>
        <w:t>Libertad de expresión en el ejercicio de la defensa letrada</w:t>
      </w:r>
      <w:bookmarkEnd w:id="996"/>
      <w:r w:rsidRPr="00CA5193">
        <w:rPr>
          <w:rStyle w:val="TextoNormalCaracter"/>
        </w:rPr>
        <w:t xml:space="preserve">, Sentencia </w:t>
      </w:r>
      <w:hyperlink w:anchor="SENTENCIA_2007_145" w:history="1">
        <w:r w:rsidRPr="00CA5193">
          <w:rPr>
            <w:rStyle w:val="TextoNormalCaracter"/>
          </w:rPr>
          <w:t>145/2007</w:t>
        </w:r>
      </w:hyperlink>
      <w:r w:rsidRPr="00CA5193">
        <w:rPr>
          <w:rStyle w:val="TextoNormalCaracter"/>
        </w:rPr>
        <w:t>, ff. 3, 4.</w:t>
      </w:r>
    </w:p>
    <w:p w:rsidR="00CA5193" w:rsidRPr="00CA5193" w:rsidRDefault="00CA5193" w:rsidP="00CA5193">
      <w:pPr>
        <w:pStyle w:val="TextoNormalSangraFrancesa"/>
        <w:rPr>
          <w:rStyle w:val="TextoNormalCaracter"/>
        </w:rPr>
      </w:pPr>
      <w:bookmarkStart w:id="997" w:name="DESCRIPTORALFABETICO103"/>
      <w:r w:rsidRPr="00CA5193">
        <w:rPr>
          <w:rStyle w:val="TextoNormalNegritaCaracter"/>
        </w:rPr>
        <w:t>Libertad ideológica, religiosa y de culto</w:t>
      </w:r>
      <w:bookmarkEnd w:id="997"/>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VP.</w:t>
      </w:r>
    </w:p>
    <w:p w:rsidR="00CA5193" w:rsidRPr="00CA5193" w:rsidRDefault="00CA5193" w:rsidP="00CA5193">
      <w:pPr>
        <w:pStyle w:val="TextoNormalSangraFrancesa"/>
        <w:rPr>
          <w:rStyle w:val="TextoNormalCaracter"/>
        </w:rPr>
      </w:pPr>
      <w:bookmarkStart w:id="998" w:name="DESCRIPTORALFABETICO104"/>
      <w:r w:rsidRPr="00CA5193">
        <w:rPr>
          <w:rStyle w:val="TextoNormalNegritaCaracter"/>
        </w:rPr>
        <w:t>Libertad religiosa y de culto</w:t>
      </w:r>
      <w:bookmarkEnd w:id="998"/>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ff. 4, 5, 7, 9, 10, 11, 12, VP.</w:t>
      </w:r>
    </w:p>
    <w:p w:rsidR="00CA5193" w:rsidRPr="00CA5193" w:rsidRDefault="00CA5193" w:rsidP="00CA5193">
      <w:pPr>
        <w:pStyle w:val="TextoNormalSangraFrancesa"/>
        <w:rPr>
          <w:rStyle w:val="TextoNormalCaracter"/>
        </w:rPr>
      </w:pPr>
      <w:r w:rsidRPr="00CA5193">
        <w:rPr>
          <w:rStyle w:val="TextoNormalCaracter"/>
        </w:rPr>
        <w:lastRenderedPageBreak/>
        <w:t xml:space="preserve">    Auto </w:t>
      </w:r>
      <w:hyperlink w:anchor="AUTO_2007_257" w:history="1">
        <w:r w:rsidRPr="00CA5193">
          <w:rPr>
            <w:rStyle w:val="TextoNormalCaracter"/>
          </w:rPr>
          <w:t>257/2007</w:t>
        </w:r>
      </w:hyperlink>
      <w:r w:rsidRPr="00CA5193">
        <w:rPr>
          <w:rStyle w:val="TextoNormalCaracter"/>
        </w:rPr>
        <w:t>.</w:t>
      </w:r>
    </w:p>
    <w:p w:rsidR="00CA5193" w:rsidRPr="00CA5193" w:rsidRDefault="00CA5193" w:rsidP="00CA5193">
      <w:pPr>
        <w:pStyle w:val="TextoNormalSangraFrancesa"/>
        <w:rPr>
          <w:rStyle w:val="TextoNormalCaracter"/>
        </w:rPr>
      </w:pPr>
      <w:bookmarkStart w:id="999" w:name="DESCRIPTORALFABETICO109"/>
      <w:r w:rsidRPr="00CA5193">
        <w:rPr>
          <w:rStyle w:val="TextoNormalNegritaCaracter"/>
        </w:rPr>
        <w:t>Limitación de derechos fundamentales</w:t>
      </w:r>
      <w:bookmarkEnd w:id="999"/>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f. 11.</w:t>
      </w:r>
    </w:p>
    <w:p w:rsidR="00CA5193" w:rsidRPr="00CA5193" w:rsidRDefault="00CA5193" w:rsidP="00CA5193">
      <w:pPr>
        <w:pStyle w:val="TextoNormalSangraFrancesa"/>
        <w:rPr>
          <w:rStyle w:val="TextoNormalNegritaCaracter"/>
        </w:rPr>
      </w:pPr>
      <w:r w:rsidRPr="00CA5193">
        <w:rPr>
          <w:rStyle w:val="TextoNormalCursivaCaracter"/>
        </w:rPr>
        <w:t>Límite de derechos fundamentales</w:t>
      </w:r>
      <w:r>
        <w:t xml:space="preserve"> véase </w:t>
      </w:r>
      <w:hyperlink w:anchor="DESCRIPTORALFABETICO109" w:history="1">
        <w:r w:rsidRPr="00CA5193">
          <w:rPr>
            <w:rStyle w:val="TextoNormalNegritaCaracter"/>
          </w:rPr>
          <w:t>Limitación de derechos fundamentales</w:t>
        </w:r>
      </w:hyperlink>
    </w:p>
    <w:p w:rsidR="00CA5193" w:rsidRPr="00CA5193" w:rsidRDefault="00CA5193" w:rsidP="00CA5193">
      <w:pPr>
        <w:pStyle w:val="TextoNormalSangraFrancesa"/>
        <w:rPr>
          <w:rStyle w:val="TextoNormalCaracter"/>
        </w:rPr>
      </w:pPr>
      <w:bookmarkStart w:id="1000" w:name="DESCRIPTORALFABETICO106"/>
      <w:r w:rsidRPr="00CA5193">
        <w:rPr>
          <w:rStyle w:val="TextoNormalNegritaCaracter"/>
        </w:rPr>
        <w:t>Límites a la libertad religiosa</w:t>
      </w:r>
      <w:bookmarkEnd w:id="1000"/>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VP.</w:t>
      </w:r>
    </w:p>
    <w:p w:rsidR="00CA5193" w:rsidRPr="00CA5193" w:rsidRDefault="00CA5193" w:rsidP="00CA5193">
      <w:pPr>
        <w:pStyle w:val="TextoNormalSangraFrancesa"/>
        <w:rPr>
          <w:rStyle w:val="TextoNormalNegritaCaracter"/>
        </w:rPr>
      </w:pPr>
      <w:r w:rsidRPr="00CA5193">
        <w:rPr>
          <w:rStyle w:val="TextoNormalCursivaCaracter"/>
        </w:rPr>
        <w:t>Límites en el ejercicio de derechos fundamentales</w:t>
      </w:r>
      <w:r>
        <w:t xml:space="preserve"> véase </w:t>
      </w:r>
      <w:hyperlink w:anchor="DESCRIPTORALFABETICO109" w:history="1">
        <w:r w:rsidRPr="00CA5193">
          <w:rPr>
            <w:rStyle w:val="TextoNormalNegritaCaracter"/>
          </w:rPr>
          <w:t>Limitación de derechos fundamentales</w:t>
        </w:r>
      </w:hyperlink>
    </w:p>
    <w:p w:rsidR="00CA5193" w:rsidRPr="00CA5193" w:rsidRDefault="00CA5193" w:rsidP="00CA5193">
      <w:pPr>
        <w:pStyle w:val="TextoNormalSangraFrancesa"/>
        <w:rPr>
          <w:rStyle w:val="TextoNormalCaracter"/>
        </w:rPr>
      </w:pPr>
      <w:bookmarkStart w:id="1001" w:name="DESCRIPTORALFABETICO1"/>
      <w:r w:rsidRPr="00CA5193">
        <w:rPr>
          <w:rStyle w:val="TextoNormalNegritaCaracter"/>
        </w:rPr>
        <w:t>Liquidaciones tributarias</w:t>
      </w:r>
      <w:bookmarkEnd w:id="1001"/>
      <w:r w:rsidRPr="00CA5193">
        <w:rPr>
          <w:rStyle w:val="TextoNormalCaracter"/>
        </w:rPr>
        <w:t xml:space="preserve">, Auto </w:t>
      </w:r>
      <w:hyperlink w:anchor="AUTO_2007_335" w:history="1">
        <w:r w:rsidRPr="00CA5193">
          <w:rPr>
            <w:rStyle w:val="TextoNormalCaracter"/>
          </w:rPr>
          <w:t>335/2007</w:t>
        </w:r>
      </w:hyperlink>
      <w:r w:rsidRPr="00CA5193">
        <w:rPr>
          <w:rStyle w:val="TextoNormalCaracter"/>
        </w:rPr>
        <w:t>.</w:t>
      </w:r>
    </w:p>
    <w:p w:rsidR="00CA5193" w:rsidRDefault="00CA5193" w:rsidP="00CA5193">
      <w:pPr>
        <w:pStyle w:val="TextoNormalSangraFrancesa"/>
      </w:pPr>
    </w:p>
    <w:p w:rsidR="00CA5193" w:rsidRDefault="00CA5193" w:rsidP="00CA5193">
      <w:pPr>
        <w:pStyle w:val="TextoNormalSangraFrancesa"/>
      </w:pPr>
    </w:p>
    <w:p w:rsidR="00CA5193" w:rsidRDefault="00CA5193" w:rsidP="00CA5193">
      <w:pPr>
        <w:pStyle w:val="TextoNormalNegritaCentrado"/>
      </w:pPr>
      <w:r>
        <w:t>M</w:t>
      </w:r>
    </w:p>
    <w:p w:rsidR="00CA5193" w:rsidRDefault="00CA5193" w:rsidP="00CA5193">
      <w:pPr>
        <w:pStyle w:val="TextoNormalNegritaCentrado"/>
      </w:pPr>
    </w:p>
    <w:p w:rsidR="00CA5193" w:rsidRDefault="00CA5193" w:rsidP="00CA5193">
      <w:pPr>
        <w:pStyle w:val="TextoNormalNegritaCentrado"/>
      </w:pPr>
    </w:p>
    <w:p w:rsidR="00CA5193" w:rsidRDefault="00CA5193" w:rsidP="00CA5193">
      <w:pPr>
        <w:pStyle w:val="TextoNormalNegritaCentrado"/>
      </w:pPr>
    </w:p>
    <w:p w:rsidR="00CA5193" w:rsidRPr="00CA5193" w:rsidRDefault="00CA5193" w:rsidP="00CA5193">
      <w:pPr>
        <w:pStyle w:val="TextoNormalSangraFrancesa"/>
        <w:rPr>
          <w:rStyle w:val="TextoNormalCaracter"/>
        </w:rPr>
      </w:pPr>
      <w:bookmarkStart w:id="1002" w:name="DESCRIPTORALFABETICO130"/>
      <w:r w:rsidRPr="00CA5193">
        <w:rPr>
          <w:rStyle w:val="TextoNormalNegritaCaracter"/>
        </w:rPr>
        <w:t>Mantenimiento de la suspensión de disposiciones de las Comunidades Autónomas</w:t>
      </w:r>
      <w:bookmarkEnd w:id="1002"/>
      <w:r w:rsidRPr="00CA5193">
        <w:rPr>
          <w:rStyle w:val="TextoNormalCaracter"/>
        </w:rPr>
        <w:t xml:space="preserve">, Auto </w:t>
      </w:r>
      <w:hyperlink w:anchor="AUTO_2007_355" w:history="1">
        <w:r w:rsidRPr="00CA5193">
          <w:rPr>
            <w:rStyle w:val="TextoNormalCaracter"/>
          </w:rPr>
          <w:t>355/2007</w:t>
        </w:r>
      </w:hyperlink>
      <w:r w:rsidRPr="00CA5193">
        <w:rPr>
          <w:rStyle w:val="TextoNormalCaracter"/>
        </w:rPr>
        <w:t>.</w:t>
      </w:r>
    </w:p>
    <w:p w:rsidR="00CA5193" w:rsidRPr="00CA5193" w:rsidRDefault="00CA5193" w:rsidP="00CA5193">
      <w:pPr>
        <w:pStyle w:val="TextoNormalSangraFrancesa"/>
        <w:rPr>
          <w:rStyle w:val="TextoNormalCaracter"/>
        </w:rPr>
      </w:pPr>
      <w:bookmarkStart w:id="1003" w:name="DESCRIPTORALFABETICO459"/>
      <w:r w:rsidRPr="00CA5193">
        <w:rPr>
          <w:rStyle w:val="TextoNormalNegritaCaracter"/>
        </w:rPr>
        <w:t>Mantenimiento de prisión provisional</w:t>
      </w:r>
      <w:bookmarkEnd w:id="1003"/>
      <w:r w:rsidRPr="00CA5193">
        <w:rPr>
          <w:rStyle w:val="TextoNormalCaracter"/>
        </w:rPr>
        <w:t xml:space="preserve">, Sentencia </w:t>
      </w:r>
      <w:hyperlink w:anchor="SENTENCIA_2007_95" w:history="1">
        <w:r w:rsidRPr="00CA5193">
          <w:rPr>
            <w:rStyle w:val="TextoNormalCaracter"/>
          </w:rPr>
          <w:t>95/2007</w:t>
        </w:r>
      </w:hyperlink>
      <w:r w:rsidRPr="00CA5193">
        <w:rPr>
          <w:rStyle w:val="TextoNormalCaracter"/>
        </w:rPr>
        <w:t>, f. 5.</w:t>
      </w:r>
    </w:p>
    <w:p w:rsidR="00CA5193" w:rsidRPr="00CA5193" w:rsidRDefault="00CA5193" w:rsidP="00CA5193">
      <w:pPr>
        <w:pStyle w:val="TextoNormalSangraFrancesa"/>
        <w:rPr>
          <w:rStyle w:val="TextoNormalCaracter"/>
        </w:rPr>
      </w:pPr>
      <w:bookmarkStart w:id="1004" w:name="DESCRIPTORALFABETICO277"/>
      <w:r w:rsidRPr="00CA5193">
        <w:rPr>
          <w:rStyle w:val="TextoNormalNegritaCaracter"/>
        </w:rPr>
        <w:t>Medios de comunicación</w:t>
      </w:r>
      <w:bookmarkEnd w:id="1004"/>
      <w:r w:rsidRPr="00CA5193">
        <w:rPr>
          <w:rStyle w:val="TextoNormalCaracter"/>
        </w:rPr>
        <w:t xml:space="preserve">, Sentencia </w:t>
      </w:r>
      <w:hyperlink w:anchor="SENTENCIA_2007_125" w:history="1">
        <w:r w:rsidRPr="00CA5193">
          <w:rPr>
            <w:rStyle w:val="TextoNormalCaracter"/>
          </w:rPr>
          <w:t>125/2007</w:t>
        </w:r>
      </w:hyperlink>
      <w:r w:rsidRPr="00CA5193">
        <w:rPr>
          <w:rStyle w:val="TextoNormalCaracter"/>
        </w:rPr>
        <w:t>, ff. 2, 3.</w:t>
      </w:r>
    </w:p>
    <w:p w:rsidR="00CA5193" w:rsidRPr="00CA5193" w:rsidRDefault="00CA5193" w:rsidP="00CA5193">
      <w:pPr>
        <w:pStyle w:val="TextoNormalSangraFrancesa"/>
        <w:rPr>
          <w:rStyle w:val="TextoNormalCaracter"/>
        </w:rPr>
      </w:pPr>
      <w:bookmarkStart w:id="1005" w:name="DESCRIPTORALFABETICO253"/>
      <w:r w:rsidRPr="00CA5193">
        <w:rPr>
          <w:rStyle w:val="TextoNormalNegritaCaracter"/>
        </w:rPr>
        <w:t>Militares</w:t>
      </w:r>
      <w:bookmarkEnd w:id="1005"/>
      <w:r w:rsidRPr="00CA5193">
        <w:rPr>
          <w:rStyle w:val="TextoNormalCaracter"/>
        </w:rPr>
        <w:t xml:space="preserve">, Sentencia </w:t>
      </w:r>
      <w:hyperlink w:anchor="SENTENCIA_2007_118" w:history="1">
        <w:r w:rsidRPr="00CA5193">
          <w:rPr>
            <w:rStyle w:val="TextoNormalCaracter"/>
          </w:rPr>
          <w:t>118/2007</w:t>
        </w:r>
      </w:hyperlink>
      <w:r w:rsidRPr="00CA5193">
        <w:rPr>
          <w:rStyle w:val="TextoNormalCaracter"/>
        </w:rPr>
        <w:t>, ff. 1, 2.</w:t>
      </w:r>
    </w:p>
    <w:p w:rsidR="00CA5193" w:rsidRPr="00CA5193" w:rsidRDefault="00CA5193" w:rsidP="00CA5193">
      <w:pPr>
        <w:pStyle w:val="TextoNormalSangraFrancesa"/>
        <w:rPr>
          <w:rStyle w:val="TextoNormalCaracter"/>
        </w:rPr>
      </w:pPr>
      <w:bookmarkStart w:id="1006" w:name="DESCRIPTORALFABETICO370"/>
      <w:r w:rsidRPr="00CA5193">
        <w:rPr>
          <w:rStyle w:val="TextoNormalNegritaCaracter"/>
        </w:rPr>
        <w:t>Modificación de hechos probados</w:t>
      </w:r>
      <w:bookmarkEnd w:id="1006"/>
      <w:r w:rsidRPr="00CA5193">
        <w:rPr>
          <w:rStyle w:val="TextoNormalCaracter"/>
        </w:rPr>
        <w:t xml:space="preserve">, Sentencia </w:t>
      </w:r>
      <w:hyperlink w:anchor="SENTENCIA_2007_126" w:history="1">
        <w:r w:rsidRPr="00CA5193">
          <w:rPr>
            <w:rStyle w:val="TextoNormalCaracter"/>
          </w:rPr>
          <w:t>126/2007</w:t>
        </w:r>
      </w:hyperlink>
      <w:r w:rsidRPr="00CA5193">
        <w:rPr>
          <w:rStyle w:val="TextoNormalCaracter"/>
        </w:rPr>
        <w:t>, f. 5.</w:t>
      </w:r>
    </w:p>
    <w:p w:rsidR="00CA5193" w:rsidRPr="00CA5193" w:rsidRDefault="00CA5193" w:rsidP="00CA5193">
      <w:pPr>
        <w:pStyle w:val="TextoNormalSangraFrancesa"/>
        <w:rPr>
          <w:rStyle w:val="TextoNormalCaracter"/>
        </w:rPr>
      </w:pPr>
      <w:bookmarkStart w:id="1007" w:name="DESCRIPTORALFABETICO447"/>
      <w:r w:rsidRPr="00CA5193">
        <w:rPr>
          <w:rStyle w:val="TextoNormalNegritaCaracter"/>
        </w:rPr>
        <w:t>Modificación de la calificación jurídica de los hechos</w:t>
      </w:r>
      <w:bookmarkEnd w:id="1007"/>
      <w:r w:rsidRPr="00CA5193">
        <w:rPr>
          <w:rStyle w:val="TextoNormalCaracter"/>
        </w:rPr>
        <w:t xml:space="preserve">, Sentencia </w:t>
      </w:r>
      <w:hyperlink w:anchor="SENTENCIA_2007_126" w:history="1">
        <w:r w:rsidRPr="00CA5193">
          <w:rPr>
            <w:rStyle w:val="TextoNormalCaracter"/>
          </w:rPr>
          <w:t>126/2007</w:t>
        </w:r>
      </w:hyperlink>
      <w:r w:rsidRPr="00CA5193">
        <w:rPr>
          <w:rStyle w:val="TextoNormalCaracter"/>
        </w:rPr>
        <w:t>, ff. 3 a 5.</w:t>
      </w:r>
    </w:p>
    <w:p w:rsidR="00CA5193" w:rsidRPr="00CA5193" w:rsidRDefault="00CA5193" w:rsidP="00CA5193">
      <w:pPr>
        <w:pStyle w:val="TextoNormalSangraFrancesa"/>
        <w:rPr>
          <w:rStyle w:val="TextoNormalCaracter"/>
        </w:rPr>
      </w:pPr>
      <w:bookmarkStart w:id="1008" w:name="DESCRIPTORALFABETICO351"/>
      <w:r w:rsidRPr="00CA5193">
        <w:rPr>
          <w:rStyle w:val="TextoNormalNegritaCaracter"/>
        </w:rPr>
        <w:t>Motivación de la imposición de costas procesales</w:t>
      </w:r>
      <w:bookmarkEnd w:id="1008"/>
      <w:r w:rsidRPr="00CA5193">
        <w:rPr>
          <w:rStyle w:val="TextoNormalCaracter"/>
        </w:rPr>
        <w:t xml:space="preserve">, Sentencia </w:t>
      </w:r>
      <w:hyperlink w:anchor="SENTENCIA_2007_120" w:history="1">
        <w:r w:rsidRPr="00CA5193">
          <w:rPr>
            <w:rStyle w:val="TextoNormalCaracter"/>
          </w:rPr>
          <w:t>120/2007</w:t>
        </w:r>
      </w:hyperlink>
      <w:r w:rsidRPr="00CA5193">
        <w:rPr>
          <w:rStyle w:val="TextoNormalCaracter"/>
        </w:rPr>
        <w:t>, f. 3.</w:t>
      </w:r>
    </w:p>
    <w:p w:rsidR="00CA5193" w:rsidRPr="00CA5193" w:rsidRDefault="00CA5193" w:rsidP="00CA5193">
      <w:pPr>
        <w:pStyle w:val="TextoNormalSangraFrancesa"/>
        <w:rPr>
          <w:rStyle w:val="TextoNormalCaracter"/>
        </w:rPr>
      </w:pPr>
      <w:bookmarkStart w:id="1009" w:name="DESCRIPTORALFABETICO460"/>
      <w:r w:rsidRPr="00CA5193">
        <w:rPr>
          <w:rStyle w:val="TextoNormalNegritaCaracter"/>
        </w:rPr>
        <w:t>Motivación de la prisión provisional por el riesgo de fuga</w:t>
      </w:r>
      <w:bookmarkEnd w:id="1009"/>
      <w:r w:rsidRPr="00CA5193">
        <w:rPr>
          <w:rStyle w:val="TextoNormalCaracter"/>
        </w:rPr>
        <w:t xml:space="preserve">, Sentencias </w:t>
      </w:r>
      <w:hyperlink w:anchor="SENTENCIA_2007_149" w:history="1">
        <w:r w:rsidRPr="00CA5193">
          <w:rPr>
            <w:rStyle w:val="TextoNormalCaracter"/>
          </w:rPr>
          <w:t>149/2007</w:t>
        </w:r>
      </w:hyperlink>
      <w:r w:rsidRPr="00CA5193">
        <w:rPr>
          <w:rStyle w:val="TextoNormalCaracter"/>
        </w:rPr>
        <w:t xml:space="preserve">, ff. 2, 4; </w:t>
      </w:r>
      <w:hyperlink w:anchor="SENTENCIA_2007_151" w:history="1">
        <w:r w:rsidRPr="00CA5193">
          <w:rPr>
            <w:rStyle w:val="TextoNormalCaracter"/>
          </w:rPr>
          <w:t>151/2007</w:t>
        </w:r>
      </w:hyperlink>
      <w:r w:rsidRPr="00CA5193">
        <w:rPr>
          <w:rStyle w:val="TextoNormalCaracter"/>
        </w:rPr>
        <w:t xml:space="preserve">, ff. 2, 4; </w:t>
      </w:r>
      <w:hyperlink w:anchor="SENTENCIA_2007_152" w:history="1">
        <w:r w:rsidRPr="00CA5193">
          <w:rPr>
            <w:rStyle w:val="TextoNormalCaracter"/>
          </w:rPr>
          <w:t>152/2007</w:t>
        </w:r>
      </w:hyperlink>
      <w:r w:rsidRPr="00CA5193">
        <w:rPr>
          <w:rStyle w:val="TextoNormalCaracter"/>
        </w:rPr>
        <w:t>, ff. 3, 5.</w:t>
      </w:r>
    </w:p>
    <w:p w:rsidR="00CA5193" w:rsidRPr="00CA5193" w:rsidRDefault="00CA5193" w:rsidP="00CA5193">
      <w:pPr>
        <w:pStyle w:val="TextoNormalSangraFrancesa"/>
        <w:rPr>
          <w:rStyle w:val="TextoNormalCaracter"/>
        </w:rPr>
      </w:pPr>
      <w:bookmarkStart w:id="1010" w:name="DESCRIPTORALFABETICO202"/>
      <w:r w:rsidRPr="00CA5193">
        <w:rPr>
          <w:rStyle w:val="TextoNormalNegritaCaracter"/>
        </w:rPr>
        <w:t>Motivación de las resoluciones de Juzgados de Vigilancia Penitenciaria</w:t>
      </w:r>
      <w:bookmarkEnd w:id="1010"/>
      <w:r w:rsidRPr="00CA5193">
        <w:rPr>
          <w:rStyle w:val="TextoNormalCaracter"/>
        </w:rPr>
        <w:t xml:space="preserve">, Sentencias </w:t>
      </w:r>
      <w:hyperlink w:anchor="SENTENCIA_2007_124" w:history="1">
        <w:r w:rsidRPr="00CA5193">
          <w:rPr>
            <w:rStyle w:val="TextoNormalCaracter"/>
          </w:rPr>
          <w:t>124/2007</w:t>
        </w:r>
      </w:hyperlink>
      <w:r w:rsidRPr="00CA5193">
        <w:rPr>
          <w:rStyle w:val="TextoNormalCaracter"/>
        </w:rPr>
        <w:t xml:space="preserve">, ff. 1, 2, 3, 4, 5, 6, 7; </w:t>
      </w:r>
      <w:hyperlink w:anchor="SENTENCIA_2007_155" w:history="1">
        <w:r w:rsidRPr="00CA5193">
          <w:rPr>
            <w:rStyle w:val="TextoNormalCaracter"/>
          </w:rPr>
          <w:t>155/2007</w:t>
        </w:r>
      </w:hyperlink>
      <w:r w:rsidRPr="00CA5193">
        <w:rPr>
          <w:rStyle w:val="TextoNormalCaracter"/>
        </w:rPr>
        <w:t>, f. 4.</w:t>
      </w:r>
    </w:p>
    <w:p w:rsidR="00CA5193" w:rsidRPr="00CA5193" w:rsidRDefault="00CA5193" w:rsidP="00CA5193">
      <w:pPr>
        <w:pStyle w:val="TextoNormalSangraFrancesa"/>
        <w:rPr>
          <w:rStyle w:val="TextoNormalCaracter"/>
        </w:rPr>
      </w:pPr>
      <w:bookmarkStart w:id="1011" w:name="DESCRIPTORALFABETICO67"/>
      <w:r w:rsidRPr="00CA5193">
        <w:rPr>
          <w:rStyle w:val="TextoNormalNegritaCaracter"/>
        </w:rPr>
        <w:t>Motivación de las resoluciones judiciales</w:t>
      </w:r>
      <w:bookmarkEnd w:id="1011"/>
      <w:r w:rsidRPr="00CA5193">
        <w:rPr>
          <w:rStyle w:val="TextoNormalCaracter"/>
        </w:rPr>
        <w:t xml:space="preserve">, Sentencias </w:t>
      </w:r>
      <w:hyperlink w:anchor="SENTENCIA_2007_120" w:history="1">
        <w:r w:rsidRPr="00CA5193">
          <w:rPr>
            <w:rStyle w:val="TextoNormalCaracter"/>
          </w:rPr>
          <w:t>120/2007</w:t>
        </w:r>
      </w:hyperlink>
      <w:r w:rsidRPr="00CA5193">
        <w:rPr>
          <w:rStyle w:val="TextoNormalCaracter"/>
        </w:rPr>
        <w:t xml:space="preserve">, f. 2; </w:t>
      </w:r>
      <w:hyperlink w:anchor="SENTENCIA_2007_140" w:history="1">
        <w:r w:rsidRPr="00CA5193">
          <w:rPr>
            <w:rStyle w:val="TextoNormalCaracter"/>
          </w:rPr>
          <w:t>140/2007</w:t>
        </w:r>
      </w:hyperlink>
      <w:r w:rsidRPr="00CA5193">
        <w:rPr>
          <w:rStyle w:val="TextoNormalCaracter"/>
        </w:rPr>
        <w:t>, ff. 2, 3.</w:t>
      </w:r>
    </w:p>
    <w:p w:rsidR="00CA5193" w:rsidRPr="00CA5193" w:rsidRDefault="00CA5193" w:rsidP="00CA5193">
      <w:pPr>
        <w:pStyle w:val="TextoNormalSangraFrancesa"/>
        <w:rPr>
          <w:rStyle w:val="TextoNormalCaracter"/>
        </w:rPr>
      </w:pPr>
      <w:r w:rsidRPr="00CA5193">
        <w:rPr>
          <w:rStyle w:val="TextoNormalCaracter"/>
        </w:rPr>
        <w:t xml:space="preserve">    Auto </w:t>
      </w:r>
      <w:hyperlink w:anchor="AUTO_2007_246" w:history="1">
        <w:r w:rsidRPr="00CA5193">
          <w:rPr>
            <w:rStyle w:val="TextoNormalCaracter"/>
          </w:rPr>
          <w:t>246/2007</w:t>
        </w:r>
      </w:hyperlink>
      <w:r w:rsidRPr="00CA5193">
        <w:rPr>
          <w:rStyle w:val="TextoNormalCaracter"/>
        </w:rPr>
        <w:t>.</w:t>
      </w:r>
    </w:p>
    <w:p w:rsidR="00CA5193" w:rsidRPr="00CA5193" w:rsidRDefault="00CA5193" w:rsidP="00CA5193">
      <w:pPr>
        <w:pStyle w:val="TextoNormalSangraFrancesa"/>
        <w:rPr>
          <w:rStyle w:val="TextoNormalCaracter"/>
        </w:rPr>
      </w:pPr>
      <w:r w:rsidRPr="00CA5193">
        <w:rPr>
          <w:rStyle w:val="TextoNormalCursivaCaracter"/>
        </w:rPr>
        <w:t xml:space="preserve">    Respetado, </w:t>
      </w:r>
      <w:r w:rsidRPr="00CA5193">
        <w:rPr>
          <w:rStyle w:val="TextoNormalCaracter"/>
        </w:rPr>
        <w:t xml:space="preserve">Auto </w:t>
      </w:r>
      <w:hyperlink w:anchor="AUTO_2007_271" w:history="1">
        <w:r w:rsidRPr="00CA5193">
          <w:rPr>
            <w:rStyle w:val="TextoNormalCaracter"/>
          </w:rPr>
          <w:t>271/2007</w:t>
        </w:r>
      </w:hyperlink>
      <w:r w:rsidRPr="00CA5193">
        <w:rPr>
          <w:rStyle w:val="TextoNormalCaracter"/>
        </w:rPr>
        <w:t>.</w:t>
      </w:r>
    </w:p>
    <w:p w:rsidR="00CA5193" w:rsidRPr="00CA5193" w:rsidRDefault="00CA5193" w:rsidP="00CA5193">
      <w:pPr>
        <w:pStyle w:val="TextoNormalSangraFrancesa"/>
        <w:rPr>
          <w:rStyle w:val="TextoNormalCaracter"/>
        </w:rPr>
      </w:pPr>
      <w:r w:rsidRPr="00CA5193">
        <w:rPr>
          <w:rStyle w:val="TextoNormalCursivaCaracter"/>
        </w:rPr>
        <w:t xml:space="preserve">    Vulnerado, </w:t>
      </w:r>
      <w:r w:rsidRPr="00CA5193">
        <w:rPr>
          <w:rStyle w:val="TextoNormalCaracter"/>
        </w:rPr>
        <w:t xml:space="preserve">Sentencias </w:t>
      </w:r>
      <w:hyperlink w:anchor="SENTENCIA_2007_92" w:history="1">
        <w:r w:rsidRPr="00CA5193">
          <w:rPr>
            <w:rStyle w:val="TextoNormalCaracter"/>
          </w:rPr>
          <w:t>92/2007</w:t>
        </w:r>
      </w:hyperlink>
      <w:r w:rsidRPr="00CA5193">
        <w:rPr>
          <w:rStyle w:val="TextoNormalCaracter"/>
        </w:rPr>
        <w:t xml:space="preserve">, ff. 2 a 4; </w:t>
      </w:r>
      <w:hyperlink w:anchor="SENTENCIA_2007_120" w:history="1">
        <w:r w:rsidRPr="00CA5193">
          <w:rPr>
            <w:rStyle w:val="TextoNormalCaracter"/>
          </w:rPr>
          <w:t>120/2007</w:t>
        </w:r>
      </w:hyperlink>
      <w:r w:rsidRPr="00CA5193">
        <w:rPr>
          <w:rStyle w:val="TextoNormalCaracter"/>
        </w:rPr>
        <w:t xml:space="preserve">, ff. 2, 3; </w:t>
      </w:r>
      <w:hyperlink w:anchor="SENTENCIA_2007_124" w:history="1">
        <w:r w:rsidRPr="00CA5193">
          <w:rPr>
            <w:rStyle w:val="TextoNormalCaracter"/>
          </w:rPr>
          <w:t>124/2007</w:t>
        </w:r>
      </w:hyperlink>
      <w:r w:rsidRPr="00CA5193">
        <w:rPr>
          <w:rStyle w:val="TextoNormalCaracter"/>
        </w:rPr>
        <w:t xml:space="preserve">, ff. 2, 3, 5; </w:t>
      </w:r>
      <w:hyperlink w:anchor="SENTENCIA_2007_140" w:history="1">
        <w:r w:rsidRPr="00CA5193">
          <w:rPr>
            <w:rStyle w:val="TextoNormalCaracter"/>
          </w:rPr>
          <w:t>140/2007</w:t>
        </w:r>
      </w:hyperlink>
      <w:r w:rsidRPr="00CA5193">
        <w:rPr>
          <w:rStyle w:val="TextoNormalCaracter"/>
        </w:rPr>
        <w:t xml:space="preserve">, ff. 2, 3; </w:t>
      </w:r>
      <w:hyperlink w:anchor="SENTENCIA_2007_155" w:history="1">
        <w:r w:rsidRPr="00CA5193">
          <w:rPr>
            <w:rStyle w:val="TextoNormalCaracter"/>
          </w:rPr>
          <w:t>155/2007</w:t>
        </w:r>
      </w:hyperlink>
      <w:r w:rsidRPr="00CA5193">
        <w:rPr>
          <w:rStyle w:val="TextoNormalCaracter"/>
        </w:rPr>
        <w:t>, ff. 3, 4.</w:t>
      </w:r>
    </w:p>
    <w:p w:rsidR="00CA5193" w:rsidRPr="00CA5193" w:rsidRDefault="00CA5193" w:rsidP="00CA5193">
      <w:pPr>
        <w:pStyle w:val="TextoNormalSangraFrancesa"/>
        <w:rPr>
          <w:rStyle w:val="TextoNormalCaracter"/>
        </w:rPr>
      </w:pPr>
      <w:bookmarkStart w:id="1012" w:name="DESCRIPTORALFABETICO244"/>
      <w:r w:rsidRPr="00CA5193">
        <w:rPr>
          <w:rStyle w:val="TextoNormalNegritaCaracter"/>
        </w:rPr>
        <w:t>Motivación de las resoluciones sancionadoras disciplinarias</w:t>
      </w:r>
      <w:bookmarkEnd w:id="1012"/>
      <w:r w:rsidRPr="00CA5193">
        <w:rPr>
          <w:rStyle w:val="TextoNormalCaracter"/>
        </w:rPr>
        <w:t xml:space="preserve">, Sentencia </w:t>
      </w:r>
      <w:hyperlink w:anchor="SENTENCIA_2007_116" w:history="1">
        <w:r w:rsidRPr="00CA5193">
          <w:rPr>
            <w:rStyle w:val="TextoNormalCaracter"/>
          </w:rPr>
          <w:t>116/2007</w:t>
        </w:r>
      </w:hyperlink>
      <w:r w:rsidRPr="00CA5193">
        <w:rPr>
          <w:rStyle w:val="TextoNormalCaracter"/>
        </w:rPr>
        <w:t>, f. 7.</w:t>
      </w:r>
    </w:p>
    <w:p w:rsidR="00CA5193" w:rsidRPr="00CA5193" w:rsidRDefault="00CA5193" w:rsidP="00CA5193">
      <w:pPr>
        <w:pStyle w:val="TextoNormalSangraFrancesa"/>
        <w:rPr>
          <w:rStyle w:val="TextoNormalCaracter"/>
        </w:rPr>
      </w:pPr>
      <w:bookmarkStart w:id="1013" w:name="DESCRIPTORALFABETICO71"/>
      <w:r w:rsidRPr="00CA5193">
        <w:rPr>
          <w:rStyle w:val="TextoNormalNegritaCaracter"/>
        </w:rPr>
        <w:t>Motivación de las sentencias</w:t>
      </w:r>
      <w:bookmarkEnd w:id="1013"/>
      <w:r w:rsidRPr="00CA5193">
        <w:rPr>
          <w:rStyle w:val="TextoNormalCaracter"/>
        </w:rPr>
        <w:t xml:space="preserve">, Sentencias </w:t>
      </w:r>
      <w:hyperlink w:anchor="SENTENCIA_2007_149" w:history="1">
        <w:r w:rsidRPr="00CA5193">
          <w:rPr>
            <w:rStyle w:val="TextoNormalCaracter"/>
          </w:rPr>
          <w:t>149/2007</w:t>
        </w:r>
      </w:hyperlink>
      <w:r w:rsidRPr="00CA5193">
        <w:rPr>
          <w:rStyle w:val="TextoNormalCaracter"/>
        </w:rPr>
        <w:t xml:space="preserve">, ff. 2, 4; </w:t>
      </w:r>
      <w:hyperlink w:anchor="SENTENCIA_2007_151" w:history="1">
        <w:r w:rsidRPr="00CA5193">
          <w:rPr>
            <w:rStyle w:val="TextoNormalCaracter"/>
          </w:rPr>
          <w:t>151/2007</w:t>
        </w:r>
      </w:hyperlink>
      <w:r w:rsidRPr="00CA5193">
        <w:rPr>
          <w:rStyle w:val="TextoNormalCaracter"/>
        </w:rPr>
        <w:t xml:space="preserve">, ff. 2, 4; </w:t>
      </w:r>
      <w:hyperlink w:anchor="SENTENCIA_2007_152" w:history="1">
        <w:r w:rsidRPr="00CA5193">
          <w:rPr>
            <w:rStyle w:val="TextoNormalCaracter"/>
          </w:rPr>
          <w:t>152/2007</w:t>
        </w:r>
      </w:hyperlink>
      <w:r w:rsidRPr="00CA5193">
        <w:rPr>
          <w:rStyle w:val="TextoNormalCaracter"/>
        </w:rPr>
        <w:t>, ff. 3, 5.</w:t>
      </w:r>
    </w:p>
    <w:p w:rsidR="00CA5193" w:rsidRPr="00CA5193" w:rsidRDefault="00CA5193" w:rsidP="00CA5193">
      <w:pPr>
        <w:pStyle w:val="TextoNormalSangraFrancesa"/>
        <w:rPr>
          <w:rStyle w:val="TextoNormalCaracter"/>
        </w:rPr>
      </w:pPr>
      <w:r w:rsidRPr="00CA5193">
        <w:rPr>
          <w:rStyle w:val="TextoNormalCaracter"/>
        </w:rPr>
        <w:t xml:space="preserve">    Autos </w:t>
      </w:r>
      <w:hyperlink w:anchor="AUTO_2007_247" w:history="1">
        <w:r w:rsidRPr="00CA5193">
          <w:rPr>
            <w:rStyle w:val="TextoNormalCaracter"/>
          </w:rPr>
          <w:t>247/2007</w:t>
        </w:r>
      </w:hyperlink>
      <w:r w:rsidRPr="00CA5193">
        <w:rPr>
          <w:rStyle w:val="TextoNormalCaracter"/>
        </w:rPr>
        <w:t xml:space="preserve">; </w:t>
      </w:r>
      <w:hyperlink w:anchor="AUTO_2007_264" w:history="1">
        <w:r w:rsidRPr="00CA5193">
          <w:rPr>
            <w:rStyle w:val="TextoNormalCaracter"/>
          </w:rPr>
          <w:t>264/2007</w:t>
        </w:r>
      </w:hyperlink>
      <w:r w:rsidRPr="00CA5193">
        <w:rPr>
          <w:rStyle w:val="TextoNormalCaracter"/>
        </w:rPr>
        <w:t>.</w:t>
      </w:r>
    </w:p>
    <w:p w:rsidR="00CA5193" w:rsidRPr="00CA5193" w:rsidRDefault="00CA5193" w:rsidP="00CA5193">
      <w:pPr>
        <w:pStyle w:val="TextoNormalSangraFrancesa"/>
        <w:rPr>
          <w:rStyle w:val="TextoNormalCaracter"/>
        </w:rPr>
      </w:pPr>
      <w:r w:rsidRPr="00CA5193">
        <w:rPr>
          <w:rStyle w:val="TextoNormalCursivaCaracter"/>
        </w:rPr>
        <w:t xml:space="preserve">    Alcance, </w:t>
      </w:r>
      <w:r w:rsidRPr="00CA5193">
        <w:rPr>
          <w:rStyle w:val="TextoNormalCaracter"/>
        </w:rPr>
        <w:t xml:space="preserve">Sentencia </w:t>
      </w:r>
      <w:hyperlink w:anchor="SENTENCIA_2007_94" w:history="1">
        <w:r w:rsidRPr="00CA5193">
          <w:rPr>
            <w:rStyle w:val="TextoNormalCaracter"/>
          </w:rPr>
          <w:t>94/2007</w:t>
        </w:r>
      </w:hyperlink>
      <w:r w:rsidRPr="00CA5193">
        <w:rPr>
          <w:rStyle w:val="TextoNormalCaracter"/>
        </w:rPr>
        <w:t>, ff. 6, 7.</w:t>
      </w:r>
    </w:p>
    <w:p w:rsidR="00CA5193" w:rsidRPr="00CA5193" w:rsidRDefault="00CA5193" w:rsidP="00CA5193">
      <w:pPr>
        <w:pStyle w:val="TextoNormalSangraFrancesa"/>
        <w:rPr>
          <w:rStyle w:val="TextoNormalCaracter"/>
        </w:rPr>
      </w:pPr>
      <w:r w:rsidRPr="00CA5193">
        <w:rPr>
          <w:rStyle w:val="TextoNormalCursivaCaracter"/>
        </w:rPr>
        <w:t xml:space="preserve">    Respetado, </w:t>
      </w:r>
      <w:r w:rsidRPr="00CA5193">
        <w:rPr>
          <w:rStyle w:val="TextoNormalCaracter"/>
        </w:rPr>
        <w:t xml:space="preserve">Sentencias </w:t>
      </w:r>
      <w:hyperlink w:anchor="SENTENCIA_2007_94" w:history="1">
        <w:r w:rsidRPr="00CA5193">
          <w:rPr>
            <w:rStyle w:val="TextoNormalCaracter"/>
          </w:rPr>
          <w:t>94/2007</w:t>
        </w:r>
      </w:hyperlink>
      <w:r w:rsidRPr="00CA5193">
        <w:rPr>
          <w:rStyle w:val="TextoNormalCaracter"/>
        </w:rPr>
        <w:t xml:space="preserve">, ff. 6, 7; </w:t>
      </w:r>
      <w:hyperlink w:anchor="SENTENCIA_2007_144" w:history="1">
        <w:r w:rsidRPr="00CA5193">
          <w:rPr>
            <w:rStyle w:val="TextoNormalCaracter"/>
          </w:rPr>
          <w:t>144/2007</w:t>
        </w:r>
      </w:hyperlink>
      <w:r w:rsidRPr="00CA5193">
        <w:rPr>
          <w:rStyle w:val="TextoNormalCaracter"/>
        </w:rPr>
        <w:t>, ff. 1, 3.</w:t>
      </w:r>
    </w:p>
    <w:p w:rsidR="00CA5193" w:rsidRPr="00CA5193" w:rsidRDefault="00CA5193" w:rsidP="00CA5193">
      <w:pPr>
        <w:pStyle w:val="TextoNormalSangraFrancesa"/>
        <w:rPr>
          <w:rStyle w:val="TextoNormalCaracter"/>
        </w:rPr>
      </w:pPr>
      <w:r w:rsidRPr="00CA5193">
        <w:rPr>
          <w:rStyle w:val="TextoNormalCaracter"/>
        </w:rPr>
        <w:t xml:space="preserve">    Auto </w:t>
      </w:r>
      <w:hyperlink w:anchor="AUTO_2007_264" w:history="1">
        <w:r w:rsidRPr="00CA5193">
          <w:rPr>
            <w:rStyle w:val="TextoNormalCaracter"/>
          </w:rPr>
          <w:t>264/2007</w:t>
        </w:r>
      </w:hyperlink>
      <w:r w:rsidRPr="00CA5193">
        <w:rPr>
          <w:rStyle w:val="TextoNormalCaracter"/>
        </w:rPr>
        <w:t>.</w:t>
      </w:r>
    </w:p>
    <w:p w:rsidR="00CA5193" w:rsidRPr="00CA5193" w:rsidRDefault="00CA5193" w:rsidP="00CA5193">
      <w:pPr>
        <w:pStyle w:val="TextoNormalSangraFrancesa"/>
        <w:rPr>
          <w:rStyle w:val="TextoNormalCaracter"/>
        </w:rPr>
      </w:pPr>
      <w:bookmarkStart w:id="1014" w:name="DESCRIPTORALFABETICO152"/>
      <w:r w:rsidRPr="00CA5193">
        <w:rPr>
          <w:rStyle w:val="TextoNormalNegritaCaracter"/>
        </w:rPr>
        <w:t>Motivación del Auto de planteamiento de cuestión de inconstitucionalidad</w:t>
      </w:r>
      <w:bookmarkEnd w:id="1014"/>
      <w:r w:rsidRPr="00CA5193">
        <w:rPr>
          <w:rStyle w:val="TextoNormalCaracter"/>
        </w:rPr>
        <w:t xml:space="preserve">, Auto </w:t>
      </w:r>
      <w:hyperlink w:anchor="AUTO_2007_257" w:history="1">
        <w:r w:rsidRPr="00CA5193">
          <w:rPr>
            <w:rStyle w:val="TextoNormalCaracter"/>
          </w:rPr>
          <w:t>257/2007</w:t>
        </w:r>
      </w:hyperlink>
      <w:r w:rsidRPr="00CA5193">
        <w:rPr>
          <w:rStyle w:val="TextoNormalCaracter"/>
        </w:rPr>
        <w:t>.</w:t>
      </w:r>
    </w:p>
    <w:p w:rsidR="00CA5193" w:rsidRPr="00CA5193" w:rsidRDefault="00CA5193" w:rsidP="00CA5193">
      <w:pPr>
        <w:pStyle w:val="TextoNormalSangraFrancesa"/>
        <w:rPr>
          <w:rStyle w:val="TextoNormalCaracter"/>
        </w:rPr>
      </w:pPr>
      <w:bookmarkStart w:id="1015" w:name="DESCRIPTORALFABETICO73"/>
      <w:r w:rsidRPr="00CA5193">
        <w:rPr>
          <w:rStyle w:val="TextoNormalNegritaCaracter"/>
        </w:rPr>
        <w:t>Motivación insuficiente de resoluciones judiciales</w:t>
      </w:r>
      <w:bookmarkEnd w:id="1015"/>
      <w:r w:rsidRPr="00CA5193">
        <w:rPr>
          <w:rStyle w:val="TextoNormalCaracter"/>
        </w:rPr>
        <w:t xml:space="preserve">, Sentencias </w:t>
      </w:r>
      <w:hyperlink w:anchor="SENTENCIA_2007_92" w:history="1">
        <w:r w:rsidRPr="00CA5193">
          <w:rPr>
            <w:rStyle w:val="TextoNormalCaracter"/>
          </w:rPr>
          <w:t>92/2007</w:t>
        </w:r>
      </w:hyperlink>
      <w:r w:rsidRPr="00CA5193">
        <w:rPr>
          <w:rStyle w:val="TextoNormalCaracter"/>
        </w:rPr>
        <w:t xml:space="preserve">, ff. 2 a 4; </w:t>
      </w:r>
      <w:hyperlink w:anchor="SENTENCIA_2007_120" w:history="1">
        <w:r w:rsidRPr="00CA5193">
          <w:rPr>
            <w:rStyle w:val="TextoNormalCaracter"/>
          </w:rPr>
          <w:t>120/2007</w:t>
        </w:r>
      </w:hyperlink>
      <w:r w:rsidRPr="00CA5193">
        <w:rPr>
          <w:rStyle w:val="TextoNormalCaracter"/>
        </w:rPr>
        <w:t xml:space="preserve">, f. 3; </w:t>
      </w:r>
      <w:hyperlink w:anchor="SENTENCIA_2007_122" w:history="1">
        <w:r w:rsidRPr="00CA5193">
          <w:rPr>
            <w:rStyle w:val="TextoNormalCaracter"/>
          </w:rPr>
          <w:t>122/2007</w:t>
        </w:r>
      </w:hyperlink>
      <w:r w:rsidRPr="00CA5193">
        <w:rPr>
          <w:rStyle w:val="TextoNormalCaracter"/>
        </w:rPr>
        <w:t>, ff. 4, 6.</w:t>
      </w:r>
    </w:p>
    <w:p w:rsidR="00CA5193" w:rsidRPr="00CA5193" w:rsidRDefault="00CA5193" w:rsidP="00CA5193">
      <w:pPr>
        <w:pStyle w:val="TextoNormalSangraFrancesa"/>
        <w:rPr>
          <w:rStyle w:val="TextoNormalCaracter"/>
        </w:rPr>
      </w:pPr>
      <w:bookmarkStart w:id="1016" w:name="DESCRIPTORALFABETICO72"/>
      <w:r w:rsidRPr="00CA5193">
        <w:rPr>
          <w:rStyle w:val="TextoNormalNegritaCaracter"/>
        </w:rPr>
        <w:t>Motivación suficiente de sentencias</w:t>
      </w:r>
      <w:bookmarkEnd w:id="1016"/>
      <w:r w:rsidRPr="00CA5193">
        <w:rPr>
          <w:rStyle w:val="TextoNormalCaracter"/>
        </w:rPr>
        <w:t xml:space="preserve">, Sentencia </w:t>
      </w:r>
      <w:hyperlink w:anchor="SENTENCIA_2007_144" w:history="1">
        <w:r w:rsidRPr="00CA5193">
          <w:rPr>
            <w:rStyle w:val="TextoNormalCaracter"/>
          </w:rPr>
          <w:t>144/2007</w:t>
        </w:r>
      </w:hyperlink>
      <w:r w:rsidRPr="00CA5193">
        <w:rPr>
          <w:rStyle w:val="TextoNormalCaracter"/>
        </w:rPr>
        <w:t>, ff. 1, 3.</w:t>
      </w:r>
    </w:p>
    <w:p w:rsidR="00CA5193" w:rsidRPr="00CA5193" w:rsidRDefault="00CA5193" w:rsidP="00CA5193">
      <w:pPr>
        <w:pStyle w:val="TextoNormalSangraFrancesa"/>
        <w:rPr>
          <w:rStyle w:val="TextoNormalCaracter"/>
        </w:rPr>
      </w:pPr>
      <w:bookmarkStart w:id="1017" w:name="DESCRIPTORALFABETICO241"/>
      <w:r w:rsidRPr="00CA5193">
        <w:rPr>
          <w:rStyle w:val="TextoNormalNegritaCaracter"/>
        </w:rPr>
        <w:t>Multas administrativas</w:t>
      </w:r>
      <w:bookmarkEnd w:id="1017"/>
      <w:r w:rsidRPr="00CA5193">
        <w:rPr>
          <w:rStyle w:val="TextoNormalCaracter"/>
        </w:rPr>
        <w:t xml:space="preserve">, Auto </w:t>
      </w:r>
      <w:hyperlink w:anchor="AUTO_2007_229" w:history="1">
        <w:r w:rsidRPr="00CA5193">
          <w:rPr>
            <w:rStyle w:val="TextoNormalCaracter"/>
          </w:rPr>
          <w:t>229/2007</w:t>
        </w:r>
      </w:hyperlink>
      <w:r w:rsidRPr="00CA5193">
        <w:rPr>
          <w:rStyle w:val="TextoNormalCaracter"/>
        </w:rPr>
        <w:t>.</w:t>
      </w:r>
    </w:p>
    <w:p w:rsidR="00CA5193" w:rsidRDefault="00CA5193" w:rsidP="00CA5193">
      <w:pPr>
        <w:pStyle w:val="TextoNormalSangraFrancesa"/>
      </w:pPr>
    </w:p>
    <w:p w:rsidR="00CA5193" w:rsidRDefault="00CA5193" w:rsidP="00CA5193">
      <w:pPr>
        <w:pStyle w:val="TextoNormalSangraFrancesa"/>
      </w:pPr>
    </w:p>
    <w:p w:rsidR="00CA5193" w:rsidRDefault="00CA5193" w:rsidP="00CA5193">
      <w:pPr>
        <w:pStyle w:val="TextoNormalNegritaCentrado"/>
      </w:pPr>
      <w:r>
        <w:t>N</w:t>
      </w:r>
    </w:p>
    <w:p w:rsidR="00CA5193" w:rsidRDefault="00CA5193" w:rsidP="00CA5193">
      <w:pPr>
        <w:pStyle w:val="TextoNormalNegritaCentrado"/>
      </w:pPr>
    </w:p>
    <w:p w:rsidR="00CA5193" w:rsidRDefault="00CA5193" w:rsidP="00CA5193">
      <w:pPr>
        <w:pStyle w:val="TextoNormalNegritaCentrado"/>
      </w:pPr>
    </w:p>
    <w:p w:rsidR="00CA5193" w:rsidRDefault="00CA5193" w:rsidP="00CA5193">
      <w:pPr>
        <w:pStyle w:val="TextoNormalNegritaCentrado"/>
      </w:pPr>
    </w:p>
    <w:p w:rsidR="00CA5193" w:rsidRPr="00CA5193" w:rsidRDefault="00CA5193" w:rsidP="00CA5193">
      <w:pPr>
        <w:pStyle w:val="TextoNormalSangraFrancesa"/>
        <w:rPr>
          <w:rStyle w:val="TextoNormalCaracter"/>
        </w:rPr>
      </w:pPr>
      <w:bookmarkStart w:id="1018" w:name="DESCRIPTORALFABETICO14"/>
      <w:r w:rsidRPr="00CA5193">
        <w:rPr>
          <w:rStyle w:val="TextoNormalNegritaCaracter"/>
        </w:rPr>
        <w:t>Naturaleza de las agrupaciones electorales</w:t>
      </w:r>
      <w:bookmarkEnd w:id="1018"/>
      <w:r w:rsidRPr="00CA5193">
        <w:rPr>
          <w:rStyle w:val="TextoNormalCaracter"/>
        </w:rPr>
        <w:t xml:space="preserve">, Sentencia </w:t>
      </w:r>
      <w:hyperlink w:anchor="SENTENCIA_2007_110" w:history="1">
        <w:r w:rsidRPr="00CA5193">
          <w:rPr>
            <w:rStyle w:val="TextoNormalCaracter"/>
          </w:rPr>
          <w:t>110/2007</w:t>
        </w:r>
      </w:hyperlink>
      <w:r w:rsidRPr="00CA5193">
        <w:rPr>
          <w:rStyle w:val="TextoNormalCaracter"/>
        </w:rPr>
        <w:t>, f. 11.</w:t>
      </w:r>
    </w:p>
    <w:p w:rsidR="00CA5193" w:rsidRPr="00CA5193" w:rsidRDefault="00CA5193" w:rsidP="00CA5193">
      <w:pPr>
        <w:pStyle w:val="TextoNormalSangraFrancesa"/>
        <w:rPr>
          <w:rStyle w:val="TextoNormalCaracter"/>
        </w:rPr>
      </w:pPr>
      <w:bookmarkStart w:id="1019" w:name="DESCRIPTORALFABETICO479"/>
      <w:r w:rsidRPr="00CA5193">
        <w:rPr>
          <w:rStyle w:val="TextoNormalNegritaCaracter"/>
        </w:rPr>
        <w:t>Navarra</w:t>
      </w:r>
      <w:bookmarkEnd w:id="1019"/>
      <w:r w:rsidRPr="00CA5193">
        <w:rPr>
          <w:rStyle w:val="TextoNormalCaracter"/>
        </w:rPr>
        <w:t xml:space="preserve">, Sentencia </w:t>
      </w:r>
      <w:hyperlink w:anchor="SENTENCIA_2007_110" w:history="1">
        <w:r w:rsidRPr="00CA5193">
          <w:rPr>
            <w:rStyle w:val="TextoNormalCaracter"/>
          </w:rPr>
          <w:t>110/2007</w:t>
        </w:r>
      </w:hyperlink>
      <w:r w:rsidRPr="00CA5193">
        <w:rPr>
          <w:rStyle w:val="TextoNormalCaracter"/>
        </w:rPr>
        <w:t>, ff. 1, 2, 3, 4, 5, 6, 7, 8, 9, 10, 11, 12, 13, 14, 15, 16, 17.</w:t>
      </w:r>
    </w:p>
    <w:p w:rsidR="00CA5193" w:rsidRPr="00CA5193" w:rsidRDefault="00CA5193" w:rsidP="00CA5193">
      <w:pPr>
        <w:pStyle w:val="TextoNormalSangraFrancesa"/>
        <w:rPr>
          <w:rStyle w:val="TextoNormalNegritaCaracter"/>
        </w:rPr>
      </w:pPr>
      <w:r w:rsidRPr="00CA5193">
        <w:rPr>
          <w:rStyle w:val="TextoNormalCursivaCaracter"/>
        </w:rPr>
        <w:t>Negativa a la prueba de paternidad</w:t>
      </w:r>
      <w:r>
        <w:t xml:space="preserve"> véase </w:t>
      </w:r>
      <w:hyperlink w:anchor="DESCRIPTORALFABETICO372" w:history="1">
        <w:r w:rsidRPr="00CA5193">
          <w:rPr>
            <w:rStyle w:val="TextoNormalNegritaCaracter"/>
          </w:rPr>
          <w:t>Negativa a la realización de prueba biológica</w:t>
        </w:r>
      </w:hyperlink>
    </w:p>
    <w:p w:rsidR="00CA5193" w:rsidRPr="00CA5193" w:rsidRDefault="00CA5193" w:rsidP="00CA5193">
      <w:pPr>
        <w:pStyle w:val="TextoNormalSangraFrancesa"/>
        <w:rPr>
          <w:rStyle w:val="TextoNormalCaracter"/>
        </w:rPr>
      </w:pPr>
      <w:bookmarkStart w:id="1020" w:name="DESCRIPTORALFABETICO372"/>
      <w:r w:rsidRPr="00CA5193">
        <w:rPr>
          <w:rStyle w:val="TextoNormalNegritaCaracter"/>
        </w:rPr>
        <w:t>Negativa a la realización de prueba biológica</w:t>
      </w:r>
      <w:bookmarkEnd w:id="1020"/>
      <w:r w:rsidRPr="00CA5193">
        <w:rPr>
          <w:rStyle w:val="TextoNormalCaracter"/>
        </w:rPr>
        <w:t xml:space="preserve">, Sentencia </w:t>
      </w:r>
      <w:hyperlink w:anchor="SENTENCIA_2007_177" w:history="1">
        <w:r w:rsidRPr="00CA5193">
          <w:rPr>
            <w:rStyle w:val="TextoNormalCaracter"/>
          </w:rPr>
          <w:t>177/2007</w:t>
        </w:r>
      </w:hyperlink>
      <w:r w:rsidRPr="00CA5193">
        <w:rPr>
          <w:rStyle w:val="TextoNormalCaracter"/>
        </w:rPr>
        <w:t>, ff. 2, 4, 5.</w:t>
      </w:r>
    </w:p>
    <w:p w:rsidR="00CA5193" w:rsidRPr="00CA5193" w:rsidRDefault="00CA5193" w:rsidP="00CA5193">
      <w:pPr>
        <w:pStyle w:val="TextoNormalSangraFrancesa"/>
        <w:rPr>
          <w:rStyle w:val="TextoNormalNegritaCaracter"/>
        </w:rPr>
      </w:pPr>
      <w:r w:rsidRPr="00CA5193">
        <w:rPr>
          <w:rStyle w:val="TextoNormalCursivaCaracter"/>
        </w:rPr>
        <w:t>Nexo causal</w:t>
      </w:r>
      <w:r>
        <w:t xml:space="preserve"> véase </w:t>
      </w:r>
      <w:hyperlink w:anchor="DESCRIPTORALFABETICO319" w:history="1">
        <w:r w:rsidRPr="00CA5193">
          <w:rPr>
            <w:rStyle w:val="TextoNormalNegritaCaracter"/>
          </w:rPr>
          <w:t>Relación de causalidad</w:t>
        </w:r>
      </w:hyperlink>
    </w:p>
    <w:p w:rsidR="00CA5193" w:rsidRPr="00CA5193" w:rsidRDefault="00CA5193" w:rsidP="00CA5193">
      <w:pPr>
        <w:pStyle w:val="TextoNormalSangraFrancesa"/>
        <w:rPr>
          <w:rStyle w:val="TextoNormalNegritaCaracter"/>
        </w:rPr>
      </w:pPr>
      <w:r w:rsidRPr="00CA5193">
        <w:rPr>
          <w:rStyle w:val="TextoNormalCursivaCaracter"/>
        </w:rPr>
        <w:t>Norma con rango de ley</w:t>
      </w:r>
      <w:r>
        <w:t xml:space="preserve"> véase </w:t>
      </w:r>
      <w:hyperlink w:anchor="DESCRIPTORALFABETICO296" w:history="1">
        <w:r w:rsidRPr="00CA5193">
          <w:rPr>
            <w:rStyle w:val="TextoNormalNegritaCaracter"/>
          </w:rPr>
          <w:t>Rango de ley</w:t>
        </w:r>
      </w:hyperlink>
    </w:p>
    <w:p w:rsidR="00CA5193" w:rsidRPr="00CA5193" w:rsidRDefault="00CA5193" w:rsidP="00CA5193">
      <w:pPr>
        <w:pStyle w:val="TextoNormalSangraFrancesa"/>
        <w:rPr>
          <w:rStyle w:val="TextoNormalCaracter"/>
        </w:rPr>
      </w:pPr>
      <w:bookmarkStart w:id="1021" w:name="DESCRIPTORALFABETICO194"/>
      <w:r w:rsidRPr="00CA5193">
        <w:rPr>
          <w:rStyle w:val="TextoNormalNegritaCaracter"/>
        </w:rPr>
        <w:t>Normas de tramitación de procesos constitucionales</w:t>
      </w:r>
      <w:bookmarkEnd w:id="1021"/>
      <w:r w:rsidRPr="00CA5193">
        <w:rPr>
          <w:rStyle w:val="TextoNormalCaracter"/>
        </w:rPr>
        <w:t xml:space="preserve">, Sentencia </w:t>
      </w:r>
      <w:hyperlink w:anchor="SENTENCIA_2007_112" w:history="1">
        <w:r w:rsidRPr="00CA5193">
          <w:rPr>
            <w:rStyle w:val="TextoNormalCaracter"/>
          </w:rPr>
          <w:t>112/2007</w:t>
        </w:r>
      </w:hyperlink>
      <w:r w:rsidRPr="00CA5193">
        <w:rPr>
          <w:rStyle w:val="TextoNormalCaracter"/>
        </w:rPr>
        <w:t>, f. 2.</w:t>
      </w:r>
    </w:p>
    <w:p w:rsidR="00CA5193" w:rsidRPr="00CA5193" w:rsidRDefault="00CA5193" w:rsidP="00CA5193">
      <w:pPr>
        <w:pStyle w:val="TextoNormalSangraFrancesa"/>
        <w:rPr>
          <w:rStyle w:val="TextoNormalCaracter"/>
        </w:rPr>
      </w:pPr>
      <w:bookmarkStart w:id="1022" w:name="DESCRIPTORALFABETICO110"/>
      <w:r w:rsidRPr="00CA5193">
        <w:rPr>
          <w:rStyle w:val="TextoNormalNegritaCaracter"/>
        </w:rPr>
        <w:t>Normas restrictivas de derechos individuales</w:t>
      </w:r>
      <w:bookmarkEnd w:id="1022"/>
      <w:r w:rsidRPr="00CA5193">
        <w:rPr>
          <w:rStyle w:val="TextoNormalCaracter"/>
        </w:rPr>
        <w:t xml:space="preserve">, Sentencia </w:t>
      </w:r>
      <w:hyperlink w:anchor="SENTENCIA_2007_141" w:history="1">
        <w:r w:rsidRPr="00CA5193">
          <w:rPr>
            <w:rStyle w:val="TextoNormalCaracter"/>
          </w:rPr>
          <w:t>141/2007</w:t>
        </w:r>
      </w:hyperlink>
      <w:r w:rsidRPr="00CA5193">
        <w:rPr>
          <w:rStyle w:val="TextoNormalCaracter"/>
        </w:rPr>
        <w:t>, ff. 3, 4.</w:t>
      </w:r>
    </w:p>
    <w:p w:rsidR="00CA5193" w:rsidRPr="00CA5193" w:rsidRDefault="00CA5193" w:rsidP="00CA5193">
      <w:pPr>
        <w:pStyle w:val="TextoNormalSangraFrancesa"/>
        <w:rPr>
          <w:rStyle w:val="TextoNormalNegritaCaracter"/>
        </w:rPr>
      </w:pPr>
      <w:r w:rsidRPr="00CA5193">
        <w:rPr>
          <w:rStyle w:val="TextoNormalCursivaCaracter"/>
        </w:rPr>
        <w:t>Notificación de resoluciones judiciales</w:t>
      </w:r>
      <w:r>
        <w:t xml:space="preserve"> véase </w:t>
      </w:r>
      <w:hyperlink w:anchor="DESCRIPTORALFABETICO343" w:history="1">
        <w:r w:rsidRPr="00CA5193">
          <w:rPr>
            <w:rStyle w:val="TextoNormalNegritaCaracter"/>
          </w:rPr>
          <w:t>Notificación judicial</w:t>
        </w:r>
      </w:hyperlink>
    </w:p>
    <w:p w:rsidR="00CA5193" w:rsidRPr="00CA5193" w:rsidRDefault="00CA5193" w:rsidP="00CA5193">
      <w:pPr>
        <w:pStyle w:val="TextoNormalSangraFrancesa"/>
        <w:rPr>
          <w:rStyle w:val="TextoNormalCaracter"/>
        </w:rPr>
      </w:pPr>
      <w:bookmarkStart w:id="1023" w:name="DESCRIPTORALFABETICO344"/>
      <w:r w:rsidRPr="00CA5193">
        <w:rPr>
          <w:rStyle w:val="TextoNormalNegritaCaracter"/>
        </w:rPr>
        <w:t>Notificación edictal</w:t>
      </w:r>
      <w:bookmarkEnd w:id="1023"/>
      <w:r w:rsidRPr="00CA5193">
        <w:rPr>
          <w:rStyle w:val="TextoNormalCaracter"/>
        </w:rPr>
        <w:t xml:space="preserve">, Sentencia </w:t>
      </w:r>
      <w:hyperlink w:anchor="SENTENCIA_2007_175" w:history="1">
        <w:r w:rsidRPr="00CA5193">
          <w:rPr>
            <w:rStyle w:val="TextoNormalCaracter"/>
          </w:rPr>
          <w:t>175/2007</w:t>
        </w:r>
      </w:hyperlink>
      <w:r w:rsidRPr="00CA5193">
        <w:rPr>
          <w:rStyle w:val="TextoNormalCaracter"/>
        </w:rPr>
        <w:t>, f. 5.</w:t>
      </w:r>
    </w:p>
    <w:p w:rsidR="00CA5193" w:rsidRPr="00CA5193" w:rsidRDefault="00CA5193" w:rsidP="00CA5193">
      <w:pPr>
        <w:pStyle w:val="TextoNormalSangraFrancesa"/>
        <w:rPr>
          <w:rStyle w:val="TextoNormalCaracter"/>
        </w:rPr>
      </w:pPr>
      <w:bookmarkStart w:id="1024" w:name="DESCRIPTORALFABETICO343"/>
      <w:r w:rsidRPr="00CA5193">
        <w:rPr>
          <w:rStyle w:val="TextoNormalNegritaCaracter"/>
        </w:rPr>
        <w:t>Notificación judicial</w:t>
      </w:r>
      <w:bookmarkEnd w:id="1024"/>
      <w:r w:rsidRPr="00CA5193">
        <w:rPr>
          <w:rStyle w:val="TextoNormalCaracter"/>
        </w:rPr>
        <w:t xml:space="preserve">, Sentencias </w:t>
      </w:r>
      <w:hyperlink w:anchor="SENTENCIA_2007_132" w:history="1">
        <w:r w:rsidRPr="00CA5193">
          <w:rPr>
            <w:rStyle w:val="TextoNormalCaracter"/>
          </w:rPr>
          <w:t>132/2007</w:t>
        </w:r>
      </w:hyperlink>
      <w:r w:rsidRPr="00CA5193">
        <w:rPr>
          <w:rStyle w:val="TextoNormalCaracter"/>
        </w:rPr>
        <w:t xml:space="preserve">, f. 5; </w:t>
      </w:r>
      <w:hyperlink w:anchor="SENTENCIA_2007_158" w:history="1">
        <w:r w:rsidRPr="00CA5193">
          <w:rPr>
            <w:rStyle w:val="TextoNormalCaracter"/>
          </w:rPr>
          <w:t>158/2007</w:t>
        </w:r>
      </w:hyperlink>
      <w:r w:rsidRPr="00CA5193">
        <w:rPr>
          <w:rStyle w:val="TextoNormalCaracter"/>
        </w:rPr>
        <w:t xml:space="preserve">, f. 3; </w:t>
      </w:r>
      <w:hyperlink w:anchor="SENTENCIA_2007_175" w:history="1">
        <w:r w:rsidRPr="00CA5193">
          <w:rPr>
            <w:rStyle w:val="TextoNormalCaracter"/>
          </w:rPr>
          <w:t>175/2007</w:t>
        </w:r>
      </w:hyperlink>
      <w:r w:rsidRPr="00CA5193">
        <w:rPr>
          <w:rStyle w:val="TextoNormalCaracter"/>
        </w:rPr>
        <w:t>, f. 5.</w:t>
      </w:r>
    </w:p>
    <w:p w:rsidR="00CA5193" w:rsidRPr="00CA5193" w:rsidRDefault="00CA5193" w:rsidP="00CA5193">
      <w:pPr>
        <w:pStyle w:val="TextoNormalSangraFrancesa"/>
        <w:rPr>
          <w:rStyle w:val="TextoNormalNegritaCaracter"/>
        </w:rPr>
      </w:pPr>
      <w:r w:rsidRPr="00CA5193">
        <w:rPr>
          <w:rStyle w:val="TextoNormalCursivaCaracter"/>
        </w:rPr>
        <w:t>Notificación por edictos</w:t>
      </w:r>
      <w:r>
        <w:t xml:space="preserve"> véase </w:t>
      </w:r>
      <w:hyperlink w:anchor="DESCRIPTORALFABETICO344" w:history="1">
        <w:r w:rsidRPr="00CA5193">
          <w:rPr>
            <w:rStyle w:val="TextoNormalNegritaCaracter"/>
          </w:rPr>
          <w:t>Notificación edictal</w:t>
        </w:r>
      </w:hyperlink>
    </w:p>
    <w:p w:rsidR="00CA5193" w:rsidRDefault="00CA5193" w:rsidP="00CA5193">
      <w:pPr>
        <w:pStyle w:val="TextoNormalSangraFrancesa"/>
      </w:pPr>
    </w:p>
    <w:p w:rsidR="00CA5193" w:rsidRDefault="00CA5193" w:rsidP="00CA5193">
      <w:pPr>
        <w:pStyle w:val="TextoNormalSangraFrancesa"/>
      </w:pPr>
    </w:p>
    <w:p w:rsidR="00CA5193" w:rsidRDefault="00CA5193" w:rsidP="00CA5193">
      <w:pPr>
        <w:pStyle w:val="TextoNormalNegritaCentrado"/>
      </w:pPr>
      <w:r>
        <w:t>O</w:t>
      </w:r>
    </w:p>
    <w:p w:rsidR="00CA5193" w:rsidRDefault="00CA5193" w:rsidP="00CA5193">
      <w:pPr>
        <w:pStyle w:val="TextoNormalNegritaCentrado"/>
      </w:pPr>
    </w:p>
    <w:p w:rsidR="00CA5193" w:rsidRDefault="00CA5193" w:rsidP="00CA5193">
      <w:pPr>
        <w:pStyle w:val="TextoNormalNegritaCentrado"/>
      </w:pPr>
    </w:p>
    <w:p w:rsidR="00CA5193" w:rsidRDefault="00CA5193" w:rsidP="00CA5193">
      <w:pPr>
        <w:pStyle w:val="TextoNormalNegritaCentrado"/>
      </w:pPr>
    </w:p>
    <w:p w:rsidR="00CA5193" w:rsidRPr="00CA5193" w:rsidRDefault="00CA5193" w:rsidP="00CA5193">
      <w:pPr>
        <w:pStyle w:val="TextoNormalSangraFrancesa"/>
        <w:rPr>
          <w:rStyle w:val="TextoNormalCaracter"/>
        </w:rPr>
      </w:pPr>
      <w:bookmarkStart w:id="1025" w:name="DESCRIPTORALFABETICO182"/>
      <w:r w:rsidRPr="00CA5193">
        <w:rPr>
          <w:rStyle w:val="TextoNormalNegritaCaracter"/>
        </w:rPr>
        <w:t>Objeto del recurso de amparo electoral</w:t>
      </w:r>
      <w:bookmarkEnd w:id="1025"/>
      <w:r w:rsidRPr="00CA5193">
        <w:rPr>
          <w:rStyle w:val="TextoNormalCaracter"/>
        </w:rPr>
        <w:t xml:space="preserve">, Sentencia </w:t>
      </w:r>
      <w:hyperlink w:anchor="SENTENCIA_2007_112" w:history="1">
        <w:r w:rsidRPr="00CA5193">
          <w:rPr>
            <w:rStyle w:val="TextoNormalCaracter"/>
          </w:rPr>
          <w:t>112/2007</w:t>
        </w:r>
      </w:hyperlink>
      <w:r w:rsidRPr="00CA5193">
        <w:rPr>
          <w:rStyle w:val="TextoNormalCaracter"/>
        </w:rPr>
        <w:t>, f. 2.</w:t>
      </w:r>
    </w:p>
    <w:p w:rsidR="00CA5193" w:rsidRPr="00CA5193" w:rsidRDefault="00CA5193" w:rsidP="00CA5193">
      <w:pPr>
        <w:pStyle w:val="TextoNormalSangraFrancesa"/>
        <w:rPr>
          <w:rStyle w:val="TextoNormalCaracter"/>
        </w:rPr>
      </w:pPr>
      <w:bookmarkStart w:id="1026" w:name="DESCRIPTORALFABETICO423"/>
      <w:r w:rsidRPr="00CA5193">
        <w:rPr>
          <w:rStyle w:val="TextoNormalNegritaCaracter"/>
        </w:rPr>
        <w:t>Omisión de pronunciamiento sobre el fondo del asunto</w:t>
      </w:r>
      <w:bookmarkEnd w:id="1026"/>
      <w:r w:rsidRPr="00CA5193">
        <w:rPr>
          <w:rStyle w:val="TextoNormalCaracter"/>
        </w:rPr>
        <w:t xml:space="preserve">, Sentencias </w:t>
      </w:r>
      <w:hyperlink w:anchor="SENTENCIA_2007_123" w:history="1">
        <w:r w:rsidRPr="00CA5193">
          <w:rPr>
            <w:rStyle w:val="TextoNormalCaracter"/>
          </w:rPr>
          <w:t>123/2007</w:t>
        </w:r>
      </w:hyperlink>
      <w:r w:rsidRPr="00CA5193">
        <w:rPr>
          <w:rStyle w:val="TextoNormalCaracter"/>
        </w:rPr>
        <w:t xml:space="preserve">, f. 3; </w:t>
      </w:r>
      <w:hyperlink w:anchor="SENTENCIA_2007_154" w:history="1">
        <w:r w:rsidRPr="00CA5193">
          <w:rPr>
            <w:rStyle w:val="TextoNormalCaracter"/>
          </w:rPr>
          <w:t>154/2007</w:t>
        </w:r>
      </w:hyperlink>
      <w:r w:rsidRPr="00CA5193">
        <w:rPr>
          <w:rStyle w:val="TextoNormalCaracter"/>
        </w:rPr>
        <w:t>, f. 3.</w:t>
      </w:r>
    </w:p>
    <w:p w:rsidR="00CA5193" w:rsidRPr="00CA5193" w:rsidRDefault="00CA5193" w:rsidP="00CA5193">
      <w:pPr>
        <w:pStyle w:val="TextoNormalSangraFrancesa"/>
        <w:rPr>
          <w:rStyle w:val="TextoNormalCaracter"/>
        </w:rPr>
      </w:pPr>
      <w:bookmarkStart w:id="1027" w:name="DESCRIPTORALFABETICO168"/>
      <w:r w:rsidRPr="00CA5193">
        <w:rPr>
          <w:rStyle w:val="TextoNormalNegritaCaracter"/>
        </w:rPr>
        <w:t>Orden de análisis del recurso de amparo</w:t>
      </w:r>
      <w:bookmarkEnd w:id="1027"/>
      <w:r w:rsidRPr="00CA5193">
        <w:rPr>
          <w:rStyle w:val="TextoNormalCaracter"/>
        </w:rPr>
        <w:t xml:space="preserve">, Sentencias </w:t>
      </w:r>
      <w:hyperlink w:anchor="SENTENCIA_2007_94" w:history="1">
        <w:r w:rsidRPr="00CA5193">
          <w:rPr>
            <w:rStyle w:val="TextoNormalCaracter"/>
          </w:rPr>
          <w:t>94/2007</w:t>
        </w:r>
      </w:hyperlink>
      <w:r w:rsidRPr="00CA5193">
        <w:rPr>
          <w:rStyle w:val="TextoNormalCaracter"/>
        </w:rPr>
        <w:t xml:space="preserve">, f. 2; </w:t>
      </w:r>
      <w:hyperlink w:anchor="SENTENCIA_2007_135" w:history="1">
        <w:r w:rsidRPr="00CA5193">
          <w:rPr>
            <w:rStyle w:val="TextoNormalCaracter"/>
          </w:rPr>
          <w:t>135/2007</w:t>
        </w:r>
      </w:hyperlink>
      <w:r w:rsidRPr="00CA5193">
        <w:rPr>
          <w:rStyle w:val="TextoNormalCaracter"/>
        </w:rPr>
        <w:t xml:space="preserve">, f. 2; </w:t>
      </w:r>
      <w:hyperlink w:anchor="SENTENCIA_2007_140" w:history="1">
        <w:r w:rsidRPr="00CA5193">
          <w:rPr>
            <w:rStyle w:val="TextoNormalCaracter"/>
          </w:rPr>
          <w:t>140/2007</w:t>
        </w:r>
      </w:hyperlink>
      <w:r w:rsidRPr="00CA5193">
        <w:rPr>
          <w:rStyle w:val="TextoNormalCaracter"/>
        </w:rPr>
        <w:t xml:space="preserve">, ff. 2, 4; </w:t>
      </w:r>
      <w:hyperlink w:anchor="SENTENCIA_2007_146" w:history="1">
        <w:r w:rsidRPr="00CA5193">
          <w:rPr>
            <w:rStyle w:val="TextoNormalCaracter"/>
          </w:rPr>
          <w:t>146/2007</w:t>
        </w:r>
      </w:hyperlink>
      <w:r w:rsidRPr="00CA5193">
        <w:rPr>
          <w:rStyle w:val="TextoNormalCaracter"/>
        </w:rPr>
        <w:t xml:space="preserve">, f. 2; </w:t>
      </w:r>
      <w:hyperlink w:anchor="SENTENCIA_2007_156" w:history="1">
        <w:r w:rsidRPr="00CA5193">
          <w:rPr>
            <w:rStyle w:val="TextoNormalCaracter"/>
          </w:rPr>
          <w:t>156/2007</w:t>
        </w:r>
      </w:hyperlink>
      <w:r w:rsidRPr="00CA5193">
        <w:rPr>
          <w:rStyle w:val="TextoNormalCaracter"/>
        </w:rPr>
        <w:t>, f. 3.</w:t>
      </w:r>
    </w:p>
    <w:p w:rsidR="00CA5193" w:rsidRPr="00CA5193" w:rsidRDefault="00CA5193" w:rsidP="00CA5193">
      <w:pPr>
        <w:pStyle w:val="TextoNormalSangraFrancesa"/>
        <w:rPr>
          <w:rStyle w:val="TextoNormalCaracter"/>
        </w:rPr>
      </w:pPr>
      <w:bookmarkStart w:id="1028" w:name="DESCRIPTORALFABETICO455"/>
      <w:r w:rsidRPr="00CA5193">
        <w:rPr>
          <w:rStyle w:val="TextoNormalNegritaCaracter"/>
        </w:rPr>
        <w:t>Orden europea de detención y entrega</w:t>
      </w:r>
      <w:bookmarkEnd w:id="1028"/>
      <w:r w:rsidRPr="00CA5193">
        <w:rPr>
          <w:rStyle w:val="TextoNormalCaracter"/>
        </w:rPr>
        <w:t xml:space="preserve">, Sentencia </w:t>
      </w:r>
      <w:hyperlink w:anchor="SENTENCIA_2007_95" w:history="1">
        <w:r w:rsidRPr="00CA5193">
          <w:rPr>
            <w:rStyle w:val="TextoNormalCaracter"/>
          </w:rPr>
          <w:t>95/2007</w:t>
        </w:r>
      </w:hyperlink>
      <w:r w:rsidRPr="00CA5193">
        <w:rPr>
          <w:rStyle w:val="TextoNormalCaracter"/>
        </w:rPr>
        <w:t>, ff. 6, 7.</w:t>
      </w:r>
    </w:p>
    <w:p w:rsidR="00CA5193" w:rsidRPr="00CA5193" w:rsidRDefault="00CA5193" w:rsidP="00CA5193">
      <w:pPr>
        <w:pStyle w:val="TextoNormalSangraFrancesa"/>
        <w:rPr>
          <w:rStyle w:val="TextoNormalCaracter"/>
        </w:rPr>
      </w:pPr>
      <w:bookmarkStart w:id="1029" w:name="DESCRIPTORALFABETICO231"/>
      <w:r w:rsidRPr="00CA5193">
        <w:rPr>
          <w:rStyle w:val="TextoNormalNegritaCaracter"/>
        </w:rPr>
        <w:t>Orden público</w:t>
      </w:r>
      <w:bookmarkEnd w:id="1029"/>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VP.</w:t>
      </w:r>
    </w:p>
    <w:p w:rsidR="00CA5193" w:rsidRDefault="00CA5193" w:rsidP="00CA5193">
      <w:pPr>
        <w:pStyle w:val="TextoNormalSangraFrancesa"/>
      </w:pPr>
    </w:p>
    <w:p w:rsidR="00CA5193" w:rsidRDefault="00CA5193" w:rsidP="00CA5193">
      <w:pPr>
        <w:pStyle w:val="TextoNormalSangraFrancesa"/>
      </w:pPr>
    </w:p>
    <w:p w:rsidR="00CA5193" w:rsidRDefault="00CA5193" w:rsidP="00CA5193">
      <w:pPr>
        <w:pStyle w:val="TextoNormalNegritaCentrado"/>
      </w:pPr>
      <w:r>
        <w:t>P</w:t>
      </w:r>
    </w:p>
    <w:p w:rsidR="00CA5193" w:rsidRDefault="00CA5193" w:rsidP="00CA5193">
      <w:pPr>
        <w:pStyle w:val="TextoNormalNegritaCentrado"/>
      </w:pPr>
    </w:p>
    <w:p w:rsidR="00CA5193" w:rsidRDefault="00CA5193" w:rsidP="00CA5193">
      <w:pPr>
        <w:pStyle w:val="TextoNormalNegritaCentrado"/>
      </w:pPr>
    </w:p>
    <w:p w:rsidR="00CA5193" w:rsidRDefault="00CA5193" w:rsidP="00CA5193">
      <w:pPr>
        <w:pStyle w:val="TextoNormalNegritaCentrado"/>
      </w:pPr>
    </w:p>
    <w:p w:rsidR="00CA5193" w:rsidRPr="00CA5193" w:rsidRDefault="00CA5193" w:rsidP="00CA5193">
      <w:pPr>
        <w:pStyle w:val="TextoNormalSangraFrancesa"/>
        <w:rPr>
          <w:rStyle w:val="TextoNormalCaracter"/>
        </w:rPr>
      </w:pPr>
      <w:bookmarkStart w:id="1030" w:name="DESCRIPTORALFABETICO238"/>
      <w:r w:rsidRPr="00CA5193">
        <w:rPr>
          <w:rStyle w:val="TextoNormalNegritaCaracter"/>
        </w:rPr>
        <w:t>Pago de una cantidad</w:t>
      </w:r>
      <w:bookmarkEnd w:id="1030"/>
      <w:r w:rsidRPr="00CA5193">
        <w:rPr>
          <w:rStyle w:val="TextoNormalCaracter"/>
        </w:rPr>
        <w:t xml:space="preserve">, Autos </w:t>
      </w:r>
      <w:hyperlink w:anchor="AUTO_2007_233" w:history="1">
        <w:r w:rsidRPr="00CA5193">
          <w:rPr>
            <w:rStyle w:val="TextoNormalCaracter"/>
          </w:rPr>
          <w:t>233/2007</w:t>
        </w:r>
      </w:hyperlink>
      <w:r w:rsidRPr="00CA5193">
        <w:rPr>
          <w:rStyle w:val="TextoNormalCaracter"/>
        </w:rPr>
        <w:t xml:space="preserve">; </w:t>
      </w:r>
      <w:hyperlink w:anchor="AUTO_2007_280" w:history="1">
        <w:r w:rsidRPr="00CA5193">
          <w:rPr>
            <w:rStyle w:val="TextoNormalCaracter"/>
          </w:rPr>
          <w:t>280/2007</w:t>
        </w:r>
      </w:hyperlink>
      <w:r w:rsidRPr="00CA5193">
        <w:rPr>
          <w:rStyle w:val="TextoNormalCaracter"/>
        </w:rPr>
        <w:t xml:space="preserve">; </w:t>
      </w:r>
      <w:hyperlink w:anchor="AUTO_2007_346" w:history="1">
        <w:r w:rsidRPr="00CA5193">
          <w:rPr>
            <w:rStyle w:val="TextoNormalCaracter"/>
          </w:rPr>
          <w:t>346/2007</w:t>
        </w:r>
      </w:hyperlink>
      <w:r w:rsidRPr="00CA5193">
        <w:rPr>
          <w:rStyle w:val="TextoNormalCaracter"/>
        </w:rPr>
        <w:t xml:space="preserve">; </w:t>
      </w:r>
      <w:hyperlink w:anchor="AUTO_2007_347" w:history="1">
        <w:r w:rsidRPr="00CA5193">
          <w:rPr>
            <w:rStyle w:val="TextoNormalCaracter"/>
          </w:rPr>
          <w:t>347/2007</w:t>
        </w:r>
      </w:hyperlink>
      <w:r w:rsidRPr="00CA5193">
        <w:rPr>
          <w:rStyle w:val="TextoNormalCaracter"/>
        </w:rPr>
        <w:t>.</w:t>
      </w:r>
    </w:p>
    <w:p w:rsidR="00CA5193" w:rsidRPr="00CA5193" w:rsidRDefault="00CA5193" w:rsidP="00CA5193">
      <w:pPr>
        <w:pStyle w:val="TextoNormalSangraFrancesa"/>
        <w:rPr>
          <w:rStyle w:val="TextoNormalCaracter"/>
        </w:rPr>
      </w:pPr>
      <w:bookmarkStart w:id="1031" w:name="DESCRIPTORALFABETICO480"/>
      <w:r w:rsidRPr="00CA5193">
        <w:rPr>
          <w:rStyle w:val="TextoNormalNegritaCaracter"/>
        </w:rPr>
        <w:t>País Vasco</w:t>
      </w:r>
      <w:bookmarkEnd w:id="1031"/>
      <w:r w:rsidRPr="00CA5193">
        <w:rPr>
          <w:rStyle w:val="TextoNormalCaracter"/>
        </w:rPr>
        <w:t xml:space="preserve">, Sentencia </w:t>
      </w:r>
      <w:hyperlink w:anchor="SENTENCIA_2007_110" w:history="1">
        <w:r w:rsidRPr="00CA5193">
          <w:rPr>
            <w:rStyle w:val="TextoNormalCaracter"/>
          </w:rPr>
          <w:t>110/2007</w:t>
        </w:r>
      </w:hyperlink>
      <w:r w:rsidRPr="00CA5193">
        <w:rPr>
          <w:rStyle w:val="TextoNormalCaracter"/>
        </w:rPr>
        <w:t>, ff. 1, 2, 3, 4, 5, 6, 7, 8, 9, 10, 11, 12, 13, 14, 15, 16, 17.</w:t>
      </w:r>
    </w:p>
    <w:p w:rsidR="00CA5193" w:rsidRPr="00CA5193" w:rsidRDefault="00CA5193" w:rsidP="00CA5193">
      <w:pPr>
        <w:pStyle w:val="TextoNormalSangraFrancesa"/>
        <w:rPr>
          <w:rStyle w:val="TextoNormalCaracter"/>
        </w:rPr>
      </w:pPr>
      <w:bookmarkStart w:id="1032" w:name="DESCRIPTORALFABETICO237"/>
      <w:r w:rsidRPr="00CA5193">
        <w:rPr>
          <w:rStyle w:val="TextoNormalNegritaCaracter"/>
        </w:rPr>
        <w:t>Paralización de obras de construcción</w:t>
      </w:r>
      <w:bookmarkEnd w:id="1032"/>
      <w:r w:rsidRPr="00CA5193">
        <w:rPr>
          <w:rStyle w:val="TextoNormalCaracter"/>
        </w:rPr>
        <w:t xml:space="preserve">, Auto </w:t>
      </w:r>
      <w:hyperlink w:anchor="AUTO_2007_355" w:history="1">
        <w:r w:rsidRPr="00CA5193">
          <w:rPr>
            <w:rStyle w:val="TextoNormalCaracter"/>
          </w:rPr>
          <w:t>355/2007</w:t>
        </w:r>
      </w:hyperlink>
      <w:r w:rsidRPr="00CA5193">
        <w:rPr>
          <w:rStyle w:val="TextoNormalCaracter"/>
        </w:rPr>
        <w:t>.</w:t>
      </w:r>
    </w:p>
    <w:p w:rsidR="00CA5193" w:rsidRPr="00CA5193" w:rsidRDefault="00CA5193" w:rsidP="00CA5193">
      <w:pPr>
        <w:pStyle w:val="TextoNormalSangraFrancesa"/>
        <w:rPr>
          <w:rStyle w:val="TextoNormalCaracter"/>
        </w:rPr>
      </w:pPr>
      <w:bookmarkStart w:id="1033" w:name="DESCRIPTORALFABETICO280"/>
      <w:r w:rsidRPr="00CA5193">
        <w:rPr>
          <w:rStyle w:val="TextoNormalNegritaCaracter"/>
        </w:rPr>
        <w:t>Paralización de obras públicas</w:t>
      </w:r>
      <w:bookmarkEnd w:id="1033"/>
      <w:r w:rsidRPr="00CA5193">
        <w:rPr>
          <w:rStyle w:val="TextoNormalCaracter"/>
        </w:rPr>
        <w:t xml:space="preserve">, Auto </w:t>
      </w:r>
      <w:hyperlink w:anchor="AUTO_2007_355" w:history="1">
        <w:r w:rsidRPr="00CA5193">
          <w:rPr>
            <w:rStyle w:val="TextoNormalCaracter"/>
          </w:rPr>
          <w:t>355/2007</w:t>
        </w:r>
      </w:hyperlink>
      <w:r w:rsidRPr="00CA5193">
        <w:rPr>
          <w:rStyle w:val="TextoNormalCaracter"/>
        </w:rPr>
        <w:t>.</w:t>
      </w:r>
    </w:p>
    <w:p w:rsidR="00CA5193" w:rsidRPr="00CA5193" w:rsidRDefault="00CA5193" w:rsidP="00CA5193">
      <w:pPr>
        <w:pStyle w:val="TextoNormalSangraFrancesa"/>
        <w:rPr>
          <w:rStyle w:val="TextoNormalCaracter"/>
        </w:rPr>
      </w:pPr>
      <w:bookmarkStart w:id="1034" w:name="DESCRIPTORALFABETICO83"/>
      <w:r w:rsidRPr="00CA5193">
        <w:rPr>
          <w:rStyle w:val="TextoNormalNegritaCaracter"/>
        </w:rPr>
        <w:t>Paridad de sexos</w:t>
      </w:r>
      <w:bookmarkEnd w:id="1034"/>
      <w:r w:rsidRPr="00CA5193">
        <w:rPr>
          <w:rStyle w:val="TextoNormalCaracter"/>
        </w:rPr>
        <w:t xml:space="preserve">, Sentencias </w:t>
      </w:r>
      <w:hyperlink w:anchor="SENTENCIA_2007_96" w:history="1">
        <w:r w:rsidRPr="00CA5193">
          <w:rPr>
            <w:rStyle w:val="TextoNormalCaracter"/>
          </w:rPr>
          <w:t>96/2007</w:t>
        </w:r>
      </w:hyperlink>
      <w:r w:rsidRPr="00CA5193">
        <w:rPr>
          <w:rStyle w:val="TextoNormalCaracter"/>
        </w:rPr>
        <w:t xml:space="preserve">, ff. 2, 4 a 6; </w:t>
      </w:r>
      <w:hyperlink w:anchor="SENTENCIA_2007_97" w:history="1">
        <w:r w:rsidRPr="00CA5193">
          <w:rPr>
            <w:rStyle w:val="TextoNormalCaracter"/>
          </w:rPr>
          <w:t>97/2007</w:t>
        </w:r>
      </w:hyperlink>
      <w:r w:rsidRPr="00CA5193">
        <w:rPr>
          <w:rStyle w:val="TextoNormalCaracter"/>
        </w:rPr>
        <w:t xml:space="preserve">, f. 4; </w:t>
      </w:r>
      <w:hyperlink w:anchor="SENTENCIA_2007_99" w:history="1">
        <w:r w:rsidRPr="00CA5193">
          <w:rPr>
            <w:rStyle w:val="TextoNormalCaracter"/>
          </w:rPr>
          <w:t>99/2007</w:t>
        </w:r>
      </w:hyperlink>
      <w:r w:rsidRPr="00CA5193">
        <w:rPr>
          <w:rStyle w:val="TextoNormalCaracter"/>
        </w:rPr>
        <w:t xml:space="preserve">, ff. 2, 4 a 6; </w:t>
      </w:r>
      <w:hyperlink w:anchor="SENTENCIA_2007_100" w:history="1">
        <w:r w:rsidRPr="00CA5193">
          <w:rPr>
            <w:rStyle w:val="TextoNormalCaracter"/>
          </w:rPr>
          <w:t>100/2007</w:t>
        </w:r>
      </w:hyperlink>
      <w:r w:rsidRPr="00CA5193">
        <w:rPr>
          <w:rStyle w:val="TextoNormalCaracter"/>
        </w:rPr>
        <w:t xml:space="preserve">, f. 3; </w:t>
      </w:r>
      <w:hyperlink w:anchor="SENTENCIA_2007_101" w:history="1">
        <w:r w:rsidRPr="00CA5193">
          <w:rPr>
            <w:rStyle w:val="TextoNormalCaracter"/>
          </w:rPr>
          <w:t>101/2007</w:t>
        </w:r>
      </w:hyperlink>
      <w:r w:rsidRPr="00CA5193">
        <w:rPr>
          <w:rStyle w:val="TextoNormalCaracter"/>
        </w:rPr>
        <w:t xml:space="preserve">, ff. 2 a 4; </w:t>
      </w:r>
      <w:hyperlink w:anchor="SENTENCIA_2007_102" w:history="1">
        <w:r w:rsidRPr="00CA5193">
          <w:rPr>
            <w:rStyle w:val="TextoNormalCaracter"/>
          </w:rPr>
          <w:t>102/2007</w:t>
        </w:r>
      </w:hyperlink>
      <w:r w:rsidRPr="00CA5193">
        <w:rPr>
          <w:rStyle w:val="TextoNormalCaracter"/>
        </w:rPr>
        <w:t xml:space="preserve">, ff. 3 a 5; </w:t>
      </w:r>
      <w:hyperlink w:anchor="SENTENCIA_2007_104" w:history="1">
        <w:r w:rsidRPr="00CA5193">
          <w:rPr>
            <w:rStyle w:val="TextoNormalCaracter"/>
          </w:rPr>
          <w:t>104/2007</w:t>
        </w:r>
      </w:hyperlink>
      <w:r w:rsidRPr="00CA5193">
        <w:rPr>
          <w:rStyle w:val="TextoNormalCaracter"/>
        </w:rPr>
        <w:t xml:space="preserve">, ff. 3 a 5; </w:t>
      </w:r>
      <w:hyperlink w:anchor="SENTENCIA_2007_105" w:history="1">
        <w:r w:rsidRPr="00CA5193">
          <w:rPr>
            <w:rStyle w:val="TextoNormalCaracter"/>
          </w:rPr>
          <w:t>105/2007</w:t>
        </w:r>
      </w:hyperlink>
      <w:r w:rsidRPr="00CA5193">
        <w:rPr>
          <w:rStyle w:val="TextoNormalCaracter"/>
        </w:rPr>
        <w:t xml:space="preserve">, ff. 2 a 4; </w:t>
      </w:r>
      <w:hyperlink w:anchor="SENTENCIA_2007_108" w:history="1">
        <w:r w:rsidRPr="00CA5193">
          <w:rPr>
            <w:rStyle w:val="TextoNormalCaracter"/>
          </w:rPr>
          <w:t>108/2007</w:t>
        </w:r>
      </w:hyperlink>
      <w:r w:rsidRPr="00CA5193">
        <w:rPr>
          <w:rStyle w:val="TextoNormalCaracter"/>
        </w:rPr>
        <w:t xml:space="preserve">, ff. 3 a 5; </w:t>
      </w:r>
      <w:hyperlink w:anchor="SENTENCIA_2007_127" w:history="1">
        <w:r w:rsidRPr="00CA5193">
          <w:rPr>
            <w:rStyle w:val="TextoNormalCaracter"/>
          </w:rPr>
          <w:t>127/2007</w:t>
        </w:r>
      </w:hyperlink>
      <w:r w:rsidRPr="00CA5193">
        <w:rPr>
          <w:rStyle w:val="TextoNormalCaracter"/>
        </w:rPr>
        <w:t>, f. 4.</w:t>
      </w:r>
    </w:p>
    <w:p w:rsidR="00CA5193" w:rsidRPr="00CA5193" w:rsidRDefault="00CA5193" w:rsidP="00CA5193">
      <w:pPr>
        <w:pStyle w:val="TextoNormalSangraFrancesa"/>
        <w:rPr>
          <w:rStyle w:val="TextoNormalNegritaCaracter"/>
        </w:rPr>
      </w:pPr>
      <w:r w:rsidRPr="00CA5193">
        <w:rPr>
          <w:rStyle w:val="TextoNormalCursivaCaracter"/>
        </w:rPr>
        <w:t>Parlamentarios autonómicos</w:t>
      </w:r>
      <w:r>
        <w:t xml:space="preserve"> véase </w:t>
      </w:r>
      <w:hyperlink w:anchor="DESCRIPTORALFABETICO211" w:history="1">
        <w:r w:rsidRPr="00CA5193">
          <w:rPr>
            <w:rStyle w:val="TextoNormalNegritaCaracter"/>
          </w:rPr>
          <w:t>Diputados autonómicos</w:t>
        </w:r>
      </w:hyperlink>
    </w:p>
    <w:p w:rsidR="00CA5193" w:rsidRPr="00CA5193" w:rsidRDefault="00CA5193" w:rsidP="00CA5193">
      <w:pPr>
        <w:pStyle w:val="TextoNormalSangraFrancesa"/>
        <w:rPr>
          <w:rStyle w:val="TextoNormalCaracter"/>
        </w:rPr>
      </w:pPr>
      <w:bookmarkStart w:id="1035" w:name="DESCRIPTORALFABETICO213"/>
      <w:r w:rsidRPr="00CA5193">
        <w:rPr>
          <w:rStyle w:val="TextoNormalNegritaCaracter"/>
        </w:rPr>
        <w:t>Parlamento de La Rioja</w:t>
      </w:r>
      <w:bookmarkEnd w:id="1035"/>
      <w:r w:rsidRPr="00CA5193">
        <w:rPr>
          <w:rStyle w:val="TextoNormalCaracter"/>
        </w:rPr>
        <w:t xml:space="preserve">, Sentencia </w:t>
      </w:r>
      <w:hyperlink w:anchor="SENTENCIA_2007_141" w:history="1">
        <w:r w:rsidRPr="00CA5193">
          <w:rPr>
            <w:rStyle w:val="TextoNormalCaracter"/>
          </w:rPr>
          <w:t>141/2007</w:t>
        </w:r>
      </w:hyperlink>
      <w:r w:rsidRPr="00CA5193">
        <w:rPr>
          <w:rStyle w:val="TextoNormalCaracter"/>
        </w:rPr>
        <w:t>, ff. 1, 2, 3, 4, 5, 6.</w:t>
      </w:r>
    </w:p>
    <w:p w:rsidR="00CA5193" w:rsidRPr="00CA5193" w:rsidRDefault="00CA5193" w:rsidP="00CA5193">
      <w:pPr>
        <w:pStyle w:val="TextoNormalSangraFrancesa"/>
        <w:rPr>
          <w:rStyle w:val="TextoNormalCaracter"/>
        </w:rPr>
      </w:pPr>
      <w:bookmarkStart w:id="1036" w:name="DESCRIPTORALFABETICO195"/>
      <w:r w:rsidRPr="00CA5193">
        <w:rPr>
          <w:rStyle w:val="TextoNormalNegritaCaracter"/>
        </w:rPr>
        <w:t>Partidos políticos</w:t>
      </w:r>
      <w:bookmarkEnd w:id="1036"/>
      <w:r w:rsidRPr="00CA5193">
        <w:rPr>
          <w:rStyle w:val="TextoNormalCaracter"/>
        </w:rPr>
        <w:t xml:space="preserve">, Sentencias </w:t>
      </w:r>
      <w:hyperlink w:anchor="SENTENCIA_2007_110" w:history="1">
        <w:r w:rsidRPr="00CA5193">
          <w:rPr>
            <w:rStyle w:val="TextoNormalCaracter"/>
          </w:rPr>
          <w:t>110/2007</w:t>
        </w:r>
      </w:hyperlink>
      <w:r w:rsidRPr="00CA5193">
        <w:rPr>
          <w:rStyle w:val="TextoNormalCaracter"/>
        </w:rPr>
        <w:t xml:space="preserve">, ff. 1, 2, 3, 4, 5, 6, 7, 8, 9, 10, 11, 12, 13, 14, 15, 16, 17; </w:t>
      </w:r>
      <w:hyperlink w:anchor="SENTENCIA_2007_127" w:history="1">
        <w:r w:rsidRPr="00CA5193">
          <w:rPr>
            <w:rStyle w:val="TextoNormalCaracter"/>
          </w:rPr>
          <w:t>127/2007</w:t>
        </w:r>
      </w:hyperlink>
      <w:r w:rsidRPr="00CA5193">
        <w:rPr>
          <w:rStyle w:val="TextoNormalCaracter"/>
        </w:rPr>
        <w:t>, f. 4.</w:t>
      </w:r>
    </w:p>
    <w:p w:rsidR="00CA5193" w:rsidRPr="00CA5193" w:rsidRDefault="00CA5193" w:rsidP="00CA5193">
      <w:pPr>
        <w:pStyle w:val="TextoNormalSangraFrancesa"/>
        <w:rPr>
          <w:rStyle w:val="TextoNormalNegritaCaracter"/>
        </w:rPr>
      </w:pPr>
      <w:r w:rsidRPr="00CA5193">
        <w:rPr>
          <w:rStyle w:val="TextoNormalCursivaCaracter"/>
        </w:rPr>
        <w:t>Pena accesoria de suspensión del derecho de sufragio</w:t>
      </w:r>
      <w:r>
        <w:t xml:space="preserve"> véase </w:t>
      </w:r>
      <w:hyperlink w:anchor="DESCRIPTORALFABETICO297" w:history="1">
        <w:r w:rsidRPr="00CA5193">
          <w:rPr>
            <w:rStyle w:val="TextoNormalNegritaCaracter"/>
          </w:rPr>
          <w:t>Inhabilitación especial para el derecho de sufragio</w:t>
        </w:r>
      </w:hyperlink>
    </w:p>
    <w:p w:rsidR="00CA5193" w:rsidRPr="00CA5193" w:rsidRDefault="00CA5193" w:rsidP="00CA5193">
      <w:pPr>
        <w:pStyle w:val="TextoNormalSangraFrancesa"/>
        <w:rPr>
          <w:rStyle w:val="TextoNormalCaracter"/>
        </w:rPr>
      </w:pPr>
      <w:bookmarkStart w:id="1037" w:name="DESCRIPTORALFABETICO298"/>
      <w:r w:rsidRPr="00CA5193">
        <w:rPr>
          <w:rStyle w:val="TextoNormalNegritaCaracter"/>
        </w:rPr>
        <w:t>Penas privativas de libertad</w:t>
      </w:r>
      <w:bookmarkEnd w:id="1037"/>
      <w:r w:rsidRPr="00CA5193">
        <w:rPr>
          <w:rStyle w:val="TextoNormalCaracter"/>
        </w:rPr>
        <w:t xml:space="preserve">, Sentencia </w:t>
      </w:r>
      <w:hyperlink w:anchor="SENTENCIA_2007_176" w:history="1">
        <w:r w:rsidRPr="00CA5193">
          <w:rPr>
            <w:rStyle w:val="TextoNormalCaracter"/>
          </w:rPr>
          <w:t>176/2007</w:t>
        </w:r>
      </w:hyperlink>
      <w:r w:rsidRPr="00CA5193">
        <w:rPr>
          <w:rStyle w:val="TextoNormalCaracter"/>
        </w:rPr>
        <w:t>, f. 4.</w:t>
      </w:r>
    </w:p>
    <w:p w:rsidR="00CA5193" w:rsidRPr="00CA5193" w:rsidRDefault="00CA5193" w:rsidP="00CA5193">
      <w:pPr>
        <w:pStyle w:val="TextoNormalSangraFrancesa"/>
        <w:rPr>
          <w:rStyle w:val="TextoNormalCaracter"/>
        </w:rPr>
      </w:pPr>
      <w:bookmarkStart w:id="1038" w:name="DESCRIPTORALFABETICO323"/>
      <w:r w:rsidRPr="00CA5193">
        <w:rPr>
          <w:rStyle w:val="TextoNormalNegritaCaracter"/>
        </w:rPr>
        <w:t>Pensión de viudedad</w:t>
      </w:r>
      <w:bookmarkEnd w:id="1038"/>
      <w:r w:rsidRPr="00CA5193">
        <w:rPr>
          <w:rStyle w:val="TextoNormalCaracter"/>
        </w:rPr>
        <w:t xml:space="preserve">, Sentencia </w:t>
      </w:r>
      <w:hyperlink w:anchor="SENTENCIA_2007_135" w:history="1">
        <w:r w:rsidRPr="00CA5193">
          <w:rPr>
            <w:rStyle w:val="TextoNormalCaracter"/>
          </w:rPr>
          <w:t>135/2007</w:t>
        </w:r>
      </w:hyperlink>
      <w:r w:rsidRPr="00CA5193">
        <w:rPr>
          <w:rStyle w:val="TextoNormalCaracter"/>
        </w:rPr>
        <w:t>, f. 6.</w:t>
      </w:r>
    </w:p>
    <w:p w:rsidR="00CA5193" w:rsidRPr="00CA5193" w:rsidRDefault="00CA5193" w:rsidP="00CA5193">
      <w:pPr>
        <w:pStyle w:val="TextoNormalSangraFrancesa"/>
        <w:rPr>
          <w:rStyle w:val="TextoNormalCaracter"/>
        </w:rPr>
      </w:pPr>
      <w:r w:rsidRPr="00CA5193">
        <w:rPr>
          <w:rStyle w:val="TextoNormalCaracter"/>
        </w:rPr>
        <w:lastRenderedPageBreak/>
        <w:t xml:space="preserve">    Auto </w:t>
      </w:r>
      <w:hyperlink w:anchor="AUTO_2007_328" w:history="1">
        <w:r w:rsidRPr="00CA5193">
          <w:rPr>
            <w:rStyle w:val="TextoNormalCaracter"/>
          </w:rPr>
          <w:t>328/2007</w:t>
        </w:r>
      </w:hyperlink>
      <w:r w:rsidRPr="00CA5193">
        <w:rPr>
          <w:rStyle w:val="TextoNormalCaracter"/>
        </w:rPr>
        <w:t>.</w:t>
      </w:r>
    </w:p>
    <w:p w:rsidR="00CA5193" w:rsidRPr="00CA5193" w:rsidRDefault="00CA5193" w:rsidP="00CA5193">
      <w:pPr>
        <w:pStyle w:val="TextoNormalSangraFrancesa"/>
        <w:rPr>
          <w:rStyle w:val="TextoNormalCaracter"/>
        </w:rPr>
      </w:pPr>
      <w:bookmarkStart w:id="1039" w:name="DESCRIPTORALFABETICO324"/>
      <w:r w:rsidRPr="00CA5193">
        <w:rPr>
          <w:rStyle w:val="TextoNormalNegritaCaracter"/>
        </w:rPr>
        <w:t>Pensiones complementarias</w:t>
      </w:r>
      <w:bookmarkEnd w:id="1039"/>
      <w:r w:rsidRPr="00CA5193">
        <w:rPr>
          <w:rStyle w:val="TextoNormalCaracter"/>
        </w:rPr>
        <w:t xml:space="preserve">, Sentencia </w:t>
      </w:r>
      <w:hyperlink w:anchor="SENTENCIA_2007_135" w:history="1">
        <w:r w:rsidRPr="00CA5193">
          <w:rPr>
            <w:rStyle w:val="TextoNormalCaracter"/>
          </w:rPr>
          <w:t>135/2007</w:t>
        </w:r>
      </w:hyperlink>
      <w:r w:rsidRPr="00CA5193">
        <w:rPr>
          <w:rStyle w:val="TextoNormalCaracter"/>
        </w:rPr>
        <w:t>, f. 6.</w:t>
      </w:r>
    </w:p>
    <w:p w:rsidR="00CA5193" w:rsidRPr="00CA5193" w:rsidRDefault="00CA5193" w:rsidP="00CA5193">
      <w:pPr>
        <w:pStyle w:val="TextoNormalSangraFrancesa"/>
        <w:rPr>
          <w:rStyle w:val="TextoNormalCaracter"/>
        </w:rPr>
      </w:pPr>
      <w:bookmarkStart w:id="1040" w:name="DESCRIPTORALFABETICO121"/>
      <w:r w:rsidRPr="00CA5193">
        <w:rPr>
          <w:rStyle w:val="TextoNormalNegritaCaracter"/>
        </w:rPr>
        <w:t>Pérdida sobrevenida de objeto del incidente de suspensión cautelar</w:t>
      </w:r>
      <w:bookmarkEnd w:id="1040"/>
      <w:r w:rsidRPr="00CA5193">
        <w:rPr>
          <w:rStyle w:val="TextoNormalCaracter"/>
        </w:rPr>
        <w:t xml:space="preserve">, Autos </w:t>
      </w:r>
      <w:hyperlink w:anchor="AUTO_2007_229" w:history="1">
        <w:r w:rsidRPr="00CA5193">
          <w:rPr>
            <w:rStyle w:val="TextoNormalCaracter"/>
          </w:rPr>
          <w:t>229/2007</w:t>
        </w:r>
      </w:hyperlink>
      <w:r w:rsidRPr="00CA5193">
        <w:rPr>
          <w:rStyle w:val="TextoNormalCaracter"/>
        </w:rPr>
        <w:t xml:space="preserve">; </w:t>
      </w:r>
      <w:hyperlink w:anchor="AUTO_2007_232" w:history="1">
        <w:r w:rsidRPr="00CA5193">
          <w:rPr>
            <w:rStyle w:val="TextoNormalCaracter"/>
          </w:rPr>
          <w:t>232/2007</w:t>
        </w:r>
      </w:hyperlink>
      <w:r w:rsidRPr="00CA5193">
        <w:rPr>
          <w:rStyle w:val="TextoNormalCaracter"/>
        </w:rPr>
        <w:t xml:space="preserve">; </w:t>
      </w:r>
      <w:hyperlink w:anchor="AUTO_2007_235" w:history="1">
        <w:r w:rsidRPr="00CA5193">
          <w:rPr>
            <w:rStyle w:val="TextoNormalCaracter"/>
          </w:rPr>
          <w:t>235/2007</w:t>
        </w:r>
      </w:hyperlink>
      <w:r w:rsidRPr="00CA5193">
        <w:rPr>
          <w:rStyle w:val="TextoNormalCaracter"/>
        </w:rPr>
        <w:t xml:space="preserve">; </w:t>
      </w:r>
      <w:hyperlink w:anchor="AUTO_2007_284" w:history="1">
        <w:r w:rsidRPr="00CA5193">
          <w:rPr>
            <w:rStyle w:val="TextoNormalCaracter"/>
          </w:rPr>
          <w:t>284/2007</w:t>
        </w:r>
      </w:hyperlink>
      <w:r w:rsidRPr="00CA5193">
        <w:rPr>
          <w:rStyle w:val="TextoNormalCaracter"/>
        </w:rPr>
        <w:t xml:space="preserve">; </w:t>
      </w:r>
      <w:hyperlink w:anchor="AUTO_2007_288" w:history="1">
        <w:r w:rsidRPr="00CA5193">
          <w:rPr>
            <w:rStyle w:val="TextoNormalCaracter"/>
          </w:rPr>
          <w:t>288/2007</w:t>
        </w:r>
      </w:hyperlink>
      <w:r w:rsidRPr="00CA5193">
        <w:rPr>
          <w:rStyle w:val="TextoNormalCaracter"/>
        </w:rPr>
        <w:t xml:space="preserve">; </w:t>
      </w:r>
      <w:hyperlink w:anchor="AUTO_2007_333" w:history="1">
        <w:r w:rsidRPr="00CA5193">
          <w:rPr>
            <w:rStyle w:val="TextoNormalCaracter"/>
          </w:rPr>
          <w:t>333/2007</w:t>
        </w:r>
      </w:hyperlink>
      <w:r w:rsidRPr="00CA5193">
        <w:rPr>
          <w:rStyle w:val="TextoNormalCaracter"/>
        </w:rPr>
        <w:t>.</w:t>
      </w:r>
    </w:p>
    <w:p w:rsidR="00CA5193" w:rsidRPr="00CA5193" w:rsidRDefault="00CA5193" w:rsidP="00CA5193">
      <w:pPr>
        <w:pStyle w:val="TextoNormalSangraFrancesa"/>
        <w:rPr>
          <w:rStyle w:val="TextoNormalCaracter"/>
        </w:rPr>
      </w:pPr>
      <w:bookmarkStart w:id="1041" w:name="DESCRIPTORALFABETICO167"/>
      <w:r w:rsidRPr="00CA5193">
        <w:rPr>
          <w:rStyle w:val="TextoNormalNegritaCaracter"/>
        </w:rPr>
        <w:t>Pérdida sobrevenida de objeto del recurso de amparo</w:t>
      </w:r>
      <w:bookmarkEnd w:id="1041"/>
      <w:r w:rsidRPr="00CA5193">
        <w:rPr>
          <w:rStyle w:val="TextoNormalCaracter"/>
        </w:rPr>
        <w:t xml:space="preserve">, Sentencias </w:t>
      </w:r>
      <w:hyperlink w:anchor="SENTENCIA_2007_118" w:history="1">
        <w:r w:rsidRPr="00CA5193">
          <w:rPr>
            <w:rStyle w:val="TextoNormalCaracter"/>
          </w:rPr>
          <w:t>118/2007</w:t>
        </w:r>
      </w:hyperlink>
      <w:r w:rsidRPr="00CA5193">
        <w:rPr>
          <w:rStyle w:val="TextoNormalCaracter"/>
        </w:rPr>
        <w:t xml:space="preserve">, ff. 1, 2; </w:t>
      </w:r>
      <w:hyperlink w:anchor="SENTENCIA_2007_133" w:history="1">
        <w:r w:rsidRPr="00CA5193">
          <w:rPr>
            <w:rStyle w:val="TextoNormalCaracter"/>
          </w:rPr>
          <w:t>133/2007</w:t>
        </w:r>
      </w:hyperlink>
      <w:r w:rsidRPr="00CA5193">
        <w:rPr>
          <w:rStyle w:val="TextoNormalCaracter"/>
        </w:rPr>
        <w:t>, f. 2.</w:t>
      </w:r>
    </w:p>
    <w:p w:rsidR="00CA5193" w:rsidRPr="00CA5193" w:rsidRDefault="00CA5193" w:rsidP="00CA5193">
      <w:pPr>
        <w:pStyle w:val="TextoNormalSangraFrancesa"/>
        <w:rPr>
          <w:rStyle w:val="TextoNormalCaracter"/>
        </w:rPr>
      </w:pPr>
      <w:r w:rsidRPr="00CA5193">
        <w:rPr>
          <w:rStyle w:val="TextoNormalCaracter"/>
        </w:rPr>
        <w:t xml:space="preserve">    Autos </w:t>
      </w:r>
      <w:hyperlink w:anchor="AUTO_2007_243" w:history="1">
        <w:r w:rsidRPr="00CA5193">
          <w:rPr>
            <w:rStyle w:val="TextoNormalCaracter"/>
          </w:rPr>
          <w:t>243/2007</w:t>
        </w:r>
      </w:hyperlink>
      <w:r w:rsidRPr="00CA5193">
        <w:rPr>
          <w:rStyle w:val="TextoNormalCaracter"/>
        </w:rPr>
        <w:t xml:space="preserve">; </w:t>
      </w:r>
      <w:hyperlink w:anchor="AUTO_2007_338" w:history="1">
        <w:r w:rsidRPr="00CA5193">
          <w:rPr>
            <w:rStyle w:val="TextoNormalCaracter"/>
          </w:rPr>
          <w:t>338/2007</w:t>
        </w:r>
      </w:hyperlink>
      <w:r w:rsidRPr="00CA5193">
        <w:rPr>
          <w:rStyle w:val="TextoNormalCaracter"/>
        </w:rPr>
        <w:t>.</w:t>
      </w:r>
    </w:p>
    <w:p w:rsidR="00CA5193" w:rsidRPr="00CA5193" w:rsidRDefault="00CA5193" w:rsidP="00CA5193">
      <w:pPr>
        <w:pStyle w:val="TextoNormalSangraFrancesa"/>
        <w:rPr>
          <w:rStyle w:val="TextoNormalCaracter"/>
        </w:rPr>
      </w:pPr>
      <w:bookmarkStart w:id="1042" w:name="DESCRIPTORALFABETICO138"/>
      <w:r w:rsidRPr="00CA5193">
        <w:rPr>
          <w:rStyle w:val="TextoNormalNegritaCaracter"/>
        </w:rPr>
        <w:t>Pérdida sobrevenida de objeto por derogación de la norma</w:t>
      </w:r>
      <w:bookmarkEnd w:id="1042"/>
      <w:r w:rsidRPr="00CA5193">
        <w:rPr>
          <w:rStyle w:val="TextoNormalCaracter"/>
        </w:rPr>
        <w:t xml:space="preserve">, Autos </w:t>
      </w:r>
      <w:hyperlink w:anchor="AUTO_2007_257" w:history="1">
        <w:r w:rsidRPr="00CA5193">
          <w:rPr>
            <w:rStyle w:val="TextoNormalCaracter"/>
          </w:rPr>
          <w:t>257/2007</w:t>
        </w:r>
      </w:hyperlink>
      <w:r w:rsidRPr="00CA5193">
        <w:rPr>
          <w:rStyle w:val="TextoNormalCaracter"/>
        </w:rPr>
        <w:t xml:space="preserve">; </w:t>
      </w:r>
      <w:hyperlink w:anchor="AUTO_2007_290" w:history="1">
        <w:r w:rsidRPr="00CA5193">
          <w:rPr>
            <w:rStyle w:val="TextoNormalCaracter"/>
          </w:rPr>
          <w:t>290/2007</w:t>
        </w:r>
      </w:hyperlink>
      <w:r w:rsidRPr="00CA5193">
        <w:rPr>
          <w:rStyle w:val="TextoNormalCaracter"/>
        </w:rPr>
        <w:t xml:space="preserve">; </w:t>
      </w:r>
      <w:hyperlink w:anchor="AUTO_2007_311" w:history="1">
        <w:r w:rsidRPr="00CA5193">
          <w:rPr>
            <w:rStyle w:val="TextoNormalCaracter"/>
          </w:rPr>
          <w:t>311/2007</w:t>
        </w:r>
      </w:hyperlink>
      <w:r w:rsidRPr="00CA5193">
        <w:rPr>
          <w:rStyle w:val="TextoNormalCaracter"/>
        </w:rPr>
        <w:t xml:space="preserve">; </w:t>
      </w:r>
      <w:hyperlink w:anchor="AUTO_2007_326" w:history="1">
        <w:r w:rsidRPr="00CA5193">
          <w:rPr>
            <w:rStyle w:val="TextoNormalCaracter"/>
          </w:rPr>
          <w:t>326/2007</w:t>
        </w:r>
      </w:hyperlink>
      <w:r w:rsidRPr="00CA5193">
        <w:rPr>
          <w:rStyle w:val="TextoNormalCaracter"/>
        </w:rPr>
        <w:t>.</w:t>
      </w:r>
    </w:p>
    <w:p w:rsidR="00CA5193" w:rsidRPr="00CA5193" w:rsidRDefault="00CA5193" w:rsidP="00CA5193">
      <w:pPr>
        <w:pStyle w:val="TextoNormalSangraFrancesa"/>
        <w:rPr>
          <w:rStyle w:val="TextoNormalCaracter"/>
        </w:rPr>
      </w:pPr>
      <w:bookmarkStart w:id="1043" w:name="DESCRIPTORALFABETICO234"/>
      <w:r w:rsidRPr="00CA5193">
        <w:rPr>
          <w:rStyle w:val="TextoNormalNegritaCaracter"/>
        </w:rPr>
        <w:t>Periodistas</w:t>
      </w:r>
      <w:bookmarkEnd w:id="1043"/>
      <w:r w:rsidRPr="00CA5193">
        <w:rPr>
          <w:rStyle w:val="TextoNormalCaracter"/>
        </w:rPr>
        <w:t xml:space="preserve">, Sentencia </w:t>
      </w:r>
      <w:hyperlink w:anchor="SENTENCIA_2007_125" w:history="1">
        <w:r w:rsidRPr="00CA5193">
          <w:rPr>
            <w:rStyle w:val="TextoNormalCaracter"/>
          </w:rPr>
          <w:t>125/2007</w:t>
        </w:r>
      </w:hyperlink>
      <w:r w:rsidRPr="00CA5193">
        <w:rPr>
          <w:rStyle w:val="TextoNormalCaracter"/>
        </w:rPr>
        <w:t>, ff. 2, 3.</w:t>
      </w:r>
    </w:p>
    <w:p w:rsidR="00CA5193" w:rsidRPr="00CA5193" w:rsidRDefault="00CA5193" w:rsidP="00CA5193">
      <w:pPr>
        <w:pStyle w:val="TextoNormalSangraFrancesa"/>
        <w:rPr>
          <w:rStyle w:val="TextoNormalCaracter"/>
        </w:rPr>
      </w:pPr>
      <w:bookmarkStart w:id="1044" w:name="DESCRIPTORALFABETICO361"/>
      <w:r w:rsidRPr="00CA5193">
        <w:rPr>
          <w:rStyle w:val="TextoNormalNegritaCaracter"/>
        </w:rPr>
        <w:t>Personación</w:t>
      </w:r>
      <w:bookmarkEnd w:id="1044"/>
      <w:r w:rsidRPr="00CA5193">
        <w:rPr>
          <w:rStyle w:val="TextoNormalCaracter"/>
        </w:rPr>
        <w:t xml:space="preserve">, Sentencias </w:t>
      </w:r>
      <w:hyperlink w:anchor="SENTENCIA_2007_99" w:history="1">
        <w:r w:rsidRPr="00CA5193">
          <w:rPr>
            <w:rStyle w:val="TextoNormalCaracter"/>
          </w:rPr>
          <w:t>99/2007</w:t>
        </w:r>
      </w:hyperlink>
      <w:r w:rsidRPr="00CA5193">
        <w:rPr>
          <w:rStyle w:val="TextoNormalCaracter"/>
        </w:rPr>
        <w:t xml:space="preserve">, f. 1; </w:t>
      </w:r>
      <w:hyperlink w:anchor="SENTENCIA_2007_101" w:history="1">
        <w:r w:rsidRPr="00CA5193">
          <w:rPr>
            <w:rStyle w:val="TextoNormalCaracter"/>
          </w:rPr>
          <w:t>101/2007</w:t>
        </w:r>
      </w:hyperlink>
      <w:r w:rsidRPr="00CA5193">
        <w:rPr>
          <w:rStyle w:val="TextoNormalCaracter"/>
        </w:rPr>
        <w:t>, f. 6.</w:t>
      </w:r>
    </w:p>
    <w:p w:rsidR="00CA5193" w:rsidRPr="00CA5193" w:rsidRDefault="00CA5193" w:rsidP="00CA5193">
      <w:pPr>
        <w:pStyle w:val="TextoNormalSangraFrancesa"/>
        <w:rPr>
          <w:rStyle w:val="TextoNormalCaracter"/>
        </w:rPr>
      </w:pPr>
      <w:bookmarkStart w:id="1045" w:name="DESCRIPTORALFABETICO363"/>
      <w:r w:rsidRPr="00CA5193">
        <w:rPr>
          <w:rStyle w:val="TextoNormalNegritaCaracter"/>
        </w:rPr>
        <w:t>Pertinencia de la prueba</w:t>
      </w:r>
      <w:bookmarkEnd w:id="1045"/>
      <w:r w:rsidRPr="00CA5193">
        <w:rPr>
          <w:rStyle w:val="TextoNormalCaracter"/>
        </w:rPr>
        <w:t xml:space="preserve">, Sentencia </w:t>
      </w:r>
      <w:hyperlink w:anchor="SENTENCIA_2007_136" w:history="1">
        <w:r w:rsidRPr="00CA5193">
          <w:rPr>
            <w:rStyle w:val="TextoNormalCaracter"/>
          </w:rPr>
          <w:t>136/2007</w:t>
        </w:r>
      </w:hyperlink>
      <w:r w:rsidRPr="00CA5193">
        <w:rPr>
          <w:rStyle w:val="TextoNormalCaracter"/>
        </w:rPr>
        <w:t>, f. 3.</w:t>
      </w:r>
    </w:p>
    <w:p w:rsidR="00CA5193" w:rsidRPr="00CA5193" w:rsidRDefault="00CA5193" w:rsidP="00CA5193">
      <w:pPr>
        <w:pStyle w:val="TextoNormalSangraFrancesa"/>
        <w:rPr>
          <w:rStyle w:val="TextoNormalCaracter"/>
        </w:rPr>
      </w:pPr>
      <w:bookmarkStart w:id="1046" w:name="DESCRIPTORALFABETICO236"/>
      <w:r w:rsidRPr="00CA5193">
        <w:rPr>
          <w:rStyle w:val="TextoNormalNegritaCaracter"/>
        </w:rPr>
        <w:t>Plantas desaladoras</w:t>
      </w:r>
      <w:bookmarkEnd w:id="1046"/>
      <w:r w:rsidRPr="00CA5193">
        <w:rPr>
          <w:rStyle w:val="TextoNormalCaracter"/>
        </w:rPr>
        <w:t xml:space="preserve">, Auto </w:t>
      </w:r>
      <w:hyperlink w:anchor="AUTO_2007_355" w:history="1">
        <w:r w:rsidRPr="00CA5193">
          <w:rPr>
            <w:rStyle w:val="TextoNormalCaracter"/>
          </w:rPr>
          <w:t>355/2007</w:t>
        </w:r>
      </w:hyperlink>
      <w:r w:rsidRPr="00CA5193">
        <w:rPr>
          <w:rStyle w:val="TextoNormalCaracter"/>
        </w:rPr>
        <w:t>.</w:t>
      </w:r>
    </w:p>
    <w:p w:rsidR="00CA5193" w:rsidRPr="00CA5193" w:rsidRDefault="00CA5193" w:rsidP="00CA5193">
      <w:pPr>
        <w:pStyle w:val="TextoNormalSangraFrancesa"/>
        <w:rPr>
          <w:rStyle w:val="TextoNormalCaracter"/>
        </w:rPr>
      </w:pPr>
      <w:bookmarkStart w:id="1047" w:name="DESCRIPTORALFABETICO145"/>
      <w:r w:rsidRPr="00CA5193">
        <w:rPr>
          <w:rStyle w:val="TextoNormalNegritaCaracter"/>
        </w:rPr>
        <w:t>Planteamiento de cuestión interna improcedente</w:t>
      </w:r>
      <w:bookmarkEnd w:id="1047"/>
      <w:r w:rsidRPr="00CA5193">
        <w:rPr>
          <w:rStyle w:val="TextoNormalCaracter"/>
        </w:rPr>
        <w:t xml:space="preserve">, Sentencia </w:t>
      </w:r>
      <w:hyperlink w:anchor="SENTENCIA_2007_127" w:history="1">
        <w:r w:rsidRPr="00CA5193">
          <w:rPr>
            <w:rStyle w:val="TextoNormalCaracter"/>
          </w:rPr>
          <w:t>127/2007</w:t>
        </w:r>
      </w:hyperlink>
      <w:r w:rsidRPr="00CA5193">
        <w:rPr>
          <w:rStyle w:val="TextoNormalCaracter"/>
        </w:rPr>
        <w:t>, f. 4.</w:t>
      </w:r>
    </w:p>
    <w:p w:rsidR="00CA5193" w:rsidRPr="00CA5193" w:rsidRDefault="00CA5193" w:rsidP="00CA5193">
      <w:pPr>
        <w:pStyle w:val="TextoNormalSangraFrancesa"/>
        <w:rPr>
          <w:rStyle w:val="TextoNormalCaracter"/>
        </w:rPr>
      </w:pPr>
      <w:bookmarkStart w:id="1048" w:name="DESCRIPTORALFABETICO404"/>
      <w:r w:rsidRPr="00CA5193">
        <w:rPr>
          <w:rStyle w:val="TextoNormalNegritaCaracter"/>
        </w:rPr>
        <w:t>Plazo de interposición</w:t>
      </w:r>
      <w:bookmarkEnd w:id="1048"/>
      <w:r w:rsidRPr="00CA5193">
        <w:rPr>
          <w:rStyle w:val="TextoNormalCaracter"/>
        </w:rPr>
        <w:t xml:space="preserve">, Sentencia </w:t>
      </w:r>
      <w:hyperlink w:anchor="SENTENCIA_2007_148" w:history="1">
        <w:r w:rsidRPr="00CA5193">
          <w:rPr>
            <w:rStyle w:val="TextoNormalCaracter"/>
          </w:rPr>
          <w:t>148/2007</w:t>
        </w:r>
      </w:hyperlink>
      <w:r w:rsidRPr="00CA5193">
        <w:rPr>
          <w:rStyle w:val="TextoNormalCaracter"/>
        </w:rPr>
        <w:t>, f. 2.</w:t>
      </w:r>
    </w:p>
    <w:p w:rsidR="00CA5193" w:rsidRPr="00CA5193" w:rsidRDefault="00CA5193" w:rsidP="00CA5193">
      <w:pPr>
        <w:pStyle w:val="TextoNormalSangraFrancesa"/>
        <w:rPr>
          <w:rStyle w:val="TextoNormalCaracter"/>
        </w:rPr>
      </w:pPr>
      <w:bookmarkStart w:id="1049" w:name="DESCRIPTORALFABETICO337"/>
      <w:r w:rsidRPr="00CA5193">
        <w:rPr>
          <w:rStyle w:val="TextoNormalNegritaCaracter"/>
        </w:rPr>
        <w:t>Plazo de prescripción de acciones</w:t>
      </w:r>
      <w:bookmarkEnd w:id="1049"/>
      <w:r w:rsidRPr="00CA5193">
        <w:rPr>
          <w:rStyle w:val="TextoNormalCaracter"/>
        </w:rPr>
        <w:t xml:space="preserve">, Sentencias </w:t>
      </w:r>
      <w:hyperlink w:anchor="SENTENCIA_2007_136" w:history="1">
        <w:r w:rsidRPr="00CA5193">
          <w:rPr>
            <w:rStyle w:val="TextoNormalCaracter"/>
          </w:rPr>
          <w:t>136/2007</w:t>
        </w:r>
      </w:hyperlink>
      <w:r w:rsidRPr="00CA5193">
        <w:rPr>
          <w:rStyle w:val="TextoNormalCaracter"/>
        </w:rPr>
        <w:t xml:space="preserve">, f. 3; </w:t>
      </w:r>
      <w:hyperlink w:anchor="SENTENCIA_2007_148" w:history="1">
        <w:r w:rsidRPr="00CA5193">
          <w:rPr>
            <w:rStyle w:val="TextoNormalCaracter"/>
          </w:rPr>
          <w:t>148/2007</w:t>
        </w:r>
      </w:hyperlink>
      <w:r w:rsidRPr="00CA5193">
        <w:rPr>
          <w:rStyle w:val="TextoNormalCaracter"/>
        </w:rPr>
        <w:t>, f. 2.</w:t>
      </w:r>
    </w:p>
    <w:p w:rsidR="00CA5193" w:rsidRPr="00CA5193" w:rsidRDefault="00CA5193" w:rsidP="00CA5193">
      <w:pPr>
        <w:pStyle w:val="TextoNormalSangraFrancesa"/>
        <w:rPr>
          <w:rStyle w:val="TextoNormalCaracter"/>
        </w:rPr>
      </w:pPr>
      <w:bookmarkStart w:id="1050" w:name="DESCRIPTORALFABETICO461"/>
      <w:r w:rsidRPr="00CA5193">
        <w:rPr>
          <w:rStyle w:val="TextoNormalNegritaCaracter"/>
        </w:rPr>
        <w:t>Plazo máximo de prisión provisional</w:t>
      </w:r>
      <w:bookmarkEnd w:id="1050"/>
      <w:r w:rsidRPr="00CA5193">
        <w:rPr>
          <w:rStyle w:val="TextoNormalCaracter"/>
        </w:rPr>
        <w:t xml:space="preserve">, Sentencia </w:t>
      </w:r>
      <w:hyperlink w:anchor="SENTENCIA_2007_95" w:history="1">
        <w:r w:rsidRPr="00CA5193">
          <w:rPr>
            <w:rStyle w:val="TextoNormalCaracter"/>
          </w:rPr>
          <w:t>95/2007</w:t>
        </w:r>
      </w:hyperlink>
      <w:r w:rsidRPr="00CA5193">
        <w:rPr>
          <w:rStyle w:val="TextoNormalCaracter"/>
        </w:rPr>
        <w:t>, f. 6.</w:t>
      </w:r>
    </w:p>
    <w:p w:rsidR="00CA5193" w:rsidRPr="00CA5193" w:rsidRDefault="00CA5193" w:rsidP="00CA5193">
      <w:pPr>
        <w:pStyle w:val="TextoNormalSangraFrancesa"/>
        <w:rPr>
          <w:rStyle w:val="TextoNormalCaracter"/>
        </w:rPr>
      </w:pPr>
      <w:bookmarkStart w:id="1051" w:name="DESCRIPTORALFABETICO22"/>
      <w:r w:rsidRPr="00CA5193">
        <w:rPr>
          <w:rStyle w:val="TextoNormalNegritaCaracter"/>
        </w:rPr>
        <w:t>Plazos electorales</w:t>
      </w:r>
      <w:bookmarkEnd w:id="1051"/>
      <w:r w:rsidRPr="00CA5193">
        <w:rPr>
          <w:rStyle w:val="TextoNormalCaracter"/>
        </w:rPr>
        <w:t xml:space="preserve">, Sentencias </w:t>
      </w:r>
      <w:hyperlink w:anchor="SENTENCIA_2007_110" w:history="1">
        <w:r w:rsidRPr="00CA5193">
          <w:rPr>
            <w:rStyle w:val="TextoNormalCaracter"/>
          </w:rPr>
          <w:t>110/2007</w:t>
        </w:r>
      </w:hyperlink>
      <w:r w:rsidRPr="00CA5193">
        <w:rPr>
          <w:rStyle w:val="TextoNormalCaracter"/>
        </w:rPr>
        <w:t xml:space="preserve">, f. 3; </w:t>
      </w:r>
      <w:hyperlink w:anchor="SENTENCIA_2007_170" w:history="1">
        <w:r w:rsidRPr="00CA5193">
          <w:rPr>
            <w:rStyle w:val="TextoNormalCaracter"/>
          </w:rPr>
          <w:t>170/2007</w:t>
        </w:r>
      </w:hyperlink>
      <w:r w:rsidRPr="00CA5193">
        <w:rPr>
          <w:rStyle w:val="TextoNormalCaracter"/>
        </w:rPr>
        <w:t>, f. 2.</w:t>
      </w:r>
    </w:p>
    <w:p w:rsidR="00CA5193" w:rsidRPr="00CA5193" w:rsidRDefault="00CA5193" w:rsidP="00CA5193">
      <w:pPr>
        <w:pStyle w:val="TextoNormalSangraFrancesa"/>
        <w:rPr>
          <w:rStyle w:val="TextoNormalCaracter"/>
        </w:rPr>
      </w:pPr>
      <w:bookmarkStart w:id="1052" w:name="DESCRIPTORALFABETICO401"/>
      <w:r w:rsidRPr="00CA5193">
        <w:rPr>
          <w:rStyle w:val="TextoNormalNegritaCaracter"/>
        </w:rPr>
        <w:t>Plazos procesales</w:t>
      </w:r>
      <w:bookmarkEnd w:id="1052"/>
      <w:r w:rsidRPr="00CA5193">
        <w:rPr>
          <w:rStyle w:val="TextoNormalCaracter"/>
        </w:rPr>
        <w:t xml:space="preserve">, Sentencias </w:t>
      </w:r>
      <w:hyperlink w:anchor="SENTENCIA_2007_122" w:history="1">
        <w:r w:rsidRPr="00CA5193">
          <w:rPr>
            <w:rStyle w:val="TextoNormalCaracter"/>
          </w:rPr>
          <w:t>122/2007</w:t>
        </w:r>
      </w:hyperlink>
      <w:r w:rsidRPr="00CA5193">
        <w:rPr>
          <w:rStyle w:val="TextoNormalCaracter"/>
        </w:rPr>
        <w:t xml:space="preserve">, ff. 2, 4, 6; </w:t>
      </w:r>
      <w:hyperlink w:anchor="SENTENCIA_2007_173" w:history="1">
        <w:r w:rsidRPr="00CA5193">
          <w:rPr>
            <w:rStyle w:val="TextoNormalCaracter"/>
          </w:rPr>
          <w:t>173/2007</w:t>
        </w:r>
      </w:hyperlink>
      <w:r w:rsidRPr="00CA5193">
        <w:rPr>
          <w:rStyle w:val="TextoNormalCaracter"/>
        </w:rPr>
        <w:t>, f. 4.</w:t>
      </w:r>
    </w:p>
    <w:p w:rsidR="00CA5193" w:rsidRPr="00CA5193" w:rsidRDefault="00CA5193" w:rsidP="00CA5193">
      <w:pPr>
        <w:pStyle w:val="TextoNormalSangraFrancesa"/>
        <w:rPr>
          <w:rStyle w:val="TextoNormalCaracter"/>
        </w:rPr>
      </w:pPr>
      <w:bookmarkStart w:id="1053" w:name="DESCRIPTORALFABETICO446"/>
      <w:r w:rsidRPr="00CA5193">
        <w:rPr>
          <w:rStyle w:val="TextoNormalNegritaCaracter"/>
        </w:rPr>
        <w:t>Pliego de cargos</w:t>
      </w:r>
      <w:bookmarkEnd w:id="1053"/>
      <w:r w:rsidRPr="00CA5193">
        <w:rPr>
          <w:rStyle w:val="TextoNormalCaracter"/>
        </w:rPr>
        <w:t xml:space="preserve">, Sentencia </w:t>
      </w:r>
      <w:hyperlink w:anchor="SENTENCIA_2007_116" w:history="1">
        <w:r w:rsidRPr="00CA5193">
          <w:rPr>
            <w:rStyle w:val="TextoNormalCaracter"/>
          </w:rPr>
          <w:t>116/2007</w:t>
        </w:r>
      </w:hyperlink>
      <w:r w:rsidRPr="00CA5193">
        <w:rPr>
          <w:rStyle w:val="TextoNormalCaracter"/>
        </w:rPr>
        <w:t>, f. 2.</w:t>
      </w:r>
    </w:p>
    <w:p w:rsidR="00CA5193" w:rsidRPr="00CA5193" w:rsidRDefault="00CA5193" w:rsidP="00CA5193">
      <w:pPr>
        <w:pStyle w:val="TextoNormalSangraFrancesa"/>
        <w:rPr>
          <w:rStyle w:val="TextoNormalCaracter"/>
        </w:rPr>
      </w:pPr>
      <w:bookmarkStart w:id="1054" w:name="DESCRIPTORALFABETICO198"/>
      <w:r w:rsidRPr="00CA5193">
        <w:rPr>
          <w:rStyle w:val="TextoNormalNegritaCaracter"/>
        </w:rPr>
        <w:t>Poderes públicos</w:t>
      </w:r>
      <w:bookmarkEnd w:id="1054"/>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f. 1.</w:t>
      </w:r>
    </w:p>
    <w:p w:rsidR="00CA5193" w:rsidRPr="00CA5193" w:rsidRDefault="00CA5193" w:rsidP="00CA5193">
      <w:pPr>
        <w:pStyle w:val="TextoNormalSangraFrancesa"/>
        <w:rPr>
          <w:rStyle w:val="TextoNormalCaracter"/>
        </w:rPr>
      </w:pPr>
      <w:bookmarkStart w:id="1055" w:name="DESCRIPTORALFABETICO111"/>
      <w:r w:rsidRPr="00CA5193">
        <w:rPr>
          <w:rStyle w:val="TextoNormalNegritaCaracter"/>
        </w:rPr>
        <w:t>Ponderación entre el derecho al honor y la libertad de información</w:t>
      </w:r>
      <w:bookmarkEnd w:id="1055"/>
      <w:r w:rsidRPr="00CA5193">
        <w:rPr>
          <w:rStyle w:val="TextoNormalCaracter"/>
        </w:rPr>
        <w:t xml:space="preserve">, Sentencia </w:t>
      </w:r>
      <w:hyperlink w:anchor="SENTENCIA_2007_139" w:history="1">
        <w:r w:rsidRPr="00CA5193">
          <w:rPr>
            <w:rStyle w:val="TextoNormalCaracter"/>
          </w:rPr>
          <w:t>139/2007</w:t>
        </w:r>
      </w:hyperlink>
      <w:r w:rsidRPr="00CA5193">
        <w:rPr>
          <w:rStyle w:val="TextoNormalCaracter"/>
        </w:rPr>
        <w:t>, ff. 5, 6, 7, 8, 11.</w:t>
      </w:r>
    </w:p>
    <w:p w:rsidR="00CA5193" w:rsidRPr="00CA5193" w:rsidRDefault="00CA5193" w:rsidP="00CA5193">
      <w:pPr>
        <w:pStyle w:val="TextoNormalSangraFrancesa"/>
        <w:rPr>
          <w:rStyle w:val="TextoNormalCaracter"/>
        </w:rPr>
      </w:pPr>
      <w:bookmarkStart w:id="1056" w:name="DESCRIPTORALFABETICO112"/>
      <w:r w:rsidRPr="00CA5193">
        <w:rPr>
          <w:rStyle w:val="TextoNormalNegritaCaracter"/>
        </w:rPr>
        <w:t>Ponderación judicial en caso de conflicto con otros derechos</w:t>
      </w:r>
      <w:bookmarkEnd w:id="1056"/>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ff. 5, 8, 10 a 12, VP.</w:t>
      </w:r>
    </w:p>
    <w:p w:rsidR="00CA5193" w:rsidRPr="00CA5193" w:rsidRDefault="00CA5193" w:rsidP="00CA5193">
      <w:pPr>
        <w:pStyle w:val="TextoNormalSangraFrancesa"/>
        <w:rPr>
          <w:rStyle w:val="TextoNormalCaracter"/>
        </w:rPr>
      </w:pPr>
      <w:bookmarkStart w:id="1057" w:name="DESCRIPTORALFABETICO5"/>
      <w:r w:rsidRPr="00CA5193">
        <w:rPr>
          <w:rStyle w:val="TextoNormalNegritaCaracter"/>
        </w:rPr>
        <w:t>Presentación de candidaturas electorales</w:t>
      </w:r>
      <w:bookmarkEnd w:id="1057"/>
      <w:r w:rsidRPr="00CA5193">
        <w:rPr>
          <w:rStyle w:val="TextoNormalCaracter"/>
        </w:rPr>
        <w:t xml:space="preserve">, Sentencia </w:t>
      </w:r>
      <w:hyperlink w:anchor="SENTENCIA_2007_110" w:history="1">
        <w:r w:rsidRPr="00CA5193">
          <w:rPr>
            <w:rStyle w:val="TextoNormalCaracter"/>
          </w:rPr>
          <w:t>110/2007</w:t>
        </w:r>
      </w:hyperlink>
      <w:r w:rsidRPr="00CA5193">
        <w:rPr>
          <w:rStyle w:val="TextoNormalCaracter"/>
        </w:rPr>
        <w:t>, ff. 11, 12.</w:t>
      </w:r>
    </w:p>
    <w:p w:rsidR="00CA5193" w:rsidRPr="00CA5193" w:rsidRDefault="00CA5193" w:rsidP="00CA5193">
      <w:pPr>
        <w:pStyle w:val="TextoNormalSangraFrancesa"/>
        <w:rPr>
          <w:rStyle w:val="TextoNormalCaracter"/>
        </w:rPr>
      </w:pPr>
      <w:bookmarkStart w:id="1058" w:name="DESCRIPTORALFABETICO405"/>
      <w:r w:rsidRPr="00CA5193">
        <w:rPr>
          <w:rStyle w:val="TextoNormalNegritaCaracter"/>
        </w:rPr>
        <w:t>Presentación de demanda el día siguiente del Auto de caducidad</w:t>
      </w:r>
      <w:bookmarkEnd w:id="1058"/>
      <w:r w:rsidRPr="00CA5193">
        <w:rPr>
          <w:rStyle w:val="TextoNormalCaracter"/>
        </w:rPr>
        <w:t xml:space="preserve">, Sentencias </w:t>
      </w:r>
      <w:hyperlink w:anchor="SENTENCIA_2007_130" w:history="1">
        <w:r w:rsidRPr="00CA5193">
          <w:rPr>
            <w:rStyle w:val="TextoNormalCaracter"/>
          </w:rPr>
          <w:t>130/2007</w:t>
        </w:r>
      </w:hyperlink>
      <w:r w:rsidRPr="00CA5193">
        <w:rPr>
          <w:rStyle w:val="TextoNormalCaracter"/>
        </w:rPr>
        <w:t xml:space="preserve">, f. 4; </w:t>
      </w:r>
      <w:hyperlink w:anchor="SENTENCIA_2007_159" w:history="1">
        <w:r w:rsidRPr="00CA5193">
          <w:rPr>
            <w:rStyle w:val="TextoNormalCaracter"/>
          </w:rPr>
          <w:t>159/2007</w:t>
        </w:r>
      </w:hyperlink>
      <w:r w:rsidRPr="00CA5193">
        <w:rPr>
          <w:rStyle w:val="TextoNormalCaracter"/>
        </w:rPr>
        <w:t>, ff. 2, 3.</w:t>
      </w:r>
    </w:p>
    <w:p w:rsidR="00CA5193" w:rsidRPr="00CA5193" w:rsidRDefault="00CA5193" w:rsidP="00CA5193">
      <w:pPr>
        <w:pStyle w:val="TextoNormalSangraFrancesa"/>
        <w:rPr>
          <w:rStyle w:val="TextoNormalCaracter"/>
        </w:rPr>
      </w:pPr>
      <w:bookmarkStart w:id="1059" w:name="DESCRIPTORALFABETICO203"/>
      <w:r w:rsidRPr="00CA5193">
        <w:rPr>
          <w:rStyle w:val="TextoNormalNegritaCaracter"/>
        </w:rPr>
        <w:t>Presentación de escritos en el Juzgado de guardia</w:t>
      </w:r>
      <w:bookmarkEnd w:id="1059"/>
      <w:r w:rsidRPr="00CA5193">
        <w:rPr>
          <w:rStyle w:val="TextoNormalCaracter"/>
        </w:rPr>
        <w:t xml:space="preserve">, Sentencia </w:t>
      </w:r>
      <w:hyperlink w:anchor="SENTENCIA_2007_109" w:history="1">
        <w:r w:rsidRPr="00CA5193">
          <w:rPr>
            <w:rStyle w:val="TextoNormalCaracter"/>
          </w:rPr>
          <w:t>109/2007</w:t>
        </w:r>
      </w:hyperlink>
      <w:r w:rsidRPr="00CA5193">
        <w:rPr>
          <w:rStyle w:val="TextoNormalCaracter"/>
        </w:rPr>
        <w:t>, f. 2.</w:t>
      </w:r>
    </w:p>
    <w:p w:rsidR="00CA5193" w:rsidRPr="00CA5193" w:rsidRDefault="00CA5193" w:rsidP="00CA5193">
      <w:pPr>
        <w:pStyle w:val="TextoNormalSangraFrancesa"/>
        <w:rPr>
          <w:rStyle w:val="TextoNormalCaracter"/>
        </w:rPr>
      </w:pPr>
      <w:bookmarkStart w:id="1060" w:name="DESCRIPTORALFABETICO406"/>
      <w:r w:rsidRPr="00CA5193">
        <w:rPr>
          <w:rStyle w:val="TextoNormalNegritaCaracter"/>
        </w:rPr>
        <w:t>Presentación de escritos fuera de plazo</w:t>
      </w:r>
      <w:bookmarkEnd w:id="1060"/>
      <w:r w:rsidRPr="00CA5193">
        <w:rPr>
          <w:rStyle w:val="TextoNormalCaracter"/>
        </w:rPr>
        <w:t xml:space="preserve">, Sentencia </w:t>
      </w:r>
      <w:hyperlink w:anchor="SENTENCIA_2007_159" w:history="1">
        <w:r w:rsidRPr="00CA5193">
          <w:rPr>
            <w:rStyle w:val="TextoNormalCaracter"/>
          </w:rPr>
          <w:t>159/2007</w:t>
        </w:r>
      </w:hyperlink>
      <w:r w:rsidRPr="00CA5193">
        <w:rPr>
          <w:rStyle w:val="TextoNormalCaracter"/>
        </w:rPr>
        <w:t>, f. 2.</w:t>
      </w:r>
    </w:p>
    <w:p w:rsidR="00CA5193" w:rsidRPr="00CA5193" w:rsidRDefault="00CA5193" w:rsidP="00CA5193">
      <w:pPr>
        <w:pStyle w:val="TextoNormalSangraFrancesa"/>
        <w:rPr>
          <w:rStyle w:val="TextoNormalNegritaCaracter"/>
        </w:rPr>
      </w:pPr>
      <w:r w:rsidRPr="00CA5193">
        <w:rPr>
          <w:rStyle w:val="TextoNormalCursivaCaracter"/>
        </w:rPr>
        <w:t>Presunción de inocencia</w:t>
      </w:r>
      <w:r>
        <w:t xml:space="preserve"> véase </w:t>
      </w:r>
      <w:hyperlink w:anchor="DESCRIPTORALFABETICO43" w:history="1">
        <w:r w:rsidRPr="00CA5193">
          <w:rPr>
            <w:rStyle w:val="TextoNormalNegritaCaracter"/>
          </w:rPr>
          <w:t>Derecho a la presunción de inocencia</w:t>
        </w:r>
      </w:hyperlink>
    </w:p>
    <w:p w:rsidR="00CA5193" w:rsidRPr="00CA5193" w:rsidRDefault="00CA5193" w:rsidP="00CA5193">
      <w:pPr>
        <w:pStyle w:val="TextoNormalSangraFrancesa"/>
        <w:rPr>
          <w:rStyle w:val="TextoNormalCaracter"/>
        </w:rPr>
      </w:pPr>
      <w:bookmarkStart w:id="1061" w:name="DESCRIPTORALFABETICO409"/>
      <w:r w:rsidRPr="00CA5193">
        <w:rPr>
          <w:rStyle w:val="TextoNormalNegritaCaracter"/>
        </w:rPr>
        <w:t>Principio de congruencia</w:t>
      </w:r>
      <w:bookmarkEnd w:id="1061"/>
      <w:r w:rsidRPr="00CA5193">
        <w:rPr>
          <w:rStyle w:val="TextoNormalCaracter"/>
        </w:rPr>
        <w:t xml:space="preserve">, Sentencia </w:t>
      </w:r>
      <w:hyperlink w:anchor="SENTENCIA_2007_138" w:history="1">
        <w:r w:rsidRPr="00CA5193">
          <w:rPr>
            <w:rStyle w:val="TextoNormalCaracter"/>
          </w:rPr>
          <w:t>138/2007</w:t>
        </w:r>
      </w:hyperlink>
      <w:r w:rsidRPr="00CA5193">
        <w:rPr>
          <w:rStyle w:val="TextoNormalCaracter"/>
        </w:rPr>
        <w:t>, ff. 2, 3.</w:t>
      </w:r>
    </w:p>
    <w:p w:rsidR="00CA5193" w:rsidRPr="00CA5193" w:rsidRDefault="00CA5193" w:rsidP="00CA5193">
      <w:pPr>
        <w:pStyle w:val="TextoNormalSangraFrancesa"/>
        <w:rPr>
          <w:rStyle w:val="TextoNormalCaracter"/>
        </w:rPr>
      </w:pPr>
      <w:bookmarkStart w:id="1062" w:name="DESCRIPTORALFABETICO410"/>
      <w:r w:rsidRPr="00CA5193">
        <w:rPr>
          <w:rStyle w:val="TextoNormalNegritaCaracter"/>
        </w:rPr>
        <w:t>Principio de contradicción</w:t>
      </w:r>
      <w:bookmarkEnd w:id="1062"/>
      <w:r w:rsidRPr="00CA5193">
        <w:rPr>
          <w:rStyle w:val="TextoNormalCaracter"/>
        </w:rPr>
        <w:t xml:space="preserve">, Sentencias </w:t>
      </w:r>
      <w:hyperlink w:anchor="SENTENCIA_2007_116" w:history="1">
        <w:r w:rsidRPr="00CA5193">
          <w:rPr>
            <w:rStyle w:val="TextoNormalCaracter"/>
          </w:rPr>
          <w:t>116/2007</w:t>
        </w:r>
      </w:hyperlink>
      <w:r w:rsidRPr="00CA5193">
        <w:rPr>
          <w:rStyle w:val="TextoNormalCaracter"/>
        </w:rPr>
        <w:t xml:space="preserve">, f. 3; </w:t>
      </w:r>
      <w:hyperlink w:anchor="SENTENCIA_2007_142" w:history="1">
        <w:r w:rsidRPr="00CA5193">
          <w:rPr>
            <w:rStyle w:val="TextoNormalCaracter"/>
          </w:rPr>
          <w:t>142/2007</w:t>
        </w:r>
      </w:hyperlink>
      <w:r w:rsidRPr="00CA5193">
        <w:rPr>
          <w:rStyle w:val="TextoNormalCaracter"/>
        </w:rPr>
        <w:t xml:space="preserve">, f. 4; </w:t>
      </w:r>
      <w:hyperlink w:anchor="SENTENCIA_2007_164" w:history="1">
        <w:r w:rsidRPr="00CA5193">
          <w:rPr>
            <w:rStyle w:val="TextoNormalCaracter"/>
          </w:rPr>
          <w:t>164/2007</w:t>
        </w:r>
      </w:hyperlink>
      <w:r w:rsidRPr="00CA5193">
        <w:rPr>
          <w:rStyle w:val="TextoNormalCaracter"/>
        </w:rPr>
        <w:t xml:space="preserve">, f. 2; </w:t>
      </w:r>
      <w:hyperlink w:anchor="SENTENCIA_2007_175" w:history="1">
        <w:r w:rsidRPr="00CA5193">
          <w:rPr>
            <w:rStyle w:val="TextoNormalCaracter"/>
          </w:rPr>
          <w:t>175/2007</w:t>
        </w:r>
      </w:hyperlink>
      <w:r w:rsidRPr="00CA5193">
        <w:rPr>
          <w:rStyle w:val="TextoNormalCaracter"/>
        </w:rPr>
        <w:t>, f. 5.</w:t>
      </w:r>
    </w:p>
    <w:p w:rsidR="00CA5193" w:rsidRPr="00CA5193" w:rsidRDefault="00CA5193" w:rsidP="00CA5193">
      <w:pPr>
        <w:pStyle w:val="TextoNormalSangraFrancesa"/>
        <w:rPr>
          <w:rStyle w:val="TextoNormalCaracter"/>
        </w:rPr>
      </w:pPr>
      <w:r w:rsidRPr="00CA5193">
        <w:rPr>
          <w:rStyle w:val="TextoNormalCaracter"/>
        </w:rPr>
        <w:t xml:space="preserve">    Auto </w:t>
      </w:r>
      <w:hyperlink w:anchor="AUTO_2007_264" w:history="1">
        <w:r w:rsidRPr="00CA5193">
          <w:rPr>
            <w:rStyle w:val="TextoNormalCaracter"/>
          </w:rPr>
          <w:t>264/2007</w:t>
        </w:r>
      </w:hyperlink>
      <w:r w:rsidRPr="00CA5193">
        <w:rPr>
          <w:rStyle w:val="TextoNormalCaracter"/>
        </w:rPr>
        <w:t>.</w:t>
      </w:r>
    </w:p>
    <w:p w:rsidR="00CA5193" w:rsidRPr="00CA5193" w:rsidRDefault="00CA5193" w:rsidP="00CA5193">
      <w:pPr>
        <w:pStyle w:val="TextoNormalSangraFrancesa"/>
        <w:rPr>
          <w:rStyle w:val="TextoNormalCaracter"/>
        </w:rPr>
      </w:pPr>
      <w:bookmarkStart w:id="1063" w:name="DESCRIPTORALFABETICO219"/>
      <w:r w:rsidRPr="00CA5193">
        <w:rPr>
          <w:rStyle w:val="TextoNormalNegritaCaracter"/>
        </w:rPr>
        <w:t>Principio de igualdad</w:t>
      </w:r>
      <w:bookmarkEnd w:id="1063"/>
      <w:r w:rsidRPr="00CA5193">
        <w:rPr>
          <w:rStyle w:val="TextoNormalCaracter"/>
        </w:rPr>
        <w:t xml:space="preserve">, Auto </w:t>
      </w:r>
      <w:hyperlink w:anchor="AUTO_2007_328" w:history="1">
        <w:r w:rsidRPr="00CA5193">
          <w:rPr>
            <w:rStyle w:val="TextoNormalCaracter"/>
          </w:rPr>
          <w:t>328/2007</w:t>
        </w:r>
      </w:hyperlink>
      <w:r w:rsidRPr="00CA5193">
        <w:rPr>
          <w:rStyle w:val="TextoNormalCaracter"/>
        </w:rPr>
        <w:t>.</w:t>
      </w:r>
    </w:p>
    <w:p w:rsidR="00CA5193" w:rsidRPr="00CA5193" w:rsidRDefault="00CA5193" w:rsidP="00CA5193">
      <w:pPr>
        <w:pStyle w:val="TextoNormalSangraFrancesa"/>
        <w:rPr>
          <w:rStyle w:val="TextoNormalCaracter"/>
        </w:rPr>
      </w:pPr>
      <w:r w:rsidRPr="00CA5193">
        <w:rPr>
          <w:rStyle w:val="TextoNormalCursivaCaracter"/>
        </w:rPr>
        <w:t xml:space="preserve">    Doctrina constitucional, </w:t>
      </w:r>
      <w:r w:rsidRPr="00CA5193">
        <w:rPr>
          <w:rStyle w:val="TextoNormalCaracter"/>
        </w:rPr>
        <w:t xml:space="preserve">Auto </w:t>
      </w:r>
      <w:hyperlink w:anchor="AUTO_2007_328" w:history="1">
        <w:r w:rsidRPr="00CA5193">
          <w:rPr>
            <w:rStyle w:val="TextoNormalCaracter"/>
          </w:rPr>
          <w:t>328/2007</w:t>
        </w:r>
      </w:hyperlink>
      <w:r w:rsidRPr="00CA5193">
        <w:rPr>
          <w:rStyle w:val="TextoNormalCaracter"/>
        </w:rPr>
        <w:t>.</w:t>
      </w:r>
    </w:p>
    <w:p w:rsidR="00CA5193" w:rsidRPr="00CA5193" w:rsidRDefault="00CA5193" w:rsidP="00CA5193">
      <w:pPr>
        <w:pStyle w:val="TextoNormalSangraFrancesa"/>
        <w:rPr>
          <w:rStyle w:val="TextoNormalNegritaCaracter"/>
        </w:rPr>
      </w:pPr>
      <w:r w:rsidRPr="00CA5193">
        <w:rPr>
          <w:rStyle w:val="TextoNormalCursivaCaracter"/>
        </w:rPr>
        <w:t>Principio de igualdad tributaria</w:t>
      </w:r>
      <w:r>
        <w:t xml:space="preserve"> véase </w:t>
      </w:r>
      <w:hyperlink w:anchor="DESCRIPTORALFABETICO220" w:history="1">
        <w:r w:rsidRPr="00CA5193">
          <w:rPr>
            <w:rStyle w:val="TextoNormalNegritaCaracter"/>
          </w:rPr>
          <w:t>Igualdad tributaria</w:t>
        </w:r>
      </w:hyperlink>
    </w:p>
    <w:p w:rsidR="00CA5193" w:rsidRPr="00CA5193" w:rsidRDefault="00CA5193" w:rsidP="00CA5193">
      <w:pPr>
        <w:pStyle w:val="TextoNormalSangraFrancesa"/>
        <w:rPr>
          <w:rStyle w:val="TextoNormalCaracter"/>
        </w:rPr>
      </w:pPr>
      <w:bookmarkStart w:id="1064" w:name="DESCRIPTORALFABETICO21"/>
      <w:r w:rsidRPr="00CA5193">
        <w:rPr>
          <w:rStyle w:val="TextoNormalNegritaCaracter"/>
        </w:rPr>
        <w:t>Principio de inalterabilidad de las listas electorales</w:t>
      </w:r>
      <w:bookmarkEnd w:id="1064"/>
      <w:r w:rsidRPr="00CA5193">
        <w:rPr>
          <w:rStyle w:val="TextoNormalCaracter"/>
        </w:rPr>
        <w:t xml:space="preserve">, Sentencias </w:t>
      </w:r>
      <w:hyperlink w:anchor="SENTENCIA_2007_167" w:history="1">
        <w:r w:rsidRPr="00CA5193">
          <w:rPr>
            <w:rStyle w:val="TextoNormalCaracter"/>
          </w:rPr>
          <w:t>167/2007</w:t>
        </w:r>
      </w:hyperlink>
      <w:r w:rsidRPr="00CA5193">
        <w:rPr>
          <w:rStyle w:val="TextoNormalCaracter"/>
        </w:rPr>
        <w:t xml:space="preserve">, f. 8; </w:t>
      </w:r>
      <w:hyperlink w:anchor="SENTENCIA_2007_168" w:history="1">
        <w:r w:rsidRPr="00CA5193">
          <w:rPr>
            <w:rStyle w:val="TextoNormalCaracter"/>
          </w:rPr>
          <w:t>168/2007</w:t>
        </w:r>
      </w:hyperlink>
      <w:r w:rsidRPr="00CA5193">
        <w:rPr>
          <w:rStyle w:val="TextoNormalCaracter"/>
        </w:rPr>
        <w:t xml:space="preserve">, f. 4; </w:t>
      </w:r>
      <w:hyperlink w:anchor="SENTENCIA_2007_169" w:history="1">
        <w:r w:rsidRPr="00CA5193">
          <w:rPr>
            <w:rStyle w:val="TextoNormalCaracter"/>
          </w:rPr>
          <w:t>169/2007</w:t>
        </w:r>
      </w:hyperlink>
      <w:r w:rsidRPr="00CA5193">
        <w:rPr>
          <w:rStyle w:val="TextoNormalCaracter"/>
        </w:rPr>
        <w:t xml:space="preserve">, f. 6; </w:t>
      </w:r>
      <w:hyperlink w:anchor="SENTENCIA_2007_170" w:history="1">
        <w:r w:rsidRPr="00CA5193">
          <w:rPr>
            <w:rStyle w:val="TextoNormalCaracter"/>
          </w:rPr>
          <w:t>170/2007</w:t>
        </w:r>
      </w:hyperlink>
      <w:r w:rsidRPr="00CA5193">
        <w:rPr>
          <w:rStyle w:val="TextoNormalCaracter"/>
        </w:rPr>
        <w:t>, f. 5.</w:t>
      </w:r>
    </w:p>
    <w:p w:rsidR="00CA5193" w:rsidRPr="00CA5193" w:rsidRDefault="00CA5193" w:rsidP="00CA5193">
      <w:pPr>
        <w:pStyle w:val="TextoNormalSangraFrancesa"/>
        <w:rPr>
          <w:rStyle w:val="TextoNormalCaracter"/>
        </w:rPr>
      </w:pPr>
      <w:bookmarkStart w:id="1065" w:name="DESCRIPTORALFABETICO411"/>
      <w:r w:rsidRPr="00CA5193">
        <w:rPr>
          <w:rStyle w:val="TextoNormalNegritaCaracter"/>
        </w:rPr>
        <w:t>Principio de inmediación</w:t>
      </w:r>
      <w:bookmarkEnd w:id="1065"/>
      <w:r w:rsidRPr="00CA5193">
        <w:rPr>
          <w:rStyle w:val="TextoNormalCaracter"/>
        </w:rPr>
        <w:t xml:space="preserve">, Sentencias </w:t>
      </w:r>
      <w:hyperlink w:anchor="SENTENCIA_2007_142" w:history="1">
        <w:r w:rsidRPr="00CA5193">
          <w:rPr>
            <w:rStyle w:val="TextoNormalCaracter"/>
          </w:rPr>
          <w:t>142/2007</w:t>
        </w:r>
      </w:hyperlink>
      <w:r w:rsidRPr="00CA5193">
        <w:rPr>
          <w:rStyle w:val="TextoNormalCaracter"/>
        </w:rPr>
        <w:t xml:space="preserve">, f. 4; </w:t>
      </w:r>
      <w:hyperlink w:anchor="SENTENCIA_2007_164" w:history="1">
        <w:r w:rsidRPr="00CA5193">
          <w:rPr>
            <w:rStyle w:val="TextoNormalCaracter"/>
          </w:rPr>
          <w:t>164/2007</w:t>
        </w:r>
      </w:hyperlink>
      <w:r w:rsidRPr="00CA5193">
        <w:rPr>
          <w:rStyle w:val="TextoNormalCaracter"/>
        </w:rPr>
        <w:t>, f. 2.</w:t>
      </w:r>
    </w:p>
    <w:p w:rsidR="00CA5193" w:rsidRPr="00CA5193" w:rsidRDefault="00CA5193" w:rsidP="00CA5193">
      <w:pPr>
        <w:pStyle w:val="TextoNormalSangraFrancesa"/>
        <w:rPr>
          <w:rStyle w:val="TextoNormalCaracter"/>
        </w:rPr>
      </w:pPr>
      <w:bookmarkStart w:id="1066" w:name="DESCRIPTORALFABETICO222"/>
      <w:r w:rsidRPr="00CA5193">
        <w:rPr>
          <w:rStyle w:val="TextoNormalNegritaCaracter"/>
        </w:rPr>
        <w:t>Principio de irretroactividad</w:t>
      </w:r>
      <w:bookmarkEnd w:id="1066"/>
      <w:r w:rsidRPr="00CA5193">
        <w:rPr>
          <w:rStyle w:val="TextoNormalCaracter"/>
        </w:rPr>
        <w:t xml:space="preserve">, Sentencia </w:t>
      </w:r>
      <w:hyperlink w:anchor="SENTENCIA_2007_141" w:history="1">
        <w:r w:rsidRPr="00CA5193">
          <w:rPr>
            <w:rStyle w:val="TextoNormalCaracter"/>
          </w:rPr>
          <w:t>141/2007</w:t>
        </w:r>
      </w:hyperlink>
      <w:r w:rsidRPr="00CA5193">
        <w:rPr>
          <w:rStyle w:val="TextoNormalCaracter"/>
        </w:rPr>
        <w:t>, ff. 3, 4.</w:t>
      </w:r>
    </w:p>
    <w:p w:rsidR="00CA5193" w:rsidRPr="00CA5193" w:rsidRDefault="00CA5193" w:rsidP="00CA5193">
      <w:pPr>
        <w:pStyle w:val="TextoNormalSangraFrancesa"/>
        <w:rPr>
          <w:rStyle w:val="TextoNormalCaracter"/>
        </w:rPr>
      </w:pPr>
      <w:bookmarkStart w:id="1067" w:name="DESCRIPTORALFABETICO223"/>
      <w:r w:rsidRPr="00CA5193">
        <w:rPr>
          <w:rStyle w:val="TextoNormalNegritaCaracter"/>
        </w:rPr>
        <w:t>Principio de legalidad penal</w:t>
      </w:r>
      <w:bookmarkEnd w:id="1067"/>
      <w:r w:rsidRPr="00CA5193">
        <w:rPr>
          <w:rStyle w:val="TextoNormalCaracter"/>
        </w:rPr>
        <w:t xml:space="preserve">, Sentencia </w:t>
      </w:r>
      <w:hyperlink w:anchor="SENTENCIA_2007_116" w:history="1">
        <w:r w:rsidRPr="00CA5193">
          <w:rPr>
            <w:rStyle w:val="TextoNormalCaracter"/>
          </w:rPr>
          <w:t>116/2007</w:t>
        </w:r>
      </w:hyperlink>
      <w:r w:rsidRPr="00CA5193">
        <w:rPr>
          <w:rStyle w:val="TextoNormalCaracter"/>
        </w:rPr>
        <w:t>, f. 10.</w:t>
      </w:r>
    </w:p>
    <w:p w:rsidR="00CA5193" w:rsidRPr="00CA5193" w:rsidRDefault="00CA5193" w:rsidP="00CA5193">
      <w:pPr>
        <w:pStyle w:val="TextoNormalSangraFrancesa"/>
        <w:rPr>
          <w:rStyle w:val="TextoNormalCaracter"/>
        </w:rPr>
      </w:pPr>
      <w:r w:rsidRPr="00CA5193">
        <w:rPr>
          <w:rStyle w:val="TextoNormalCursivaCaracter"/>
        </w:rPr>
        <w:t xml:space="preserve">    Respetado, </w:t>
      </w:r>
      <w:r w:rsidRPr="00CA5193">
        <w:rPr>
          <w:rStyle w:val="TextoNormalCaracter"/>
        </w:rPr>
        <w:t xml:space="preserve">Autos </w:t>
      </w:r>
      <w:hyperlink w:anchor="AUTO_2007_245" w:history="1">
        <w:r w:rsidRPr="00CA5193">
          <w:rPr>
            <w:rStyle w:val="TextoNormalCaracter"/>
          </w:rPr>
          <w:t>245/2007</w:t>
        </w:r>
      </w:hyperlink>
      <w:r w:rsidRPr="00CA5193">
        <w:rPr>
          <w:rStyle w:val="TextoNormalCaracter"/>
        </w:rPr>
        <w:t xml:space="preserve">; </w:t>
      </w:r>
      <w:hyperlink w:anchor="AUTO_2007_323" w:history="1">
        <w:r w:rsidRPr="00CA5193">
          <w:rPr>
            <w:rStyle w:val="TextoNormalCaracter"/>
          </w:rPr>
          <w:t>323/2007</w:t>
        </w:r>
      </w:hyperlink>
      <w:r w:rsidRPr="00CA5193">
        <w:rPr>
          <w:rStyle w:val="TextoNormalCaracter"/>
        </w:rPr>
        <w:t>.</w:t>
      </w:r>
    </w:p>
    <w:p w:rsidR="00CA5193" w:rsidRPr="00CA5193" w:rsidRDefault="00CA5193" w:rsidP="00CA5193">
      <w:pPr>
        <w:pStyle w:val="TextoNormalSangraFrancesa"/>
        <w:rPr>
          <w:rStyle w:val="TextoNormalCaracter"/>
        </w:rPr>
      </w:pPr>
      <w:bookmarkStart w:id="1068" w:name="DESCRIPTORALFABETICO225"/>
      <w:r w:rsidRPr="00CA5193">
        <w:rPr>
          <w:rStyle w:val="TextoNormalNegritaCaracter"/>
        </w:rPr>
        <w:t>Principio de legalidad sancionadora</w:t>
      </w:r>
      <w:bookmarkEnd w:id="1068"/>
      <w:r w:rsidRPr="00CA5193">
        <w:rPr>
          <w:rStyle w:val="TextoNormalCaracter"/>
        </w:rPr>
        <w:t xml:space="preserve">, Sentencia </w:t>
      </w:r>
      <w:hyperlink w:anchor="SENTENCIA_2007_116" w:history="1">
        <w:r w:rsidRPr="00CA5193">
          <w:rPr>
            <w:rStyle w:val="TextoNormalCaracter"/>
          </w:rPr>
          <w:t>116/2007</w:t>
        </w:r>
      </w:hyperlink>
      <w:r w:rsidRPr="00CA5193">
        <w:rPr>
          <w:rStyle w:val="TextoNormalCaracter"/>
        </w:rPr>
        <w:t>, f. 7.</w:t>
      </w:r>
    </w:p>
    <w:p w:rsidR="00CA5193" w:rsidRPr="00CA5193" w:rsidRDefault="00CA5193" w:rsidP="00CA5193">
      <w:pPr>
        <w:pStyle w:val="TextoNormalSangraFrancesa"/>
        <w:rPr>
          <w:rStyle w:val="TextoNormalCaracter"/>
        </w:rPr>
      </w:pPr>
      <w:bookmarkStart w:id="1069" w:name="DESCRIPTORALFABETICO218"/>
      <w:r w:rsidRPr="00CA5193">
        <w:rPr>
          <w:rStyle w:val="TextoNormalNegritaCaracter"/>
        </w:rPr>
        <w:t>Principio de neutralidad religiosa</w:t>
      </w:r>
      <w:bookmarkEnd w:id="1069"/>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ff. 5, 9, 10, 12, VP.</w:t>
      </w:r>
    </w:p>
    <w:p w:rsidR="00CA5193" w:rsidRPr="00CA5193" w:rsidRDefault="00CA5193" w:rsidP="00CA5193">
      <w:pPr>
        <w:pStyle w:val="TextoNormalSangraFrancesa"/>
        <w:rPr>
          <w:rStyle w:val="TextoNormalCaracter"/>
        </w:rPr>
      </w:pPr>
      <w:bookmarkStart w:id="1070" w:name="DESCRIPTORALFABETICO227"/>
      <w:r w:rsidRPr="00CA5193">
        <w:rPr>
          <w:rStyle w:val="TextoNormalNegritaCaracter"/>
        </w:rPr>
        <w:t>Principio de seguridad jurídica</w:t>
      </w:r>
      <w:bookmarkEnd w:id="1070"/>
      <w:r w:rsidRPr="00CA5193">
        <w:rPr>
          <w:rStyle w:val="TextoNormalCaracter"/>
        </w:rPr>
        <w:t xml:space="preserve">, Sentencias </w:t>
      </w:r>
      <w:hyperlink w:anchor="SENTENCIA_2007_169" w:history="1">
        <w:r w:rsidRPr="00CA5193">
          <w:rPr>
            <w:rStyle w:val="TextoNormalCaracter"/>
          </w:rPr>
          <w:t>169/2007</w:t>
        </w:r>
      </w:hyperlink>
      <w:r w:rsidRPr="00CA5193">
        <w:rPr>
          <w:rStyle w:val="TextoNormalCaracter"/>
        </w:rPr>
        <w:t xml:space="preserve">, f. 2; </w:t>
      </w:r>
      <w:hyperlink w:anchor="SENTENCIA_2007_173" w:history="1">
        <w:r w:rsidRPr="00CA5193">
          <w:rPr>
            <w:rStyle w:val="TextoNormalCaracter"/>
          </w:rPr>
          <w:t>173/2007</w:t>
        </w:r>
      </w:hyperlink>
      <w:r w:rsidRPr="00CA5193">
        <w:rPr>
          <w:rStyle w:val="TextoNormalCaracter"/>
        </w:rPr>
        <w:t>, f. 4.</w:t>
      </w:r>
    </w:p>
    <w:p w:rsidR="00CA5193" w:rsidRPr="00CA5193" w:rsidRDefault="00CA5193" w:rsidP="00CA5193">
      <w:pPr>
        <w:pStyle w:val="TextoNormalSangraFrancesa"/>
        <w:rPr>
          <w:rStyle w:val="TextoNormalNegritaCaracter"/>
        </w:rPr>
      </w:pPr>
      <w:r w:rsidRPr="00CA5193">
        <w:rPr>
          <w:rStyle w:val="TextoNormalCursivaCaracter"/>
        </w:rPr>
        <w:t>Principio favor actionis</w:t>
      </w:r>
      <w:r>
        <w:t xml:space="preserve"> véase </w:t>
      </w:r>
      <w:hyperlink w:anchor="DESCRIPTORALFABETICO412" w:history="1">
        <w:r w:rsidRPr="00CA5193">
          <w:rPr>
            <w:rStyle w:val="TextoNormalNegritaCaracter"/>
          </w:rPr>
          <w:t xml:space="preserve">Principio </w:t>
        </w:r>
        <w:r w:rsidRPr="00CA5193">
          <w:rPr>
            <w:rStyle w:val="TextoNormalNegritaCaracter"/>
            <w:i/>
          </w:rPr>
          <w:t>pro actione</w:t>
        </w:r>
      </w:hyperlink>
    </w:p>
    <w:p w:rsidR="00CA5193" w:rsidRPr="00CA5193" w:rsidRDefault="00CA5193" w:rsidP="00CA5193">
      <w:pPr>
        <w:pStyle w:val="TextoNormalSangraFrancesa"/>
        <w:rPr>
          <w:rStyle w:val="TextoNormalCaracter"/>
        </w:rPr>
      </w:pPr>
      <w:bookmarkStart w:id="1071" w:name="DESCRIPTORALFABETICO224"/>
      <w:r w:rsidRPr="00CA5193">
        <w:rPr>
          <w:rStyle w:val="TextoNormalNegritaCaracter"/>
        </w:rPr>
        <w:lastRenderedPageBreak/>
        <w:t xml:space="preserve">Principio </w:t>
      </w:r>
      <w:r w:rsidRPr="00CA5193">
        <w:rPr>
          <w:rStyle w:val="TextoNormalNegritaCaracter"/>
          <w:i/>
        </w:rPr>
        <w:t>non bis in idem</w:t>
      </w:r>
      <w:bookmarkEnd w:id="1071"/>
      <w:r w:rsidRPr="00CA5193">
        <w:rPr>
          <w:rStyle w:val="TextoNormalCaracter"/>
        </w:rPr>
        <w:t xml:space="preserve">, Sentencia </w:t>
      </w:r>
      <w:hyperlink w:anchor="SENTENCIA_2007_116" w:history="1">
        <w:r w:rsidRPr="00CA5193">
          <w:rPr>
            <w:rStyle w:val="TextoNormalCaracter"/>
          </w:rPr>
          <w:t>116/2007</w:t>
        </w:r>
      </w:hyperlink>
      <w:r w:rsidRPr="00CA5193">
        <w:rPr>
          <w:rStyle w:val="TextoNormalCaracter"/>
        </w:rPr>
        <w:t>, f. 8.</w:t>
      </w:r>
    </w:p>
    <w:p w:rsidR="00CA5193" w:rsidRPr="00CA5193" w:rsidRDefault="00CA5193" w:rsidP="00CA5193">
      <w:pPr>
        <w:pStyle w:val="TextoNormalSangraFrancesa"/>
        <w:rPr>
          <w:rStyle w:val="TextoNormalCaracter"/>
        </w:rPr>
      </w:pPr>
      <w:bookmarkStart w:id="1072" w:name="DESCRIPTORALFABETICO412"/>
      <w:r w:rsidRPr="00CA5193">
        <w:rPr>
          <w:rStyle w:val="TextoNormalNegritaCaracter"/>
        </w:rPr>
        <w:t xml:space="preserve">Principio </w:t>
      </w:r>
      <w:r w:rsidRPr="00CA5193">
        <w:rPr>
          <w:rStyle w:val="TextoNormalNegritaCaracter"/>
          <w:i/>
        </w:rPr>
        <w:t>pro actione</w:t>
      </w:r>
      <w:bookmarkEnd w:id="1072"/>
      <w:r w:rsidRPr="00CA5193">
        <w:rPr>
          <w:rStyle w:val="TextoNormalCaracter"/>
        </w:rPr>
        <w:t xml:space="preserve">, Sentencias </w:t>
      </w:r>
      <w:hyperlink w:anchor="SENTENCIA_2007_154" w:history="1">
        <w:r w:rsidRPr="00CA5193">
          <w:rPr>
            <w:rStyle w:val="TextoNormalCaracter"/>
          </w:rPr>
          <w:t>154/2007</w:t>
        </w:r>
      </w:hyperlink>
      <w:r w:rsidRPr="00CA5193">
        <w:rPr>
          <w:rStyle w:val="TextoNormalCaracter"/>
        </w:rPr>
        <w:t xml:space="preserve">, f. 4; </w:t>
      </w:r>
      <w:hyperlink w:anchor="SENTENCIA_2007_159" w:history="1">
        <w:r w:rsidRPr="00CA5193">
          <w:rPr>
            <w:rStyle w:val="TextoNormalCaracter"/>
          </w:rPr>
          <w:t>159/2007</w:t>
        </w:r>
      </w:hyperlink>
      <w:r w:rsidRPr="00CA5193">
        <w:rPr>
          <w:rStyle w:val="TextoNormalCaracter"/>
        </w:rPr>
        <w:t>, f. 2.</w:t>
      </w:r>
    </w:p>
    <w:p w:rsidR="00CA5193" w:rsidRPr="00CA5193" w:rsidRDefault="00CA5193" w:rsidP="00CA5193">
      <w:pPr>
        <w:pStyle w:val="TextoNormalSangraFrancesa"/>
        <w:rPr>
          <w:rStyle w:val="TextoNormalCaracter"/>
        </w:rPr>
      </w:pPr>
      <w:r w:rsidRPr="00CA5193">
        <w:rPr>
          <w:rStyle w:val="TextoNormalCursivaCaracter"/>
        </w:rPr>
        <w:t xml:space="preserve">    Doctrina constitucional, </w:t>
      </w:r>
      <w:r w:rsidRPr="00CA5193">
        <w:rPr>
          <w:rStyle w:val="TextoNormalCaracter"/>
        </w:rPr>
        <w:t xml:space="preserve">Sentencias </w:t>
      </w:r>
      <w:hyperlink w:anchor="SENTENCIA_2007_119" w:history="1">
        <w:r w:rsidRPr="00CA5193">
          <w:rPr>
            <w:rStyle w:val="TextoNormalCaracter"/>
          </w:rPr>
          <w:t>119/2007</w:t>
        </w:r>
      </w:hyperlink>
      <w:r w:rsidRPr="00CA5193">
        <w:rPr>
          <w:rStyle w:val="TextoNormalCaracter"/>
        </w:rPr>
        <w:t xml:space="preserve">, ff. 3, 5, 6; </w:t>
      </w:r>
      <w:hyperlink w:anchor="SENTENCIA_2007_154" w:history="1">
        <w:r w:rsidRPr="00CA5193">
          <w:rPr>
            <w:rStyle w:val="TextoNormalCaracter"/>
          </w:rPr>
          <w:t>154/2007</w:t>
        </w:r>
      </w:hyperlink>
      <w:r w:rsidRPr="00CA5193">
        <w:rPr>
          <w:rStyle w:val="TextoNormalCaracter"/>
        </w:rPr>
        <w:t>, f. 3.</w:t>
      </w:r>
    </w:p>
    <w:p w:rsidR="00CA5193" w:rsidRPr="00CA5193" w:rsidRDefault="00CA5193" w:rsidP="00CA5193">
      <w:pPr>
        <w:pStyle w:val="TextoNormalSangraFrancesa"/>
        <w:rPr>
          <w:rStyle w:val="TextoNormalCaracter"/>
        </w:rPr>
      </w:pPr>
      <w:bookmarkStart w:id="1073" w:name="DESCRIPTORALFABETICO299"/>
      <w:r w:rsidRPr="00CA5193">
        <w:rPr>
          <w:rStyle w:val="TextoNormalNegritaCaracter"/>
        </w:rPr>
        <w:t>Prisión de siete meses</w:t>
      </w:r>
      <w:bookmarkEnd w:id="1073"/>
      <w:r w:rsidRPr="00CA5193">
        <w:rPr>
          <w:rStyle w:val="TextoNormalCaracter"/>
        </w:rPr>
        <w:t xml:space="preserve">, Auto </w:t>
      </w:r>
      <w:hyperlink w:anchor="AUTO_2007_249" w:history="1">
        <w:r w:rsidRPr="00CA5193">
          <w:rPr>
            <w:rStyle w:val="TextoNormalCaracter"/>
          </w:rPr>
          <w:t>249/2007</w:t>
        </w:r>
      </w:hyperlink>
      <w:r w:rsidRPr="00CA5193">
        <w:rPr>
          <w:rStyle w:val="TextoNormalCaracter"/>
        </w:rPr>
        <w:t>.</w:t>
      </w:r>
    </w:p>
    <w:p w:rsidR="00CA5193" w:rsidRPr="00CA5193" w:rsidRDefault="00CA5193" w:rsidP="00CA5193">
      <w:pPr>
        <w:pStyle w:val="TextoNormalSangraFrancesa"/>
        <w:rPr>
          <w:rStyle w:val="TextoNormalCaracter"/>
        </w:rPr>
      </w:pPr>
      <w:bookmarkStart w:id="1074" w:name="DESCRIPTORALFABETICO300"/>
      <w:r w:rsidRPr="00CA5193">
        <w:rPr>
          <w:rStyle w:val="TextoNormalNegritaCaracter"/>
        </w:rPr>
        <w:t>Prisión de nueve meses</w:t>
      </w:r>
      <w:bookmarkEnd w:id="1074"/>
      <w:r w:rsidRPr="00CA5193">
        <w:rPr>
          <w:rStyle w:val="TextoNormalCaracter"/>
        </w:rPr>
        <w:t xml:space="preserve">, Auto </w:t>
      </w:r>
      <w:hyperlink w:anchor="AUTO_2007_248" w:history="1">
        <w:r w:rsidRPr="00CA5193">
          <w:rPr>
            <w:rStyle w:val="TextoNormalCaracter"/>
          </w:rPr>
          <w:t>248/2007</w:t>
        </w:r>
      </w:hyperlink>
      <w:r w:rsidRPr="00CA5193">
        <w:rPr>
          <w:rStyle w:val="TextoNormalCaracter"/>
        </w:rPr>
        <w:t>.</w:t>
      </w:r>
    </w:p>
    <w:p w:rsidR="00CA5193" w:rsidRPr="00CA5193" w:rsidRDefault="00CA5193" w:rsidP="00CA5193">
      <w:pPr>
        <w:pStyle w:val="TextoNormalSangraFrancesa"/>
        <w:rPr>
          <w:rStyle w:val="TextoNormalCaracter"/>
        </w:rPr>
      </w:pPr>
      <w:bookmarkStart w:id="1075" w:name="DESCRIPTORALFABETICO301"/>
      <w:r w:rsidRPr="00CA5193">
        <w:rPr>
          <w:rStyle w:val="TextoNormalNegritaCaracter"/>
        </w:rPr>
        <w:t>Prisión de un año</w:t>
      </w:r>
      <w:bookmarkEnd w:id="1075"/>
      <w:r w:rsidRPr="00CA5193">
        <w:rPr>
          <w:rStyle w:val="TextoNormalCaracter"/>
        </w:rPr>
        <w:t xml:space="preserve">, Auto </w:t>
      </w:r>
      <w:hyperlink w:anchor="AUTO_2007_286" w:history="1">
        <w:r w:rsidRPr="00CA5193">
          <w:rPr>
            <w:rStyle w:val="TextoNormalCaracter"/>
          </w:rPr>
          <w:t>286/2007</w:t>
        </w:r>
      </w:hyperlink>
      <w:r w:rsidRPr="00CA5193">
        <w:rPr>
          <w:rStyle w:val="TextoNormalCaracter"/>
        </w:rPr>
        <w:t>.</w:t>
      </w:r>
    </w:p>
    <w:p w:rsidR="00CA5193" w:rsidRPr="00CA5193" w:rsidRDefault="00CA5193" w:rsidP="00CA5193">
      <w:pPr>
        <w:pStyle w:val="TextoNormalSangraFrancesa"/>
        <w:rPr>
          <w:rStyle w:val="TextoNormalCaracter"/>
        </w:rPr>
      </w:pPr>
      <w:bookmarkStart w:id="1076" w:name="DESCRIPTORALFABETICO302"/>
      <w:r w:rsidRPr="00CA5193">
        <w:rPr>
          <w:rStyle w:val="TextoNormalNegritaCaracter"/>
        </w:rPr>
        <w:t>Prisión de tres años</w:t>
      </w:r>
      <w:bookmarkEnd w:id="1076"/>
      <w:r w:rsidRPr="00CA5193">
        <w:rPr>
          <w:rStyle w:val="TextoNormalCaracter"/>
        </w:rPr>
        <w:t xml:space="preserve">, Auto </w:t>
      </w:r>
      <w:hyperlink w:anchor="AUTO_2007_273" w:history="1">
        <w:r w:rsidRPr="00CA5193">
          <w:rPr>
            <w:rStyle w:val="TextoNormalCaracter"/>
          </w:rPr>
          <w:t>273/2007</w:t>
        </w:r>
      </w:hyperlink>
      <w:r w:rsidRPr="00CA5193">
        <w:rPr>
          <w:rStyle w:val="TextoNormalCaracter"/>
        </w:rPr>
        <w:t>.</w:t>
      </w:r>
    </w:p>
    <w:p w:rsidR="00CA5193" w:rsidRPr="00CA5193" w:rsidRDefault="00CA5193" w:rsidP="00CA5193">
      <w:pPr>
        <w:pStyle w:val="TextoNormalSangraFrancesa"/>
        <w:rPr>
          <w:rStyle w:val="TextoNormalCaracter"/>
        </w:rPr>
      </w:pPr>
      <w:bookmarkStart w:id="1077" w:name="DESCRIPTORALFABETICO303"/>
      <w:r w:rsidRPr="00CA5193">
        <w:rPr>
          <w:rStyle w:val="TextoNormalNegritaCaracter"/>
        </w:rPr>
        <w:t>Prisión de cuatro años</w:t>
      </w:r>
      <w:bookmarkEnd w:id="1077"/>
      <w:r w:rsidRPr="00CA5193">
        <w:rPr>
          <w:rStyle w:val="TextoNormalCaracter"/>
        </w:rPr>
        <w:t xml:space="preserve">, Auto </w:t>
      </w:r>
      <w:hyperlink w:anchor="AUTO_2007_283" w:history="1">
        <w:r w:rsidRPr="00CA5193">
          <w:rPr>
            <w:rStyle w:val="TextoNormalCaracter"/>
          </w:rPr>
          <w:t>283/2007</w:t>
        </w:r>
      </w:hyperlink>
      <w:r w:rsidRPr="00CA5193">
        <w:rPr>
          <w:rStyle w:val="TextoNormalCaracter"/>
        </w:rPr>
        <w:t>.</w:t>
      </w:r>
    </w:p>
    <w:p w:rsidR="00CA5193" w:rsidRPr="00CA5193" w:rsidRDefault="00CA5193" w:rsidP="00CA5193">
      <w:pPr>
        <w:pStyle w:val="TextoNormalSangraFrancesa"/>
        <w:rPr>
          <w:rStyle w:val="TextoNormalNegritaCaracter"/>
        </w:rPr>
      </w:pPr>
      <w:r w:rsidRPr="00CA5193">
        <w:rPr>
          <w:rStyle w:val="TextoNormalCursivaCaracter"/>
        </w:rPr>
        <w:t>Prisión preventiva</w:t>
      </w:r>
      <w:r>
        <w:t xml:space="preserve"> véase </w:t>
      </w:r>
      <w:hyperlink w:anchor="DESCRIPTORALFABETICO457" w:history="1">
        <w:r w:rsidRPr="00CA5193">
          <w:rPr>
            <w:rStyle w:val="TextoNormalNegritaCaracter"/>
          </w:rPr>
          <w:t>Prisión provisional</w:t>
        </w:r>
      </w:hyperlink>
    </w:p>
    <w:p w:rsidR="00CA5193" w:rsidRPr="00CA5193" w:rsidRDefault="00CA5193" w:rsidP="00CA5193">
      <w:pPr>
        <w:pStyle w:val="TextoNormalSangraFrancesa"/>
        <w:rPr>
          <w:rStyle w:val="TextoNormalCaracter"/>
        </w:rPr>
      </w:pPr>
      <w:bookmarkStart w:id="1078" w:name="DESCRIPTORALFABETICO457"/>
      <w:r w:rsidRPr="00CA5193">
        <w:rPr>
          <w:rStyle w:val="TextoNormalNegritaCaracter"/>
        </w:rPr>
        <w:t>Prisión provisional</w:t>
      </w:r>
      <w:bookmarkEnd w:id="1078"/>
      <w:r w:rsidRPr="00CA5193">
        <w:rPr>
          <w:rStyle w:val="TextoNormalCaracter"/>
        </w:rPr>
        <w:t xml:space="preserve">, Sentencias </w:t>
      </w:r>
      <w:hyperlink w:anchor="SENTENCIA_2007_149" w:history="1">
        <w:r w:rsidRPr="00CA5193">
          <w:rPr>
            <w:rStyle w:val="TextoNormalCaracter"/>
          </w:rPr>
          <w:t>149/2007</w:t>
        </w:r>
      </w:hyperlink>
      <w:r w:rsidRPr="00CA5193">
        <w:rPr>
          <w:rStyle w:val="TextoNormalCaracter"/>
        </w:rPr>
        <w:t xml:space="preserve">, ff. 2, 4; </w:t>
      </w:r>
      <w:hyperlink w:anchor="SENTENCIA_2007_151" w:history="1">
        <w:r w:rsidRPr="00CA5193">
          <w:rPr>
            <w:rStyle w:val="TextoNormalCaracter"/>
          </w:rPr>
          <w:t>151/2007</w:t>
        </w:r>
      </w:hyperlink>
      <w:r w:rsidRPr="00CA5193">
        <w:rPr>
          <w:rStyle w:val="TextoNormalCaracter"/>
        </w:rPr>
        <w:t xml:space="preserve">, ff. 2, 4; </w:t>
      </w:r>
      <w:hyperlink w:anchor="SENTENCIA_2007_152" w:history="1">
        <w:r w:rsidRPr="00CA5193">
          <w:rPr>
            <w:rStyle w:val="TextoNormalCaracter"/>
          </w:rPr>
          <w:t>152/2007</w:t>
        </w:r>
      </w:hyperlink>
      <w:r w:rsidRPr="00CA5193">
        <w:rPr>
          <w:rStyle w:val="TextoNormalCaracter"/>
        </w:rPr>
        <w:t>, ff. 3, 5.</w:t>
      </w:r>
    </w:p>
    <w:p w:rsidR="00CA5193" w:rsidRPr="00CA5193" w:rsidRDefault="00CA5193" w:rsidP="00CA5193">
      <w:pPr>
        <w:pStyle w:val="TextoNormalSangraFrancesa"/>
        <w:rPr>
          <w:rStyle w:val="TextoNormalCaracter"/>
        </w:rPr>
      </w:pPr>
      <w:bookmarkStart w:id="1079" w:name="DESCRIPTORALFABETICO462"/>
      <w:r w:rsidRPr="00CA5193">
        <w:rPr>
          <w:rStyle w:val="TextoNormalNegritaCaracter"/>
        </w:rPr>
        <w:t>Prisión provisional en procedimiento de orden europea de detención y entrega</w:t>
      </w:r>
      <w:bookmarkEnd w:id="1079"/>
      <w:r w:rsidRPr="00CA5193">
        <w:rPr>
          <w:rStyle w:val="TextoNormalCaracter"/>
        </w:rPr>
        <w:t xml:space="preserve">, Sentencia </w:t>
      </w:r>
      <w:hyperlink w:anchor="SENTENCIA_2007_95" w:history="1">
        <w:r w:rsidRPr="00CA5193">
          <w:rPr>
            <w:rStyle w:val="TextoNormalCaracter"/>
          </w:rPr>
          <w:t>95/2007</w:t>
        </w:r>
      </w:hyperlink>
      <w:r w:rsidRPr="00CA5193">
        <w:rPr>
          <w:rStyle w:val="TextoNormalCaracter"/>
        </w:rPr>
        <w:t>, ff. 6, 7.</w:t>
      </w:r>
    </w:p>
    <w:p w:rsidR="00CA5193" w:rsidRPr="00CA5193" w:rsidRDefault="00CA5193" w:rsidP="00CA5193">
      <w:pPr>
        <w:pStyle w:val="TextoNormalSangraFrancesa"/>
        <w:rPr>
          <w:rStyle w:val="TextoNormalCaracter"/>
        </w:rPr>
      </w:pPr>
      <w:bookmarkStart w:id="1080" w:name="DESCRIPTORALFABETICO312"/>
      <w:r w:rsidRPr="00CA5193">
        <w:rPr>
          <w:rStyle w:val="TextoNormalNegritaCaracter"/>
        </w:rPr>
        <w:t>Privación de paseos y actos recreativos</w:t>
      </w:r>
      <w:bookmarkEnd w:id="1080"/>
      <w:r w:rsidRPr="00CA5193">
        <w:rPr>
          <w:rStyle w:val="TextoNormalCaracter"/>
        </w:rPr>
        <w:t xml:space="preserve">, Auto </w:t>
      </w:r>
      <w:hyperlink w:anchor="AUTO_2007_345" w:history="1">
        <w:r w:rsidRPr="00CA5193">
          <w:rPr>
            <w:rStyle w:val="TextoNormalCaracter"/>
          </w:rPr>
          <w:t>345/2007</w:t>
        </w:r>
      </w:hyperlink>
      <w:r w:rsidRPr="00CA5193">
        <w:rPr>
          <w:rStyle w:val="TextoNormalCaracter"/>
        </w:rPr>
        <w:t>.</w:t>
      </w:r>
    </w:p>
    <w:p w:rsidR="00CA5193" w:rsidRPr="00CA5193" w:rsidRDefault="00CA5193" w:rsidP="00CA5193">
      <w:pPr>
        <w:pStyle w:val="TextoNormalSangraFrancesa"/>
        <w:rPr>
          <w:rStyle w:val="TextoNormalCaracter"/>
        </w:rPr>
      </w:pPr>
      <w:bookmarkStart w:id="1081" w:name="DESCRIPTORALFABETICO239"/>
      <w:r w:rsidRPr="00CA5193">
        <w:rPr>
          <w:rStyle w:val="TextoNormalNegritaCaracter"/>
        </w:rPr>
        <w:t>Procedimiento administrativo sancionador</w:t>
      </w:r>
      <w:bookmarkEnd w:id="1081"/>
      <w:r w:rsidRPr="00CA5193">
        <w:rPr>
          <w:rStyle w:val="TextoNormalCaracter"/>
        </w:rPr>
        <w:t xml:space="preserve">, Sentencias </w:t>
      </w:r>
      <w:hyperlink w:anchor="SENTENCIA_2007_116" w:history="1">
        <w:r w:rsidRPr="00CA5193">
          <w:rPr>
            <w:rStyle w:val="TextoNormalCaracter"/>
          </w:rPr>
          <w:t>116/2007</w:t>
        </w:r>
      </w:hyperlink>
      <w:r w:rsidRPr="00CA5193">
        <w:rPr>
          <w:rStyle w:val="TextoNormalCaracter"/>
        </w:rPr>
        <w:t xml:space="preserve">, ff. 4, 5; </w:t>
      </w:r>
      <w:hyperlink w:anchor="SENTENCIA_2007_157" w:history="1">
        <w:r w:rsidRPr="00CA5193">
          <w:rPr>
            <w:rStyle w:val="TextoNormalCaracter"/>
          </w:rPr>
          <w:t>157/2007</w:t>
        </w:r>
      </w:hyperlink>
      <w:r w:rsidRPr="00CA5193">
        <w:rPr>
          <w:rStyle w:val="TextoNormalCaracter"/>
        </w:rPr>
        <w:t xml:space="preserve">, ff. 3, 4; </w:t>
      </w:r>
      <w:hyperlink w:anchor="SENTENCIA_2007_175" w:history="1">
        <w:r w:rsidRPr="00CA5193">
          <w:rPr>
            <w:rStyle w:val="TextoNormalCaracter"/>
          </w:rPr>
          <w:t>175/2007</w:t>
        </w:r>
      </w:hyperlink>
      <w:r w:rsidRPr="00CA5193">
        <w:rPr>
          <w:rStyle w:val="TextoNormalCaracter"/>
        </w:rPr>
        <w:t>, ff. 3, 4, 5.</w:t>
      </w:r>
    </w:p>
    <w:p w:rsidR="00CA5193" w:rsidRPr="00CA5193" w:rsidRDefault="00CA5193" w:rsidP="00CA5193">
      <w:pPr>
        <w:pStyle w:val="TextoNormalSangraFrancesa"/>
        <w:rPr>
          <w:rStyle w:val="TextoNormalCaracter"/>
        </w:rPr>
      </w:pPr>
      <w:bookmarkStart w:id="1082" w:name="DESCRIPTORALFABETICO336"/>
      <w:r w:rsidRPr="00CA5193">
        <w:rPr>
          <w:rStyle w:val="TextoNormalNegritaCaracter"/>
        </w:rPr>
        <w:t>Procedimiento de protección judicial de derechos fundamentales</w:t>
      </w:r>
      <w:bookmarkEnd w:id="1082"/>
      <w:r w:rsidRPr="00CA5193">
        <w:rPr>
          <w:rStyle w:val="TextoNormalCaracter"/>
        </w:rPr>
        <w:t xml:space="preserve">, Sentencia </w:t>
      </w:r>
      <w:hyperlink w:anchor="SENTENCIA_2007_131" w:history="1">
        <w:r w:rsidRPr="00CA5193">
          <w:rPr>
            <w:rStyle w:val="TextoNormalCaracter"/>
          </w:rPr>
          <w:t>131/2007</w:t>
        </w:r>
      </w:hyperlink>
      <w:r w:rsidRPr="00CA5193">
        <w:rPr>
          <w:rStyle w:val="TextoNormalCaracter"/>
        </w:rPr>
        <w:t>, f. 2.</w:t>
      </w:r>
    </w:p>
    <w:p w:rsidR="00CA5193" w:rsidRPr="00CA5193" w:rsidRDefault="00CA5193" w:rsidP="00CA5193">
      <w:pPr>
        <w:pStyle w:val="TextoNormalSangraFrancesa"/>
        <w:rPr>
          <w:rStyle w:val="TextoNormalCaracter"/>
        </w:rPr>
      </w:pPr>
      <w:bookmarkStart w:id="1083" w:name="DESCRIPTORALFABETICO12"/>
      <w:r w:rsidRPr="00CA5193">
        <w:rPr>
          <w:rStyle w:val="TextoNormalNegritaCaracter"/>
        </w:rPr>
        <w:t>Procedimiento electoral</w:t>
      </w:r>
      <w:bookmarkEnd w:id="1083"/>
      <w:r w:rsidRPr="00CA5193">
        <w:rPr>
          <w:rStyle w:val="TextoNormalCaracter"/>
        </w:rPr>
        <w:t xml:space="preserve">, Sentencias </w:t>
      </w:r>
      <w:hyperlink w:anchor="SENTENCIA_2007_109" w:history="1">
        <w:r w:rsidRPr="00CA5193">
          <w:rPr>
            <w:rStyle w:val="TextoNormalCaracter"/>
          </w:rPr>
          <w:t>109/2007</w:t>
        </w:r>
      </w:hyperlink>
      <w:r w:rsidRPr="00CA5193">
        <w:rPr>
          <w:rStyle w:val="TextoNormalCaracter"/>
        </w:rPr>
        <w:t xml:space="preserve">, f. 3; </w:t>
      </w:r>
      <w:hyperlink w:anchor="SENTENCIA_2007_167" w:history="1">
        <w:r w:rsidRPr="00CA5193">
          <w:rPr>
            <w:rStyle w:val="TextoNormalCaracter"/>
          </w:rPr>
          <w:t>167/2007</w:t>
        </w:r>
      </w:hyperlink>
      <w:r w:rsidRPr="00CA5193">
        <w:rPr>
          <w:rStyle w:val="TextoNormalCaracter"/>
        </w:rPr>
        <w:t xml:space="preserve">, f. 8; </w:t>
      </w:r>
      <w:hyperlink w:anchor="SENTENCIA_2007_168" w:history="1">
        <w:r w:rsidRPr="00CA5193">
          <w:rPr>
            <w:rStyle w:val="TextoNormalCaracter"/>
          </w:rPr>
          <w:t>168/2007</w:t>
        </w:r>
      </w:hyperlink>
      <w:r w:rsidRPr="00CA5193">
        <w:rPr>
          <w:rStyle w:val="TextoNormalCaracter"/>
        </w:rPr>
        <w:t xml:space="preserve">, f. 4; </w:t>
      </w:r>
      <w:hyperlink w:anchor="SENTENCIA_2007_169" w:history="1">
        <w:r w:rsidRPr="00CA5193">
          <w:rPr>
            <w:rStyle w:val="TextoNormalCaracter"/>
          </w:rPr>
          <w:t>169/2007</w:t>
        </w:r>
      </w:hyperlink>
      <w:r w:rsidRPr="00CA5193">
        <w:rPr>
          <w:rStyle w:val="TextoNormalCaracter"/>
        </w:rPr>
        <w:t xml:space="preserve">, f. 6; </w:t>
      </w:r>
      <w:hyperlink w:anchor="SENTENCIA_2007_170" w:history="1">
        <w:r w:rsidRPr="00CA5193">
          <w:rPr>
            <w:rStyle w:val="TextoNormalCaracter"/>
          </w:rPr>
          <w:t>170/2007</w:t>
        </w:r>
      </w:hyperlink>
      <w:r w:rsidRPr="00CA5193">
        <w:rPr>
          <w:rStyle w:val="TextoNormalCaracter"/>
        </w:rPr>
        <w:t>, f. 5.</w:t>
      </w:r>
    </w:p>
    <w:p w:rsidR="00CA5193" w:rsidRPr="00CA5193" w:rsidRDefault="00CA5193" w:rsidP="00CA5193">
      <w:pPr>
        <w:pStyle w:val="TextoNormalSangraFrancesa"/>
        <w:rPr>
          <w:rStyle w:val="TextoNormalCaracter"/>
        </w:rPr>
      </w:pPr>
      <w:r w:rsidRPr="00CA5193">
        <w:rPr>
          <w:rStyle w:val="TextoNormalCursivaCaracter"/>
        </w:rPr>
        <w:t xml:space="preserve">    Características, </w:t>
      </w:r>
      <w:r w:rsidRPr="00CA5193">
        <w:rPr>
          <w:rStyle w:val="TextoNormalCaracter"/>
        </w:rPr>
        <w:t xml:space="preserve">Sentencia </w:t>
      </w:r>
      <w:hyperlink w:anchor="SENTENCIA_2007_110" w:history="1">
        <w:r w:rsidRPr="00CA5193">
          <w:rPr>
            <w:rStyle w:val="TextoNormalCaracter"/>
          </w:rPr>
          <w:t>110/2007</w:t>
        </w:r>
      </w:hyperlink>
      <w:r w:rsidRPr="00CA5193">
        <w:rPr>
          <w:rStyle w:val="TextoNormalCaracter"/>
        </w:rPr>
        <w:t>, f. 3.</w:t>
      </w:r>
    </w:p>
    <w:p w:rsidR="00CA5193" w:rsidRPr="00CA5193" w:rsidRDefault="00CA5193" w:rsidP="00CA5193">
      <w:pPr>
        <w:pStyle w:val="TextoNormalSangraFrancesa"/>
        <w:rPr>
          <w:rStyle w:val="TextoNormalCaracter"/>
        </w:rPr>
      </w:pPr>
      <w:bookmarkStart w:id="1084" w:name="DESCRIPTORALFABETICO429"/>
      <w:r w:rsidRPr="00CA5193">
        <w:rPr>
          <w:rStyle w:val="TextoNormalNegritaCaracter"/>
        </w:rPr>
        <w:t>Proceso civil</w:t>
      </w:r>
      <w:bookmarkEnd w:id="1084"/>
      <w:r w:rsidRPr="00CA5193">
        <w:rPr>
          <w:rStyle w:val="TextoNormalCaracter"/>
        </w:rPr>
        <w:t xml:space="preserve">, Sentencia </w:t>
      </w:r>
      <w:hyperlink w:anchor="SENTENCIA_2007_163" w:history="1">
        <w:r w:rsidRPr="00CA5193">
          <w:rPr>
            <w:rStyle w:val="TextoNormalCaracter"/>
          </w:rPr>
          <w:t>163/2007</w:t>
        </w:r>
      </w:hyperlink>
      <w:r w:rsidRPr="00CA5193">
        <w:rPr>
          <w:rStyle w:val="TextoNormalCaracter"/>
        </w:rPr>
        <w:t>, f. 3.</w:t>
      </w:r>
    </w:p>
    <w:p w:rsidR="00CA5193" w:rsidRPr="00CA5193" w:rsidRDefault="00CA5193" w:rsidP="00CA5193">
      <w:pPr>
        <w:pStyle w:val="TextoNormalSangraFrancesa"/>
        <w:rPr>
          <w:rStyle w:val="TextoNormalCaracter"/>
        </w:rPr>
      </w:pPr>
      <w:bookmarkStart w:id="1085" w:name="DESCRIPTORALFABETICO434"/>
      <w:r w:rsidRPr="00CA5193">
        <w:rPr>
          <w:rStyle w:val="TextoNormalNegritaCaracter"/>
        </w:rPr>
        <w:t>Proceso contencioso-administrativo</w:t>
      </w:r>
      <w:bookmarkEnd w:id="1085"/>
      <w:r w:rsidRPr="00CA5193">
        <w:rPr>
          <w:rStyle w:val="TextoNormalCaracter"/>
        </w:rPr>
        <w:t xml:space="preserve">, Sentencias </w:t>
      </w:r>
      <w:hyperlink w:anchor="SENTENCIA_2007_130" w:history="1">
        <w:r w:rsidRPr="00CA5193">
          <w:rPr>
            <w:rStyle w:val="TextoNormalCaracter"/>
          </w:rPr>
          <w:t>130/2007</w:t>
        </w:r>
      </w:hyperlink>
      <w:r w:rsidRPr="00CA5193">
        <w:rPr>
          <w:rStyle w:val="TextoNormalCaracter"/>
        </w:rPr>
        <w:t xml:space="preserve">, f. 4; </w:t>
      </w:r>
      <w:hyperlink w:anchor="SENTENCIA_2007_148" w:history="1">
        <w:r w:rsidRPr="00CA5193">
          <w:rPr>
            <w:rStyle w:val="TextoNormalCaracter"/>
          </w:rPr>
          <w:t>148/2007</w:t>
        </w:r>
      </w:hyperlink>
      <w:r w:rsidRPr="00CA5193">
        <w:rPr>
          <w:rStyle w:val="TextoNormalCaracter"/>
        </w:rPr>
        <w:t xml:space="preserve">, f. 2; </w:t>
      </w:r>
      <w:hyperlink w:anchor="SENTENCIA_2007_159" w:history="1">
        <w:r w:rsidRPr="00CA5193">
          <w:rPr>
            <w:rStyle w:val="TextoNormalCaracter"/>
          </w:rPr>
          <w:t>159/2007</w:t>
        </w:r>
      </w:hyperlink>
      <w:r w:rsidRPr="00CA5193">
        <w:rPr>
          <w:rStyle w:val="TextoNormalCaracter"/>
        </w:rPr>
        <w:t xml:space="preserve">, ff. 2, 3; </w:t>
      </w:r>
      <w:hyperlink w:anchor="SENTENCIA_2007_175" w:history="1">
        <w:r w:rsidRPr="00CA5193">
          <w:rPr>
            <w:rStyle w:val="TextoNormalCaracter"/>
          </w:rPr>
          <w:t>175/2007</w:t>
        </w:r>
      </w:hyperlink>
      <w:r w:rsidRPr="00CA5193">
        <w:rPr>
          <w:rStyle w:val="TextoNormalCaracter"/>
        </w:rPr>
        <w:t>, f. 6.</w:t>
      </w:r>
    </w:p>
    <w:p w:rsidR="00CA5193" w:rsidRPr="00CA5193" w:rsidRDefault="00CA5193" w:rsidP="00CA5193">
      <w:pPr>
        <w:pStyle w:val="TextoNormalSangraFrancesa"/>
        <w:rPr>
          <w:rStyle w:val="TextoNormalCaracter"/>
        </w:rPr>
      </w:pPr>
      <w:bookmarkStart w:id="1086" w:name="DESCRIPTORALFABETICO437"/>
      <w:r w:rsidRPr="00CA5193">
        <w:rPr>
          <w:rStyle w:val="TextoNormalNegritaCaracter"/>
        </w:rPr>
        <w:t>Proceso contencioso-electoral</w:t>
      </w:r>
      <w:bookmarkEnd w:id="1086"/>
      <w:r w:rsidRPr="00CA5193">
        <w:rPr>
          <w:rStyle w:val="TextoNormalCaracter"/>
        </w:rPr>
        <w:t xml:space="preserve">, Sentencias </w:t>
      </w:r>
      <w:hyperlink w:anchor="SENTENCIA_2007_96" w:history="1">
        <w:r w:rsidRPr="00CA5193">
          <w:rPr>
            <w:rStyle w:val="TextoNormalCaracter"/>
          </w:rPr>
          <w:t>96/2007</w:t>
        </w:r>
      </w:hyperlink>
      <w:r w:rsidRPr="00CA5193">
        <w:rPr>
          <w:rStyle w:val="TextoNormalCaracter"/>
        </w:rPr>
        <w:t xml:space="preserve">, ff. 3, 4, 5, 6; </w:t>
      </w:r>
      <w:hyperlink w:anchor="SENTENCIA_2007_97" w:history="1">
        <w:r w:rsidRPr="00CA5193">
          <w:rPr>
            <w:rStyle w:val="TextoNormalCaracter"/>
          </w:rPr>
          <w:t>97/2007</w:t>
        </w:r>
      </w:hyperlink>
      <w:r w:rsidRPr="00CA5193">
        <w:rPr>
          <w:rStyle w:val="TextoNormalCaracter"/>
        </w:rPr>
        <w:t xml:space="preserve">, ff. 3, 4, 5; </w:t>
      </w:r>
      <w:hyperlink w:anchor="SENTENCIA_2007_99" w:history="1">
        <w:r w:rsidRPr="00CA5193">
          <w:rPr>
            <w:rStyle w:val="TextoNormalCaracter"/>
          </w:rPr>
          <w:t>99/2007</w:t>
        </w:r>
      </w:hyperlink>
      <w:r w:rsidRPr="00CA5193">
        <w:rPr>
          <w:rStyle w:val="TextoNormalCaracter"/>
        </w:rPr>
        <w:t xml:space="preserve">, ff. 3, 4, 5, 6; </w:t>
      </w:r>
      <w:hyperlink w:anchor="SENTENCIA_2007_100" w:history="1">
        <w:r w:rsidRPr="00CA5193">
          <w:rPr>
            <w:rStyle w:val="TextoNormalCaracter"/>
          </w:rPr>
          <w:t>100/2007</w:t>
        </w:r>
      </w:hyperlink>
      <w:r w:rsidRPr="00CA5193">
        <w:rPr>
          <w:rStyle w:val="TextoNormalCaracter"/>
        </w:rPr>
        <w:t xml:space="preserve">, ff. 2, 3, 4; </w:t>
      </w:r>
      <w:hyperlink w:anchor="SENTENCIA_2007_101" w:history="1">
        <w:r w:rsidRPr="00CA5193">
          <w:rPr>
            <w:rStyle w:val="TextoNormalCaracter"/>
          </w:rPr>
          <w:t>101/2007</w:t>
        </w:r>
      </w:hyperlink>
      <w:r w:rsidRPr="00CA5193">
        <w:rPr>
          <w:rStyle w:val="TextoNormalCaracter"/>
        </w:rPr>
        <w:t xml:space="preserve">, ff. 4, 5; </w:t>
      </w:r>
      <w:hyperlink w:anchor="SENTENCIA_2007_102" w:history="1">
        <w:r w:rsidRPr="00CA5193">
          <w:rPr>
            <w:rStyle w:val="TextoNormalCaracter"/>
          </w:rPr>
          <w:t>102/2007</w:t>
        </w:r>
      </w:hyperlink>
      <w:r w:rsidRPr="00CA5193">
        <w:rPr>
          <w:rStyle w:val="TextoNormalCaracter"/>
        </w:rPr>
        <w:t xml:space="preserve">, ff. 3, 4, 5; </w:t>
      </w:r>
      <w:hyperlink w:anchor="SENTENCIA_2007_104" w:history="1">
        <w:r w:rsidRPr="00CA5193">
          <w:rPr>
            <w:rStyle w:val="TextoNormalCaracter"/>
          </w:rPr>
          <w:t>104/2007</w:t>
        </w:r>
      </w:hyperlink>
      <w:r w:rsidRPr="00CA5193">
        <w:rPr>
          <w:rStyle w:val="TextoNormalCaracter"/>
        </w:rPr>
        <w:t xml:space="preserve">, ff. 2, 3, 4, 5; </w:t>
      </w:r>
      <w:hyperlink w:anchor="SENTENCIA_2007_105" w:history="1">
        <w:r w:rsidRPr="00CA5193">
          <w:rPr>
            <w:rStyle w:val="TextoNormalCaracter"/>
          </w:rPr>
          <w:t>105/2007</w:t>
        </w:r>
      </w:hyperlink>
      <w:r w:rsidRPr="00CA5193">
        <w:rPr>
          <w:rStyle w:val="TextoNormalCaracter"/>
        </w:rPr>
        <w:t xml:space="preserve">, ff. 1, 2, 3, 4; </w:t>
      </w:r>
      <w:hyperlink w:anchor="SENTENCIA_2007_109" w:history="1">
        <w:r w:rsidRPr="00CA5193">
          <w:rPr>
            <w:rStyle w:val="TextoNormalCaracter"/>
          </w:rPr>
          <w:t>109/2007</w:t>
        </w:r>
      </w:hyperlink>
      <w:r w:rsidRPr="00CA5193">
        <w:rPr>
          <w:rStyle w:val="TextoNormalCaracter"/>
        </w:rPr>
        <w:t xml:space="preserve">, ff. 2, 3; </w:t>
      </w:r>
      <w:hyperlink w:anchor="SENTENCIA_2007_110" w:history="1">
        <w:r w:rsidRPr="00CA5193">
          <w:rPr>
            <w:rStyle w:val="TextoNormalCaracter"/>
          </w:rPr>
          <w:t>110/2007</w:t>
        </w:r>
      </w:hyperlink>
      <w:r w:rsidRPr="00CA5193">
        <w:rPr>
          <w:rStyle w:val="TextoNormalCaracter"/>
        </w:rPr>
        <w:t xml:space="preserve">, ff. 1, 2, 3, 4, 5, 6, 7, 8, 9, 10, 11, 12, 13, 14, 15, 16, 17; </w:t>
      </w:r>
      <w:hyperlink w:anchor="SENTENCIA_2007_111" w:history="1">
        <w:r w:rsidRPr="00CA5193">
          <w:rPr>
            <w:rStyle w:val="TextoNormalCaracter"/>
          </w:rPr>
          <w:t>111/2007</w:t>
        </w:r>
      </w:hyperlink>
      <w:r w:rsidRPr="00CA5193">
        <w:rPr>
          <w:rStyle w:val="TextoNormalCaracter"/>
        </w:rPr>
        <w:t xml:space="preserve">, f. 3; </w:t>
      </w:r>
      <w:hyperlink w:anchor="SENTENCIA_2007_112" w:history="1">
        <w:r w:rsidRPr="00CA5193">
          <w:rPr>
            <w:rStyle w:val="TextoNormalCaracter"/>
          </w:rPr>
          <w:t>112/2007</w:t>
        </w:r>
      </w:hyperlink>
      <w:r w:rsidRPr="00CA5193">
        <w:rPr>
          <w:rStyle w:val="TextoNormalCaracter"/>
        </w:rPr>
        <w:t>, ff. 2 a 11.</w:t>
      </w:r>
    </w:p>
    <w:p w:rsidR="00CA5193" w:rsidRPr="00CA5193" w:rsidRDefault="00CA5193" w:rsidP="00CA5193">
      <w:pPr>
        <w:pStyle w:val="TextoNormalSangraFrancesa"/>
        <w:rPr>
          <w:rStyle w:val="TextoNormalCaracter"/>
        </w:rPr>
      </w:pPr>
      <w:bookmarkStart w:id="1087" w:name="DESCRIPTORALFABETICO441"/>
      <w:r w:rsidRPr="00CA5193">
        <w:rPr>
          <w:rStyle w:val="TextoNormalNegritaCaracter"/>
        </w:rPr>
        <w:t>Proceso laboral</w:t>
      </w:r>
      <w:bookmarkEnd w:id="1087"/>
      <w:r w:rsidRPr="00CA5193">
        <w:rPr>
          <w:rStyle w:val="TextoNormalCaracter"/>
        </w:rPr>
        <w:t xml:space="preserve">, Sentencias </w:t>
      </w:r>
      <w:hyperlink w:anchor="SENTENCIA_2007_123" w:history="1">
        <w:r w:rsidRPr="00CA5193">
          <w:rPr>
            <w:rStyle w:val="TextoNormalCaracter"/>
          </w:rPr>
          <w:t>123/2007</w:t>
        </w:r>
      </w:hyperlink>
      <w:r w:rsidRPr="00CA5193">
        <w:rPr>
          <w:rStyle w:val="TextoNormalCaracter"/>
        </w:rPr>
        <w:t xml:space="preserve">, f. 3; </w:t>
      </w:r>
      <w:hyperlink w:anchor="SENTENCIA_2007_162" w:history="1">
        <w:r w:rsidRPr="00CA5193">
          <w:rPr>
            <w:rStyle w:val="TextoNormalCaracter"/>
          </w:rPr>
          <w:t>162/2007</w:t>
        </w:r>
      </w:hyperlink>
      <w:r w:rsidRPr="00CA5193">
        <w:rPr>
          <w:rStyle w:val="TextoNormalCaracter"/>
        </w:rPr>
        <w:t xml:space="preserve">, ff. 2, 3; </w:t>
      </w:r>
      <w:hyperlink w:anchor="SENTENCIA_2007_172" w:history="1">
        <w:r w:rsidRPr="00CA5193">
          <w:rPr>
            <w:rStyle w:val="TextoNormalCaracter"/>
          </w:rPr>
          <w:t>172/2007</w:t>
        </w:r>
      </w:hyperlink>
      <w:r w:rsidRPr="00CA5193">
        <w:rPr>
          <w:rStyle w:val="TextoNormalCaracter"/>
        </w:rPr>
        <w:t>, ff. 2, 4.</w:t>
      </w:r>
    </w:p>
    <w:p w:rsidR="00CA5193" w:rsidRPr="00CA5193" w:rsidRDefault="00CA5193" w:rsidP="00CA5193">
      <w:pPr>
        <w:pStyle w:val="TextoNormalSangraFrancesa"/>
        <w:rPr>
          <w:rStyle w:val="TextoNormalCaracter"/>
        </w:rPr>
      </w:pPr>
      <w:bookmarkStart w:id="1088" w:name="DESCRIPTORALFABETICO445"/>
      <w:r w:rsidRPr="00CA5193">
        <w:rPr>
          <w:rStyle w:val="TextoNormalNegritaCaracter"/>
        </w:rPr>
        <w:t>Proceso penal</w:t>
      </w:r>
      <w:bookmarkEnd w:id="1088"/>
      <w:r w:rsidRPr="00CA5193">
        <w:rPr>
          <w:rStyle w:val="TextoNormalCaracter"/>
        </w:rPr>
        <w:t xml:space="preserve">, Sentencia </w:t>
      </w:r>
      <w:hyperlink w:anchor="SENTENCIA_2007_122" w:history="1">
        <w:r w:rsidRPr="00CA5193">
          <w:rPr>
            <w:rStyle w:val="TextoNormalCaracter"/>
          </w:rPr>
          <w:t>122/2007</w:t>
        </w:r>
      </w:hyperlink>
      <w:r w:rsidRPr="00CA5193">
        <w:rPr>
          <w:rStyle w:val="TextoNormalCaracter"/>
        </w:rPr>
        <w:t>, ff. 2, 4, 6.</w:t>
      </w:r>
    </w:p>
    <w:p w:rsidR="00CA5193" w:rsidRPr="00CA5193" w:rsidRDefault="00CA5193" w:rsidP="00CA5193">
      <w:pPr>
        <w:pStyle w:val="TextoNormalSangraFrancesa"/>
        <w:rPr>
          <w:rStyle w:val="TextoNormalCaracter"/>
        </w:rPr>
      </w:pPr>
      <w:r w:rsidRPr="00CA5193">
        <w:rPr>
          <w:rStyle w:val="TextoNormalCaracter"/>
        </w:rPr>
        <w:t xml:space="preserve">    Auto </w:t>
      </w:r>
      <w:hyperlink w:anchor="AUTO_2007_264" w:history="1">
        <w:r w:rsidRPr="00CA5193">
          <w:rPr>
            <w:rStyle w:val="TextoNormalCaracter"/>
          </w:rPr>
          <w:t>264/2007</w:t>
        </w:r>
      </w:hyperlink>
      <w:r w:rsidRPr="00CA5193">
        <w:rPr>
          <w:rStyle w:val="TextoNormalCaracter"/>
        </w:rPr>
        <w:t>.</w:t>
      </w:r>
    </w:p>
    <w:p w:rsidR="00CA5193" w:rsidRPr="00CA5193" w:rsidRDefault="00CA5193" w:rsidP="00CA5193">
      <w:pPr>
        <w:pStyle w:val="TextoNormalSangraFrancesa"/>
        <w:rPr>
          <w:rStyle w:val="TextoNormalCaracter"/>
        </w:rPr>
      </w:pPr>
      <w:bookmarkStart w:id="1089" w:name="DESCRIPTORALFABETICO154"/>
      <w:r w:rsidRPr="00CA5193">
        <w:rPr>
          <w:rStyle w:val="TextoNormalNegritaCaracter"/>
        </w:rPr>
        <w:t>Procesos fenecidos donde se aplicó una ley posteriormente declarada inconstitucional</w:t>
      </w:r>
      <w:bookmarkEnd w:id="1089"/>
      <w:r w:rsidRPr="00CA5193">
        <w:rPr>
          <w:rStyle w:val="TextoNormalCaracter"/>
        </w:rPr>
        <w:t xml:space="preserve">, Sentencia </w:t>
      </w:r>
      <w:hyperlink w:anchor="SENTENCIA_2007_91" w:history="1">
        <w:r w:rsidRPr="00CA5193">
          <w:rPr>
            <w:rStyle w:val="TextoNormalCaracter"/>
          </w:rPr>
          <w:t>91/2007</w:t>
        </w:r>
      </w:hyperlink>
      <w:r w:rsidRPr="00CA5193">
        <w:rPr>
          <w:rStyle w:val="TextoNormalCaracter"/>
        </w:rPr>
        <w:t>, ff. 3, 4.</w:t>
      </w:r>
    </w:p>
    <w:p w:rsidR="00CA5193" w:rsidRPr="00CA5193" w:rsidRDefault="00CA5193" w:rsidP="00CA5193">
      <w:pPr>
        <w:pStyle w:val="TextoNormalSangraFrancesa"/>
        <w:rPr>
          <w:rStyle w:val="TextoNormalCaracter"/>
        </w:rPr>
      </w:pPr>
      <w:bookmarkStart w:id="1090" w:name="DESCRIPTORALFABETICO257"/>
      <w:r w:rsidRPr="00CA5193">
        <w:rPr>
          <w:rStyle w:val="TextoNormalNegritaCaracter"/>
        </w:rPr>
        <w:t>Procesos selectivos en la función pública</w:t>
      </w:r>
      <w:bookmarkEnd w:id="1090"/>
      <w:r w:rsidRPr="00CA5193">
        <w:rPr>
          <w:rStyle w:val="TextoNormalCaracter"/>
        </w:rPr>
        <w:t xml:space="preserve">, Sentencia </w:t>
      </w:r>
      <w:hyperlink w:anchor="SENTENCIA_2007_129" w:history="1">
        <w:r w:rsidRPr="00CA5193">
          <w:rPr>
            <w:rStyle w:val="TextoNormalCaracter"/>
          </w:rPr>
          <w:t>129/2007</w:t>
        </w:r>
      </w:hyperlink>
      <w:r w:rsidRPr="00CA5193">
        <w:rPr>
          <w:rStyle w:val="TextoNormalCaracter"/>
        </w:rPr>
        <w:t>, f. 2.</w:t>
      </w:r>
    </w:p>
    <w:p w:rsidR="00CA5193" w:rsidRPr="00CA5193" w:rsidRDefault="00CA5193" w:rsidP="00CA5193">
      <w:pPr>
        <w:pStyle w:val="TextoNormalSangraFrancesa"/>
        <w:rPr>
          <w:rStyle w:val="TextoNormalCaracter"/>
        </w:rPr>
      </w:pPr>
      <w:bookmarkStart w:id="1091" w:name="DESCRIPTORALFABETICO430"/>
      <w:r w:rsidRPr="00CA5193">
        <w:rPr>
          <w:rStyle w:val="TextoNormalNegritaCaracter"/>
        </w:rPr>
        <w:t>Procesos sobre guarda y custodia</w:t>
      </w:r>
      <w:bookmarkEnd w:id="1091"/>
      <w:r w:rsidRPr="00CA5193">
        <w:rPr>
          <w:rStyle w:val="TextoNormalCaracter"/>
        </w:rPr>
        <w:t xml:space="preserve">, Auto </w:t>
      </w:r>
      <w:hyperlink w:anchor="AUTO_2007_336" w:history="1">
        <w:r w:rsidRPr="00CA5193">
          <w:rPr>
            <w:rStyle w:val="TextoNormalCaracter"/>
          </w:rPr>
          <w:t>336/2007</w:t>
        </w:r>
      </w:hyperlink>
      <w:r w:rsidRPr="00CA5193">
        <w:rPr>
          <w:rStyle w:val="TextoNormalCaracter"/>
        </w:rPr>
        <w:t>.</w:t>
      </w:r>
    </w:p>
    <w:p w:rsidR="00CA5193" w:rsidRPr="00CA5193" w:rsidRDefault="00CA5193" w:rsidP="00CA5193">
      <w:pPr>
        <w:pStyle w:val="TextoNormalSangraFrancesa"/>
        <w:rPr>
          <w:rStyle w:val="TextoNormalNegritaCaracter"/>
        </w:rPr>
      </w:pPr>
      <w:r w:rsidRPr="00CA5193">
        <w:rPr>
          <w:rStyle w:val="TextoNormalCursivaCaracter"/>
        </w:rPr>
        <w:t>Profesionales de la información</w:t>
      </w:r>
      <w:r>
        <w:t xml:space="preserve"> véase </w:t>
      </w:r>
      <w:hyperlink w:anchor="DESCRIPTORALFABETICO234" w:history="1">
        <w:r w:rsidRPr="00CA5193">
          <w:rPr>
            <w:rStyle w:val="TextoNormalNegritaCaracter"/>
          </w:rPr>
          <w:t>Periodistas</w:t>
        </w:r>
      </w:hyperlink>
    </w:p>
    <w:p w:rsidR="00CA5193" w:rsidRPr="00CA5193" w:rsidRDefault="00CA5193" w:rsidP="00CA5193">
      <w:pPr>
        <w:pStyle w:val="TextoNormalSangraFrancesa"/>
        <w:rPr>
          <w:rStyle w:val="TextoNormalCaracter"/>
        </w:rPr>
      </w:pPr>
      <w:bookmarkStart w:id="1092" w:name="DESCRIPTORALFABETICO248"/>
      <w:r w:rsidRPr="00CA5193">
        <w:rPr>
          <w:rStyle w:val="TextoNormalNegritaCaracter"/>
        </w:rPr>
        <w:t>Profesores de religión</w:t>
      </w:r>
      <w:bookmarkEnd w:id="1092"/>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ff. 4, 10, 11, VP.</w:t>
      </w:r>
    </w:p>
    <w:p w:rsidR="00CA5193" w:rsidRPr="00CA5193" w:rsidRDefault="00CA5193" w:rsidP="00CA5193">
      <w:pPr>
        <w:pStyle w:val="TextoNormalSangraFrancesa"/>
        <w:rPr>
          <w:rStyle w:val="TextoNormalCaracter"/>
        </w:rPr>
      </w:pPr>
      <w:bookmarkStart w:id="1093" w:name="DESCRIPTORALFABETICO279"/>
      <w:r w:rsidRPr="00CA5193">
        <w:rPr>
          <w:rStyle w:val="TextoNormalNegritaCaracter"/>
        </w:rPr>
        <w:t>Programas de entretenimiento</w:t>
      </w:r>
      <w:bookmarkEnd w:id="1093"/>
      <w:r w:rsidRPr="00CA5193">
        <w:rPr>
          <w:rStyle w:val="TextoNormalCaracter"/>
        </w:rPr>
        <w:t xml:space="preserve">, Sentencia </w:t>
      </w:r>
      <w:hyperlink w:anchor="SENTENCIA_2007_139" w:history="1">
        <w:r w:rsidRPr="00CA5193">
          <w:rPr>
            <w:rStyle w:val="TextoNormalCaracter"/>
          </w:rPr>
          <w:t>139/2007</w:t>
        </w:r>
      </w:hyperlink>
      <w:r w:rsidRPr="00CA5193">
        <w:rPr>
          <w:rStyle w:val="TextoNormalCaracter"/>
        </w:rPr>
        <w:t>, ff. 3, 4.</w:t>
      </w:r>
    </w:p>
    <w:p w:rsidR="00CA5193" w:rsidRPr="00CA5193" w:rsidRDefault="00CA5193" w:rsidP="00CA5193">
      <w:pPr>
        <w:pStyle w:val="TextoNormalSangraFrancesa"/>
        <w:rPr>
          <w:rStyle w:val="TextoNormalNegritaCaracter"/>
        </w:rPr>
      </w:pPr>
      <w:r w:rsidRPr="00CA5193">
        <w:rPr>
          <w:rStyle w:val="TextoNormalCursivaCaracter"/>
        </w:rPr>
        <w:t>Promoción de funcionarios</w:t>
      </w:r>
      <w:r>
        <w:t xml:space="preserve"> véase </w:t>
      </w:r>
      <w:hyperlink w:anchor="DESCRIPTORALFABETICO258" w:history="1">
        <w:r w:rsidRPr="00CA5193">
          <w:rPr>
            <w:rStyle w:val="TextoNormalNegritaCaracter"/>
          </w:rPr>
          <w:t>Promoción interna</w:t>
        </w:r>
      </w:hyperlink>
    </w:p>
    <w:p w:rsidR="00CA5193" w:rsidRPr="00CA5193" w:rsidRDefault="00CA5193" w:rsidP="00CA5193">
      <w:pPr>
        <w:pStyle w:val="TextoNormalSangraFrancesa"/>
        <w:rPr>
          <w:rStyle w:val="TextoNormalCaracter"/>
        </w:rPr>
      </w:pPr>
      <w:bookmarkStart w:id="1094" w:name="DESCRIPTORALFABETICO258"/>
      <w:r w:rsidRPr="00CA5193">
        <w:rPr>
          <w:rStyle w:val="TextoNormalNegritaCaracter"/>
        </w:rPr>
        <w:t>Promoción interna</w:t>
      </w:r>
      <w:bookmarkEnd w:id="1094"/>
      <w:r w:rsidRPr="00CA5193">
        <w:rPr>
          <w:rStyle w:val="TextoNormalCaracter"/>
        </w:rPr>
        <w:t xml:space="preserve">, Autos </w:t>
      </w:r>
      <w:hyperlink w:anchor="AUTO_2007_352" w:history="1">
        <w:r w:rsidRPr="00CA5193">
          <w:rPr>
            <w:rStyle w:val="TextoNormalCaracter"/>
          </w:rPr>
          <w:t>352/2007</w:t>
        </w:r>
      </w:hyperlink>
      <w:r w:rsidRPr="00CA5193">
        <w:rPr>
          <w:rStyle w:val="TextoNormalCaracter"/>
        </w:rPr>
        <w:t xml:space="preserve">; </w:t>
      </w:r>
      <w:hyperlink w:anchor="AUTO_2007_353" w:history="1">
        <w:r w:rsidRPr="00CA5193">
          <w:rPr>
            <w:rStyle w:val="TextoNormalCaracter"/>
          </w:rPr>
          <w:t>353/2007</w:t>
        </w:r>
      </w:hyperlink>
      <w:r w:rsidRPr="00CA5193">
        <w:rPr>
          <w:rStyle w:val="TextoNormalCaracter"/>
        </w:rPr>
        <w:t>.</w:t>
      </w:r>
    </w:p>
    <w:p w:rsidR="00CA5193" w:rsidRPr="00CA5193" w:rsidRDefault="00CA5193" w:rsidP="00CA5193">
      <w:pPr>
        <w:pStyle w:val="TextoNormalSangraFrancesa"/>
        <w:rPr>
          <w:rStyle w:val="TextoNormalNegritaCaracter"/>
        </w:rPr>
      </w:pPr>
      <w:r w:rsidRPr="00CA5193">
        <w:rPr>
          <w:rStyle w:val="TextoNormalCursivaCaracter"/>
        </w:rPr>
        <w:t>Protección de datos de carácter personal</w:t>
      </w:r>
      <w:r>
        <w:t xml:space="preserve"> véase </w:t>
      </w:r>
      <w:hyperlink w:anchor="DESCRIPTORALFABETICO44" w:history="1">
        <w:r w:rsidRPr="00CA5193">
          <w:rPr>
            <w:rStyle w:val="TextoNormalNegritaCaracter"/>
          </w:rPr>
          <w:t>Derecho a la protección de datos personales</w:t>
        </w:r>
      </w:hyperlink>
    </w:p>
    <w:p w:rsidR="00CA5193" w:rsidRPr="00CA5193" w:rsidRDefault="00CA5193" w:rsidP="00CA5193">
      <w:pPr>
        <w:pStyle w:val="TextoNormalSangraFrancesa"/>
        <w:rPr>
          <w:rStyle w:val="TextoNormalNegritaCaracter"/>
        </w:rPr>
      </w:pPr>
      <w:r w:rsidRPr="00CA5193">
        <w:rPr>
          <w:rStyle w:val="TextoNormalCursivaCaracter"/>
        </w:rPr>
        <w:t>Protección de datos personales</w:t>
      </w:r>
      <w:r>
        <w:t xml:space="preserve"> véase </w:t>
      </w:r>
      <w:hyperlink w:anchor="DESCRIPTORALFABETICO44" w:history="1">
        <w:r w:rsidRPr="00CA5193">
          <w:rPr>
            <w:rStyle w:val="TextoNormalNegritaCaracter"/>
          </w:rPr>
          <w:t>Derecho a la protección de datos personales</w:t>
        </w:r>
      </w:hyperlink>
    </w:p>
    <w:p w:rsidR="00CA5193" w:rsidRPr="00CA5193" w:rsidRDefault="00CA5193" w:rsidP="00CA5193">
      <w:pPr>
        <w:pStyle w:val="TextoNormalSangraFrancesa"/>
        <w:rPr>
          <w:rStyle w:val="TextoNormalCaracter"/>
        </w:rPr>
      </w:pPr>
      <w:bookmarkStart w:id="1095" w:name="DESCRIPTORALFABETICO274"/>
      <w:r w:rsidRPr="00CA5193">
        <w:rPr>
          <w:rStyle w:val="TextoNormalNegritaCaracter"/>
        </w:rPr>
        <w:t>Protección del medio ambiente</w:t>
      </w:r>
      <w:bookmarkEnd w:id="1095"/>
      <w:r w:rsidRPr="00CA5193">
        <w:rPr>
          <w:rStyle w:val="TextoNormalCaracter"/>
        </w:rPr>
        <w:t xml:space="preserve">, Auto </w:t>
      </w:r>
      <w:hyperlink w:anchor="AUTO_2007_355" w:history="1">
        <w:r w:rsidRPr="00CA5193">
          <w:rPr>
            <w:rStyle w:val="TextoNormalCaracter"/>
          </w:rPr>
          <w:t>355/2007</w:t>
        </w:r>
      </w:hyperlink>
      <w:r w:rsidRPr="00CA5193">
        <w:rPr>
          <w:rStyle w:val="TextoNormalCaracter"/>
        </w:rPr>
        <w:t>.</w:t>
      </w:r>
    </w:p>
    <w:p w:rsidR="00CA5193" w:rsidRPr="00CA5193" w:rsidRDefault="00CA5193" w:rsidP="00CA5193">
      <w:pPr>
        <w:pStyle w:val="TextoNormalSangraFrancesa"/>
        <w:rPr>
          <w:rStyle w:val="TextoNormalCaracter"/>
        </w:rPr>
      </w:pPr>
      <w:bookmarkStart w:id="1096" w:name="DESCRIPTORALFABETICO371"/>
      <w:r w:rsidRPr="00CA5193">
        <w:rPr>
          <w:rStyle w:val="TextoNormalNegritaCaracter"/>
        </w:rPr>
        <w:t>Prueba biológica</w:t>
      </w:r>
      <w:bookmarkEnd w:id="1096"/>
      <w:r w:rsidRPr="00CA5193">
        <w:rPr>
          <w:rStyle w:val="TextoNormalCaracter"/>
        </w:rPr>
        <w:t xml:space="preserve">, Sentencia </w:t>
      </w:r>
      <w:hyperlink w:anchor="SENTENCIA_2007_177" w:history="1">
        <w:r w:rsidRPr="00CA5193">
          <w:rPr>
            <w:rStyle w:val="TextoNormalCaracter"/>
          </w:rPr>
          <w:t>177/2007</w:t>
        </w:r>
      </w:hyperlink>
      <w:r w:rsidRPr="00CA5193">
        <w:rPr>
          <w:rStyle w:val="TextoNormalCaracter"/>
        </w:rPr>
        <w:t>, ff. 1, 4.</w:t>
      </w:r>
    </w:p>
    <w:p w:rsidR="00CA5193" w:rsidRPr="00CA5193" w:rsidRDefault="00CA5193" w:rsidP="00CA5193">
      <w:pPr>
        <w:pStyle w:val="TextoNormalSangraFrancesa"/>
        <w:rPr>
          <w:rStyle w:val="TextoNormalCaracter"/>
        </w:rPr>
      </w:pPr>
      <w:bookmarkStart w:id="1097" w:name="DESCRIPTORALFABETICO373"/>
      <w:r w:rsidRPr="00CA5193">
        <w:rPr>
          <w:rStyle w:val="TextoNormalNegritaCaracter"/>
        </w:rPr>
        <w:t>Prueba biológica de paternidad</w:t>
      </w:r>
      <w:bookmarkEnd w:id="1097"/>
      <w:r w:rsidRPr="00CA5193">
        <w:rPr>
          <w:rStyle w:val="TextoNormalCaracter"/>
        </w:rPr>
        <w:t xml:space="preserve">, Sentencia </w:t>
      </w:r>
      <w:hyperlink w:anchor="SENTENCIA_2007_177" w:history="1">
        <w:r w:rsidRPr="00CA5193">
          <w:rPr>
            <w:rStyle w:val="TextoNormalCaracter"/>
          </w:rPr>
          <w:t>177/2007</w:t>
        </w:r>
      </w:hyperlink>
      <w:r w:rsidRPr="00CA5193">
        <w:rPr>
          <w:rStyle w:val="TextoNormalCaracter"/>
        </w:rPr>
        <w:t>, f. 4.</w:t>
      </w:r>
    </w:p>
    <w:p w:rsidR="00CA5193" w:rsidRPr="00CA5193" w:rsidRDefault="00CA5193" w:rsidP="00CA5193">
      <w:pPr>
        <w:pStyle w:val="TextoNormalSangraFrancesa"/>
        <w:rPr>
          <w:rStyle w:val="TextoNormalCaracter"/>
        </w:rPr>
      </w:pPr>
      <w:bookmarkStart w:id="1098" w:name="DESCRIPTORALFABETICO374"/>
      <w:r w:rsidRPr="00CA5193">
        <w:rPr>
          <w:rStyle w:val="TextoNormalNegritaCaracter"/>
        </w:rPr>
        <w:t>Prueba de alcoholemia</w:t>
      </w:r>
      <w:bookmarkEnd w:id="1098"/>
      <w:r w:rsidRPr="00CA5193">
        <w:rPr>
          <w:rStyle w:val="TextoNormalCaracter"/>
        </w:rPr>
        <w:t xml:space="preserve">, Sentencia </w:t>
      </w:r>
      <w:hyperlink w:anchor="SENTENCIA_2007_134" w:history="1">
        <w:r w:rsidRPr="00CA5193">
          <w:rPr>
            <w:rStyle w:val="TextoNormalCaracter"/>
          </w:rPr>
          <w:t>134/2007</w:t>
        </w:r>
      </w:hyperlink>
      <w:r w:rsidRPr="00CA5193">
        <w:rPr>
          <w:rStyle w:val="TextoNormalCaracter"/>
        </w:rPr>
        <w:t>, f. 5.</w:t>
      </w:r>
    </w:p>
    <w:p w:rsidR="00CA5193" w:rsidRPr="00CA5193" w:rsidRDefault="00CA5193" w:rsidP="00CA5193">
      <w:pPr>
        <w:pStyle w:val="TextoNormalSangraFrancesa"/>
        <w:rPr>
          <w:rStyle w:val="TextoNormalCaracter"/>
        </w:rPr>
      </w:pPr>
      <w:r w:rsidRPr="00CA5193">
        <w:rPr>
          <w:rStyle w:val="TextoNormalCursivaCaracter"/>
        </w:rPr>
        <w:t xml:space="preserve">    Doctrina constitucional, </w:t>
      </w:r>
      <w:r w:rsidRPr="00CA5193">
        <w:rPr>
          <w:rStyle w:val="TextoNormalCaracter"/>
        </w:rPr>
        <w:t xml:space="preserve">Sentencia </w:t>
      </w:r>
      <w:hyperlink w:anchor="SENTENCIA_2007_134" w:history="1">
        <w:r w:rsidRPr="00CA5193">
          <w:rPr>
            <w:rStyle w:val="TextoNormalCaracter"/>
          </w:rPr>
          <w:t>134/2007</w:t>
        </w:r>
      </w:hyperlink>
      <w:r w:rsidRPr="00CA5193">
        <w:rPr>
          <w:rStyle w:val="TextoNormalCaracter"/>
        </w:rPr>
        <w:t>, f. 5.</w:t>
      </w:r>
    </w:p>
    <w:p w:rsidR="00CA5193" w:rsidRPr="00CA5193" w:rsidRDefault="00CA5193" w:rsidP="00CA5193">
      <w:pPr>
        <w:pStyle w:val="TextoNormalSangraFrancesa"/>
        <w:rPr>
          <w:rStyle w:val="TextoNormalNegritaCaracter"/>
        </w:rPr>
      </w:pPr>
      <w:r w:rsidRPr="00CA5193">
        <w:rPr>
          <w:rStyle w:val="TextoNormalCursivaCaracter"/>
        </w:rPr>
        <w:t>Prueba de filiación</w:t>
      </w:r>
      <w:r>
        <w:t xml:space="preserve"> véase </w:t>
      </w:r>
      <w:hyperlink w:anchor="DESCRIPTORALFABETICO373" w:history="1">
        <w:r w:rsidRPr="00CA5193">
          <w:rPr>
            <w:rStyle w:val="TextoNormalNegritaCaracter"/>
          </w:rPr>
          <w:t>Prueba biológica de paternidad</w:t>
        </w:r>
      </w:hyperlink>
    </w:p>
    <w:p w:rsidR="00CA5193" w:rsidRPr="00CA5193" w:rsidRDefault="00CA5193" w:rsidP="00CA5193">
      <w:pPr>
        <w:pStyle w:val="TextoNormalSangraFrancesa"/>
        <w:rPr>
          <w:rStyle w:val="TextoNormalNegritaCaracter"/>
        </w:rPr>
      </w:pPr>
      <w:r w:rsidRPr="00CA5193">
        <w:rPr>
          <w:rStyle w:val="TextoNormalCursivaCaracter"/>
        </w:rPr>
        <w:lastRenderedPageBreak/>
        <w:t>Prueba de indicios</w:t>
      </w:r>
      <w:r>
        <w:t xml:space="preserve"> véase </w:t>
      </w:r>
      <w:hyperlink w:anchor="DESCRIPTORALFABETICO378" w:history="1">
        <w:r w:rsidRPr="00CA5193">
          <w:rPr>
            <w:rStyle w:val="TextoNormalNegritaCaracter"/>
          </w:rPr>
          <w:t>Prueba indiciaria</w:t>
        </w:r>
      </w:hyperlink>
    </w:p>
    <w:p w:rsidR="00CA5193" w:rsidRPr="00CA5193" w:rsidRDefault="00CA5193" w:rsidP="00CA5193">
      <w:pPr>
        <w:pStyle w:val="TextoNormalSangraFrancesa"/>
        <w:rPr>
          <w:rStyle w:val="TextoNormalCaracter"/>
        </w:rPr>
      </w:pPr>
      <w:bookmarkStart w:id="1099" w:name="DESCRIPTORALFABETICO377"/>
      <w:r w:rsidRPr="00CA5193">
        <w:rPr>
          <w:rStyle w:val="TextoNormalNegritaCaracter"/>
        </w:rPr>
        <w:t>Prueba de informes</w:t>
      </w:r>
      <w:bookmarkEnd w:id="1099"/>
      <w:r w:rsidRPr="00CA5193">
        <w:rPr>
          <w:rStyle w:val="TextoNormalCaracter"/>
        </w:rPr>
        <w:t xml:space="preserve">, Sentencia </w:t>
      </w:r>
      <w:hyperlink w:anchor="SENTENCIA_2007_110" w:history="1">
        <w:r w:rsidRPr="00CA5193">
          <w:rPr>
            <w:rStyle w:val="TextoNormalCaracter"/>
          </w:rPr>
          <w:t>110/2007</w:t>
        </w:r>
      </w:hyperlink>
      <w:r w:rsidRPr="00CA5193">
        <w:rPr>
          <w:rStyle w:val="TextoNormalCaracter"/>
        </w:rPr>
        <w:t>, f. 8.</w:t>
      </w:r>
    </w:p>
    <w:p w:rsidR="00CA5193" w:rsidRPr="00CA5193" w:rsidRDefault="00CA5193" w:rsidP="00CA5193">
      <w:pPr>
        <w:pStyle w:val="TextoNormalSangraFrancesa"/>
        <w:rPr>
          <w:rStyle w:val="TextoNormalCaracter"/>
        </w:rPr>
      </w:pPr>
      <w:bookmarkStart w:id="1100" w:name="DESCRIPTORALFABETICO375"/>
      <w:r w:rsidRPr="00CA5193">
        <w:rPr>
          <w:rStyle w:val="TextoNormalNegritaCaracter"/>
        </w:rPr>
        <w:t>Prueba documental</w:t>
      </w:r>
      <w:bookmarkEnd w:id="1100"/>
      <w:r w:rsidRPr="00CA5193">
        <w:rPr>
          <w:rStyle w:val="TextoNormalCaracter"/>
        </w:rPr>
        <w:t xml:space="preserve">, Auto </w:t>
      </w:r>
      <w:hyperlink w:anchor="AUTO_2007_269" w:history="1">
        <w:r w:rsidRPr="00CA5193">
          <w:rPr>
            <w:rStyle w:val="TextoNormalCaracter"/>
          </w:rPr>
          <w:t>269/2007</w:t>
        </w:r>
      </w:hyperlink>
      <w:r w:rsidRPr="00CA5193">
        <w:rPr>
          <w:rStyle w:val="TextoNormalCaracter"/>
        </w:rPr>
        <w:t>.</w:t>
      </w:r>
    </w:p>
    <w:p w:rsidR="00CA5193" w:rsidRPr="00CA5193" w:rsidRDefault="00CA5193" w:rsidP="00CA5193">
      <w:pPr>
        <w:pStyle w:val="TextoNormalSangraFrancesa"/>
        <w:rPr>
          <w:rStyle w:val="TextoNormalCaracter"/>
        </w:rPr>
      </w:pPr>
      <w:bookmarkStart w:id="1101" w:name="DESCRIPTORALFABETICO378"/>
      <w:r w:rsidRPr="00CA5193">
        <w:rPr>
          <w:rStyle w:val="TextoNormalNegritaCaracter"/>
        </w:rPr>
        <w:t>Prueba indiciaria</w:t>
      </w:r>
      <w:bookmarkEnd w:id="1101"/>
      <w:r w:rsidRPr="00CA5193">
        <w:rPr>
          <w:rStyle w:val="TextoNormalCaracter"/>
        </w:rPr>
        <w:t xml:space="preserve">, Sentencias </w:t>
      </w:r>
      <w:hyperlink w:anchor="SENTENCIA_2007_117" w:history="1">
        <w:r w:rsidRPr="00CA5193">
          <w:rPr>
            <w:rStyle w:val="TextoNormalCaracter"/>
          </w:rPr>
          <w:t>117/2007</w:t>
        </w:r>
      </w:hyperlink>
      <w:r w:rsidRPr="00CA5193">
        <w:rPr>
          <w:rStyle w:val="TextoNormalCaracter"/>
        </w:rPr>
        <w:t xml:space="preserve">, ff. 3, 4; </w:t>
      </w:r>
      <w:hyperlink w:anchor="SENTENCIA_2007_125" w:history="1">
        <w:r w:rsidRPr="00CA5193">
          <w:rPr>
            <w:rStyle w:val="TextoNormalCaracter"/>
          </w:rPr>
          <w:t>125/2007</w:t>
        </w:r>
      </w:hyperlink>
      <w:r w:rsidRPr="00CA5193">
        <w:rPr>
          <w:rStyle w:val="TextoNormalCaracter"/>
        </w:rPr>
        <w:t xml:space="preserve">, f. 4; </w:t>
      </w:r>
      <w:hyperlink w:anchor="SENTENCIA_2007_137" w:history="1">
        <w:r w:rsidRPr="00CA5193">
          <w:rPr>
            <w:rStyle w:val="TextoNormalCaracter"/>
          </w:rPr>
          <w:t>137/2007</w:t>
        </w:r>
      </w:hyperlink>
      <w:r w:rsidRPr="00CA5193">
        <w:rPr>
          <w:rStyle w:val="TextoNormalCaracter"/>
        </w:rPr>
        <w:t>, f. 5.</w:t>
      </w:r>
    </w:p>
    <w:p w:rsidR="00CA5193" w:rsidRPr="00CA5193" w:rsidRDefault="00CA5193" w:rsidP="00CA5193">
      <w:pPr>
        <w:pStyle w:val="TextoNormalSangraFrancesa"/>
        <w:rPr>
          <w:rStyle w:val="TextoNormalCaracter"/>
        </w:rPr>
      </w:pPr>
      <w:r w:rsidRPr="00CA5193">
        <w:rPr>
          <w:rStyle w:val="TextoNormalCursivaCaracter"/>
        </w:rPr>
        <w:t xml:space="preserve">    Doctrina constitucional, </w:t>
      </w:r>
      <w:r w:rsidRPr="00CA5193">
        <w:rPr>
          <w:rStyle w:val="TextoNormalCaracter"/>
        </w:rPr>
        <w:t xml:space="preserve">Sentencia </w:t>
      </w:r>
      <w:hyperlink w:anchor="SENTENCIA_2007_137" w:history="1">
        <w:r w:rsidRPr="00CA5193">
          <w:rPr>
            <w:rStyle w:val="TextoNormalCaracter"/>
          </w:rPr>
          <w:t>137/2007</w:t>
        </w:r>
      </w:hyperlink>
      <w:r w:rsidRPr="00CA5193">
        <w:rPr>
          <w:rStyle w:val="TextoNormalCaracter"/>
        </w:rPr>
        <w:t>, f. 4.</w:t>
      </w:r>
    </w:p>
    <w:p w:rsidR="00CA5193" w:rsidRPr="00CA5193" w:rsidRDefault="00CA5193" w:rsidP="00CA5193">
      <w:pPr>
        <w:pStyle w:val="TextoNormalSangraFrancesa"/>
        <w:rPr>
          <w:rStyle w:val="TextoNormalNegritaCaracter"/>
        </w:rPr>
      </w:pPr>
      <w:r w:rsidRPr="00CA5193">
        <w:rPr>
          <w:rStyle w:val="TextoNormalCursivaCaracter"/>
        </w:rPr>
        <w:t>Prueba indirecta</w:t>
      </w:r>
      <w:r>
        <w:t xml:space="preserve"> véase </w:t>
      </w:r>
      <w:hyperlink w:anchor="DESCRIPTORALFABETICO378" w:history="1">
        <w:r w:rsidRPr="00CA5193">
          <w:rPr>
            <w:rStyle w:val="TextoNormalNegritaCaracter"/>
          </w:rPr>
          <w:t>Prueba indiciaria</w:t>
        </w:r>
      </w:hyperlink>
    </w:p>
    <w:p w:rsidR="00CA5193" w:rsidRPr="00CA5193" w:rsidRDefault="00CA5193" w:rsidP="00CA5193">
      <w:pPr>
        <w:pStyle w:val="TextoNormalSangraFrancesa"/>
        <w:rPr>
          <w:rStyle w:val="TextoNormalCaracter"/>
        </w:rPr>
      </w:pPr>
      <w:bookmarkStart w:id="1102" w:name="DESCRIPTORALFABETICO379"/>
      <w:r w:rsidRPr="00CA5193">
        <w:rPr>
          <w:rStyle w:val="TextoNormalNegritaCaracter"/>
        </w:rPr>
        <w:t>Prueba pericial</w:t>
      </w:r>
      <w:bookmarkEnd w:id="1102"/>
      <w:r w:rsidRPr="00CA5193">
        <w:rPr>
          <w:rStyle w:val="TextoNormalCaracter"/>
        </w:rPr>
        <w:t xml:space="preserve">, Sentencia </w:t>
      </w:r>
      <w:hyperlink w:anchor="SENTENCIA_2007_136" w:history="1">
        <w:r w:rsidRPr="00CA5193">
          <w:rPr>
            <w:rStyle w:val="TextoNormalCaracter"/>
          </w:rPr>
          <w:t>136/2007</w:t>
        </w:r>
      </w:hyperlink>
      <w:r w:rsidRPr="00CA5193">
        <w:rPr>
          <w:rStyle w:val="TextoNormalCaracter"/>
        </w:rPr>
        <w:t>, f. 3.</w:t>
      </w:r>
    </w:p>
    <w:p w:rsidR="00CA5193" w:rsidRPr="00CA5193" w:rsidRDefault="00CA5193" w:rsidP="00CA5193">
      <w:pPr>
        <w:pStyle w:val="TextoNormalSangraFrancesa"/>
        <w:rPr>
          <w:rStyle w:val="TextoNormalCaracter"/>
        </w:rPr>
      </w:pPr>
      <w:bookmarkStart w:id="1103" w:name="DESCRIPTORALFABETICO380"/>
      <w:r w:rsidRPr="00CA5193">
        <w:rPr>
          <w:rStyle w:val="TextoNormalNegritaCaracter"/>
        </w:rPr>
        <w:t>Prueba preconstituida</w:t>
      </w:r>
      <w:bookmarkEnd w:id="1103"/>
      <w:r w:rsidRPr="00CA5193">
        <w:rPr>
          <w:rStyle w:val="TextoNormalCaracter"/>
        </w:rPr>
        <w:t xml:space="preserve">, Auto </w:t>
      </w:r>
      <w:hyperlink w:anchor="AUTO_2007_264" w:history="1">
        <w:r w:rsidRPr="00CA5193">
          <w:rPr>
            <w:rStyle w:val="TextoNormalCaracter"/>
          </w:rPr>
          <w:t>264/2007</w:t>
        </w:r>
      </w:hyperlink>
      <w:r w:rsidRPr="00CA5193">
        <w:rPr>
          <w:rStyle w:val="TextoNormalCaracter"/>
        </w:rPr>
        <w:t>.</w:t>
      </w:r>
    </w:p>
    <w:p w:rsidR="00CA5193" w:rsidRPr="00CA5193" w:rsidRDefault="00CA5193" w:rsidP="00CA5193">
      <w:pPr>
        <w:pStyle w:val="TextoNormalSangraFrancesa"/>
        <w:rPr>
          <w:rStyle w:val="TextoNormalCaracter"/>
        </w:rPr>
      </w:pPr>
      <w:bookmarkStart w:id="1104" w:name="DESCRIPTORALFABETICO381"/>
      <w:r w:rsidRPr="00CA5193">
        <w:rPr>
          <w:rStyle w:val="TextoNormalNegritaCaracter"/>
        </w:rPr>
        <w:t>Prueba testifical</w:t>
      </w:r>
      <w:bookmarkEnd w:id="1104"/>
      <w:r w:rsidRPr="00CA5193">
        <w:rPr>
          <w:rStyle w:val="TextoNormalCaracter"/>
        </w:rPr>
        <w:t xml:space="preserve">, Sentencia </w:t>
      </w:r>
      <w:hyperlink w:anchor="SENTENCIA_2007_164" w:history="1">
        <w:r w:rsidRPr="00CA5193">
          <w:rPr>
            <w:rStyle w:val="TextoNormalCaracter"/>
          </w:rPr>
          <w:t>164/2007</w:t>
        </w:r>
      </w:hyperlink>
      <w:r w:rsidRPr="00CA5193">
        <w:rPr>
          <w:rStyle w:val="TextoNormalCaracter"/>
        </w:rPr>
        <w:t>, ff. 4, 5.</w:t>
      </w:r>
    </w:p>
    <w:p w:rsidR="00CA5193" w:rsidRPr="00CA5193" w:rsidRDefault="00CA5193" w:rsidP="00CA5193">
      <w:pPr>
        <w:pStyle w:val="TextoNormalSangraFrancesa"/>
        <w:rPr>
          <w:rStyle w:val="TextoNormalCaracter"/>
        </w:rPr>
      </w:pPr>
      <w:bookmarkStart w:id="1105" w:name="DESCRIPTORALFABETICO8"/>
      <w:r w:rsidRPr="00CA5193">
        <w:rPr>
          <w:rStyle w:val="TextoNormalNegritaCaracter"/>
        </w:rPr>
        <w:t>Publicación de candidaturas electorales</w:t>
      </w:r>
      <w:bookmarkEnd w:id="1105"/>
      <w:r w:rsidRPr="00CA5193">
        <w:rPr>
          <w:rStyle w:val="TextoNormalCaracter"/>
        </w:rPr>
        <w:t xml:space="preserve">, Sentencia </w:t>
      </w:r>
      <w:hyperlink w:anchor="SENTENCIA_2007_110" w:history="1">
        <w:r w:rsidRPr="00CA5193">
          <w:rPr>
            <w:rStyle w:val="TextoNormalCaracter"/>
          </w:rPr>
          <w:t>110/2007</w:t>
        </w:r>
      </w:hyperlink>
      <w:r w:rsidRPr="00CA5193">
        <w:rPr>
          <w:rStyle w:val="TextoNormalCaracter"/>
        </w:rPr>
        <w:t>, f. 9.</w:t>
      </w:r>
    </w:p>
    <w:p w:rsidR="00CA5193" w:rsidRPr="00CA5193" w:rsidRDefault="00CA5193" w:rsidP="00CA5193">
      <w:pPr>
        <w:pStyle w:val="TextoNormalSangraFrancesa"/>
        <w:rPr>
          <w:rStyle w:val="TextoNormalCaracter"/>
        </w:rPr>
      </w:pPr>
      <w:bookmarkStart w:id="1106" w:name="DESCRIPTORALFABETICO259"/>
      <w:r w:rsidRPr="00CA5193">
        <w:rPr>
          <w:rStyle w:val="TextoNormalNegritaCaracter"/>
        </w:rPr>
        <w:t>Puestos de libre designación</w:t>
      </w:r>
      <w:bookmarkEnd w:id="1106"/>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VP.</w:t>
      </w:r>
    </w:p>
    <w:p w:rsidR="00CA5193" w:rsidRDefault="00CA5193" w:rsidP="00CA5193">
      <w:pPr>
        <w:pStyle w:val="TextoNormalSangraFrancesa"/>
      </w:pPr>
    </w:p>
    <w:p w:rsidR="00CA5193" w:rsidRDefault="00CA5193" w:rsidP="00CA5193">
      <w:pPr>
        <w:pStyle w:val="TextoNormalSangraFrancesa"/>
      </w:pPr>
    </w:p>
    <w:p w:rsidR="00CA5193" w:rsidRDefault="00CA5193" w:rsidP="00CA5193">
      <w:pPr>
        <w:pStyle w:val="TextoNormalNegritaCentrado"/>
      </w:pPr>
      <w:r>
        <w:t>R</w:t>
      </w:r>
    </w:p>
    <w:p w:rsidR="00CA5193" w:rsidRDefault="00CA5193" w:rsidP="00CA5193">
      <w:pPr>
        <w:pStyle w:val="TextoNormalNegritaCentrado"/>
      </w:pPr>
    </w:p>
    <w:p w:rsidR="00CA5193" w:rsidRDefault="00CA5193" w:rsidP="00CA5193">
      <w:pPr>
        <w:pStyle w:val="TextoNormalNegritaCentrado"/>
      </w:pPr>
    </w:p>
    <w:p w:rsidR="00CA5193" w:rsidRDefault="00CA5193" w:rsidP="00CA5193">
      <w:pPr>
        <w:pStyle w:val="TextoNormalNegritaCentrado"/>
      </w:pPr>
    </w:p>
    <w:p w:rsidR="00CA5193" w:rsidRPr="00CA5193" w:rsidRDefault="00CA5193" w:rsidP="00CA5193">
      <w:pPr>
        <w:pStyle w:val="TextoNormalSangraFrancesa"/>
        <w:rPr>
          <w:rStyle w:val="TextoNormalCaracter"/>
        </w:rPr>
      </w:pPr>
      <w:bookmarkStart w:id="1107" w:name="DESCRIPTORALFABETICO296"/>
      <w:r w:rsidRPr="00CA5193">
        <w:rPr>
          <w:rStyle w:val="TextoNormalNegritaCaracter"/>
        </w:rPr>
        <w:t>Rango de ley</w:t>
      </w:r>
      <w:bookmarkEnd w:id="1107"/>
      <w:r w:rsidRPr="00CA5193">
        <w:rPr>
          <w:rStyle w:val="TextoNormalCaracter"/>
        </w:rPr>
        <w:t xml:space="preserve">, Sentencia </w:t>
      </w:r>
      <w:hyperlink w:anchor="SENTENCIA_2007_129" w:history="1">
        <w:r w:rsidRPr="00CA5193">
          <w:rPr>
            <w:rStyle w:val="TextoNormalCaracter"/>
          </w:rPr>
          <w:t>129/2007</w:t>
        </w:r>
      </w:hyperlink>
      <w:r w:rsidRPr="00CA5193">
        <w:rPr>
          <w:rStyle w:val="TextoNormalCaracter"/>
        </w:rPr>
        <w:t>, f. 3.</w:t>
      </w:r>
    </w:p>
    <w:p w:rsidR="00CA5193" w:rsidRPr="00CA5193" w:rsidRDefault="00CA5193" w:rsidP="00CA5193">
      <w:pPr>
        <w:pStyle w:val="TextoNormalSangraFrancesa"/>
        <w:rPr>
          <w:rStyle w:val="TextoNormalCaracter"/>
        </w:rPr>
      </w:pPr>
      <w:bookmarkStart w:id="1108" w:name="DESCRIPTORALFABETICO439"/>
      <w:r w:rsidRPr="00CA5193">
        <w:rPr>
          <w:rStyle w:val="TextoNormalNegritaCaracter"/>
        </w:rPr>
        <w:t>Reclamación administrativa previa</w:t>
      </w:r>
      <w:bookmarkEnd w:id="1108"/>
      <w:r w:rsidRPr="00CA5193">
        <w:rPr>
          <w:rStyle w:val="TextoNormalCaracter"/>
        </w:rPr>
        <w:t xml:space="preserve">, Sentencia </w:t>
      </w:r>
      <w:hyperlink w:anchor="SENTENCIA_2007_172" w:history="1">
        <w:r w:rsidRPr="00CA5193">
          <w:rPr>
            <w:rStyle w:val="TextoNormalCaracter"/>
          </w:rPr>
          <w:t>172/2007</w:t>
        </w:r>
      </w:hyperlink>
      <w:r w:rsidRPr="00CA5193">
        <w:rPr>
          <w:rStyle w:val="TextoNormalCaracter"/>
        </w:rPr>
        <w:t>, ff. 2, 4.</w:t>
      </w:r>
    </w:p>
    <w:p w:rsidR="00CA5193" w:rsidRPr="00CA5193" w:rsidRDefault="00CA5193" w:rsidP="00CA5193">
      <w:pPr>
        <w:pStyle w:val="TextoNormalSangraFrancesa"/>
        <w:rPr>
          <w:rStyle w:val="TextoNormalCaracter"/>
        </w:rPr>
      </w:pPr>
      <w:bookmarkStart w:id="1109" w:name="DESCRIPTORALFABETICO360"/>
      <w:r w:rsidRPr="00CA5193">
        <w:rPr>
          <w:rStyle w:val="TextoNormalNegritaCaracter"/>
        </w:rPr>
        <w:t>Rectificación de error material</w:t>
      </w:r>
      <w:bookmarkEnd w:id="1109"/>
      <w:r w:rsidRPr="00CA5193">
        <w:rPr>
          <w:rStyle w:val="TextoNormalCaracter"/>
        </w:rPr>
        <w:t xml:space="preserve">, Sentencia </w:t>
      </w:r>
      <w:hyperlink w:anchor="SENTENCIA_2007_171" w:history="1">
        <w:r w:rsidRPr="00CA5193">
          <w:rPr>
            <w:rStyle w:val="TextoNormalCaracter"/>
          </w:rPr>
          <w:t>171/2007</w:t>
        </w:r>
      </w:hyperlink>
      <w:r w:rsidRPr="00CA5193">
        <w:rPr>
          <w:rStyle w:val="TextoNormalCaracter"/>
        </w:rPr>
        <w:t>, ff. 2, 4.</w:t>
      </w:r>
    </w:p>
    <w:p w:rsidR="00CA5193" w:rsidRPr="00CA5193" w:rsidRDefault="00CA5193" w:rsidP="00CA5193">
      <w:pPr>
        <w:pStyle w:val="TextoNormalSangraFrancesa"/>
        <w:rPr>
          <w:rStyle w:val="TextoNormalCaracter"/>
        </w:rPr>
      </w:pPr>
      <w:bookmarkStart w:id="1110" w:name="DESCRIPTORALFABETICO185"/>
      <w:r w:rsidRPr="00CA5193">
        <w:rPr>
          <w:rStyle w:val="TextoNormalNegritaCaracter"/>
        </w:rPr>
        <w:t>Rectificación procedente</w:t>
      </w:r>
      <w:bookmarkEnd w:id="1110"/>
      <w:r w:rsidRPr="00CA5193">
        <w:rPr>
          <w:rStyle w:val="TextoNormalCaracter"/>
        </w:rPr>
        <w:t xml:space="preserve">, Auto </w:t>
      </w:r>
      <w:hyperlink w:anchor="AUTO_2007_241" w:history="1">
        <w:r w:rsidRPr="00CA5193">
          <w:rPr>
            <w:rStyle w:val="TextoNormalCaracter"/>
          </w:rPr>
          <w:t>241/2007</w:t>
        </w:r>
      </w:hyperlink>
      <w:r w:rsidRPr="00CA5193">
        <w:rPr>
          <w:rStyle w:val="TextoNormalCaracter"/>
        </w:rPr>
        <w:t>.</w:t>
      </w:r>
    </w:p>
    <w:p w:rsidR="00CA5193" w:rsidRPr="00CA5193" w:rsidRDefault="00CA5193" w:rsidP="00CA5193">
      <w:pPr>
        <w:pStyle w:val="TextoNormalSangraFrancesa"/>
        <w:rPr>
          <w:rStyle w:val="TextoNormalCaracter"/>
        </w:rPr>
      </w:pPr>
      <w:bookmarkStart w:id="1111" w:name="DESCRIPTORALFABETICO416"/>
      <w:r w:rsidRPr="00CA5193">
        <w:rPr>
          <w:rStyle w:val="TextoNormalNegritaCaracter"/>
        </w:rPr>
        <w:t>Recurso de aclaración procedente</w:t>
      </w:r>
      <w:bookmarkEnd w:id="1111"/>
      <w:r w:rsidRPr="00CA5193">
        <w:rPr>
          <w:rStyle w:val="TextoNormalCaracter"/>
        </w:rPr>
        <w:t xml:space="preserve">, Sentencia </w:t>
      </w:r>
      <w:hyperlink w:anchor="SENTENCIA_2007_161" w:history="1">
        <w:r w:rsidRPr="00CA5193">
          <w:rPr>
            <w:rStyle w:val="TextoNormalCaracter"/>
          </w:rPr>
          <w:t>161/2007</w:t>
        </w:r>
      </w:hyperlink>
      <w:r w:rsidRPr="00CA5193">
        <w:rPr>
          <w:rStyle w:val="TextoNormalCaracter"/>
        </w:rPr>
        <w:t>, f. 3.</w:t>
      </w:r>
    </w:p>
    <w:p w:rsidR="00CA5193" w:rsidRPr="00CA5193" w:rsidRDefault="00CA5193" w:rsidP="00CA5193">
      <w:pPr>
        <w:pStyle w:val="TextoNormalSangraFrancesa"/>
        <w:rPr>
          <w:rStyle w:val="TextoNormalCaracter"/>
        </w:rPr>
      </w:pPr>
      <w:bookmarkStart w:id="1112" w:name="DESCRIPTORALFABETICO156"/>
      <w:r w:rsidRPr="00CA5193">
        <w:rPr>
          <w:rStyle w:val="TextoNormalNegritaCaracter"/>
        </w:rPr>
        <w:t>Recurso de amparo</w:t>
      </w:r>
      <w:bookmarkEnd w:id="1112"/>
      <w:r w:rsidRPr="00CA5193">
        <w:rPr>
          <w:rStyle w:val="TextoNormalCaracter"/>
        </w:rPr>
        <w:t xml:space="preserve">, Sentencias </w:t>
      </w:r>
      <w:hyperlink w:anchor="SENTENCIA_2007_99" w:history="1">
        <w:r w:rsidRPr="00CA5193">
          <w:rPr>
            <w:rStyle w:val="TextoNormalCaracter"/>
          </w:rPr>
          <w:t>99/2007</w:t>
        </w:r>
      </w:hyperlink>
      <w:r w:rsidRPr="00CA5193">
        <w:rPr>
          <w:rStyle w:val="TextoNormalCaracter"/>
        </w:rPr>
        <w:t xml:space="preserve">, f. 1; </w:t>
      </w:r>
      <w:hyperlink w:anchor="SENTENCIA_2007_101" w:history="1">
        <w:r w:rsidRPr="00CA5193">
          <w:rPr>
            <w:rStyle w:val="TextoNormalCaracter"/>
          </w:rPr>
          <w:t>101/2007</w:t>
        </w:r>
      </w:hyperlink>
      <w:r w:rsidRPr="00CA5193">
        <w:rPr>
          <w:rStyle w:val="TextoNormalCaracter"/>
        </w:rPr>
        <w:t>, f. 6.</w:t>
      </w:r>
    </w:p>
    <w:p w:rsidR="00CA5193" w:rsidRPr="00CA5193" w:rsidRDefault="00CA5193" w:rsidP="00CA5193">
      <w:pPr>
        <w:pStyle w:val="TextoNormalSangraFrancesa"/>
        <w:rPr>
          <w:rStyle w:val="TextoNormalCaracter"/>
        </w:rPr>
      </w:pPr>
      <w:bookmarkStart w:id="1113" w:name="DESCRIPTORALFABETICO181"/>
      <w:r w:rsidRPr="00CA5193">
        <w:rPr>
          <w:rStyle w:val="TextoNormalNegritaCaracter"/>
        </w:rPr>
        <w:t>Recurso de amparo electoral</w:t>
      </w:r>
      <w:bookmarkEnd w:id="1113"/>
      <w:r w:rsidRPr="00CA5193">
        <w:rPr>
          <w:rStyle w:val="TextoNormalCaracter"/>
        </w:rPr>
        <w:t xml:space="preserve">, Sentencias </w:t>
      </w:r>
      <w:hyperlink w:anchor="SENTENCIA_2007_96" w:history="1">
        <w:r w:rsidRPr="00CA5193">
          <w:rPr>
            <w:rStyle w:val="TextoNormalCaracter"/>
          </w:rPr>
          <w:t>96/2007</w:t>
        </w:r>
      </w:hyperlink>
      <w:r w:rsidRPr="00CA5193">
        <w:rPr>
          <w:rStyle w:val="TextoNormalCaracter"/>
        </w:rPr>
        <w:t xml:space="preserve">, f. 3; </w:t>
      </w:r>
      <w:hyperlink w:anchor="SENTENCIA_2007_110" w:history="1">
        <w:r w:rsidRPr="00CA5193">
          <w:rPr>
            <w:rStyle w:val="TextoNormalCaracter"/>
          </w:rPr>
          <w:t>110/2007</w:t>
        </w:r>
      </w:hyperlink>
      <w:r w:rsidRPr="00CA5193">
        <w:rPr>
          <w:rStyle w:val="TextoNormalCaracter"/>
        </w:rPr>
        <w:t>, ff. 1, 2, 3, 4, 5, 6, 7, 8, 9, 10, 11, 12, 13, 14, 15, 16, 17.</w:t>
      </w:r>
    </w:p>
    <w:p w:rsidR="00CA5193" w:rsidRPr="00CA5193" w:rsidRDefault="00CA5193" w:rsidP="00CA5193">
      <w:pPr>
        <w:pStyle w:val="TextoNormalSangraFrancesa"/>
        <w:rPr>
          <w:rStyle w:val="TextoNormalCaracter"/>
        </w:rPr>
      </w:pPr>
      <w:bookmarkStart w:id="1114" w:name="DESCRIPTORALFABETICO164"/>
      <w:r w:rsidRPr="00CA5193">
        <w:rPr>
          <w:rStyle w:val="TextoNormalNegritaCaracter"/>
        </w:rPr>
        <w:t>Recurso de amparo mixto</w:t>
      </w:r>
      <w:bookmarkEnd w:id="1114"/>
      <w:r w:rsidRPr="00CA5193">
        <w:rPr>
          <w:rStyle w:val="TextoNormalCaracter"/>
        </w:rPr>
        <w:t xml:space="preserve">, Sentencias </w:t>
      </w:r>
      <w:hyperlink w:anchor="SENTENCIA_2007_124" w:history="1">
        <w:r w:rsidRPr="00CA5193">
          <w:rPr>
            <w:rStyle w:val="TextoNormalCaracter"/>
          </w:rPr>
          <w:t>124/2007</w:t>
        </w:r>
      </w:hyperlink>
      <w:r w:rsidRPr="00CA5193">
        <w:rPr>
          <w:rStyle w:val="TextoNormalCaracter"/>
        </w:rPr>
        <w:t xml:space="preserve">, f. 2; </w:t>
      </w:r>
      <w:hyperlink w:anchor="SENTENCIA_2007_155" w:history="1">
        <w:r w:rsidRPr="00CA5193">
          <w:rPr>
            <w:rStyle w:val="TextoNormalCaracter"/>
          </w:rPr>
          <w:t>155/2007</w:t>
        </w:r>
      </w:hyperlink>
      <w:r w:rsidRPr="00CA5193">
        <w:rPr>
          <w:rStyle w:val="TextoNormalCaracter"/>
        </w:rPr>
        <w:t>, f. 1.</w:t>
      </w:r>
    </w:p>
    <w:p w:rsidR="00CA5193" w:rsidRPr="00CA5193" w:rsidRDefault="00CA5193" w:rsidP="00CA5193">
      <w:pPr>
        <w:pStyle w:val="TextoNormalSangraFrancesa"/>
        <w:rPr>
          <w:rStyle w:val="TextoNormalCaracter"/>
        </w:rPr>
      </w:pPr>
      <w:bookmarkStart w:id="1115" w:name="DESCRIPTORALFABETICO165"/>
      <w:r w:rsidRPr="00CA5193">
        <w:rPr>
          <w:rStyle w:val="TextoNormalNegritaCaracter"/>
        </w:rPr>
        <w:t>Recurso de amparo prematuro</w:t>
      </w:r>
      <w:bookmarkEnd w:id="1115"/>
      <w:r w:rsidRPr="00CA5193">
        <w:rPr>
          <w:rStyle w:val="TextoNormalCaracter"/>
        </w:rPr>
        <w:t xml:space="preserve">, Auto </w:t>
      </w:r>
      <w:hyperlink w:anchor="AUTO_2007_256" w:history="1">
        <w:r w:rsidRPr="00CA5193">
          <w:rPr>
            <w:rStyle w:val="TextoNormalCaracter"/>
          </w:rPr>
          <w:t>256/2007</w:t>
        </w:r>
      </w:hyperlink>
      <w:r w:rsidRPr="00CA5193">
        <w:rPr>
          <w:rStyle w:val="TextoNormalCaracter"/>
        </w:rPr>
        <w:t>.</w:t>
      </w:r>
    </w:p>
    <w:p w:rsidR="00CA5193" w:rsidRPr="00CA5193" w:rsidRDefault="00CA5193" w:rsidP="00CA5193">
      <w:pPr>
        <w:pStyle w:val="TextoNormalSangraFrancesa"/>
        <w:rPr>
          <w:rStyle w:val="TextoNormalCaracter"/>
        </w:rPr>
      </w:pPr>
      <w:bookmarkStart w:id="1116" w:name="DESCRIPTORALFABETICO431"/>
      <w:r w:rsidRPr="00CA5193">
        <w:rPr>
          <w:rStyle w:val="TextoNormalNegritaCaracter"/>
        </w:rPr>
        <w:t>Recurso de apelación civil</w:t>
      </w:r>
      <w:bookmarkEnd w:id="1116"/>
      <w:r w:rsidRPr="00CA5193">
        <w:rPr>
          <w:rStyle w:val="TextoNormalCaracter"/>
        </w:rPr>
        <w:t xml:space="preserve">, Sentencia </w:t>
      </w:r>
      <w:hyperlink w:anchor="SENTENCIA_2007_93" w:history="1">
        <w:r w:rsidRPr="00CA5193">
          <w:rPr>
            <w:rStyle w:val="TextoNormalCaracter"/>
          </w:rPr>
          <w:t>93/2007</w:t>
        </w:r>
      </w:hyperlink>
      <w:r w:rsidRPr="00CA5193">
        <w:rPr>
          <w:rStyle w:val="TextoNormalCaracter"/>
        </w:rPr>
        <w:t>, f. 3.</w:t>
      </w:r>
    </w:p>
    <w:p w:rsidR="00CA5193" w:rsidRPr="00CA5193" w:rsidRDefault="00CA5193" w:rsidP="00CA5193">
      <w:pPr>
        <w:pStyle w:val="TextoNormalSangraFrancesa"/>
        <w:rPr>
          <w:rStyle w:val="TextoNormalCaracter"/>
        </w:rPr>
      </w:pPr>
      <w:bookmarkStart w:id="1117" w:name="DESCRIPTORALFABETICO465"/>
      <w:r w:rsidRPr="00CA5193">
        <w:rPr>
          <w:rStyle w:val="TextoNormalNegritaCaracter"/>
        </w:rPr>
        <w:t>Recurso de apelación penal</w:t>
      </w:r>
      <w:bookmarkEnd w:id="1117"/>
      <w:r w:rsidRPr="00CA5193">
        <w:rPr>
          <w:rStyle w:val="TextoNormalCaracter"/>
        </w:rPr>
        <w:t xml:space="preserve">, Sentencias </w:t>
      </w:r>
      <w:hyperlink w:anchor="SENTENCIA_2007_126" w:history="1">
        <w:r w:rsidRPr="00CA5193">
          <w:rPr>
            <w:rStyle w:val="TextoNormalCaracter"/>
          </w:rPr>
          <w:t>126/2007</w:t>
        </w:r>
      </w:hyperlink>
      <w:r w:rsidRPr="00CA5193">
        <w:rPr>
          <w:rStyle w:val="TextoNormalCaracter"/>
        </w:rPr>
        <w:t xml:space="preserve">, ff. 5, 6; </w:t>
      </w:r>
      <w:hyperlink w:anchor="SENTENCIA_2007_134" w:history="1">
        <w:r w:rsidRPr="00CA5193">
          <w:rPr>
            <w:rStyle w:val="TextoNormalCaracter"/>
          </w:rPr>
          <w:t>134/2007</w:t>
        </w:r>
      </w:hyperlink>
      <w:r w:rsidRPr="00CA5193">
        <w:rPr>
          <w:rStyle w:val="TextoNormalCaracter"/>
        </w:rPr>
        <w:t xml:space="preserve">, ff. 2, 4; </w:t>
      </w:r>
      <w:hyperlink w:anchor="SENTENCIA_2007_137" w:history="1">
        <w:r w:rsidRPr="00CA5193">
          <w:rPr>
            <w:rStyle w:val="TextoNormalCaracter"/>
          </w:rPr>
          <w:t>137/2007</w:t>
        </w:r>
      </w:hyperlink>
      <w:r w:rsidRPr="00CA5193">
        <w:rPr>
          <w:rStyle w:val="TextoNormalCaracter"/>
        </w:rPr>
        <w:t xml:space="preserve">, f. 2; </w:t>
      </w:r>
      <w:hyperlink w:anchor="SENTENCIA_2007_142" w:history="1">
        <w:r w:rsidRPr="00CA5193">
          <w:rPr>
            <w:rStyle w:val="TextoNormalCaracter"/>
          </w:rPr>
          <w:t>142/2007</w:t>
        </w:r>
      </w:hyperlink>
      <w:r w:rsidRPr="00CA5193">
        <w:rPr>
          <w:rStyle w:val="TextoNormalCaracter"/>
        </w:rPr>
        <w:t xml:space="preserve">, f. 4; </w:t>
      </w:r>
      <w:hyperlink w:anchor="SENTENCIA_2007_164" w:history="1">
        <w:r w:rsidRPr="00CA5193">
          <w:rPr>
            <w:rStyle w:val="TextoNormalCaracter"/>
          </w:rPr>
          <w:t>164/2007</w:t>
        </w:r>
      </w:hyperlink>
      <w:r w:rsidRPr="00CA5193">
        <w:rPr>
          <w:rStyle w:val="TextoNormalCaracter"/>
        </w:rPr>
        <w:t>, ff. 2, 5.</w:t>
      </w:r>
    </w:p>
    <w:p w:rsidR="00CA5193" w:rsidRPr="00CA5193" w:rsidRDefault="00CA5193" w:rsidP="00CA5193">
      <w:pPr>
        <w:pStyle w:val="TextoNormalSangraFrancesa"/>
        <w:rPr>
          <w:rStyle w:val="TextoNormalCaracter"/>
        </w:rPr>
      </w:pPr>
      <w:bookmarkStart w:id="1118" w:name="DESCRIPTORALFABETICO417"/>
      <w:r w:rsidRPr="00CA5193">
        <w:rPr>
          <w:rStyle w:val="TextoNormalNegritaCaracter"/>
        </w:rPr>
        <w:t>Recurso de casación</w:t>
      </w:r>
      <w:bookmarkEnd w:id="1118"/>
      <w:r w:rsidRPr="00CA5193">
        <w:rPr>
          <w:rStyle w:val="TextoNormalCaracter"/>
        </w:rPr>
        <w:t xml:space="preserve">, Auto </w:t>
      </w:r>
      <w:hyperlink w:anchor="AUTO_2007_282" w:history="1">
        <w:r w:rsidRPr="00CA5193">
          <w:rPr>
            <w:rStyle w:val="TextoNormalCaracter"/>
          </w:rPr>
          <w:t>282/2007</w:t>
        </w:r>
      </w:hyperlink>
      <w:r w:rsidRPr="00CA5193">
        <w:rPr>
          <w:rStyle w:val="TextoNormalCaracter"/>
        </w:rPr>
        <w:t>.</w:t>
      </w:r>
    </w:p>
    <w:p w:rsidR="00CA5193" w:rsidRPr="00CA5193" w:rsidRDefault="00CA5193" w:rsidP="00CA5193">
      <w:pPr>
        <w:pStyle w:val="TextoNormalSangraFrancesa"/>
        <w:rPr>
          <w:rStyle w:val="TextoNormalCaracter"/>
        </w:rPr>
      </w:pPr>
      <w:r w:rsidRPr="00CA5193">
        <w:rPr>
          <w:rStyle w:val="TextoNormalCursivaCaracter"/>
        </w:rPr>
        <w:t xml:space="preserve">    Régimen jurídico, </w:t>
      </w:r>
      <w:r w:rsidRPr="00CA5193">
        <w:rPr>
          <w:rStyle w:val="TextoNormalCaracter"/>
        </w:rPr>
        <w:t xml:space="preserve">Auto </w:t>
      </w:r>
      <w:hyperlink w:anchor="AUTO_2007_282" w:history="1">
        <w:r w:rsidRPr="00CA5193">
          <w:rPr>
            <w:rStyle w:val="TextoNormalCaracter"/>
          </w:rPr>
          <w:t>282/2007</w:t>
        </w:r>
      </w:hyperlink>
      <w:r w:rsidRPr="00CA5193">
        <w:rPr>
          <w:rStyle w:val="TextoNormalCaracter"/>
        </w:rPr>
        <w:t>.</w:t>
      </w:r>
    </w:p>
    <w:p w:rsidR="00CA5193" w:rsidRPr="00CA5193" w:rsidRDefault="00CA5193" w:rsidP="00CA5193">
      <w:pPr>
        <w:pStyle w:val="TextoNormalSangraFrancesa"/>
        <w:rPr>
          <w:rStyle w:val="TextoNormalCaracter"/>
        </w:rPr>
      </w:pPr>
      <w:bookmarkStart w:id="1119" w:name="DESCRIPTORALFABETICO432"/>
      <w:r w:rsidRPr="00CA5193">
        <w:rPr>
          <w:rStyle w:val="TextoNormalNegritaCaracter"/>
        </w:rPr>
        <w:t>Recurso de casación civil</w:t>
      </w:r>
      <w:bookmarkEnd w:id="1119"/>
      <w:r w:rsidRPr="00CA5193">
        <w:rPr>
          <w:rStyle w:val="TextoNormalCaracter"/>
        </w:rPr>
        <w:t xml:space="preserve">, Auto </w:t>
      </w:r>
      <w:hyperlink w:anchor="AUTO_2007_282" w:history="1">
        <w:r w:rsidRPr="00CA5193">
          <w:rPr>
            <w:rStyle w:val="TextoNormalCaracter"/>
          </w:rPr>
          <w:t>282/2007</w:t>
        </w:r>
      </w:hyperlink>
      <w:r w:rsidRPr="00CA5193">
        <w:rPr>
          <w:rStyle w:val="TextoNormalCaracter"/>
        </w:rPr>
        <w:t>.</w:t>
      </w:r>
    </w:p>
    <w:p w:rsidR="00CA5193" w:rsidRPr="00CA5193" w:rsidRDefault="00CA5193" w:rsidP="00CA5193">
      <w:pPr>
        <w:pStyle w:val="TextoNormalSangraFrancesa"/>
        <w:rPr>
          <w:rStyle w:val="TextoNormalCaracter"/>
        </w:rPr>
      </w:pPr>
      <w:bookmarkStart w:id="1120" w:name="DESCRIPTORALFABETICO440"/>
      <w:r w:rsidRPr="00CA5193">
        <w:rPr>
          <w:rStyle w:val="TextoNormalNegritaCaracter"/>
        </w:rPr>
        <w:t>Recurso de casación contencioso-administrativo</w:t>
      </w:r>
      <w:bookmarkEnd w:id="1120"/>
      <w:r w:rsidRPr="00CA5193">
        <w:rPr>
          <w:rStyle w:val="TextoNormalCaracter"/>
        </w:rPr>
        <w:t xml:space="preserve">, Sentencia </w:t>
      </w:r>
      <w:hyperlink w:anchor="SENTENCIA_2007_131" w:history="1">
        <w:r w:rsidRPr="00CA5193">
          <w:rPr>
            <w:rStyle w:val="TextoNormalCaracter"/>
          </w:rPr>
          <w:t>131/2007</w:t>
        </w:r>
      </w:hyperlink>
      <w:r w:rsidRPr="00CA5193">
        <w:rPr>
          <w:rStyle w:val="TextoNormalCaracter"/>
        </w:rPr>
        <w:t>, f. 2.</w:t>
      </w:r>
    </w:p>
    <w:p w:rsidR="00CA5193" w:rsidRPr="00CA5193" w:rsidRDefault="00CA5193" w:rsidP="00CA5193">
      <w:pPr>
        <w:pStyle w:val="TextoNormalSangraFrancesa"/>
        <w:rPr>
          <w:rStyle w:val="TextoNormalCaracter"/>
        </w:rPr>
      </w:pPr>
      <w:bookmarkStart w:id="1121" w:name="DESCRIPTORALFABETICO419"/>
      <w:r w:rsidRPr="00CA5193">
        <w:rPr>
          <w:rStyle w:val="TextoNormalNegritaCaracter"/>
        </w:rPr>
        <w:t>Recurso de casación para la unificación de doctrina no exigible</w:t>
      </w:r>
      <w:bookmarkEnd w:id="1121"/>
      <w:r w:rsidRPr="00CA5193">
        <w:rPr>
          <w:rStyle w:val="TextoNormalCaracter"/>
        </w:rPr>
        <w:t xml:space="preserve">, Sentencias </w:t>
      </w:r>
      <w:hyperlink w:anchor="SENTENCIA_2007_128" w:history="1">
        <w:r w:rsidRPr="00CA5193">
          <w:rPr>
            <w:rStyle w:val="TextoNormalCaracter"/>
          </w:rPr>
          <w:t>128/2007</w:t>
        </w:r>
      </w:hyperlink>
      <w:r w:rsidRPr="00CA5193">
        <w:rPr>
          <w:rStyle w:val="TextoNormalCaracter"/>
        </w:rPr>
        <w:t xml:space="preserve">, f. 3; </w:t>
      </w:r>
      <w:hyperlink w:anchor="SENTENCIA_2007_147" w:history="1">
        <w:r w:rsidRPr="00CA5193">
          <w:rPr>
            <w:rStyle w:val="TextoNormalCaracter"/>
          </w:rPr>
          <w:t>147/2007</w:t>
        </w:r>
      </w:hyperlink>
      <w:r w:rsidRPr="00CA5193">
        <w:rPr>
          <w:rStyle w:val="TextoNormalCaracter"/>
        </w:rPr>
        <w:t>, f. 2.</w:t>
      </w:r>
    </w:p>
    <w:p w:rsidR="00CA5193" w:rsidRPr="00CA5193" w:rsidRDefault="00CA5193" w:rsidP="00CA5193">
      <w:pPr>
        <w:pStyle w:val="TextoNormalSangraFrancesa"/>
        <w:rPr>
          <w:rStyle w:val="TextoNormalCaracter"/>
        </w:rPr>
      </w:pPr>
      <w:bookmarkStart w:id="1122" w:name="DESCRIPTORALFABETICO155"/>
      <w:r w:rsidRPr="00CA5193">
        <w:rPr>
          <w:rStyle w:val="TextoNormalNegritaCaracter"/>
        </w:rPr>
        <w:t>Recurso de inconstitucionalidad</w:t>
      </w:r>
      <w:bookmarkEnd w:id="1122"/>
      <w:r w:rsidRPr="00CA5193">
        <w:rPr>
          <w:rStyle w:val="TextoNormalCaracter"/>
        </w:rPr>
        <w:t xml:space="preserve">, Auto </w:t>
      </w:r>
      <w:hyperlink w:anchor="AUTO_2007_311" w:history="1">
        <w:r w:rsidRPr="00CA5193">
          <w:rPr>
            <w:rStyle w:val="TextoNormalCaracter"/>
          </w:rPr>
          <w:t>311/2007</w:t>
        </w:r>
      </w:hyperlink>
      <w:r w:rsidRPr="00CA5193">
        <w:rPr>
          <w:rStyle w:val="TextoNormalCaracter"/>
        </w:rPr>
        <w:t>.</w:t>
      </w:r>
    </w:p>
    <w:p w:rsidR="00CA5193" w:rsidRPr="00CA5193" w:rsidRDefault="00CA5193" w:rsidP="00CA5193">
      <w:pPr>
        <w:pStyle w:val="TextoNormalSangraFrancesa"/>
        <w:rPr>
          <w:rStyle w:val="TextoNormalCaracter"/>
        </w:rPr>
      </w:pPr>
      <w:bookmarkStart w:id="1123" w:name="DESCRIPTORALFABETICO421"/>
      <w:r w:rsidRPr="00CA5193">
        <w:rPr>
          <w:rStyle w:val="TextoNormalNegritaCaracter"/>
        </w:rPr>
        <w:t>Recurso de súplica</w:t>
      </w:r>
      <w:bookmarkEnd w:id="1123"/>
      <w:r w:rsidRPr="00CA5193">
        <w:rPr>
          <w:rStyle w:val="TextoNormalCaracter"/>
        </w:rPr>
        <w:t xml:space="preserve">, Sentencia </w:t>
      </w:r>
      <w:hyperlink w:anchor="SENTENCIA_2007_152" w:history="1">
        <w:r w:rsidRPr="00CA5193">
          <w:rPr>
            <w:rStyle w:val="TextoNormalCaracter"/>
          </w:rPr>
          <w:t>152/2007</w:t>
        </w:r>
      </w:hyperlink>
      <w:r w:rsidRPr="00CA5193">
        <w:rPr>
          <w:rStyle w:val="TextoNormalCaracter"/>
        </w:rPr>
        <w:t>, f. 2.</w:t>
      </w:r>
    </w:p>
    <w:p w:rsidR="00CA5193" w:rsidRPr="00CA5193" w:rsidRDefault="00CA5193" w:rsidP="00CA5193">
      <w:pPr>
        <w:pStyle w:val="TextoNormalSangraFrancesa"/>
        <w:rPr>
          <w:rStyle w:val="TextoNormalCaracter"/>
        </w:rPr>
      </w:pPr>
      <w:bookmarkStart w:id="1124" w:name="DESCRIPTORALFABETICO140"/>
      <w:r w:rsidRPr="00CA5193">
        <w:rPr>
          <w:rStyle w:val="TextoNormalNegritaCaracter"/>
        </w:rPr>
        <w:t>Recurso de súplica contra providencias de inadmisión del Tribunal Constitucional</w:t>
      </w:r>
      <w:bookmarkEnd w:id="1124"/>
      <w:r w:rsidRPr="00CA5193">
        <w:rPr>
          <w:rStyle w:val="TextoNormalCaracter"/>
        </w:rPr>
        <w:t xml:space="preserve">, Auto </w:t>
      </w:r>
      <w:hyperlink w:anchor="AUTO_2007_260" w:history="1">
        <w:r w:rsidRPr="00CA5193">
          <w:rPr>
            <w:rStyle w:val="TextoNormalCaracter"/>
          </w:rPr>
          <w:t>260/2007</w:t>
        </w:r>
      </w:hyperlink>
      <w:r w:rsidRPr="00CA5193">
        <w:rPr>
          <w:rStyle w:val="TextoNormalCaracter"/>
        </w:rPr>
        <w:t>.</w:t>
      </w:r>
    </w:p>
    <w:p w:rsidR="00CA5193" w:rsidRPr="00CA5193" w:rsidRDefault="00CA5193" w:rsidP="00CA5193">
      <w:pPr>
        <w:pStyle w:val="TextoNormalSangraFrancesa"/>
        <w:rPr>
          <w:rStyle w:val="TextoNormalCaracter"/>
        </w:rPr>
      </w:pPr>
      <w:bookmarkStart w:id="1125" w:name="DESCRIPTORALFABETICO444"/>
      <w:r w:rsidRPr="00CA5193">
        <w:rPr>
          <w:rStyle w:val="TextoNormalNegritaCaracter"/>
        </w:rPr>
        <w:t>Recurso de suplicación</w:t>
      </w:r>
      <w:bookmarkEnd w:id="1125"/>
      <w:r w:rsidRPr="00CA5193">
        <w:rPr>
          <w:rStyle w:val="TextoNormalCaracter"/>
        </w:rPr>
        <w:t xml:space="preserve">, Sentencia </w:t>
      </w:r>
      <w:hyperlink w:anchor="SENTENCIA_2007_135" w:history="1">
        <w:r w:rsidRPr="00CA5193">
          <w:rPr>
            <w:rStyle w:val="TextoNormalCaracter"/>
          </w:rPr>
          <w:t>135/2007</w:t>
        </w:r>
      </w:hyperlink>
      <w:r w:rsidRPr="00CA5193">
        <w:rPr>
          <w:rStyle w:val="TextoNormalCaracter"/>
        </w:rPr>
        <w:t>, f. 6.</w:t>
      </w:r>
    </w:p>
    <w:p w:rsidR="00CA5193" w:rsidRPr="00CA5193" w:rsidRDefault="00CA5193" w:rsidP="00CA5193">
      <w:pPr>
        <w:pStyle w:val="TextoNormalSangraFrancesa"/>
        <w:rPr>
          <w:rStyle w:val="TextoNormalCaracter"/>
        </w:rPr>
      </w:pPr>
      <w:bookmarkStart w:id="1126" w:name="DESCRIPTORALFABETICO133"/>
      <w:r w:rsidRPr="00CA5193">
        <w:rPr>
          <w:rStyle w:val="TextoNormalNegritaCaracter"/>
        </w:rPr>
        <w:t>Recusación de magistrados del Tribunal Constitucional</w:t>
      </w:r>
      <w:bookmarkEnd w:id="1126"/>
      <w:r w:rsidRPr="00CA5193">
        <w:rPr>
          <w:rStyle w:val="TextoNormalCaracter"/>
        </w:rPr>
        <w:t xml:space="preserve">, </w:t>
      </w:r>
    </w:p>
    <w:p w:rsidR="00CA5193" w:rsidRPr="00CA5193" w:rsidRDefault="00CA5193" w:rsidP="00CA5193">
      <w:pPr>
        <w:pStyle w:val="TextoNormalSangraFrancesa"/>
        <w:rPr>
          <w:rStyle w:val="TextoNormalCaracter"/>
        </w:rPr>
      </w:pPr>
      <w:r w:rsidRPr="00CA5193">
        <w:rPr>
          <w:rStyle w:val="TextoNormalCursivaCaracter"/>
        </w:rPr>
        <w:t xml:space="preserve">    Deniega, </w:t>
      </w:r>
      <w:r w:rsidRPr="00CA5193">
        <w:rPr>
          <w:rStyle w:val="TextoNormalCaracter"/>
        </w:rPr>
        <w:t xml:space="preserve">Auto </w:t>
      </w:r>
      <w:hyperlink w:anchor="AUTO_2007_253" w:history="1">
        <w:r w:rsidRPr="00CA5193">
          <w:rPr>
            <w:rStyle w:val="TextoNormalCaracter"/>
          </w:rPr>
          <w:t>253/2007</w:t>
        </w:r>
      </w:hyperlink>
      <w:r w:rsidRPr="00CA5193">
        <w:rPr>
          <w:rStyle w:val="TextoNormalCaracter"/>
        </w:rPr>
        <w:t>.</w:t>
      </w:r>
    </w:p>
    <w:p w:rsidR="00CA5193" w:rsidRPr="00CA5193" w:rsidRDefault="00CA5193" w:rsidP="00CA5193">
      <w:pPr>
        <w:pStyle w:val="TextoNormalSangraFrancesa"/>
        <w:rPr>
          <w:rStyle w:val="TextoNormalCaracter"/>
        </w:rPr>
      </w:pPr>
      <w:bookmarkStart w:id="1127" w:name="DESCRIPTORALFABETICO261"/>
      <w:r w:rsidRPr="00CA5193">
        <w:rPr>
          <w:rStyle w:val="TextoNormalNegritaCaracter"/>
        </w:rPr>
        <w:t>Regulación de la segunda actividad en el cuerpo nacional de policía</w:t>
      </w:r>
      <w:bookmarkEnd w:id="1127"/>
      <w:r w:rsidRPr="00CA5193">
        <w:rPr>
          <w:rStyle w:val="TextoNormalCaracter"/>
        </w:rPr>
        <w:t xml:space="preserve">, Autos </w:t>
      </w:r>
      <w:hyperlink w:anchor="AUTO_2007_352" w:history="1">
        <w:r w:rsidRPr="00CA5193">
          <w:rPr>
            <w:rStyle w:val="TextoNormalCaracter"/>
          </w:rPr>
          <w:t>352/2007</w:t>
        </w:r>
      </w:hyperlink>
      <w:r w:rsidRPr="00CA5193">
        <w:rPr>
          <w:rStyle w:val="TextoNormalCaracter"/>
        </w:rPr>
        <w:t xml:space="preserve">; </w:t>
      </w:r>
      <w:hyperlink w:anchor="AUTO_2007_353" w:history="1">
        <w:r w:rsidRPr="00CA5193">
          <w:rPr>
            <w:rStyle w:val="TextoNormalCaracter"/>
          </w:rPr>
          <w:t>353/2007</w:t>
        </w:r>
      </w:hyperlink>
      <w:r w:rsidRPr="00CA5193">
        <w:rPr>
          <w:rStyle w:val="TextoNormalCaracter"/>
        </w:rPr>
        <w:t>.</w:t>
      </w:r>
    </w:p>
    <w:p w:rsidR="00CA5193" w:rsidRPr="00CA5193" w:rsidRDefault="00CA5193" w:rsidP="00CA5193">
      <w:pPr>
        <w:pStyle w:val="TextoNormalSangraFrancesa"/>
        <w:rPr>
          <w:rStyle w:val="TextoNormalNegritaCaracter"/>
        </w:rPr>
      </w:pPr>
      <w:r w:rsidRPr="00CA5193">
        <w:rPr>
          <w:rStyle w:val="TextoNormalCursivaCaracter"/>
        </w:rPr>
        <w:t>Reintegro de cantidad</w:t>
      </w:r>
      <w:r>
        <w:t xml:space="preserve"> véase </w:t>
      </w:r>
      <w:hyperlink w:anchor="DESCRIPTORALFABETICO238" w:history="1">
        <w:r w:rsidRPr="00CA5193">
          <w:rPr>
            <w:rStyle w:val="TextoNormalNegritaCaracter"/>
          </w:rPr>
          <w:t>Pago de una cantidad</w:t>
        </w:r>
      </w:hyperlink>
    </w:p>
    <w:p w:rsidR="00CA5193" w:rsidRPr="00CA5193" w:rsidRDefault="00CA5193" w:rsidP="00CA5193">
      <w:pPr>
        <w:pStyle w:val="TextoNormalSangraFrancesa"/>
        <w:rPr>
          <w:rStyle w:val="TextoNormalCaracter"/>
        </w:rPr>
      </w:pPr>
      <w:bookmarkStart w:id="1128" w:name="DESCRIPTORALFABETICO319"/>
      <w:r w:rsidRPr="00CA5193">
        <w:rPr>
          <w:rStyle w:val="TextoNormalNegritaCaracter"/>
        </w:rPr>
        <w:t>Relación de causalidad</w:t>
      </w:r>
      <w:bookmarkEnd w:id="1128"/>
      <w:r w:rsidRPr="00CA5193">
        <w:rPr>
          <w:rStyle w:val="TextoNormalCaracter"/>
        </w:rPr>
        <w:t xml:space="preserve">, Sentencia </w:t>
      </w:r>
      <w:hyperlink w:anchor="SENTENCIA_2007_160" w:history="1">
        <w:r w:rsidRPr="00CA5193">
          <w:rPr>
            <w:rStyle w:val="TextoNormalCaracter"/>
          </w:rPr>
          <w:t>160/2007</w:t>
        </w:r>
      </w:hyperlink>
      <w:r w:rsidRPr="00CA5193">
        <w:rPr>
          <w:rStyle w:val="TextoNormalCaracter"/>
        </w:rPr>
        <w:t>, f. 4.</w:t>
      </w:r>
    </w:p>
    <w:p w:rsidR="00CA5193" w:rsidRPr="00CA5193" w:rsidRDefault="00CA5193" w:rsidP="00CA5193">
      <w:pPr>
        <w:pStyle w:val="TextoNormalSangraFrancesa"/>
        <w:rPr>
          <w:rStyle w:val="TextoNormalCaracter"/>
        </w:rPr>
      </w:pPr>
      <w:bookmarkStart w:id="1129" w:name="DESCRIPTORALFABETICO331"/>
      <w:r w:rsidRPr="00CA5193">
        <w:rPr>
          <w:rStyle w:val="TextoNormalNegritaCaracter"/>
        </w:rPr>
        <w:t>Relaciones laborales</w:t>
      </w:r>
      <w:bookmarkEnd w:id="1129"/>
      <w:r w:rsidRPr="00CA5193">
        <w:rPr>
          <w:rStyle w:val="TextoNormalCaracter"/>
        </w:rPr>
        <w:t xml:space="preserve">, Sentencia </w:t>
      </w:r>
      <w:hyperlink w:anchor="SENTENCIA_2007_125" w:history="1">
        <w:r w:rsidRPr="00CA5193">
          <w:rPr>
            <w:rStyle w:val="TextoNormalCaracter"/>
          </w:rPr>
          <w:t>125/2007</w:t>
        </w:r>
      </w:hyperlink>
      <w:r w:rsidRPr="00CA5193">
        <w:rPr>
          <w:rStyle w:val="TextoNormalCaracter"/>
        </w:rPr>
        <w:t>, ff. 1, 2.</w:t>
      </w:r>
    </w:p>
    <w:p w:rsidR="00CA5193" w:rsidRPr="00CA5193" w:rsidRDefault="00CA5193" w:rsidP="00CA5193">
      <w:pPr>
        <w:pStyle w:val="TextoNormalSangraFrancesa"/>
        <w:rPr>
          <w:rStyle w:val="TextoNormalCaracter"/>
        </w:rPr>
      </w:pPr>
      <w:bookmarkStart w:id="1130" w:name="DESCRIPTORALFABETICO216"/>
      <w:r w:rsidRPr="00CA5193">
        <w:rPr>
          <w:rStyle w:val="TextoNormalNegritaCaracter"/>
        </w:rPr>
        <w:lastRenderedPageBreak/>
        <w:t>Representación política</w:t>
      </w:r>
      <w:bookmarkEnd w:id="1130"/>
      <w:r w:rsidRPr="00CA5193">
        <w:rPr>
          <w:rStyle w:val="TextoNormalCaracter"/>
        </w:rPr>
        <w:t xml:space="preserve">, Sentencias </w:t>
      </w:r>
      <w:hyperlink w:anchor="SENTENCIA_2007_96" w:history="1">
        <w:r w:rsidRPr="00CA5193">
          <w:rPr>
            <w:rStyle w:val="TextoNormalCaracter"/>
          </w:rPr>
          <w:t>96/2007</w:t>
        </w:r>
      </w:hyperlink>
      <w:r w:rsidRPr="00CA5193">
        <w:rPr>
          <w:rStyle w:val="TextoNormalCaracter"/>
        </w:rPr>
        <w:t xml:space="preserve">, ff. 2, 4, 6; </w:t>
      </w:r>
      <w:hyperlink w:anchor="SENTENCIA_2007_99" w:history="1">
        <w:r w:rsidRPr="00CA5193">
          <w:rPr>
            <w:rStyle w:val="TextoNormalCaracter"/>
          </w:rPr>
          <w:t>99/2007</w:t>
        </w:r>
      </w:hyperlink>
      <w:r w:rsidRPr="00CA5193">
        <w:rPr>
          <w:rStyle w:val="TextoNormalCaracter"/>
        </w:rPr>
        <w:t>, ff. 2, 4, 6.</w:t>
      </w:r>
    </w:p>
    <w:p w:rsidR="00CA5193" w:rsidRPr="00CA5193" w:rsidRDefault="00CA5193" w:rsidP="00CA5193">
      <w:pPr>
        <w:pStyle w:val="TextoNormalSangraFrancesa"/>
        <w:rPr>
          <w:rStyle w:val="TextoNormalCaracter"/>
        </w:rPr>
      </w:pPr>
      <w:bookmarkStart w:id="1131" w:name="DESCRIPTORALFABETICO255"/>
      <w:r w:rsidRPr="00CA5193">
        <w:rPr>
          <w:rStyle w:val="TextoNormalNegritaCaracter"/>
        </w:rPr>
        <w:t>Requisitos de acceso fijados por la relación de puestos de trabajo</w:t>
      </w:r>
      <w:bookmarkEnd w:id="1131"/>
      <w:r w:rsidRPr="00CA5193">
        <w:rPr>
          <w:rStyle w:val="TextoNormalCaracter"/>
        </w:rPr>
        <w:t xml:space="preserve">, Sentencia </w:t>
      </w:r>
      <w:hyperlink w:anchor="SENTENCIA_2007_129" w:history="1">
        <w:r w:rsidRPr="00CA5193">
          <w:rPr>
            <w:rStyle w:val="TextoNormalCaracter"/>
          </w:rPr>
          <w:t>129/2007</w:t>
        </w:r>
      </w:hyperlink>
      <w:r w:rsidRPr="00CA5193">
        <w:rPr>
          <w:rStyle w:val="TextoNormalCaracter"/>
        </w:rPr>
        <w:t>, f. 2.</w:t>
      </w:r>
    </w:p>
    <w:p w:rsidR="00CA5193" w:rsidRPr="00CA5193" w:rsidRDefault="00CA5193" w:rsidP="00CA5193">
      <w:pPr>
        <w:pStyle w:val="TextoNormalSangraFrancesa"/>
        <w:rPr>
          <w:rStyle w:val="TextoNormalCaracter"/>
        </w:rPr>
      </w:pPr>
      <w:bookmarkStart w:id="1132" w:name="DESCRIPTORALFABETICO362"/>
      <w:r w:rsidRPr="00CA5193">
        <w:rPr>
          <w:rStyle w:val="TextoNormalNegritaCaracter"/>
        </w:rPr>
        <w:t>Requisitos de admisión</w:t>
      </w:r>
      <w:bookmarkEnd w:id="1132"/>
      <w:r w:rsidRPr="00CA5193">
        <w:rPr>
          <w:rStyle w:val="TextoNormalCaracter"/>
        </w:rPr>
        <w:t xml:space="preserve">, Auto </w:t>
      </w:r>
      <w:hyperlink w:anchor="AUTO_2007_282" w:history="1">
        <w:r w:rsidRPr="00CA5193">
          <w:rPr>
            <w:rStyle w:val="TextoNormalCaracter"/>
          </w:rPr>
          <w:t>282/2007</w:t>
        </w:r>
      </w:hyperlink>
      <w:r w:rsidRPr="00CA5193">
        <w:rPr>
          <w:rStyle w:val="TextoNormalCaracter"/>
        </w:rPr>
        <w:t>.</w:t>
      </w:r>
    </w:p>
    <w:p w:rsidR="00CA5193" w:rsidRPr="00CA5193" w:rsidRDefault="00CA5193" w:rsidP="00CA5193">
      <w:pPr>
        <w:pStyle w:val="TextoNormalSangraFrancesa"/>
        <w:rPr>
          <w:rStyle w:val="TextoNormalCaracter"/>
        </w:rPr>
      </w:pPr>
      <w:bookmarkStart w:id="1133" w:name="DESCRIPTORALFABETICO367"/>
      <w:r w:rsidRPr="00CA5193">
        <w:rPr>
          <w:rStyle w:val="TextoNormalNegritaCaracter"/>
        </w:rPr>
        <w:t>Requisitos de la proposición de prueba</w:t>
      </w:r>
      <w:bookmarkEnd w:id="1133"/>
      <w:r w:rsidRPr="00CA5193">
        <w:rPr>
          <w:rStyle w:val="TextoNormalCaracter"/>
        </w:rPr>
        <w:t xml:space="preserve">, Auto </w:t>
      </w:r>
      <w:hyperlink w:anchor="AUTO_2007_269" w:history="1">
        <w:r w:rsidRPr="00CA5193">
          <w:rPr>
            <w:rStyle w:val="TextoNormalCaracter"/>
          </w:rPr>
          <w:t>269/2007</w:t>
        </w:r>
      </w:hyperlink>
      <w:r w:rsidRPr="00CA5193">
        <w:rPr>
          <w:rStyle w:val="TextoNormalCaracter"/>
        </w:rPr>
        <w:t>.</w:t>
      </w:r>
    </w:p>
    <w:p w:rsidR="00CA5193" w:rsidRPr="00CA5193" w:rsidRDefault="00CA5193" w:rsidP="00CA5193">
      <w:pPr>
        <w:pStyle w:val="TextoNormalSangraFrancesa"/>
        <w:rPr>
          <w:rStyle w:val="TextoNormalCaracter"/>
        </w:rPr>
      </w:pPr>
      <w:bookmarkStart w:id="1134" w:name="DESCRIPTORALFABETICO18"/>
      <w:r w:rsidRPr="00CA5193">
        <w:rPr>
          <w:rStyle w:val="TextoNormalNegritaCaracter"/>
        </w:rPr>
        <w:t>Requisitos de las candidaturas electorales</w:t>
      </w:r>
      <w:bookmarkEnd w:id="1134"/>
      <w:r w:rsidRPr="00CA5193">
        <w:rPr>
          <w:rStyle w:val="TextoNormalCaracter"/>
        </w:rPr>
        <w:t xml:space="preserve">, Sentencia </w:t>
      </w:r>
      <w:hyperlink w:anchor="SENTENCIA_2007_127" w:history="1">
        <w:r w:rsidRPr="00CA5193">
          <w:rPr>
            <w:rStyle w:val="TextoNormalCaracter"/>
          </w:rPr>
          <w:t>127/2007</w:t>
        </w:r>
      </w:hyperlink>
      <w:r w:rsidRPr="00CA5193">
        <w:rPr>
          <w:rStyle w:val="TextoNormalCaracter"/>
        </w:rPr>
        <w:t>, ff. 3, 4.</w:t>
      </w:r>
    </w:p>
    <w:p w:rsidR="00CA5193" w:rsidRPr="00CA5193" w:rsidRDefault="00CA5193" w:rsidP="00CA5193">
      <w:pPr>
        <w:pStyle w:val="TextoNormalSangraFrancesa"/>
        <w:rPr>
          <w:rStyle w:val="TextoNormalCaracter"/>
        </w:rPr>
      </w:pPr>
      <w:r w:rsidRPr="00CA5193">
        <w:rPr>
          <w:rStyle w:val="TextoNormalCaracter"/>
        </w:rPr>
        <w:t xml:space="preserve">    Auto </w:t>
      </w:r>
      <w:hyperlink w:anchor="AUTO_2007_325" w:history="1">
        <w:r w:rsidRPr="00CA5193">
          <w:rPr>
            <w:rStyle w:val="TextoNormalCaracter"/>
          </w:rPr>
          <w:t>325/2007</w:t>
        </w:r>
      </w:hyperlink>
      <w:r w:rsidRPr="00CA5193">
        <w:rPr>
          <w:rStyle w:val="TextoNormalCaracter"/>
        </w:rPr>
        <w:t>.</w:t>
      </w:r>
    </w:p>
    <w:p w:rsidR="00CA5193" w:rsidRPr="00CA5193" w:rsidRDefault="00CA5193" w:rsidP="00CA5193">
      <w:pPr>
        <w:pStyle w:val="TextoNormalSangraFrancesa"/>
        <w:rPr>
          <w:rStyle w:val="TextoNormalCaracter"/>
        </w:rPr>
      </w:pPr>
      <w:bookmarkStart w:id="1135" w:name="DESCRIPTORALFABETICO210"/>
      <w:r w:rsidRPr="00CA5193">
        <w:rPr>
          <w:rStyle w:val="TextoNormalNegritaCaracter"/>
        </w:rPr>
        <w:t>Requisitos para la constitución de grupos parlamentarios</w:t>
      </w:r>
      <w:bookmarkEnd w:id="1135"/>
      <w:r w:rsidRPr="00CA5193">
        <w:rPr>
          <w:rStyle w:val="TextoNormalCaracter"/>
        </w:rPr>
        <w:t xml:space="preserve">, Sentencia </w:t>
      </w:r>
      <w:hyperlink w:anchor="SENTENCIA_2007_141" w:history="1">
        <w:r w:rsidRPr="00CA5193">
          <w:rPr>
            <w:rStyle w:val="TextoNormalCaracter"/>
          </w:rPr>
          <w:t>141/2007</w:t>
        </w:r>
      </w:hyperlink>
      <w:r w:rsidRPr="00CA5193">
        <w:rPr>
          <w:rStyle w:val="TextoNormalCaracter"/>
        </w:rPr>
        <w:t>, ff. 4, 5.</w:t>
      </w:r>
    </w:p>
    <w:p w:rsidR="00CA5193" w:rsidRPr="00CA5193" w:rsidRDefault="00CA5193" w:rsidP="00CA5193">
      <w:pPr>
        <w:pStyle w:val="TextoNormalSangraFrancesa"/>
        <w:rPr>
          <w:rStyle w:val="TextoNormalCaracter"/>
        </w:rPr>
      </w:pPr>
      <w:bookmarkStart w:id="1136" w:name="DESCRIPTORALFABETICO153"/>
      <w:r w:rsidRPr="00CA5193">
        <w:rPr>
          <w:rStyle w:val="TextoNormalNegritaCaracter"/>
        </w:rPr>
        <w:t>Requisitos procesales de la cuestión de inconstitucionalidad</w:t>
      </w:r>
      <w:bookmarkEnd w:id="1136"/>
      <w:r w:rsidRPr="00CA5193">
        <w:rPr>
          <w:rStyle w:val="TextoNormalCaracter"/>
        </w:rPr>
        <w:t xml:space="preserve">, Auto </w:t>
      </w:r>
      <w:hyperlink w:anchor="AUTO_2007_257" w:history="1">
        <w:r w:rsidRPr="00CA5193">
          <w:rPr>
            <w:rStyle w:val="TextoNormalCaracter"/>
          </w:rPr>
          <w:t>257/2007</w:t>
        </w:r>
      </w:hyperlink>
      <w:r w:rsidRPr="00CA5193">
        <w:rPr>
          <w:rStyle w:val="TextoNormalCaracter"/>
        </w:rPr>
        <w:t>.</w:t>
      </w:r>
    </w:p>
    <w:p w:rsidR="00CA5193" w:rsidRPr="00CA5193" w:rsidRDefault="00CA5193" w:rsidP="00CA5193">
      <w:pPr>
        <w:pStyle w:val="TextoNormalSangraFrancesa"/>
        <w:rPr>
          <w:rStyle w:val="TextoNormalCaracter"/>
        </w:rPr>
      </w:pPr>
      <w:bookmarkStart w:id="1137" w:name="DESCRIPTORALFABETICO282"/>
      <w:r w:rsidRPr="00CA5193">
        <w:rPr>
          <w:rStyle w:val="TextoNormalNegritaCaracter"/>
        </w:rPr>
        <w:t>Rescripto de dispensa</w:t>
      </w:r>
      <w:bookmarkEnd w:id="1137"/>
      <w:r w:rsidRPr="00CA5193">
        <w:rPr>
          <w:rStyle w:val="TextoNormalCaracter"/>
        </w:rPr>
        <w:t xml:space="preserve">, Sentencia </w:t>
      </w:r>
      <w:hyperlink w:anchor="SENTENCIA_2007_128" w:history="1">
        <w:r w:rsidRPr="00CA5193">
          <w:rPr>
            <w:rStyle w:val="TextoNormalCaracter"/>
          </w:rPr>
          <w:t>128/2007</w:t>
        </w:r>
      </w:hyperlink>
      <w:r w:rsidRPr="00CA5193">
        <w:rPr>
          <w:rStyle w:val="TextoNormalCaracter"/>
        </w:rPr>
        <w:t>, ff. 4, 9, VP.</w:t>
      </w:r>
    </w:p>
    <w:p w:rsidR="00CA5193" w:rsidRPr="00CA5193" w:rsidRDefault="00CA5193" w:rsidP="00CA5193">
      <w:pPr>
        <w:pStyle w:val="TextoNormalSangraFrancesa"/>
        <w:rPr>
          <w:rStyle w:val="TextoNormalCaracter"/>
        </w:rPr>
      </w:pPr>
      <w:bookmarkStart w:id="1138" w:name="DESCRIPTORALFABETICO113"/>
      <w:r w:rsidRPr="00CA5193">
        <w:rPr>
          <w:rStyle w:val="TextoNormalNegritaCaracter"/>
        </w:rPr>
        <w:t>Resolución expresa ante invocación de vulneración de derechos fundamentales</w:t>
      </w:r>
      <w:bookmarkEnd w:id="1138"/>
      <w:r w:rsidRPr="00CA5193">
        <w:rPr>
          <w:rStyle w:val="TextoNormalCaracter"/>
        </w:rPr>
        <w:t xml:space="preserve">, Sentencia </w:t>
      </w:r>
      <w:hyperlink w:anchor="SENTENCIA_2007_176" w:history="1">
        <w:r w:rsidRPr="00CA5193">
          <w:rPr>
            <w:rStyle w:val="TextoNormalCaracter"/>
          </w:rPr>
          <w:t>176/2007</w:t>
        </w:r>
      </w:hyperlink>
      <w:r w:rsidRPr="00CA5193">
        <w:rPr>
          <w:rStyle w:val="TextoNormalCaracter"/>
        </w:rPr>
        <w:t>, ff. 2, 4.</w:t>
      </w:r>
    </w:p>
    <w:p w:rsidR="00CA5193" w:rsidRPr="00CA5193" w:rsidRDefault="00CA5193" w:rsidP="00CA5193">
      <w:pPr>
        <w:pStyle w:val="TextoNormalSangraFrancesa"/>
        <w:rPr>
          <w:rStyle w:val="TextoNormalCaracter"/>
        </w:rPr>
      </w:pPr>
      <w:bookmarkStart w:id="1139" w:name="DESCRIPTORALFABETICO74"/>
      <w:r w:rsidRPr="00CA5193">
        <w:rPr>
          <w:rStyle w:val="TextoNormalNegritaCaracter"/>
        </w:rPr>
        <w:t>Resolución fundada en Derecho</w:t>
      </w:r>
      <w:bookmarkEnd w:id="1139"/>
      <w:r w:rsidRPr="00CA5193">
        <w:rPr>
          <w:rStyle w:val="TextoNormalCaracter"/>
        </w:rPr>
        <w:t xml:space="preserve">, </w:t>
      </w:r>
    </w:p>
    <w:p w:rsidR="00CA5193" w:rsidRPr="00CA5193" w:rsidRDefault="00CA5193" w:rsidP="00CA5193">
      <w:pPr>
        <w:pStyle w:val="TextoNormalSangraFrancesa"/>
        <w:rPr>
          <w:rStyle w:val="TextoNormalCaracter"/>
        </w:rPr>
      </w:pPr>
      <w:r w:rsidRPr="00CA5193">
        <w:rPr>
          <w:rStyle w:val="TextoNormalCursivaCaracter"/>
        </w:rPr>
        <w:t xml:space="preserve">    Vulnerado, </w:t>
      </w:r>
      <w:r w:rsidRPr="00CA5193">
        <w:rPr>
          <w:rStyle w:val="TextoNormalCaracter"/>
        </w:rPr>
        <w:t xml:space="preserve">Sentencia </w:t>
      </w:r>
      <w:hyperlink w:anchor="SENTENCIA_2007_177" w:history="1">
        <w:r w:rsidRPr="00CA5193">
          <w:rPr>
            <w:rStyle w:val="TextoNormalCaracter"/>
          </w:rPr>
          <w:t>177/2007</w:t>
        </w:r>
      </w:hyperlink>
      <w:r w:rsidRPr="00CA5193">
        <w:rPr>
          <w:rStyle w:val="TextoNormalCaracter"/>
        </w:rPr>
        <w:t>, f. 5.</w:t>
      </w:r>
    </w:p>
    <w:p w:rsidR="00CA5193" w:rsidRPr="00CA5193" w:rsidRDefault="00CA5193" w:rsidP="00CA5193">
      <w:pPr>
        <w:pStyle w:val="TextoNormalSangraFrancesa"/>
        <w:rPr>
          <w:rStyle w:val="TextoNormalCaracter"/>
        </w:rPr>
      </w:pPr>
      <w:bookmarkStart w:id="1140" w:name="DESCRIPTORALFABETICO278"/>
      <w:r w:rsidRPr="00CA5193">
        <w:rPr>
          <w:rStyle w:val="TextoNormalNegritaCaracter"/>
        </w:rPr>
        <w:t>Responsabilidad de los medios de comunicación</w:t>
      </w:r>
      <w:bookmarkEnd w:id="1140"/>
      <w:r w:rsidRPr="00CA5193">
        <w:rPr>
          <w:rStyle w:val="TextoNormalCaracter"/>
        </w:rPr>
        <w:t xml:space="preserve">, Sentencia </w:t>
      </w:r>
      <w:hyperlink w:anchor="SENTENCIA_2007_139" w:history="1">
        <w:r w:rsidRPr="00CA5193">
          <w:rPr>
            <w:rStyle w:val="TextoNormalCaracter"/>
          </w:rPr>
          <w:t>139/2007</w:t>
        </w:r>
      </w:hyperlink>
      <w:r w:rsidRPr="00CA5193">
        <w:rPr>
          <w:rStyle w:val="TextoNormalCaracter"/>
        </w:rPr>
        <w:t>, f. 9.</w:t>
      </w:r>
    </w:p>
    <w:p w:rsidR="00CA5193" w:rsidRPr="00CA5193" w:rsidRDefault="00CA5193" w:rsidP="00CA5193">
      <w:pPr>
        <w:pStyle w:val="TextoNormalSangraFrancesa"/>
        <w:rPr>
          <w:rStyle w:val="TextoNormalCaracter"/>
        </w:rPr>
      </w:pPr>
      <w:bookmarkStart w:id="1141" w:name="DESCRIPTORALFABETICO291"/>
      <w:r w:rsidRPr="00CA5193">
        <w:rPr>
          <w:rStyle w:val="TextoNormalNegritaCaracter"/>
        </w:rPr>
        <w:t>Retroactividad de disposiciones sancionadoras</w:t>
      </w:r>
      <w:bookmarkEnd w:id="1141"/>
      <w:r w:rsidRPr="00CA5193">
        <w:rPr>
          <w:rStyle w:val="TextoNormalCaracter"/>
        </w:rPr>
        <w:t xml:space="preserve">, Sentencia </w:t>
      </w:r>
      <w:hyperlink w:anchor="SENTENCIA_2007_116" w:history="1">
        <w:r w:rsidRPr="00CA5193">
          <w:rPr>
            <w:rStyle w:val="TextoNormalCaracter"/>
          </w:rPr>
          <w:t>116/2007</w:t>
        </w:r>
      </w:hyperlink>
      <w:r w:rsidRPr="00CA5193">
        <w:rPr>
          <w:rStyle w:val="TextoNormalCaracter"/>
        </w:rPr>
        <w:t>, f. 10.</w:t>
      </w:r>
    </w:p>
    <w:p w:rsidR="00CA5193" w:rsidRPr="00CA5193" w:rsidRDefault="00CA5193" w:rsidP="00CA5193">
      <w:pPr>
        <w:pStyle w:val="TextoNormalSangraFrancesa"/>
        <w:rPr>
          <w:rStyle w:val="TextoNormalCaracter"/>
        </w:rPr>
      </w:pPr>
      <w:bookmarkStart w:id="1142" w:name="DESCRIPTORALFABETICO290"/>
      <w:r w:rsidRPr="00CA5193">
        <w:rPr>
          <w:rStyle w:val="TextoNormalNegritaCaracter"/>
        </w:rPr>
        <w:t>Retroactividad de las normas jurídicas</w:t>
      </w:r>
      <w:bookmarkEnd w:id="1142"/>
      <w:r w:rsidRPr="00CA5193">
        <w:rPr>
          <w:rStyle w:val="TextoNormalCaracter"/>
        </w:rPr>
        <w:t xml:space="preserve">, Sentencia </w:t>
      </w:r>
      <w:hyperlink w:anchor="SENTENCIA_2007_116" w:history="1">
        <w:r w:rsidRPr="00CA5193">
          <w:rPr>
            <w:rStyle w:val="TextoNormalCaracter"/>
          </w:rPr>
          <w:t>116/2007</w:t>
        </w:r>
      </w:hyperlink>
      <w:r w:rsidRPr="00CA5193">
        <w:rPr>
          <w:rStyle w:val="TextoNormalCaracter"/>
        </w:rPr>
        <w:t>, f. 9.</w:t>
      </w:r>
    </w:p>
    <w:p w:rsidR="00CA5193" w:rsidRPr="00CA5193" w:rsidRDefault="00CA5193" w:rsidP="00CA5193">
      <w:pPr>
        <w:pStyle w:val="TextoNormalSangraFrancesa"/>
        <w:rPr>
          <w:rStyle w:val="TextoNormalCaracter"/>
        </w:rPr>
      </w:pPr>
      <w:bookmarkStart w:id="1143" w:name="DESCRIPTORALFABETICO114"/>
      <w:r w:rsidRPr="00CA5193">
        <w:rPr>
          <w:rStyle w:val="TextoNormalNegritaCaracter"/>
        </w:rPr>
        <w:t>Riesgo relevante de la vulneración de derechos fundamentales</w:t>
      </w:r>
      <w:bookmarkEnd w:id="1143"/>
      <w:r w:rsidRPr="00CA5193">
        <w:rPr>
          <w:rStyle w:val="TextoNormalCaracter"/>
        </w:rPr>
        <w:t xml:space="preserve">, Sentencia </w:t>
      </w:r>
      <w:hyperlink w:anchor="SENTENCIA_2007_160" w:history="1">
        <w:r w:rsidRPr="00CA5193">
          <w:rPr>
            <w:rStyle w:val="TextoNormalCaracter"/>
          </w:rPr>
          <w:t>160/2007</w:t>
        </w:r>
      </w:hyperlink>
      <w:r w:rsidRPr="00CA5193">
        <w:rPr>
          <w:rStyle w:val="TextoNormalCaracter"/>
        </w:rPr>
        <w:t>, ff. 2, 4, 5.</w:t>
      </w:r>
    </w:p>
    <w:p w:rsidR="00CA5193" w:rsidRDefault="00CA5193" w:rsidP="00CA5193">
      <w:pPr>
        <w:pStyle w:val="TextoNormalSangraFrancesa"/>
      </w:pPr>
    </w:p>
    <w:p w:rsidR="00CA5193" w:rsidRDefault="00CA5193" w:rsidP="00CA5193">
      <w:pPr>
        <w:pStyle w:val="TextoNormalSangraFrancesa"/>
      </w:pPr>
    </w:p>
    <w:p w:rsidR="00CA5193" w:rsidRDefault="00CA5193" w:rsidP="00CA5193">
      <w:pPr>
        <w:pStyle w:val="TextoNormalNegritaCentrado"/>
      </w:pPr>
      <w:r>
        <w:t>S</w:t>
      </w:r>
    </w:p>
    <w:p w:rsidR="00CA5193" w:rsidRDefault="00CA5193" w:rsidP="00CA5193">
      <w:pPr>
        <w:pStyle w:val="TextoNormalNegritaCentrado"/>
      </w:pPr>
    </w:p>
    <w:p w:rsidR="00CA5193" w:rsidRDefault="00CA5193" w:rsidP="00CA5193">
      <w:pPr>
        <w:pStyle w:val="TextoNormalNegritaCentrado"/>
      </w:pPr>
    </w:p>
    <w:p w:rsidR="00CA5193" w:rsidRDefault="00CA5193" w:rsidP="00CA5193">
      <w:pPr>
        <w:pStyle w:val="TextoNormalNegritaCentrado"/>
      </w:pPr>
    </w:p>
    <w:p w:rsidR="00CA5193" w:rsidRPr="00CA5193" w:rsidRDefault="00CA5193" w:rsidP="00CA5193">
      <w:pPr>
        <w:pStyle w:val="TextoNormalSangraFrancesa"/>
        <w:rPr>
          <w:rStyle w:val="TextoNormalCaracter"/>
        </w:rPr>
      </w:pPr>
      <w:bookmarkStart w:id="1144" w:name="DESCRIPTORALFABETICO205"/>
      <w:r w:rsidRPr="00CA5193">
        <w:rPr>
          <w:rStyle w:val="TextoNormalNegritaCaracter"/>
        </w:rPr>
        <w:t>Sala especial del art. 61 de la LOPJ</w:t>
      </w:r>
      <w:bookmarkEnd w:id="1144"/>
      <w:r w:rsidRPr="00CA5193">
        <w:rPr>
          <w:rStyle w:val="TextoNormalCaracter"/>
        </w:rPr>
        <w:t xml:space="preserve">, Sentencia </w:t>
      </w:r>
      <w:hyperlink w:anchor="SENTENCIA_2007_112" w:history="1">
        <w:r w:rsidRPr="00CA5193">
          <w:rPr>
            <w:rStyle w:val="TextoNormalCaracter"/>
          </w:rPr>
          <w:t>112/2007</w:t>
        </w:r>
      </w:hyperlink>
      <w:r w:rsidRPr="00CA5193">
        <w:rPr>
          <w:rStyle w:val="TextoNormalCaracter"/>
        </w:rPr>
        <w:t>, ff. 1, 2, 3, 4, 5, 6, 7, 8, 9, 10, 11.</w:t>
      </w:r>
    </w:p>
    <w:p w:rsidR="00CA5193" w:rsidRPr="00CA5193" w:rsidRDefault="00CA5193" w:rsidP="00CA5193">
      <w:pPr>
        <w:pStyle w:val="TextoNormalSangraFrancesa"/>
        <w:rPr>
          <w:rStyle w:val="TextoNormalCaracter"/>
        </w:rPr>
      </w:pPr>
      <w:bookmarkStart w:id="1145" w:name="DESCRIPTORALFABETICO327"/>
      <w:r w:rsidRPr="00CA5193">
        <w:rPr>
          <w:rStyle w:val="TextoNormalNegritaCaracter"/>
        </w:rPr>
        <w:t>Salud en el trabajo</w:t>
      </w:r>
      <w:bookmarkEnd w:id="1145"/>
      <w:r w:rsidRPr="00CA5193">
        <w:rPr>
          <w:rStyle w:val="TextoNormalCaracter"/>
        </w:rPr>
        <w:t xml:space="preserve">, Sentencia </w:t>
      </w:r>
      <w:hyperlink w:anchor="SENTENCIA_2007_160" w:history="1">
        <w:r w:rsidRPr="00CA5193">
          <w:rPr>
            <w:rStyle w:val="TextoNormalCaracter"/>
          </w:rPr>
          <w:t>160/2007</w:t>
        </w:r>
      </w:hyperlink>
      <w:r w:rsidRPr="00CA5193">
        <w:rPr>
          <w:rStyle w:val="TextoNormalCaracter"/>
        </w:rPr>
        <w:t>, ff. 2, 4, 5, VP.</w:t>
      </w:r>
    </w:p>
    <w:p w:rsidR="00CA5193" w:rsidRPr="00CA5193" w:rsidRDefault="00CA5193" w:rsidP="00CA5193">
      <w:pPr>
        <w:pStyle w:val="TextoNormalSangraFrancesa"/>
        <w:rPr>
          <w:rStyle w:val="TextoNormalCaracter"/>
        </w:rPr>
      </w:pPr>
      <w:bookmarkStart w:id="1146" w:name="DESCRIPTORALFABETICO313"/>
      <w:r w:rsidRPr="00CA5193">
        <w:rPr>
          <w:rStyle w:val="TextoNormalNegritaCaracter"/>
        </w:rPr>
        <w:t>Sanción de aislamiento en celda</w:t>
      </w:r>
      <w:bookmarkEnd w:id="1146"/>
      <w:r w:rsidRPr="00CA5193">
        <w:rPr>
          <w:rStyle w:val="TextoNormalCaracter"/>
        </w:rPr>
        <w:t xml:space="preserve">, Autos </w:t>
      </w:r>
      <w:hyperlink w:anchor="AUTO_2007_314" w:history="1">
        <w:r w:rsidRPr="00CA5193">
          <w:rPr>
            <w:rStyle w:val="TextoNormalCaracter"/>
          </w:rPr>
          <w:t>314/2007</w:t>
        </w:r>
      </w:hyperlink>
      <w:r w:rsidRPr="00CA5193">
        <w:rPr>
          <w:rStyle w:val="TextoNormalCaracter"/>
        </w:rPr>
        <w:t xml:space="preserve">; </w:t>
      </w:r>
      <w:hyperlink w:anchor="AUTO_2007_345" w:history="1">
        <w:r w:rsidRPr="00CA5193">
          <w:rPr>
            <w:rStyle w:val="TextoNormalCaracter"/>
          </w:rPr>
          <w:t>345/2007</w:t>
        </w:r>
      </w:hyperlink>
      <w:r w:rsidRPr="00CA5193">
        <w:rPr>
          <w:rStyle w:val="TextoNormalCaracter"/>
        </w:rPr>
        <w:t>.</w:t>
      </w:r>
    </w:p>
    <w:p w:rsidR="00CA5193" w:rsidRPr="00CA5193" w:rsidRDefault="00CA5193" w:rsidP="00CA5193">
      <w:pPr>
        <w:pStyle w:val="TextoNormalSangraFrancesa"/>
        <w:rPr>
          <w:rStyle w:val="TextoNormalCaracter"/>
        </w:rPr>
      </w:pPr>
      <w:bookmarkStart w:id="1147" w:name="DESCRIPTORALFABETICO240"/>
      <w:r w:rsidRPr="00CA5193">
        <w:rPr>
          <w:rStyle w:val="TextoNormalNegritaCaracter"/>
        </w:rPr>
        <w:t>Sanciones administrativas</w:t>
      </w:r>
      <w:bookmarkEnd w:id="1147"/>
      <w:r w:rsidRPr="00CA5193">
        <w:rPr>
          <w:rStyle w:val="TextoNormalCaracter"/>
        </w:rPr>
        <w:t xml:space="preserve">, Sentencias </w:t>
      </w:r>
      <w:hyperlink w:anchor="SENTENCIA_2007_116" w:history="1">
        <w:r w:rsidRPr="00CA5193">
          <w:rPr>
            <w:rStyle w:val="TextoNormalCaracter"/>
          </w:rPr>
          <w:t>116/2007</w:t>
        </w:r>
      </w:hyperlink>
      <w:r w:rsidRPr="00CA5193">
        <w:rPr>
          <w:rStyle w:val="TextoNormalCaracter"/>
        </w:rPr>
        <w:t xml:space="preserve">, ff. 9, 10; </w:t>
      </w:r>
      <w:hyperlink w:anchor="SENTENCIA_2007_175" w:history="1">
        <w:r w:rsidRPr="00CA5193">
          <w:rPr>
            <w:rStyle w:val="TextoNormalCaracter"/>
          </w:rPr>
          <w:t>175/2007</w:t>
        </w:r>
      </w:hyperlink>
      <w:r w:rsidRPr="00CA5193">
        <w:rPr>
          <w:rStyle w:val="TextoNormalCaracter"/>
        </w:rPr>
        <w:t>, ff. 3 a 5.</w:t>
      </w:r>
    </w:p>
    <w:p w:rsidR="00CA5193" w:rsidRPr="00CA5193" w:rsidRDefault="00CA5193" w:rsidP="00CA5193">
      <w:pPr>
        <w:pStyle w:val="TextoNormalSangraFrancesa"/>
        <w:rPr>
          <w:rStyle w:val="TextoNormalCaracter"/>
        </w:rPr>
      </w:pPr>
      <w:bookmarkStart w:id="1148" w:name="DESCRIPTORALFABETICO243"/>
      <w:r w:rsidRPr="00CA5193">
        <w:rPr>
          <w:rStyle w:val="TextoNormalNegritaCaracter"/>
        </w:rPr>
        <w:t>Sanciones disciplinarias</w:t>
      </w:r>
      <w:bookmarkEnd w:id="1148"/>
      <w:r w:rsidRPr="00CA5193">
        <w:rPr>
          <w:rStyle w:val="TextoNormalCaracter"/>
        </w:rPr>
        <w:t xml:space="preserve">, Sentencia </w:t>
      </w:r>
      <w:hyperlink w:anchor="SENTENCIA_2007_116" w:history="1">
        <w:r w:rsidRPr="00CA5193">
          <w:rPr>
            <w:rStyle w:val="TextoNormalCaracter"/>
          </w:rPr>
          <w:t>116/2007</w:t>
        </w:r>
      </w:hyperlink>
      <w:r w:rsidRPr="00CA5193">
        <w:rPr>
          <w:rStyle w:val="TextoNormalCaracter"/>
        </w:rPr>
        <w:t>, ff. 1, 2, 3, 4, 5, 6, 7, 8, 9, 10.</w:t>
      </w:r>
    </w:p>
    <w:p w:rsidR="00CA5193" w:rsidRPr="00CA5193" w:rsidRDefault="00CA5193" w:rsidP="00CA5193">
      <w:pPr>
        <w:pStyle w:val="TextoNormalSangraFrancesa"/>
        <w:rPr>
          <w:rStyle w:val="TextoNormalCaracter"/>
        </w:rPr>
      </w:pPr>
      <w:bookmarkStart w:id="1149" w:name="DESCRIPTORALFABETICO245"/>
      <w:r w:rsidRPr="00CA5193">
        <w:rPr>
          <w:rStyle w:val="TextoNormalNegritaCaracter"/>
        </w:rPr>
        <w:t>Sanciones disciplinarias a jueces y magistrados</w:t>
      </w:r>
      <w:bookmarkEnd w:id="1149"/>
      <w:r w:rsidRPr="00CA5193">
        <w:rPr>
          <w:rStyle w:val="TextoNormalCaracter"/>
        </w:rPr>
        <w:t xml:space="preserve">, Sentencia </w:t>
      </w:r>
      <w:hyperlink w:anchor="SENTENCIA_2007_116" w:history="1">
        <w:r w:rsidRPr="00CA5193">
          <w:rPr>
            <w:rStyle w:val="TextoNormalCaracter"/>
          </w:rPr>
          <w:t>116/2007</w:t>
        </w:r>
      </w:hyperlink>
      <w:r w:rsidRPr="00CA5193">
        <w:rPr>
          <w:rStyle w:val="TextoNormalCaracter"/>
        </w:rPr>
        <w:t>, f. 7.</w:t>
      </w:r>
    </w:p>
    <w:p w:rsidR="00CA5193" w:rsidRPr="00CA5193" w:rsidRDefault="00CA5193" w:rsidP="00CA5193">
      <w:pPr>
        <w:pStyle w:val="TextoNormalSangraFrancesa"/>
        <w:rPr>
          <w:rStyle w:val="TextoNormalCaracter"/>
        </w:rPr>
      </w:pPr>
      <w:bookmarkStart w:id="1150" w:name="DESCRIPTORALFABETICO311"/>
      <w:r w:rsidRPr="00CA5193">
        <w:rPr>
          <w:rStyle w:val="TextoNormalNegritaCaracter"/>
        </w:rPr>
        <w:t>Sanciones penitenciarias</w:t>
      </w:r>
      <w:bookmarkEnd w:id="1150"/>
      <w:r w:rsidRPr="00CA5193">
        <w:rPr>
          <w:rStyle w:val="TextoNormalCaracter"/>
        </w:rPr>
        <w:t xml:space="preserve">, Auto </w:t>
      </w:r>
      <w:hyperlink w:anchor="AUTO_2007_345" w:history="1">
        <w:r w:rsidRPr="00CA5193">
          <w:rPr>
            <w:rStyle w:val="TextoNormalCaracter"/>
          </w:rPr>
          <w:t>345/2007</w:t>
        </w:r>
      </w:hyperlink>
      <w:r w:rsidRPr="00CA5193">
        <w:rPr>
          <w:rStyle w:val="TextoNormalCaracter"/>
        </w:rPr>
        <w:t>.</w:t>
      </w:r>
    </w:p>
    <w:p w:rsidR="00CA5193" w:rsidRPr="00CA5193" w:rsidRDefault="00CA5193" w:rsidP="00CA5193">
      <w:pPr>
        <w:pStyle w:val="TextoNormalSangraFrancesa"/>
        <w:rPr>
          <w:rStyle w:val="TextoNormalCaracter"/>
        </w:rPr>
      </w:pPr>
      <w:bookmarkStart w:id="1151" w:name="DESCRIPTORALFABETICO425"/>
      <w:r w:rsidRPr="00CA5193">
        <w:rPr>
          <w:rStyle w:val="TextoNormalNegritaCaracter"/>
        </w:rPr>
        <w:t>Satisfacción extraprocesal de la pretensión</w:t>
      </w:r>
      <w:bookmarkEnd w:id="1151"/>
      <w:r w:rsidRPr="00CA5193">
        <w:rPr>
          <w:rStyle w:val="TextoNormalCaracter"/>
        </w:rPr>
        <w:t xml:space="preserve">, Sentencias </w:t>
      </w:r>
      <w:hyperlink w:anchor="SENTENCIA_2007_118" w:history="1">
        <w:r w:rsidRPr="00CA5193">
          <w:rPr>
            <w:rStyle w:val="TextoNormalCaracter"/>
          </w:rPr>
          <w:t>118/2007</w:t>
        </w:r>
      </w:hyperlink>
      <w:r w:rsidRPr="00CA5193">
        <w:rPr>
          <w:rStyle w:val="TextoNormalCaracter"/>
        </w:rPr>
        <w:t xml:space="preserve">, ff. 1, 2; </w:t>
      </w:r>
      <w:hyperlink w:anchor="SENTENCIA_2007_133" w:history="1">
        <w:r w:rsidRPr="00CA5193">
          <w:rPr>
            <w:rStyle w:val="TextoNormalCaracter"/>
          </w:rPr>
          <w:t>133/2007</w:t>
        </w:r>
      </w:hyperlink>
      <w:r w:rsidRPr="00CA5193">
        <w:rPr>
          <w:rStyle w:val="TextoNormalCaracter"/>
        </w:rPr>
        <w:t>, f. 2.</w:t>
      </w:r>
    </w:p>
    <w:p w:rsidR="00CA5193" w:rsidRPr="00CA5193" w:rsidRDefault="00CA5193" w:rsidP="00CA5193">
      <w:pPr>
        <w:pStyle w:val="TextoNormalSangraFrancesa"/>
        <w:rPr>
          <w:rStyle w:val="TextoNormalCaracter"/>
        </w:rPr>
      </w:pPr>
      <w:r w:rsidRPr="00CA5193">
        <w:rPr>
          <w:rStyle w:val="TextoNormalCaracter"/>
        </w:rPr>
        <w:t xml:space="preserve">    Auto </w:t>
      </w:r>
      <w:hyperlink w:anchor="AUTO_2007_338" w:history="1">
        <w:r w:rsidRPr="00CA5193">
          <w:rPr>
            <w:rStyle w:val="TextoNormalCaracter"/>
          </w:rPr>
          <w:t>338/2007</w:t>
        </w:r>
      </w:hyperlink>
      <w:r w:rsidRPr="00CA5193">
        <w:rPr>
          <w:rStyle w:val="TextoNormalCaracter"/>
        </w:rPr>
        <w:t>.</w:t>
      </w:r>
    </w:p>
    <w:p w:rsidR="00CA5193" w:rsidRPr="00CA5193" w:rsidRDefault="00CA5193" w:rsidP="00CA5193">
      <w:pPr>
        <w:pStyle w:val="TextoNormalSangraFrancesa"/>
        <w:rPr>
          <w:rStyle w:val="TextoNormalNegritaCaracter"/>
        </w:rPr>
      </w:pPr>
      <w:r w:rsidRPr="00CA5193">
        <w:rPr>
          <w:rStyle w:val="TextoNormalCursivaCaracter"/>
        </w:rPr>
        <w:t>Selección de funcionarios</w:t>
      </w:r>
      <w:r>
        <w:t xml:space="preserve"> véase </w:t>
      </w:r>
      <w:hyperlink w:anchor="DESCRIPTORALFABETICO257" w:history="1">
        <w:r w:rsidRPr="00CA5193">
          <w:rPr>
            <w:rStyle w:val="TextoNormalNegritaCaracter"/>
          </w:rPr>
          <w:t>Procesos selectivos en la función pública</w:t>
        </w:r>
      </w:hyperlink>
    </w:p>
    <w:p w:rsidR="00CA5193" w:rsidRPr="00CA5193" w:rsidRDefault="00CA5193" w:rsidP="00CA5193">
      <w:pPr>
        <w:pStyle w:val="TextoNormalSangraFrancesa"/>
        <w:rPr>
          <w:rStyle w:val="TextoNormalCaracter"/>
        </w:rPr>
      </w:pPr>
      <w:bookmarkStart w:id="1152" w:name="DESCRIPTORALFABETICO187"/>
      <w:r w:rsidRPr="00CA5193">
        <w:rPr>
          <w:rStyle w:val="TextoNormalNegritaCaracter"/>
        </w:rPr>
        <w:t>Sentencia de amparo</w:t>
      </w:r>
      <w:bookmarkEnd w:id="1152"/>
      <w:r w:rsidRPr="00CA5193">
        <w:rPr>
          <w:rStyle w:val="TextoNormalCaracter"/>
        </w:rPr>
        <w:t xml:space="preserve">, Sentencias </w:t>
      </w:r>
      <w:hyperlink w:anchor="SENTENCIA_2007_96" w:history="1">
        <w:r w:rsidRPr="00CA5193">
          <w:rPr>
            <w:rStyle w:val="TextoNormalCaracter"/>
          </w:rPr>
          <w:t>96/2007</w:t>
        </w:r>
      </w:hyperlink>
      <w:r w:rsidRPr="00CA5193">
        <w:rPr>
          <w:rStyle w:val="TextoNormalCaracter"/>
        </w:rPr>
        <w:t xml:space="preserve">, f. 2; </w:t>
      </w:r>
      <w:hyperlink w:anchor="SENTENCIA_2007_99" w:history="1">
        <w:r w:rsidRPr="00CA5193">
          <w:rPr>
            <w:rStyle w:val="TextoNormalCaracter"/>
          </w:rPr>
          <w:t>99/2007</w:t>
        </w:r>
      </w:hyperlink>
      <w:r w:rsidRPr="00CA5193">
        <w:rPr>
          <w:rStyle w:val="TextoNormalCaracter"/>
        </w:rPr>
        <w:t xml:space="preserve">, f. 2; </w:t>
      </w:r>
      <w:hyperlink w:anchor="SENTENCIA_2007_141" w:history="1">
        <w:r w:rsidRPr="00CA5193">
          <w:rPr>
            <w:rStyle w:val="TextoNormalCaracter"/>
          </w:rPr>
          <w:t>141/2007</w:t>
        </w:r>
      </w:hyperlink>
      <w:r w:rsidRPr="00CA5193">
        <w:rPr>
          <w:rStyle w:val="TextoNormalCaracter"/>
        </w:rPr>
        <w:t>, f. 6.</w:t>
      </w:r>
    </w:p>
    <w:p w:rsidR="00CA5193" w:rsidRPr="00CA5193" w:rsidRDefault="00CA5193" w:rsidP="00CA5193">
      <w:pPr>
        <w:pStyle w:val="TextoNormalSangraFrancesa"/>
        <w:rPr>
          <w:rStyle w:val="TextoNormalCaracter"/>
        </w:rPr>
      </w:pPr>
      <w:r w:rsidRPr="00CA5193">
        <w:rPr>
          <w:rStyle w:val="TextoNormalCaracter"/>
        </w:rPr>
        <w:t xml:space="preserve">    Auto </w:t>
      </w:r>
      <w:hyperlink w:anchor="AUTO_2007_285" w:history="1">
        <w:r w:rsidRPr="00CA5193">
          <w:rPr>
            <w:rStyle w:val="TextoNormalCaracter"/>
          </w:rPr>
          <w:t>285/2007</w:t>
        </w:r>
      </w:hyperlink>
      <w:r w:rsidRPr="00CA5193">
        <w:rPr>
          <w:rStyle w:val="TextoNormalCaracter"/>
        </w:rPr>
        <w:t>.</w:t>
      </w:r>
    </w:p>
    <w:p w:rsidR="00CA5193" w:rsidRPr="00CA5193" w:rsidRDefault="00CA5193" w:rsidP="00CA5193">
      <w:pPr>
        <w:pStyle w:val="TextoNormalSangraFrancesa"/>
        <w:rPr>
          <w:rStyle w:val="TextoNormalCaracter"/>
        </w:rPr>
      </w:pPr>
      <w:bookmarkStart w:id="1153" w:name="DESCRIPTORALFABETICO190"/>
      <w:r w:rsidRPr="00CA5193">
        <w:rPr>
          <w:rStyle w:val="TextoNormalNegritaCaracter"/>
        </w:rPr>
        <w:t>Sentencia de amparo de carácter declarativo</w:t>
      </w:r>
      <w:bookmarkEnd w:id="1153"/>
      <w:r w:rsidRPr="00CA5193">
        <w:rPr>
          <w:rStyle w:val="TextoNormalCaracter"/>
        </w:rPr>
        <w:t xml:space="preserve">, Sentencia </w:t>
      </w:r>
      <w:hyperlink w:anchor="SENTENCIA_2007_141" w:history="1">
        <w:r w:rsidRPr="00CA5193">
          <w:rPr>
            <w:rStyle w:val="TextoNormalCaracter"/>
          </w:rPr>
          <w:t>141/2007</w:t>
        </w:r>
      </w:hyperlink>
      <w:r w:rsidRPr="00CA5193">
        <w:rPr>
          <w:rStyle w:val="TextoNormalCaracter"/>
        </w:rPr>
        <w:t>, f. 6.</w:t>
      </w:r>
    </w:p>
    <w:p w:rsidR="00CA5193" w:rsidRPr="00CA5193" w:rsidRDefault="00CA5193" w:rsidP="00CA5193">
      <w:pPr>
        <w:pStyle w:val="TextoNormalSangraFrancesa"/>
        <w:rPr>
          <w:rStyle w:val="TextoNormalCaracter"/>
        </w:rPr>
      </w:pPr>
      <w:bookmarkStart w:id="1154" w:name="DESCRIPTORALFABETICO75"/>
      <w:r w:rsidRPr="00CA5193">
        <w:rPr>
          <w:rStyle w:val="TextoNormalNegritaCaracter"/>
        </w:rPr>
        <w:t>Sentencia fundada en Derecho</w:t>
      </w:r>
      <w:bookmarkEnd w:id="1154"/>
      <w:r w:rsidRPr="00CA5193">
        <w:rPr>
          <w:rStyle w:val="TextoNormalCaracter"/>
        </w:rPr>
        <w:t xml:space="preserve">, Sentencia </w:t>
      </w:r>
      <w:hyperlink w:anchor="SENTENCIA_2007_177" w:history="1">
        <w:r w:rsidRPr="00CA5193">
          <w:rPr>
            <w:rStyle w:val="TextoNormalCaracter"/>
          </w:rPr>
          <w:t>177/2007</w:t>
        </w:r>
      </w:hyperlink>
      <w:r w:rsidRPr="00CA5193">
        <w:rPr>
          <w:rStyle w:val="TextoNormalCaracter"/>
        </w:rPr>
        <w:t>, f. 5.</w:t>
      </w:r>
    </w:p>
    <w:p w:rsidR="00CA5193" w:rsidRPr="00CA5193" w:rsidRDefault="00CA5193" w:rsidP="00CA5193">
      <w:pPr>
        <w:pStyle w:val="TextoNormalSangraFrancesa"/>
        <w:rPr>
          <w:rStyle w:val="TextoNormalCaracter"/>
        </w:rPr>
      </w:pPr>
      <w:r w:rsidRPr="00CA5193">
        <w:rPr>
          <w:rStyle w:val="TextoNormalCursivaCaracter"/>
        </w:rPr>
        <w:t xml:space="preserve">    Vulnerado, </w:t>
      </w:r>
      <w:r w:rsidRPr="00CA5193">
        <w:rPr>
          <w:rStyle w:val="TextoNormalCaracter"/>
        </w:rPr>
        <w:t xml:space="preserve">Sentencia </w:t>
      </w:r>
      <w:hyperlink w:anchor="SENTENCIA_2007_132" w:history="1">
        <w:r w:rsidRPr="00CA5193">
          <w:rPr>
            <w:rStyle w:val="TextoNormalCaracter"/>
          </w:rPr>
          <w:t>132/2007</w:t>
        </w:r>
      </w:hyperlink>
      <w:r w:rsidRPr="00CA5193">
        <w:rPr>
          <w:rStyle w:val="TextoNormalCaracter"/>
        </w:rPr>
        <w:t>, ff. 4, 5.</w:t>
      </w:r>
    </w:p>
    <w:p w:rsidR="00CA5193" w:rsidRPr="00CA5193" w:rsidRDefault="00CA5193" w:rsidP="00CA5193">
      <w:pPr>
        <w:pStyle w:val="TextoNormalSangraFrancesa"/>
        <w:rPr>
          <w:rStyle w:val="TextoNormalCaracter"/>
        </w:rPr>
      </w:pPr>
      <w:bookmarkStart w:id="1155" w:name="DESCRIPTORALFABETICO468"/>
      <w:r w:rsidRPr="00CA5193">
        <w:rPr>
          <w:rStyle w:val="TextoNormalNegritaCaracter"/>
        </w:rPr>
        <w:t>Sentencia penal</w:t>
      </w:r>
      <w:bookmarkEnd w:id="1155"/>
      <w:r w:rsidRPr="00CA5193">
        <w:rPr>
          <w:rStyle w:val="TextoNormalCaracter"/>
        </w:rPr>
        <w:t xml:space="preserve">, Sentencia </w:t>
      </w:r>
      <w:hyperlink w:anchor="SENTENCIA_2007_138" w:history="1">
        <w:r w:rsidRPr="00CA5193">
          <w:rPr>
            <w:rStyle w:val="TextoNormalCaracter"/>
          </w:rPr>
          <w:t>138/2007</w:t>
        </w:r>
      </w:hyperlink>
      <w:r w:rsidRPr="00CA5193">
        <w:rPr>
          <w:rStyle w:val="TextoNormalCaracter"/>
        </w:rPr>
        <w:t>, ff. 2, 3.</w:t>
      </w:r>
    </w:p>
    <w:p w:rsidR="00CA5193" w:rsidRPr="00CA5193" w:rsidRDefault="00CA5193" w:rsidP="00CA5193">
      <w:pPr>
        <w:pStyle w:val="TextoNormalSangraFrancesa"/>
        <w:rPr>
          <w:rStyle w:val="TextoNormalCaracter"/>
        </w:rPr>
      </w:pPr>
      <w:bookmarkStart w:id="1156" w:name="DESCRIPTORALFABETICO186"/>
      <w:r w:rsidRPr="00CA5193">
        <w:rPr>
          <w:rStyle w:val="TextoNormalNegritaCaracter"/>
        </w:rPr>
        <w:t>Sentencias del Tribunal Constitucional</w:t>
      </w:r>
      <w:bookmarkEnd w:id="1156"/>
      <w:r w:rsidRPr="00CA5193">
        <w:rPr>
          <w:rStyle w:val="TextoNormalCaracter"/>
        </w:rPr>
        <w:t xml:space="preserve">, Auto </w:t>
      </w:r>
      <w:hyperlink w:anchor="AUTO_2007_285" w:history="1">
        <w:r w:rsidRPr="00CA5193">
          <w:rPr>
            <w:rStyle w:val="TextoNormalCaracter"/>
          </w:rPr>
          <w:t>285/2007</w:t>
        </w:r>
      </w:hyperlink>
      <w:r w:rsidRPr="00CA5193">
        <w:rPr>
          <w:rStyle w:val="TextoNormalCaracter"/>
        </w:rPr>
        <w:t>.</w:t>
      </w:r>
    </w:p>
    <w:p w:rsidR="00CA5193" w:rsidRPr="00CA5193" w:rsidRDefault="00CA5193" w:rsidP="00CA5193">
      <w:pPr>
        <w:pStyle w:val="TextoNormalSangraFrancesa"/>
        <w:rPr>
          <w:rStyle w:val="TextoNormalCaracter"/>
        </w:rPr>
      </w:pPr>
      <w:bookmarkStart w:id="1157" w:name="DESCRIPTORALFABETICO191"/>
      <w:r w:rsidRPr="00CA5193">
        <w:rPr>
          <w:rStyle w:val="TextoNormalNegritaCaracter"/>
        </w:rPr>
        <w:t>Sentencias interpretativas</w:t>
      </w:r>
      <w:bookmarkEnd w:id="1157"/>
      <w:r w:rsidRPr="00CA5193">
        <w:rPr>
          <w:rStyle w:val="TextoNormalCaracter"/>
        </w:rPr>
        <w:t xml:space="preserve">, </w:t>
      </w:r>
    </w:p>
    <w:p w:rsidR="00CA5193" w:rsidRPr="00CA5193" w:rsidRDefault="00CA5193" w:rsidP="00CA5193">
      <w:pPr>
        <w:pStyle w:val="TextoNormalSangraFrancesa"/>
        <w:rPr>
          <w:rStyle w:val="TextoNormalCaracter"/>
        </w:rPr>
      </w:pPr>
      <w:r w:rsidRPr="00CA5193">
        <w:rPr>
          <w:rStyle w:val="TextoNormalCursivaCaracter"/>
        </w:rPr>
        <w:t xml:space="preserve">    Naturaleza, </w:t>
      </w:r>
      <w:r w:rsidRPr="00CA5193">
        <w:rPr>
          <w:rStyle w:val="TextoNormalCaracter"/>
        </w:rPr>
        <w:t xml:space="preserve">Auto </w:t>
      </w:r>
      <w:hyperlink w:anchor="AUTO_2007_329" w:history="1">
        <w:r w:rsidRPr="00CA5193">
          <w:rPr>
            <w:rStyle w:val="TextoNormalCaracter"/>
          </w:rPr>
          <w:t>329/2007</w:t>
        </w:r>
      </w:hyperlink>
      <w:r w:rsidRPr="00CA5193">
        <w:rPr>
          <w:rStyle w:val="TextoNormalCaracter"/>
        </w:rPr>
        <w:t>.</w:t>
      </w:r>
    </w:p>
    <w:p w:rsidR="00CA5193" w:rsidRPr="00CA5193" w:rsidRDefault="00CA5193" w:rsidP="00CA5193">
      <w:pPr>
        <w:pStyle w:val="TextoNormalSangraFrancesa"/>
        <w:rPr>
          <w:rStyle w:val="TextoNormalCaracter"/>
        </w:rPr>
      </w:pPr>
      <w:bookmarkStart w:id="1158" w:name="DESCRIPTORALFABETICO307"/>
      <w:r w:rsidRPr="00CA5193">
        <w:rPr>
          <w:rStyle w:val="TextoNormalNegritaCaracter"/>
        </w:rPr>
        <w:t>Silencio administrativo</w:t>
      </w:r>
      <w:bookmarkEnd w:id="1158"/>
      <w:r w:rsidRPr="00CA5193">
        <w:rPr>
          <w:rStyle w:val="TextoNormalCaracter"/>
        </w:rPr>
        <w:t xml:space="preserve">, Sentencia </w:t>
      </w:r>
      <w:hyperlink w:anchor="SENTENCIA_2007_173" w:history="1">
        <w:r w:rsidRPr="00CA5193">
          <w:rPr>
            <w:rStyle w:val="TextoNormalCaracter"/>
          </w:rPr>
          <w:t>173/2007</w:t>
        </w:r>
      </w:hyperlink>
      <w:r w:rsidRPr="00CA5193">
        <w:rPr>
          <w:rStyle w:val="TextoNormalCaracter"/>
        </w:rPr>
        <w:t>, f. 3.</w:t>
      </w:r>
    </w:p>
    <w:p w:rsidR="00CA5193" w:rsidRPr="00CA5193" w:rsidRDefault="00CA5193" w:rsidP="00CA5193">
      <w:pPr>
        <w:pStyle w:val="TextoNormalSangraFrancesa"/>
        <w:rPr>
          <w:rStyle w:val="TextoNormalCaracter"/>
        </w:rPr>
      </w:pPr>
      <w:bookmarkStart w:id="1159" w:name="DESCRIPTORALFABETICO326"/>
      <w:r w:rsidRPr="00CA5193">
        <w:rPr>
          <w:rStyle w:val="TextoNormalNegritaCaracter"/>
        </w:rPr>
        <w:t>Sindicatos</w:t>
      </w:r>
      <w:bookmarkEnd w:id="1159"/>
      <w:r w:rsidRPr="00CA5193">
        <w:rPr>
          <w:rStyle w:val="TextoNormalCaracter"/>
        </w:rPr>
        <w:t xml:space="preserve">, Sentencia </w:t>
      </w:r>
      <w:hyperlink w:anchor="SENTENCIA_2007_153" w:history="1">
        <w:r w:rsidRPr="00CA5193">
          <w:rPr>
            <w:rStyle w:val="TextoNormalCaracter"/>
          </w:rPr>
          <w:t>153/2007</w:t>
        </w:r>
      </w:hyperlink>
      <w:r w:rsidRPr="00CA5193">
        <w:rPr>
          <w:rStyle w:val="TextoNormalCaracter"/>
        </w:rPr>
        <w:t>, ff. 4 a 7.</w:t>
      </w:r>
    </w:p>
    <w:p w:rsidR="00CA5193" w:rsidRPr="00CA5193" w:rsidRDefault="00CA5193" w:rsidP="00CA5193">
      <w:pPr>
        <w:pStyle w:val="TextoNormalSangraFrancesa"/>
        <w:rPr>
          <w:rStyle w:val="TextoNormalCaracter"/>
        </w:rPr>
      </w:pPr>
      <w:bookmarkStart w:id="1160" w:name="DESCRIPTORALFABETICO426"/>
      <w:r w:rsidRPr="00CA5193">
        <w:rPr>
          <w:rStyle w:val="TextoNormalNegritaCaracter"/>
        </w:rPr>
        <w:t>Sobreseimiento</w:t>
      </w:r>
      <w:bookmarkEnd w:id="1160"/>
      <w:r w:rsidRPr="00CA5193">
        <w:rPr>
          <w:rStyle w:val="TextoNormalCaracter"/>
        </w:rPr>
        <w:t xml:space="preserve">, Auto </w:t>
      </w:r>
      <w:hyperlink w:anchor="AUTO_2007_246" w:history="1">
        <w:r w:rsidRPr="00CA5193">
          <w:rPr>
            <w:rStyle w:val="TextoNormalCaracter"/>
          </w:rPr>
          <w:t>246/2007</w:t>
        </w:r>
      </w:hyperlink>
      <w:r w:rsidRPr="00CA5193">
        <w:rPr>
          <w:rStyle w:val="TextoNormalCaracter"/>
        </w:rPr>
        <w:t>.</w:t>
      </w:r>
    </w:p>
    <w:p w:rsidR="00CA5193" w:rsidRPr="00CA5193" w:rsidRDefault="00CA5193" w:rsidP="00CA5193">
      <w:pPr>
        <w:pStyle w:val="TextoNormalSangraFrancesa"/>
        <w:rPr>
          <w:rStyle w:val="TextoNormalCaracter"/>
        </w:rPr>
      </w:pPr>
      <w:bookmarkStart w:id="1161" w:name="DESCRIPTORALFABETICO427"/>
      <w:r w:rsidRPr="00CA5193">
        <w:rPr>
          <w:rStyle w:val="TextoNormalNegritaCaracter"/>
        </w:rPr>
        <w:t>Sobreseimiento provisional</w:t>
      </w:r>
      <w:bookmarkEnd w:id="1161"/>
      <w:r w:rsidRPr="00CA5193">
        <w:rPr>
          <w:rStyle w:val="TextoNormalCaracter"/>
        </w:rPr>
        <w:t xml:space="preserve">, Auto </w:t>
      </w:r>
      <w:hyperlink w:anchor="AUTO_2007_246" w:history="1">
        <w:r w:rsidRPr="00CA5193">
          <w:rPr>
            <w:rStyle w:val="TextoNormalCaracter"/>
          </w:rPr>
          <w:t>246/2007</w:t>
        </w:r>
      </w:hyperlink>
      <w:r w:rsidRPr="00CA5193">
        <w:rPr>
          <w:rStyle w:val="TextoNormalCaracter"/>
        </w:rPr>
        <w:t>.</w:t>
      </w:r>
    </w:p>
    <w:p w:rsidR="00CA5193" w:rsidRPr="00CA5193" w:rsidRDefault="00CA5193" w:rsidP="00CA5193">
      <w:pPr>
        <w:pStyle w:val="TextoNormalSangraFrancesa"/>
        <w:rPr>
          <w:rStyle w:val="TextoNormalNegritaCaracter"/>
        </w:rPr>
      </w:pPr>
      <w:r w:rsidRPr="00CA5193">
        <w:rPr>
          <w:rStyle w:val="TextoNormalCursivaCaracter"/>
        </w:rPr>
        <w:lastRenderedPageBreak/>
        <w:t>Solicitud de nulidad de actuaciones</w:t>
      </w:r>
      <w:r>
        <w:t xml:space="preserve"> véase </w:t>
      </w:r>
      <w:hyperlink w:anchor="DESCRIPTORALFABETICO389" w:history="1">
        <w:r w:rsidRPr="00CA5193">
          <w:rPr>
            <w:rStyle w:val="TextoNormalNegritaCaracter"/>
          </w:rPr>
          <w:t>Incidente de nulidad de actuaciones</w:t>
        </w:r>
      </w:hyperlink>
    </w:p>
    <w:p w:rsidR="00CA5193" w:rsidRPr="00CA5193" w:rsidRDefault="00CA5193" w:rsidP="00CA5193">
      <w:pPr>
        <w:pStyle w:val="TextoNormalSangraFrancesa"/>
        <w:rPr>
          <w:rStyle w:val="TextoNormalCaracter"/>
        </w:rPr>
      </w:pPr>
      <w:bookmarkStart w:id="1162" w:name="DESCRIPTORALFABETICO476"/>
      <w:r w:rsidRPr="00CA5193">
        <w:rPr>
          <w:rStyle w:val="TextoNormalNegritaCaracter"/>
        </w:rPr>
        <w:t>STC 154/1999</w:t>
      </w:r>
      <w:bookmarkEnd w:id="1162"/>
      <w:r w:rsidRPr="00CA5193">
        <w:rPr>
          <w:rStyle w:val="TextoNormalCaracter"/>
        </w:rPr>
        <w:t xml:space="preserve">, </w:t>
      </w:r>
    </w:p>
    <w:p w:rsidR="00CA5193" w:rsidRPr="00CA5193" w:rsidRDefault="00CA5193" w:rsidP="00CA5193">
      <w:pPr>
        <w:pStyle w:val="TextoNormalSangraFrancesa"/>
        <w:rPr>
          <w:rStyle w:val="TextoNormalCaracter"/>
        </w:rPr>
      </w:pPr>
      <w:r w:rsidRPr="00CA5193">
        <w:rPr>
          <w:rStyle w:val="TextoNormalCursivaCaracter"/>
        </w:rPr>
        <w:t xml:space="preserve">    Distingue, </w:t>
      </w:r>
      <w:r w:rsidRPr="00CA5193">
        <w:rPr>
          <w:rStyle w:val="TextoNormalCaracter"/>
        </w:rPr>
        <w:t xml:space="preserve">Sentencia </w:t>
      </w:r>
      <w:hyperlink w:anchor="SENTENCIA_2007_139" w:history="1">
        <w:r w:rsidRPr="00CA5193">
          <w:rPr>
            <w:rStyle w:val="TextoNormalCaracter"/>
          </w:rPr>
          <w:t>139/2007</w:t>
        </w:r>
      </w:hyperlink>
      <w:r w:rsidRPr="00CA5193">
        <w:rPr>
          <w:rStyle w:val="TextoNormalCaracter"/>
        </w:rPr>
        <w:t>, f. 10.</w:t>
      </w:r>
    </w:p>
    <w:p w:rsidR="00CA5193" w:rsidRPr="00CA5193" w:rsidRDefault="00CA5193" w:rsidP="00CA5193">
      <w:pPr>
        <w:pStyle w:val="TextoNormalSangraFrancesa"/>
        <w:rPr>
          <w:rStyle w:val="TextoNormalCaracter"/>
        </w:rPr>
      </w:pPr>
      <w:bookmarkStart w:id="1163" w:name="DESCRIPTORALFABETICO477"/>
      <w:r w:rsidRPr="00CA5193">
        <w:rPr>
          <w:rStyle w:val="TextoNormalNegritaCaracter"/>
        </w:rPr>
        <w:t>STC 64/2002</w:t>
      </w:r>
      <w:bookmarkEnd w:id="1163"/>
      <w:r w:rsidRPr="00CA5193">
        <w:rPr>
          <w:rStyle w:val="TextoNormalCaracter"/>
        </w:rPr>
        <w:t xml:space="preserve">, </w:t>
      </w:r>
    </w:p>
    <w:p w:rsidR="00CA5193" w:rsidRPr="00CA5193" w:rsidRDefault="00CA5193" w:rsidP="00CA5193">
      <w:pPr>
        <w:pStyle w:val="TextoNormalSangraFrancesa"/>
        <w:rPr>
          <w:rStyle w:val="TextoNormalCaracter"/>
        </w:rPr>
      </w:pPr>
      <w:r w:rsidRPr="00CA5193">
        <w:rPr>
          <w:rStyle w:val="TextoNormalCursivaCaracter"/>
        </w:rPr>
        <w:t xml:space="preserve">    Distingue, </w:t>
      </w:r>
      <w:r w:rsidRPr="00CA5193">
        <w:rPr>
          <w:rStyle w:val="TextoNormalCaracter"/>
        </w:rPr>
        <w:t xml:space="preserve">Auto </w:t>
      </w:r>
      <w:hyperlink w:anchor="AUTO_2007_262" w:history="1">
        <w:r w:rsidRPr="00CA5193">
          <w:rPr>
            <w:rStyle w:val="TextoNormalCaracter"/>
          </w:rPr>
          <w:t>262/2007</w:t>
        </w:r>
      </w:hyperlink>
      <w:r w:rsidRPr="00CA5193">
        <w:rPr>
          <w:rStyle w:val="TextoNormalCaracter"/>
        </w:rPr>
        <w:t>.</w:t>
      </w:r>
    </w:p>
    <w:p w:rsidR="00CA5193" w:rsidRPr="00CA5193" w:rsidRDefault="00CA5193" w:rsidP="00CA5193">
      <w:pPr>
        <w:pStyle w:val="TextoNormalSangraFrancesa"/>
        <w:rPr>
          <w:rStyle w:val="TextoNormalCaracter"/>
        </w:rPr>
      </w:pPr>
      <w:bookmarkStart w:id="1164" w:name="DESCRIPTORALFABETICO478"/>
      <w:r w:rsidRPr="00CA5193">
        <w:rPr>
          <w:rStyle w:val="TextoNormalNegritaCaracter"/>
        </w:rPr>
        <w:t>STC 72/2002</w:t>
      </w:r>
      <w:bookmarkEnd w:id="1164"/>
      <w:r w:rsidRPr="00CA5193">
        <w:rPr>
          <w:rStyle w:val="TextoNormalCaracter"/>
        </w:rPr>
        <w:t xml:space="preserve">, </w:t>
      </w:r>
    </w:p>
    <w:p w:rsidR="00CA5193" w:rsidRPr="00CA5193" w:rsidRDefault="00CA5193" w:rsidP="00CA5193">
      <w:pPr>
        <w:pStyle w:val="TextoNormalSangraFrancesa"/>
        <w:rPr>
          <w:rStyle w:val="TextoNormalCaracter"/>
        </w:rPr>
      </w:pPr>
      <w:r w:rsidRPr="00CA5193">
        <w:rPr>
          <w:rStyle w:val="TextoNormalCursivaCaracter"/>
        </w:rPr>
        <w:t xml:space="preserve">    Distingue, </w:t>
      </w:r>
      <w:r w:rsidRPr="00CA5193">
        <w:rPr>
          <w:rStyle w:val="TextoNormalCaracter"/>
        </w:rPr>
        <w:t xml:space="preserve">Sentencia </w:t>
      </w:r>
      <w:hyperlink w:anchor="SENTENCIA_2007_131" w:history="1">
        <w:r w:rsidRPr="00CA5193">
          <w:rPr>
            <w:rStyle w:val="TextoNormalCaracter"/>
          </w:rPr>
          <w:t>131/2007</w:t>
        </w:r>
      </w:hyperlink>
      <w:r w:rsidRPr="00CA5193">
        <w:rPr>
          <w:rStyle w:val="TextoNormalCaracter"/>
        </w:rPr>
        <w:t>, f. 4.</w:t>
      </w:r>
    </w:p>
    <w:p w:rsidR="00CA5193" w:rsidRPr="00CA5193" w:rsidRDefault="00CA5193" w:rsidP="00CA5193">
      <w:pPr>
        <w:pStyle w:val="TextoNormalSangraFrancesa"/>
        <w:rPr>
          <w:rStyle w:val="TextoNormalCaracter"/>
        </w:rPr>
      </w:pPr>
      <w:bookmarkStart w:id="1165" w:name="DESCRIPTORALFABETICO359"/>
      <w:r w:rsidRPr="00CA5193">
        <w:rPr>
          <w:rStyle w:val="TextoNormalNegritaCaracter"/>
        </w:rPr>
        <w:t>Subasta de bienes embargados</w:t>
      </w:r>
      <w:bookmarkEnd w:id="1165"/>
      <w:r w:rsidRPr="00CA5193">
        <w:rPr>
          <w:rStyle w:val="TextoNormalCaracter"/>
        </w:rPr>
        <w:t xml:space="preserve">, Auto </w:t>
      </w:r>
      <w:hyperlink w:anchor="AUTO_2007_348" w:history="1">
        <w:r w:rsidRPr="00CA5193">
          <w:rPr>
            <w:rStyle w:val="TextoNormalCaracter"/>
          </w:rPr>
          <w:t>348/2007</w:t>
        </w:r>
      </w:hyperlink>
      <w:r w:rsidRPr="00CA5193">
        <w:rPr>
          <w:rStyle w:val="TextoNormalCaracter"/>
        </w:rPr>
        <w:t>.</w:t>
      </w:r>
    </w:p>
    <w:p w:rsidR="00CA5193" w:rsidRPr="00CA5193" w:rsidRDefault="00CA5193" w:rsidP="00CA5193">
      <w:pPr>
        <w:pStyle w:val="TextoNormalSangraFrancesa"/>
        <w:rPr>
          <w:rStyle w:val="TextoNormalNegritaCaracter"/>
        </w:rPr>
      </w:pPr>
      <w:r w:rsidRPr="00CA5193">
        <w:rPr>
          <w:rStyle w:val="TextoNormalCursivaCaracter"/>
        </w:rPr>
        <w:t>Subsanabilidad de infracciones procesales</w:t>
      </w:r>
      <w:r>
        <w:t xml:space="preserve"> véase </w:t>
      </w:r>
      <w:hyperlink w:anchor="DESCRIPTORALFABETICO355" w:history="1">
        <w:r w:rsidRPr="00CA5193">
          <w:rPr>
            <w:rStyle w:val="TextoNormalNegritaCaracter"/>
          </w:rPr>
          <w:t>Subsanación de defectos procesales</w:t>
        </w:r>
      </w:hyperlink>
    </w:p>
    <w:p w:rsidR="00CA5193" w:rsidRPr="00CA5193" w:rsidRDefault="00CA5193" w:rsidP="00CA5193">
      <w:pPr>
        <w:pStyle w:val="TextoNormalSangraFrancesa"/>
        <w:rPr>
          <w:rStyle w:val="TextoNormalCaracter"/>
        </w:rPr>
      </w:pPr>
      <w:bookmarkStart w:id="1166" w:name="DESCRIPTORALFABETICO355"/>
      <w:r w:rsidRPr="00CA5193">
        <w:rPr>
          <w:rStyle w:val="TextoNormalNegritaCaracter"/>
        </w:rPr>
        <w:t>Subsanación de defectos procesales</w:t>
      </w:r>
      <w:bookmarkEnd w:id="1166"/>
      <w:r w:rsidRPr="00CA5193">
        <w:rPr>
          <w:rStyle w:val="TextoNormalCaracter"/>
        </w:rPr>
        <w:t xml:space="preserve">, Sentencias </w:t>
      </w:r>
      <w:hyperlink w:anchor="SENTENCIA_2007_119" w:history="1">
        <w:r w:rsidRPr="00CA5193">
          <w:rPr>
            <w:rStyle w:val="TextoNormalCaracter"/>
          </w:rPr>
          <w:t>119/2007</w:t>
        </w:r>
      </w:hyperlink>
      <w:r w:rsidRPr="00CA5193">
        <w:rPr>
          <w:rStyle w:val="TextoNormalCaracter"/>
        </w:rPr>
        <w:t xml:space="preserve">, ff. 1, 2, 3, 4, 5, 6, 7; </w:t>
      </w:r>
      <w:hyperlink w:anchor="SENTENCIA_2007_172" w:history="1">
        <w:r w:rsidRPr="00CA5193">
          <w:rPr>
            <w:rStyle w:val="TextoNormalCaracter"/>
          </w:rPr>
          <w:t>172/2007</w:t>
        </w:r>
      </w:hyperlink>
      <w:r w:rsidRPr="00CA5193">
        <w:rPr>
          <w:rStyle w:val="TextoNormalCaracter"/>
        </w:rPr>
        <w:t>, ff. 2, 4.</w:t>
      </w:r>
    </w:p>
    <w:p w:rsidR="00CA5193" w:rsidRPr="00CA5193" w:rsidRDefault="00CA5193" w:rsidP="00CA5193">
      <w:pPr>
        <w:pStyle w:val="TextoNormalSangraFrancesa"/>
        <w:rPr>
          <w:rStyle w:val="TextoNormalCaracter"/>
        </w:rPr>
      </w:pPr>
      <w:bookmarkStart w:id="1167" w:name="DESCRIPTORALFABETICO17"/>
      <w:r w:rsidRPr="00CA5193">
        <w:rPr>
          <w:rStyle w:val="TextoNormalNegritaCaracter"/>
        </w:rPr>
        <w:t>Subsanación de irregularidades en las candidaturas electorales</w:t>
      </w:r>
      <w:bookmarkEnd w:id="1167"/>
      <w:r w:rsidRPr="00CA5193">
        <w:rPr>
          <w:rStyle w:val="TextoNormalCaracter"/>
        </w:rPr>
        <w:t xml:space="preserve">, Sentencias </w:t>
      </w:r>
      <w:hyperlink w:anchor="SENTENCIA_2007_96" w:history="1">
        <w:r w:rsidRPr="00CA5193">
          <w:rPr>
            <w:rStyle w:val="TextoNormalCaracter"/>
          </w:rPr>
          <w:t>96/2007</w:t>
        </w:r>
      </w:hyperlink>
      <w:r w:rsidRPr="00CA5193">
        <w:rPr>
          <w:rStyle w:val="TextoNormalCaracter"/>
        </w:rPr>
        <w:t xml:space="preserve">, ff. 4 a 6; </w:t>
      </w:r>
      <w:hyperlink w:anchor="SENTENCIA_2007_97" w:history="1">
        <w:r w:rsidRPr="00CA5193">
          <w:rPr>
            <w:rStyle w:val="TextoNormalCaracter"/>
          </w:rPr>
          <w:t>97/2007</w:t>
        </w:r>
      </w:hyperlink>
      <w:r w:rsidRPr="00CA5193">
        <w:rPr>
          <w:rStyle w:val="TextoNormalCaracter"/>
        </w:rPr>
        <w:t xml:space="preserve">, ff. 4, 5; </w:t>
      </w:r>
      <w:hyperlink w:anchor="SENTENCIA_2007_99" w:history="1">
        <w:r w:rsidRPr="00CA5193">
          <w:rPr>
            <w:rStyle w:val="TextoNormalCaracter"/>
          </w:rPr>
          <w:t>99/2007</w:t>
        </w:r>
      </w:hyperlink>
      <w:r w:rsidRPr="00CA5193">
        <w:rPr>
          <w:rStyle w:val="TextoNormalCaracter"/>
        </w:rPr>
        <w:t xml:space="preserve">, ff. 4 a 6; </w:t>
      </w:r>
      <w:hyperlink w:anchor="SENTENCIA_2007_100" w:history="1">
        <w:r w:rsidRPr="00CA5193">
          <w:rPr>
            <w:rStyle w:val="TextoNormalCaracter"/>
          </w:rPr>
          <w:t>100/2007</w:t>
        </w:r>
      </w:hyperlink>
      <w:r w:rsidRPr="00CA5193">
        <w:rPr>
          <w:rStyle w:val="TextoNormalCaracter"/>
        </w:rPr>
        <w:t xml:space="preserve">, ff. 3, 4; </w:t>
      </w:r>
      <w:hyperlink w:anchor="SENTENCIA_2007_101" w:history="1">
        <w:r w:rsidRPr="00CA5193">
          <w:rPr>
            <w:rStyle w:val="TextoNormalCaracter"/>
          </w:rPr>
          <w:t>101/2007</w:t>
        </w:r>
      </w:hyperlink>
      <w:r w:rsidRPr="00CA5193">
        <w:rPr>
          <w:rStyle w:val="TextoNormalCaracter"/>
        </w:rPr>
        <w:t xml:space="preserve">, ff. 2 a 4; </w:t>
      </w:r>
      <w:hyperlink w:anchor="SENTENCIA_2007_102" w:history="1">
        <w:r w:rsidRPr="00CA5193">
          <w:rPr>
            <w:rStyle w:val="TextoNormalCaracter"/>
          </w:rPr>
          <w:t>102/2007</w:t>
        </w:r>
      </w:hyperlink>
      <w:r w:rsidRPr="00CA5193">
        <w:rPr>
          <w:rStyle w:val="TextoNormalCaracter"/>
        </w:rPr>
        <w:t xml:space="preserve">, ff. 3, 4; </w:t>
      </w:r>
      <w:hyperlink w:anchor="SENTENCIA_2007_104" w:history="1">
        <w:r w:rsidRPr="00CA5193">
          <w:rPr>
            <w:rStyle w:val="TextoNormalCaracter"/>
          </w:rPr>
          <w:t>104/2007</w:t>
        </w:r>
      </w:hyperlink>
      <w:r w:rsidRPr="00CA5193">
        <w:rPr>
          <w:rStyle w:val="TextoNormalCaracter"/>
        </w:rPr>
        <w:t xml:space="preserve">, ff. 4, 5; </w:t>
      </w:r>
      <w:hyperlink w:anchor="SENTENCIA_2007_105" w:history="1">
        <w:r w:rsidRPr="00CA5193">
          <w:rPr>
            <w:rStyle w:val="TextoNormalCaracter"/>
          </w:rPr>
          <w:t>105/2007</w:t>
        </w:r>
      </w:hyperlink>
      <w:r w:rsidRPr="00CA5193">
        <w:rPr>
          <w:rStyle w:val="TextoNormalCaracter"/>
        </w:rPr>
        <w:t xml:space="preserve">, f. 3; </w:t>
      </w:r>
      <w:hyperlink w:anchor="SENTENCIA_2007_108" w:history="1">
        <w:r w:rsidRPr="00CA5193">
          <w:rPr>
            <w:rStyle w:val="TextoNormalCaracter"/>
          </w:rPr>
          <w:t>108/2007</w:t>
        </w:r>
      </w:hyperlink>
      <w:r w:rsidRPr="00CA5193">
        <w:rPr>
          <w:rStyle w:val="TextoNormalCaracter"/>
        </w:rPr>
        <w:t xml:space="preserve">, ff. 4, 5; </w:t>
      </w:r>
      <w:hyperlink w:anchor="SENTENCIA_2007_109" w:history="1">
        <w:r w:rsidRPr="00CA5193">
          <w:rPr>
            <w:rStyle w:val="TextoNormalCaracter"/>
          </w:rPr>
          <w:t>109/2007</w:t>
        </w:r>
      </w:hyperlink>
      <w:r w:rsidRPr="00CA5193">
        <w:rPr>
          <w:rStyle w:val="TextoNormalCaracter"/>
        </w:rPr>
        <w:t xml:space="preserve">, f. 3; </w:t>
      </w:r>
      <w:hyperlink w:anchor="SENTENCIA_2007_111" w:history="1">
        <w:r w:rsidRPr="00CA5193">
          <w:rPr>
            <w:rStyle w:val="TextoNormalCaracter"/>
          </w:rPr>
          <w:t>111/2007</w:t>
        </w:r>
      </w:hyperlink>
      <w:r w:rsidRPr="00CA5193">
        <w:rPr>
          <w:rStyle w:val="TextoNormalCaracter"/>
        </w:rPr>
        <w:t>, f. 3.</w:t>
      </w:r>
    </w:p>
    <w:p w:rsidR="00CA5193" w:rsidRPr="00CA5193" w:rsidRDefault="00CA5193" w:rsidP="00CA5193">
      <w:pPr>
        <w:pStyle w:val="TextoNormalSangraFrancesa"/>
        <w:rPr>
          <w:rStyle w:val="TextoNormalCaracter"/>
        </w:rPr>
      </w:pPr>
      <w:bookmarkStart w:id="1168" w:name="DESCRIPTORALFABETICO95"/>
      <w:r w:rsidRPr="00CA5193">
        <w:rPr>
          <w:rStyle w:val="TextoNormalNegritaCaracter"/>
        </w:rPr>
        <w:t>Sufragio pasivo</w:t>
      </w:r>
      <w:bookmarkEnd w:id="1168"/>
      <w:r w:rsidRPr="00CA5193">
        <w:rPr>
          <w:rStyle w:val="TextoNormalCaracter"/>
        </w:rPr>
        <w:t xml:space="preserve">, Sentencias </w:t>
      </w:r>
      <w:hyperlink w:anchor="SENTENCIA_2007_96" w:history="1">
        <w:r w:rsidRPr="00CA5193">
          <w:rPr>
            <w:rStyle w:val="TextoNormalCaracter"/>
          </w:rPr>
          <w:t>96/2007</w:t>
        </w:r>
      </w:hyperlink>
      <w:r w:rsidRPr="00CA5193">
        <w:rPr>
          <w:rStyle w:val="TextoNormalCaracter"/>
        </w:rPr>
        <w:t xml:space="preserve">, ff. 2, 4, 6; </w:t>
      </w:r>
      <w:hyperlink w:anchor="SENTENCIA_2007_97" w:history="1">
        <w:r w:rsidRPr="00CA5193">
          <w:rPr>
            <w:rStyle w:val="TextoNormalCaracter"/>
          </w:rPr>
          <w:t>97/2007</w:t>
        </w:r>
      </w:hyperlink>
      <w:r w:rsidRPr="00CA5193">
        <w:rPr>
          <w:rStyle w:val="TextoNormalCaracter"/>
        </w:rPr>
        <w:t xml:space="preserve">, f. 4; </w:t>
      </w:r>
      <w:hyperlink w:anchor="SENTENCIA_2007_99" w:history="1">
        <w:r w:rsidRPr="00CA5193">
          <w:rPr>
            <w:rStyle w:val="TextoNormalCaracter"/>
          </w:rPr>
          <w:t>99/2007</w:t>
        </w:r>
      </w:hyperlink>
      <w:r w:rsidRPr="00CA5193">
        <w:rPr>
          <w:rStyle w:val="TextoNormalCaracter"/>
        </w:rPr>
        <w:t xml:space="preserve">, ff. 2, 4, 6; </w:t>
      </w:r>
      <w:hyperlink w:anchor="SENTENCIA_2007_101" w:history="1">
        <w:r w:rsidRPr="00CA5193">
          <w:rPr>
            <w:rStyle w:val="TextoNormalCaracter"/>
          </w:rPr>
          <w:t>101/2007</w:t>
        </w:r>
      </w:hyperlink>
      <w:r w:rsidRPr="00CA5193">
        <w:rPr>
          <w:rStyle w:val="TextoNormalCaracter"/>
        </w:rPr>
        <w:t xml:space="preserve">, ff. 2 a 4; </w:t>
      </w:r>
      <w:hyperlink w:anchor="SENTENCIA_2007_102" w:history="1">
        <w:r w:rsidRPr="00CA5193">
          <w:rPr>
            <w:rStyle w:val="TextoNormalCaracter"/>
          </w:rPr>
          <w:t>102/2007</w:t>
        </w:r>
      </w:hyperlink>
      <w:r w:rsidRPr="00CA5193">
        <w:rPr>
          <w:rStyle w:val="TextoNormalCaracter"/>
        </w:rPr>
        <w:t xml:space="preserve">, ff. 3, 4; </w:t>
      </w:r>
      <w:hyperlink w:anchor="SENTENCIA_2007_104" w:history="1">
        <w:r w:rsidRPr="00CA5193">
          <w:rPr>
            <w:rStyle w:val="TextoNormalCaracter"/>
          </w:rPr>
          <w:t>104/2007</w:t>
        </w:r>
      </w:hyperlink>
      <w:r w:rsidRPr="00CA5193">
        <w:rPr>
          <w:rStyle w:val="TextoNormalCaracter"/>
        </w:rPr>
        <w:t xml:space="preserve">, ff. 2, 3, 5; </w:t>
      </w:r>
      <w:hyperlink w:anchor="SENTENCIA_2007_105" w:history="1">
        <w:r w:rsidRPr="00CA5193">
          <w:rPr>
            <w:rStyle w:val="TextoNormalCaracter"/>
          </w:rPr>
          <w:t>105/2007</w:t>
        </w:r>
      </w:hyperlink>
      <w:r w:rsidRPr="00CA5193">
        <w:rPr>
          <w:rStyle w:val="TextoNormalCaracter"/>
        </w:rPr>
        <w:t xml:space="preserve">, f. 4; </w:t>
      </w:r>
      <w:hyperlink w:anchor="SENTENCIA_2007_108" w:history="1">
        <w:r w:rsidRPr="00CA5193">
          <w:rPr>
            <w:rStyle w:val="TextoNormalCaracter"/>
          </w:rPr>
          <w:t>108/2007</w:t>
        </w:r>
      </w:hyperlink>
      <w:r w:rsidRPr="00CA5193">
        <w:rPr>
          <w:rStyle w:val="TextoNormalCaracter"/>
        </w:rPr>
        <w:t xml:space="preserve">, ff. 4, 5; </w:t>
      </w:r>
      <w:hyperlink w:anchor="SENTENCIA_2007_109" w:history="1">
        <w:r w:rsidRPr="00CA5193">
          <w:rPr>
            <w:rStyle w:val="TextoNormalCaracter"/>
          </w:rPr>
          <w:t>109/2007</w:t>
        </w:r>
      </w:hyperlink>
      <w:r w:rsidRPr="00CA5193">
        <w:rPr>
          <w:rStyle w:val="TextoNormalCaracter"/>
        </w:rPr>
        <w:t xml:space="preserve">, f. 3; </w:t>
      </w:r>
      <w:hyperlink w:anchor="SENTENCIA_2007_110" w:history="1">
        <w:r w:rsidRPr="00CA5193">
          <w:rPr>
            <w:rStyle w:val="TextoNormalCaracter"/>
          </w:rPr>
          <w:t>110/2007</w:t>
        </w:r>
      </w:hyperlink>
      <w:r w:rsidRPr="00CA5193">
        <w:rPr>
          <w:rStyle w:val="TextoNormalCaracter"/>
        </w:rPr>
        <w:t xml:space="preserve">, f. 11; </w:t>
      </w:r>
      <w:hyperlink w:anchor="SENTENCIA_2007_111" w:history="1">
        <w:r w:rsidRPr="00CA5193">
          <w:rPr>
            <w:rStyle w:val="TextoNormalCaracter"/>
          </w:rPr>
          <w:t>111/2007</w:t>
        </w:r>
      </w:hyperlink>
      <w:r w:rsidRPr="00CA5193">
        <w:rPr>
          <w:rStyle w:val="TextoNormalCaracter"/>
        </w:rPr>
        <w:t xml:space="preserve">, f. 3; </w:t>
      </w:r>
      <w:hyperlink w:anchor="SENTENCIA_2007_127" w:history="1">
        <w:r w:rsidRPr="00CA5193">
          <w:rPr>
            <w:rStyle w:val="TextoNormalCaracter"/>
          </w:rPr>
          <w:t>127/2007</w:t>
        </w:r>
      </w:hyperlink>
      <w:r w:rsidRPr="00CA5193">
        <w:rPr>
          <w:rStyle w:val="TextoNormalCaracter"/>
        </w:rPr>
        <w:t xml:space="preserve">, f. 4; </w:t>
      </w:r>
      <w:hyperlink w:anchor="SENTENCIA_2007_167" w:history="1">
        <w:r w:rsidRPr="00CA5193">
          <w:rPr>
            <w:rStyle w:val="TextoNormalCaracter"/>
          </w:rPr>
          <w:t>167/2007</w:t>
        </w:r>
      </w:hyperlink>
      <w:r w:rsidRPr="00CA5193">
        <w:rPr>
          <w:rStyle w:val="TextoNormalCaracter"/>
        </w:rPr>
        <w:t xml:space="preserve">, f. 6; </w:t>
      </w:r>
      <w:hyperlink w:anchor="SENTENCIA_2007_168" w:history="1">
        <w:r w:rsidRPr="00CA5193">
          <w:rPr>
            <w:rStyle w:val="TextoNormalCaracter"/>
          </w:rPr>
          <w:t>168/2007</w:t>
        </w:r>
      </w:hyperlink>
      <w:r w:rsidRPr="00CA5193">
        <w:rPr>
          <w:rStyle w:val="TextoNormalCaracter"/>
        </w:rPr>
        <w:t xml:space="preserve">, f. 5; </w:t>
      </w:r>
      <w:hyperlink w:anchor="SENTENCIA_2007_169" w:history="1">
        <w:r w:rsidRPr="00CA5193">
          <w:rPr>
            <w:rStyle w:val="TextoNormalCaracter"/>
          </w:rPr>
          <w:t>169/2007</w:t>
        </w:r>
      </w:hyperlink>
      <w:r w:rsidRPr="00CA5193">
        <w:rPr>
          <w:rStyle w:val="TextoNormalCaracter"/>
        </w:rPr>
        <w:t xml:space="preserve">, f. 6; </w:t>
      </w:r>
      <w:hyperlink w:anchor="SENTENCIA_2007_170" w:history="1">
        <w:r w:rsidRPr="00CA5193">
          <w:rPr>
            <w:rStyle w:val="TextoNormalCaracter"/>
          </w:rPr>
          <w:t>170/2007</w:t>
        </w:r>
      </w:hyperlink>
      <w:r w:rsidRPr="00CA5193">
        <w:rPr>
          <w:rStyle w:val="TextoNormalCaracter"/>
        </w:rPr>
        <w:t>, f. 5.</w:t>
      </w:r>
    </w:p>
    <w:p w:rsidR="00CA5193" w:rsidRPr="00CA5193" w:rsidRDefault="00CA5193" w:rsidP="00CA5193">
      <w:pPr>
        <w:pStyle w:val="TextoNormalSangraFrancesa"/>
        <w:rPr>
          <w:rStyle w:val="TextoNormalCaracter"/>
        </w:rPr>
      </w:pPr>
      <w:bookmarkStart w:id="1169" w:name="DESCRIPTORALFABETICO122"/>
      <w:r w:rsidRPr="00CA5193">
        <w:rPr>
          <w:rStyle w:val="TextoNormalNegritaCaracter"/>
        </w:rPr>
        <w:t>Suspensión cautelar de resoluciones civiles</w:t>
      </w:r>
      <w:bookmarkEnd w:id="1169"/>
      <w:r w:rsidRPr="00CA5193">
        <w:rPr>
          <w:rStyle w:val="TextoNormalCaracter"/>
        </w:rPr>
        <w:t xml:space="preserve">, </w:t>
      </w:r>
    </w:p>
    <w:p w:rsidR="00CA5193" w:rsidRPr="00CA5193" w:rsidRDefault="00CA5193" w:rsidP="00CA5193">
      <w:pPr>
        <w:pStyle w:val="TextoNormalSangraFrancesa"/>
        <w:rPr>
          <w:rStyle w:val="TextoNormalCaracter"/>
        </w:rPr>
      </w:pPr>
      <w:r w:rsidRPr="00CA5193">
        <w:rPr>
          <w:rStyle w:val="TextoNormalCursivaCaracter"/>
        </w:rPr>
        <w:t xml:space="preserve">    No suspende, </w:t>
      </w:r>
      <w:r w:rsidRPr="00CA5193">
        <w:rPr>
          <w:rStyle w:val="TextoNormalCaracter"/>
        </w:rPr>
        <w:t xml:space="preserve">Auto </w:t>
      </w:r>
      <w:hyperlink w:anchor="AUTO_2007_233" w:history="1">
        <w:r w:rsidRPr="00CA5193">
          <w:rPr>
            <w:rStyle w:val="TextoNormalCaracter"/>
          </w:rPr>
          <w:t>233/2007</w:t>
        </w:r>
      </w:hyperlink>
      <w:r w:rsidRPr="00CA5193">
        <w:rPr>
          <w:rStyle w:val="TextoNormalCaracter"/>
        </w:rPr>
        <w:t>.</w:t>
      </w:r>
    </w:p>
    <w:p w:rsidR="00CA5193" w:rsidRPr="00CA5193" w:rsidRDefault="00CA5193" w:rsidP="00CA5193">
      <w:pPr>
        <w:pStyle w:val="TextoNormalSangraFrancesa"/>
        <w:rPr>
          <w:rStyle w:val="TextoNormalCaracter"/>
        </w:rPr>
      </w:pPr>
      <w:r w:rsidRPr="00CA5193">
        <w:rPr>
          <w:rStyle w:val="TextoNormalCursivaCaracter"/>
        </w:rPr>
        <w:t xml:space="preserve">    Suspende, </w:t>
      </w:r>
      <w:r w:rsidRPr="00CA5193">
        <w:rPr>
          <w:rStyle w:val="TextoNormalCaracter"/>
        </w:rPr>
        <w:t xml:space="preserve">Auto </w:t>
      </w:r>
      <w:hyperlink w:anchor="AUTO_2007_348" w:history="1">
        <w:r w:rsidRPr="00CA5193">
          <w:rPr>
            <w:rStyle w:val="TextoNormalCaracter"/>
          </w:rPr>
          <w:t>348/2007</w:t>
        </w:r>
      </w:hyperlink>
      <w:r w:rsidRPr="00CA5193">
        <w:rPr>
          <w:rStyle w:val="TextoNormalCaracter"/>
        </w:rPr>
        <w:t>.</w:t>
      </w:r>
    </w:p>
    <w:p w:rsidR="00CA5193" w:rsidRPr="00CA5193" w:rsidRDefault="00CA5193" w:rsidP="00CA5193">
      <w:pPr>
        <w:pStyle w:val="TextoNormalSangraFrancesa"/>
        <w:rPr>
          <w:rStyle w:val="TextoNormalCaracter"/>
        </w:rPr>
      </w:pPr>
      <w:bookmarkStart w:id="1170" w:name="DESCRIPTORALFABETICO124"/>
      <w:r w:rsidRPr="00CA5193">
        <w:rPr>
          <w:rStyle w:val="TextoNormalNegritaCaracter"/>
        </w:rPr>
        <w:t>Suspensión cautelar de resoluciones contencioso-administrativas</w:t>
      </w:r>
      <w:bookmarkEnd w:id="1170"/>
      <w:r w:rsidRPr="00CA5193">
        <w:rPr>
          <w:rStyle w:val="TextoNormalCaracter"/>
        </w:rPr>
        <w:t xml:space="preserve">, </w:t>
      </w:r>
    </w:p>
    <w:p w:rsidR="00CA5193" w:rsidRPr="00CA5193" w:rsidRDefault="00CA5193" w:rsidP="00CA5193">
      <w:pPr>
        <w:pStyle w:val="TextoNormalSangraFrancesa"/>
        <w:rPr>
          <w:rStyle w:val="TextoNormalCaracter"/>
        </w:rPr>
      </w:pPr>
      <w:r w:rsidRPr="00CA5193">
        <w:rPr>
          <w:rStyle w:val="TextoNormalCursivaCaracter"/>
        </w:rPr>
        <w:t xml:space="preserve">    No suspende, </w:t>
      </w:r>
      <w:r w:rsidRPr="00CA5193">
        <w:rPr>
          <w:rStyle w:val="TextoNormalCaracter"/>
        </w:rPr>
        <w:t xml:space="preserve">Auto </w:t>
      </w:r>
      <w:hyperlink w:anchor="AUTO_2007_335" w:history="1">
        <w:r w:rsidRPr="00CA5193">
          <w:rPr>
            <w:rStyle w:val="TextoNormalCaracter"/>
          </w:rPr>
          <w:t>335/2007</w:t>
        </w:r>
      </w:hyperlink>
      <w:r w:rsidRPr="00CA5193">
        <w:rPr>
          <w:rStyle w:val="TextoNormalCaracter"/>
        </w:rPr>
        <w:t>.</w:t>
      </w:r>
    </w:p>
    <w:p w:rsidR="00CA5193" w:rsidRPr="00CA5193" w:rsidRDefault="00CA5193" w:rsidP="00CA5193">
      <w:pPr>
        <w:pStyle w:val="TextoNormalSangraFrancesa"/>
        <w:rPr>
          <w:rStyle w:val="TextoNormalCaracter"/>
        </w:rPr>
      </w:pPr>
      <w:bookmarkStart w:id="1171" w:name="DESCRIPTORALFABETICO127"/>
      <w:r w:rsidRPr="00CA5193">
        <w:rPr>
          <w:rStyle w:val="TextoNormalNegritaCaracter"/>
        </w:rPr>
        <w:t>Suspensión cautelar de resoluciones penales</w:t>
      </w:r>
      <w:bookmarkEnd w:id="1171"/>
      <w:r w:rsidRPr="00CA5193">
        <w:rPr>
          <w:rStyle w:val="TextoNormalCaracter"/>
        </w:rPr>
        <w:t xml:space="preserve">, Auto </w:t>
      </w:r>
      <w:hyperlink w:anchor="AUTO_2007_284" w:history="1">
        <w:r w:rsidRPr="00CA5193">
          <w:rPr>
            <w:rStyle w:val="TextoNormalCaracter"/>
          </w:rPr>
          <w:t>284/2007</w:t>
        </w:r>
      </w:hyperlink>
      <w:r w:rsidRPr="00CA5193">
        <w:rPr>
          <w:rStyle w:val="TextoNormalCaracter"/>
        </w:rPr>
        <w:t>.</w:t>
      </w:r>
    </w:p>
    <w:p w:rsidR="00CA5193" w:rsidRPr="00CA5193" w:rsidRDefault="00CA5193" w:rsidP="00CA5193">
      <w:pPr>
        <w:pStyle w:val="TextoNormalSangraFrancesa"/>
        <w:rPr>
          <w:rStyle w:val="TextoNormalCaracter"/>
        </w:rPr>
      </w:pPr>
      <w:r w:rsidRPr="00CA5193">
        <w:rPr>
          <w:rStyle w:val="TextoNormalCursivaCaracter"/>
        </w:rPr>
        <w:t xml:space="preserve">    Doctrina constitucional, </w:t>
      </w:r>
      <w:r w:rsidRPr="00CA5193">
        <w:rPr>
          <w:rStyle w:val="TextoNormalCaracter"/>
        </w:rPr>
        <w:t xml:space="preserve">Auto </w:t>
      </w:r>
      <w:hyperlink w:anchor="AUTO_2007_287" w:history="1">
        <w:r w:rsidRPr="00CA5193">
          <w:rPr>
            <w:rStyle w:val="TextoNormalCaracter"/>
          </w:rPr>
          <w:t>287/2007</w:t>
        </w:r>
      </w:hyperlink>
      <w:r w:rsidRPr="00CA5193">
        <w:rPr>
          <w:rStyle w:val="TextoNormalCaracter"/>
        </w:rPr>
        <w:t>.</w:t>
      </w:r>
    </w:p>
    <w:p w:rsidR="00CA5193" w:rsidRPr="00CA5193" w:rsidRDefault="00CA5193" w:rsidP="00CA5193">
      <w:pPr>
        <w:pStyle w:val="TextoNormalSangraFrancesa"/>
        <w:rPr>
          <w:rStyle w:val="TextoNormalCaracter"/>
        </w:rPr>
      </w:pPr>
      <w:r w:rsidRPr="00CA5193">
        <w:rPr>
          <w:rStyle w:val="TextoNormalCursivaCaracter"/>
        </w:rPr>
        <w:t xml:space="preserve">    No suspende, </w:t>
      </w:r>
      <w:r w:rsidRPr="00CA5193">
        <w:rPr>
          <w:rStyle w:val="TextoNormalCaracter"/>
        </w:rPr>
        <w:t xml:space="preserve">Auto </w:t>
      </w:r>
      <w:hyperlink w:anchor="AUTO_2007_287" w:history="1">
        <w:r w:rsidRPr="00CA5193">
          <w:rPr>
            <w:rStyle w:val="TextoNormalCaracter"/>
          </w:rPr>
          <w:t>287/2007</w:t>
        </w:r>
      </w:hyperlink>
      <w:r w:rsidRPr="00CA5193">
        <w:rPr>
          <w:rStyle w:val="TextoNormalCaracter"/>
        </w:rPr>
        <w:t>.</w:t>
      </w:r>
    </w:p>
    <w:p w:rsidR="00CA5193" w:rsidRPr="00CA5193" w:rsidRDefault="00CA5193" w:rsidP="00CA5193">
      <w:pPr>
        <w:pStyle w:val="TextoNormalSangraFrancesa"/>
        <w:rPr>
          <w:rStyle w:val="TextoNormalCaracter"/>
        </w:rPr>
      </w:pPr>
      <w:r w:rsidRPr="00CA5193">
        <w:rPr>
          <w:rStyle w:val="TextoNormalCursivaCaracter"/>
        </w:rPr>
        <w:t xml:space="preserve">    Suspende, </w:t>
      </w:r>
      <w:r w:rsidRPr="00CA5193">
        <w:rPr>
          <w:rStyle w:val="TextoNormalCaracter"/>
        </w:rPr>
        <w:t xml:space="preserve">Autos </w:t>
      </w:r>
      <w:hyperlink w:anchor="AUTO_2007_314" w:history="1">
        <w:r w:rsidRPr="00CA5193">
          <w:rPr>
            <w:rStyle w:val="TextoNormalCaracter"/>
          </w:rPr>
          <w:t>314/2007</w:t>
        </w:r>
      </w:hyperlink>
      <w:r w:rsidRPr="00CA5193">
        <w:rPr>
          <w:rStyle w:val="TextoNormalCaracter"/>
        </w:rPr>
        <w:t xml:space="preserve">; </w:t>
      </w:r>
      <w:hyperlink w:anchor="AUTO_2007_345" w:history="1">
        <w:r w:rsidRPr="00CA5193">
          <w:rPr>
            <w:rStyle w:val="TextoNormalCaracter"/>
          </w:rPr>
          <w:t>345/2007</w:t>
        </w:r>
      </w:hyperlink>
      <w:r w:rsidRPr="00CA5193">
        <w:rPr>
          <w:rStyle w:val="TextoNormalCaracter"/>
        </w:rPr>
        <w:t>.</w:t>
      </w:r>
    </w:p>
    <w:p w:rsidR="00CA5193" w:rsidRPr="00CA5193" w:rsidRDefault="00CA5193" w:rsidP="00CA5193">
      <w:pPr>
        <w:pStyle w:val="TextoNormalSangraFrancesa"/>
        <w:rPr>
          <w:rStyle w:val="TextoNormalCaracter"/>
        </w:rPr>
      </w:pPr>
      <w:bookmarkStart w:id="1172" w:name="DESCRIPTORALFABETICO123"/>
      <w:r w:rsidRPr="00CA5193">
        <w:rPr>
          <w:rStyle w:val="TextoNormalNegritaCaracter"/>
        </w:rPr>
        <w:t>Suspensión cautelar de sentencias civiles</w:t>
      </w:r>
      <w:bookmarkEnd w:id="1172"/>
      <w:r w:rsidRPr="00CA5193">
        <w:rPr>
          <w:rStyle w:val="TextoNormalCaracter"/>
        </w:rPr>
        <w:t xml:space="preserve">, </w:t>
      </w:r>
    </w:p>
    <w:p w:rsidR="00CA5193" w:rsidRPr="00CA5193" w:rsidRDefault="00CA5193" w:rsidP="00CA5193">
      <w:pPr>
        <w:pStyle w:val="TextoNormalSangraFrancesa"/>
        <w:rPr>
          <w:rStyle w:val="TextoNormalCaracter"/>
        </w:rPr>
      </w:pPr>
      <w:r w:rsidRPr="00CA5193">
        <w:rPr>
          <w:rStyle w:val="TextoNormalCursivaCaracter"/>
        </w:rPr>
        <w:t xml:space="preserve">    No suspende, </w:t>
      </w:r>
      <w:r w:rsidRPr="00CA5193">
        <w:rPr>
          <w:rStyle w:val="TextoNormalCaracter"/>
        </w:rPr>
        <w:t xml:space="preserve">Auto </w:t>
      </w:r>
      <w:hyperlink w:anchor="AUTO_2007_280" w:history="1">
        <w:r w:rsidRPr="00CA5193">
          <w:rPr>
            <w:rStyle w:val="TextoNormalCaracter"/>
          </w:rPr>
          <w:t>280/2007</w:t>
        </w:r>
      </w:hyperlink>
      <w:r w:rsidRPr="00CA5193">
        <w:rPr>
          <w:rStyle w:val="TextoNormalCaracter"/>
        </w:rPr>
        <w:t>.</w:t>
      </w:r>
    </w:p>
    <w:p w:rsidR="00CA5193" w:rsidRPr="00CA5193" w:rsidRDefault="00CA5193" w:rsidP="00CA5193">
      <w:pPr>
        <w:pStyle w:val="TextoNormalSangraFrancesa"/>
        <w:rPr>
          <w:rStyle w:val="TextoNormalCaracter"/>
        </w:rPr>
      </w:pPr>
      <w:r w:rsidRPr="00CA5193">
        <w:rPr>
          <w:rStyle w:val="TextoNormalCursivaCaracter"/>
        </w:rPr>
        <w:t xml:space="preserve">    Suspende, </w:t>
      </w:r>
      <w:r w:rsidRPr="00CA5193">
        <w:rPr>
          <w:rStyle w:val="TextoNormalCaracter"/>
        </w:rPr>
        <w:t xml:space="preserve">Auto </w:t>
      </w:r>
      <w:hyperlink w:anchor="AUTO_2007_336" w:history="1">
        <w:r w:rsidRPr="00CA5193">
          <w:rPr>
            <w:rStyle w:val="TextoNormalCaracter"/>
          </w:rPr>
          <w:t>336/2007</w:t>
        </w:r>
      </w:hyperlink>
      <w:r w:rsidRPr="00CA5193">
        <w:rPr>
          <w:rStyle w:val="TextoNormalCaracter"/>
        </w:rPr>
        <w:t>.</w:t>
      </w:r>
    </w:p>
    <w:p w:rsidR="00CA5193" w:rsidRPr="00CA5193" w:rsidRDefault="00CA5193" w:rsidP="00CA5193">
      <w:pPr>
        <w:pStyle w:val="TextoNormalSangraFrancesa"/>
        <w:rPr>
          <w:rStyle w:val="TextoNormalCaracter"/>
        </w:rPr>
      </w:pPr>
      <w:bookmarkStart w:id="1173" w:name="DESCRIPTORALFABETICO125"/>
      <w:r w:rsidRPr="00CA5193">
        <w:rPr>
          <w:rStyle w:val="TextoNormalNegritaCaracter"/>
        </w:rPr>
        <w:t>Suspensión cautelar de sentencias contencioso-administrativas</w:t>
      </w:r>
      <w:bookmarkEnd w:id="1173"/>
      <w:r w:rsidRPr="00CA5193">
        <w:rPr>
          <w:rStyle w:val="TextoNormalCaracter"/>
        </w:rPr>
        <w:t xml:space="preserve">, Auto </w:t>
      </w:r>
      <w:hyperlink w:anchor="AUTO_2007_229" w:history="1">
        <w:r w:rsidRPr="00CA5193">
          <w:rPr>
            <w:rStyle w:val="TextoNormalCaracter"/>
          </w:rPr>
          <w:t>229/2007</w:t>
        </w:r>
      </w:hyperlink>
      <w:r w:rsidRPr="00CA5193">
        <w:rPr>
          <w:rStyle w:val="TextoNormalCaracter"/>
        </w:rPr>
        <w:t>.</w:t>
      </w:r>
    </w:p>
    <w:p w:rsidR="00CA5193" w:rsidRPr="00CA5193" w:rsidRDefault="00CA5193" w:rsidP="00CA5193">
      <w:pPr>
        <w:pStyle w:val="TextoNormalSangraFrancesa"/>
        <w:rPr>
          <w:rStyle w:val="TextoNormalCaracter"/>
        </w:rPr>
      </w:pPr>
      <w:r w:rsidRPr="00CA5193">
        <w:rPr>
          <w:rStyle w:val="TextoNormalCursivaCaracter"/>
        </w:rPr>
        <w:t xml:space="preserve">    No suspende, </w:t>
      </w:r>
      <w:r w:rsidRPr="00CA5193">
        <w:rPr>
          <w:rStyle w:val="TextoNormalCaracter"/>
        </w:rPr>
        <w:t xml:space="preserve">Autos </w:t>
      </w:r>
      <w:hyperlink w:anchor="AUTO_2007_229" w:history="1">
        <w:r w:rsidRPr="00CA5193">
          <w:rPr>
            <w:rStyle w:val="TextoNormalCaracter"/>
          </w:rPr>
          <w:t>229/2007</w:t>
        </w:r>
      </w:hyperlink>
      <w:r w:rsidRPr="00CA5193">
        <w:rPr>
          <w:rStyle w:val="TextoNormalCaracter"/>
        </w:rPr>
        <w:t xml:space="preserve">; </w:t>
      </w:r>
      <w:hyperlink w:anchor="AUTO_2007_346" w:history="1">
        <w:r w:rsidRPr="00CA5193">
          <w:rPr>
            <w:rStyle w:val="TextoNormalCaracter"/>
          </w:rPr>
          <w:t>346/2007</w:t>
        </w:r>
      </w:hyperlink>
      <w:r w:rsidRPr="00CA5193">
        <w:rPr>
          <w:rStyle w:val="TextoNormalCaracter"/>
        </w:rPr>
        <w:t xml:space="preserve">; </w:t>
      </w:r>
      <w:hyperlink w:anchor="AUTO_2007_347" w:history="1">
        <w:r w:rsidRPr="00CA5193">
          <w:rPr>
            <w:rStyle w:val="TextoNormalCaracter"/>
          </w:rPr>
          <w:t>347/2007</w:t>
        </w:r>
      </w:hyperlink>
      <w:r w:rsidRPr="00CA5193">
        <w:rPr>
          <w:rStyle w:val="TextoNormalCaracter"/>
        </w:rPr>
        <w:t>.</w:t>
      </w:r>
    </w:p>
    <w:p w:rsidR="00CA5193" w:rsidRPr="00CA5193" w:rsidRDefault="00CA5193" w:rsidP="00CA5193">
      <w:pPr>
        <w:pStyle w:val="TextoNormalSangraFrancesa"/>
        <w:rPr>
          <w:rStyle w:val="TextoNormalCaracter"/>
        </w:rPr>
      </w:pPr>
      <w:bookmarkStart w:id="1174" w:name="DESCRIPTORALFABETICO126"/>
      <w:r w:rsidRPr="00CA5193">
        <w:rPr>
          <w:rStyle w:val="TextoNormalNegritaCaracter"/>
        </w:rPr>
        <w:t>Suspensión cautelar de sentencias laborales</w:t>
      </w:r>
      <w:bookmarkEnd w:id="1174"/>
      <w:r w:rsidRPr="00CA5193">
        <w:rPr>
          <w:rStyle w:val="TextoNormalCaracter"/>
        </w:rPr>
        <w:t xml:space="preserve">, </w:t>
      </w:r>
    </w:p>
    <w:p w:rsidR="00CA5193" w:rsidRPr="00CA5193" w:rsidRDefault="00CA5193" w:rsidP="00CA5193">
      <w:pPr>
        <w:pStyle w:val="TextoNormalSangraFrancesa"/>
        <w:rPr>
          <w:rStyle w:val="TextoNormalCaracter"/>
        </w:rPr>
      </w:pPr>
      <w:r w:rsidRPr="00CA5193">
        <w:rPr>
          <w:rStyle w:val="TextoNormalCursivaCaracter"/>
        </w:rPr>
        <w:t xml:space="preserve">    No suspende, </w:t>
      </w:r>
      <w:r w:rsidRPr="00CA5193">
        <w:rPr>
          <w:rStyle w:val="TextoNormalCaracter"/>
        </w:rPr>
        <w:t xml:space="preserve">Auto </w:t>
      </w:r>
      <w:hyperlink w:anchor="AUTO_2007_270" w:history="1">
        <w:r w:rsidRPr="00CA5193">
          <w:rPr>
            <w:rStyle w:val="TextoNormalCaracter"/>
          </w:rPr>
          <w:t>270/2007</w:t>
        </w:r>
      </w:hyperlink>
      <w:r w:rsidRPr="00CA5193">
        <w:rPr>
          <w:rStyle w:val="TextoNormalCaracter"/>
        </w:rPr>
        <w:t>.</w:t>
      </w:r>
    </w:p>
    <w:p w:rsidR="00CA5193" w:rsidRPr="00CA5193" w:rsidRDefault="00CA5193" w:rsidP="00CA5193">
      <w:pPr>
        <w:pStyle w:val="TextoNormalSangraFrancesa"/>
        <w:rPr>
          <w:rStyle w:val="TextoNormalCaracter"/>
        </w:rPr>
      </w:pPr>
      <w:bookmarkStart w:id="1175" w:name="DESCRIPTORALFABETICO128"/>
      <w:r w:rsidRPr="00CA5193">
        <w:rPr>
          <w:rStyle w:val="TextoNormalNegritaCaracter"/>
        </w:rPr>
        <w:t>Suspensión cautelar de sentencias penales</w:t>
      </w:r>
      <w:bookmarkEnd w:id="1175"/>
      <w:r w:rsidRPr="00CA5193">
        <w:rPr>
          <w:rStyle w:val="TextoNormalCaracter"/>
        </w:rPr>
        <w:t xml:space="preserve">, Auto </w:t>
      </w:r>
      <w:hyperlink w:anchor="AUTO_2007_232" w:history="1">
        <w:r w:rsidRPr="00CA5193">
          <w:rPr>
            <w:rStyle w:val="TextoNormalCaracter"/>
          </w:rPr>
          <w:t>232/2007</w:t>
        </w:r>
      </w:hyperlink>
      <w:r w:rsidRPr="00CA5193">
        <w:rPr>
          <w:rStyle w:val="TextoNormalCaracter"/>
        </w:rPr>
        <w:t>.</w:t>
      </w:r>
    </w:p>
    <w:p w:rsidR="00CA5193" w:rsidRPr="00CA5193" w:rsidRDefault="00CA5193" w:rsidP="00CA5193">
      <w:pPr>
        <w:pStyle w:val="TextoNormalSangraFrancesa"/>
        <w:rPr>
          <w:rStyle w:val="TextoNormalCaracter"/>
        </w:rPr>
      </w:pPr>
      <w:r w:rsidRPr="00CA5193">
        <w:rPr>
          <w:rStyle w:val="TextoNormalCursivaCaracter"/>
        </w:rPr>
        <w:t xml:space="preserve">    Suspende, </w:t>
      </w:r>
      <w:r w:rsidRPr="00CA5193">
        <w:rPr>
          <w:rStyle w:val="TextoNormalCaracter"/>
        </w:rPr>
        <w:t xml:space="preserve">Autos </w:t>
      </w:r>
      <w:hyperlink w:anchor="AUTO_2007_248" w:history="1">
        <w:r w:rsidRPr="00CA5193">
          <w:rPr>
            <w:rStyle w:val="TextoNormalCaracter"/>
          </w:rPr>
          <w:t>248/2007</w:t>
        </w:r>
      </w:hyperlink>
      <w:r w:rsidRPr="00CA5193">
        <w:rPr>
          <w:rStyle w:val="TextoNormalCaracter"/>
        </w:rPr>
        <w:t xml:space="preserve">; </w:t>
      </w:r>
      <w:hyperlink w:anchor="AUTO_2007_249" w:history="1">
        <w:r w:rsidRPr="00CA5193">
          <w:rPr>
            <w:rStyle w:val="TextoNormalCaracter"/>
          </w:rPr>
          <w:t>249/2007</w:t>
        </w:r>
      </w:hyperlink>
      <w:r w:rsidRPr="00CA5193">
        <w:rPr>
          <w:rStyle w:val="TextoNormalCaracter"/>
        </w:rPr>
        <w:t xml:space="preserve">; </w:t>
      </w:r>
      <w:hyperlink w:anchor="AUTO_2007_273" w:history="1">
        <w:r w:rsidRPr="00CA5193">
          <w:rPr>
            <w:rStyle w:val="TextoNormalCaracter"/>
          </w:rPr>
          <w:t>273/2007</w:t>
        </w:r>
      </w:hyperlink>
      <w:r w:rsidRPr="00CA5193">
        <w:rPr>
          <w:rStyle w:val="TextoNormalCaracter"/>
        </w:rPr>
        <w:t xml:space="preserve">; </w:t>
      </w:r>
      <w:hyperlink w:anchor="AUTO_2007_283" w:history="1">
        <w:r w:rsidRPr="00CA5193">
          <w:rPr>
            <w:rStyle w:val="TextoNormalCaracter"/>
          </w:rPr>
          <w:t>283/2007</w:t>
        </w:r>
      </w:hyperlink>
      <w:r w:rsidRPr="00CA5193">
        <w:rPr>
          <w:rStyle w:val="TextoNormalCaracter"/>
        </w:rPr>
        <w:t xml:space="preserve">; </w:t>
      </w:r>
      <w:hyperlink w:anchor="AUTO_2007_286" w:history="1">
        <w:r w:rsidRPr="00CA5193">
          <w:rPr>
            <w:rStyle w:val="TextoNormalCaracter"/>
          </w:rPr>
          <w:t>286/2007</w:t>
        </w:r>
      </w:hyperlink>
      <w:r w:rsidRPr="00CA5193">
        <w:rPr>
          <w:rStyle w:val="TextoNormalCaracter"/>
        </w:rPr>
        <w:t>.</w:t>
      </w:r>
    </w:p>
    <w:p w:rsidR="00CA5193" w:rsidRPr="00CA5193" w:rsidRDefault="00CA5193" w:rsidP="00CA5193">
      <w:pPr>
        <w:pStyle w:val="TextoNormalSangraFrancesa"/>
        <w:rPr>
          <w:rStyle w:val="TextoNormalCaracter"/>
        </w:rPr>
      </w:pPr>
      <w:bookmarkStart w:id="1176" w:name="DESCRIPTORALFABETICO129"/>
      <w:r w:rsidRPr="00CA5193">
        <w:rPr>
          <w:rStyle w:val="TextoNormalNegritaCaracter"/>
        </w:rPr>
        <w:t>Suspensión de disposiciones de las Comunidades Autónomas</w:t>
      </w:r>
      <w:bookmarkEnd w:id="1176"/>
      <w:r w:rsidRPr="00CA5193">
        <w:rPr>
          <w:rStyle w:val="TextoNormalCaracter"/>
        </w:rPr>
        <w:t xml:space="preserve">, Auto </w:t>
      </w:r>
      <w:hyperlink w:anchor="AUTO_2007_355" w:history="1">
        <w:r w:rsidRPr="00CA5193">
          <w:rPr>
            <w:rStyle w:val="TextoNormalCaracter"/>
          </w:rPr>
          <w:t>355/2007</w:t>
        </w:r>
      </w:hyperlink>
      <w:r w:rsidRPr="00CA5193">
        <w:rPr>
          <w:rStyle w:val="TextoNormalCaracter"/>
        </w:rPr>
        <w:t>.</w:t>
      </w:r>
    </w:p>
    <w:p w:rsidR="00CA5193" w:rsidRPr="00CA5193" w:rsidRDefault="00CA5193" w:rsidP="00CA5193">
      <w:pPr>
        <w:pStyle w:val="TextoNormalSangraFrancesa"/>
        <w:rPr>
          <w:rStyle w:val="TextoNormalNegritaCaracter"/>
        </w:rPr>
      </w:pPr>
      <w:r w:rsidRPr="00CA5193">
        <w:rPr>
          <w:rStyle w:val="TextoNormalCursivaCaracter"/>
        </w:rPr>
        <w:t>Suspensión del derecho de sufragio</w:t>
      </w:r>
      <w:r>
        <w:t xml:space="preserve"> véase </w:t>
      </w:r>
      <w:hyperlink w:anchor="DESCRIPTORALFABETICO297" w:history="1">
        <w:r w:rsidRPr="00CA5193">
          <w:rPr>
            <w:rStyle w:val="TextoNormalNegritaCaracter"/>
          </w:rPr>
          <w:t>Inhabilitación especial para el derecho de sufragio</w:t>
        </w:r>
      </w:hyperlink>
    </w:p>
    <w:p w:rsidR="00CA5193" w:rsidRPr="00CA5193" w:rsidRDefault="00CA5193" w:rsidP="00CA5193">
      <w:pPr>
        <w:pStyle w:val="TextoNormalSangraFrancesa"/>
        <w:rPr>
          <w:rStyle w:val="TextoNormalCaracter"/>
        </w:rPr>
      </w:pPr>
      <w:bookmarkStart w:id="1177" w:name="DESCRIPTORALFABETICO456"/>
      <w:r w:rsidRPr="00CA5193">
        <w:rPr>
          <w:rStyle w:val="TextoNormalNegritaCaracter"/>
        </w:rPr>
        <w:t>Suspensión provisional de la entrega</w:t>
      </w:r>
      <w:bookmarkEnd w:id="1177"/>
      <w:r w:rsidRPr="00CA5193">
        <w:rPr>
          <w:rStyle w:val="TextoNormalCaracter"/>
        </w:rPr>
        <w:t xml:space="preserve">, Sentencia </w:t>
      </w:r>
      <w:hyperlink w:anchor="SENTENCIA_2007_95" w:history="1">
        <w:r w:rsidRPr="00CA5193">
          <w:rPr>
            <w:rStyle w:val="TextoNormalCaracter"/>
          </w:rPr>
          <w:t>95/2007</w:t>
        </w:r>
      </w:hyperlink>
      <w:r w:rsidRPr="00CA5193">
        <w:rPr>
          <w:rStyle w:val="TextoNormalCaracter"/>
        </w:rPr>
        <w:t>, ff. 6, 7.</w:t>
      </w:r>
    </w:p>
    <w:p w:rsidR="00CA5193" w:rsidRPr="00CA5193" w:rsidRDefault="00CA5193" w:rsidP="00CA5193">
      <w:pPr>
        <w:pStyle w:val="TextoNormalSangraFrancesa"/>
        <w:rPr>
          <w:rStyle w:val="TextoNormalCaracter"/>
        </w:rPr>
      </w:pPr>
      <w:bookmarkStart w:id="1178" w:name="DESCRIPTORALFABETICO305"/>
      <w:r w:rsidRPr="00CA5193">
        <w:rPr>
          <w:rStyle w:val="TextoNormalNegritaCaracter"/>
        </w:rPr>
        <w:t>Sustitución de la pena</w:t>
      </w:r>
      <w:bookmarkEnd w:id="1178"/>
      <w:r w:rsidRPr="00CA5193">
        <w:rPr>
          <w:rStyle w:val="TextoNormalCaracter"/>
        </w:rPr>
        <w:t xml:space="preserve">, Sentencia </w:t>
      </w:r>
      <w:hyperlink w:anchor="SENTENCIA_2007_176" w:history="1">
        <w:r w:rsidRPr="00CA5193">
          <w:rPr>
            <w:rStyle w:val="TextoNormalCaracter"/>
          </w:rPr>
          <w:t>176/2007</w:t>
        </w:r>
      </w:hyperlink>
      <w:r w:rsidRPr="00CA5193">
        <w:rPr>
          <w:rStyle w:val="TextoNormalCaracter"/>
        </w:rPr>
        <w:t>, f. 4.</w:t>
      </w:r>
    </w:p>
    <w:p w:rsidR="00CA5193" w:rsidRDefault="00CA5193" w:rsidP="00CA5193">
      <w:pPr>
        <w:pStyle w:val="TextoNormalSangraFrancesa"/>
      </w:pPr>
    </w:p>
    <w:p w:rsidR="00CA5193" w:rsidRDefault="00CA5193" w:rsidP="00CA5193">
      <w:pPr>
        <w:pStyle w:val="TextoNormalSangraFrancesa"/>
      </w:pPr>
    </w:p>
    <w:p w:rsidR="00CA5193" w:rsidRDefault="00CA5193" w:rsidP="00CA5193">
      <w:pPr>
        <w:pStyle w:val="TextoNormalNegritaCentrado"/>
      </w:pPr>
      <w:r>
        <w:t>T</w:t>
      </w:r>
    </w:p>
    <w:p w:rsidR="00CA5193" w:rsidRDefault="00CA5193" w:rsidP="00CA5193">
      <w:pPr>
        <w:pStyle w:val="TextoNormalNegritaCentrado"/>
      </w:pPr>
    </w:p>
    <w:p w:rsidR="00CA5193" w:rsidRDefault="00CA5193" w:rsidP="00CA5193">
      <w:pPr>
        <w:pStyle w:val="TextoNormalNegritaCentrado"/>
      </w:pPr>
    </w:p>
    <w:p w:rsidR="00CA5193" w:rsidRDefault="00CA5193" w:rsidP="00CA5193">
      <w:pPr>
        <w:pStyle w:val="TextoNormalNegritaCentrado"/>
      </w:pPr>
    </w:p>
    <w:p w:rsidR="00CA5193" w:rsidRPr="00CA5193" w:rsidRDefault="00CA5193" w:rsidP="00CA5193">
      <w:pPr>
        <w:pStyle w:val="TextoNormalSangraFrancesa"/>
        <w:rPr>
          <w:rStyle w:val="TextoNormalCaracter"/>
        </w:rPr>
      </w:pPr>
      <w:bookmarkStart w:id="1179" w:name="DESCRIPTORALFABETICO107"/>
      <w:r w:rsidRPr="00CA5193">
        <w:rPr>
          <w:rStyle w:val="TextoNormalNegritaCaracter"/>
        </w:rPr>
        <w:lastRenderedPageBreak/>
        <w:t>Teoría general de los derechos fundamentales</w:t>
      </w:r>
      <w:bookmarkEnd w:id="1179"/>
      <w:r w:rsidRPr="00CA5193">
        <w:rPr>
          <w:rStyle w:val="TextoNormalCaracter"/>
        </w:rPr>
        <w:t xml:space="preserve">, Sentencias </w:t>
      </w:r>
      <w:hyperlink w:anchor="SENTENCIA_2007_125" w:history="1">
        <w:r w:rsidRPr="00CA5193">
          <w:rPr>
            <w:rStyle w:val="TextoNormalCaracter"/>
          </w:rPr>
          <w:t>125/2007</w:t>
        </w:r>
      </w:hyperlink>
      <w:r w:rsidRPr="00CA5193">
        <w:rPr>
          <w:rStyle w:val="TextoNormalCaracter"/>
        </w:rPr>
        <w:t xml:space="preserve">, ff. 2 a 4; </w:t>
      </w:r>
      <w:hyperlink w:anchor="SENTENCIA_2007_160" w:history="1">
        <w:r w:rsidRPr="00CA5193">
          <w:rPr>
            <w:rStyle w:val="TextoNormalCaracter"/>
          </w:rPr>
          <w:t>160/2007</w:t>
        </w:r>
      </w:hyperlink>
      <w:r w:rsidRPr="00CA5193">
        <w:rPr>
          <w:rStyle w:val="TextoNormalCaracter"/>
        </w:rPr>
        <w:t>, f. 4.</w:t>
      </w:r>
    </w:p>
    <w:p w:rsidR="00CA5193" w:rsidRPr="00CA5193" w:rsidRDefault="00CA5193" w:rsidP="00CA5193">
      <w:pPr>
        <w:pStyle w:val="TextoNormalSangraFrancesa"/>
        <w:rPr>
          <w:rStyle w:val="TextoNormalCaracter"/>
        </w:rPr>
      </w:pPr>
      <w:bookmarkStart w:id="1180" w:name="DESCRIPTORALFABETICO35"/>
      <w:r w:rsidRPr="00CA5193">
        <w:rPr>
          <w:rStyle w:val="TextoNormalNegritaCaracter"/>
        </w:rPr>
        <w:t>Término de comparación inidóneo</w:t>
      </w:r>
      <w:bookmarkEnd w:id="1180"/>
      <w:r w:rsidRPr="00CA5193">
        <w:rPr>
          <w:rStyle w:val="TextoNormalCaracter"/>
        </w:rPr>
        <w:t xml:space="preserve">, Sentencia </w:t>
      </w:r>
      <w:hyperlink w:anchor="SENTENCIA_2007_147" w:history="1">
        <w:r w:rsidRPr="00CA5193">
          <w:rPr>
            <w:rStyle w:val="TextoNormalCaracter"/>
          </w:rPr>
          <w:t>147/2007</w:t>
        </w:r>
      </w:hyperlink>
      <w:r w:rsidRPr="00CA5193">
        <w:rPr>
          <w:rStyle w:val="TextoNormalCaracter"/>
        </w:rPr>
        <w:t>, ff. 3, 4.</w:t>
      </w:r>
    </w:p>
    <w:p w:rsidR="00CA5193" w:rsidRPr="00CA5193" w:rsidRDefault="00CA5193" w:rsidP="00CA5193">
      <w:pPr>
        <w:pStyle w:val="TextoNormalSangraFrancesa"/>
        <w:rPr>
          <w:rStyle w:val="TextoNormalCaracter"/>
        </w:rPr>
      </w:pPr>
      <w:r w:rsidRPr="00CA5193">
        <w:rPr>
          <w:rStyle w:val="TextoNormalCaracter"/>
        </w:rPr>
        <w:t xml:space="preserve">    Autos </w:t>
      </w:r>
      <w:hyperlink w:anchor="AUTO_2007_312" w:history="1">
        <w:r w:rsidRPr="00CA5193">
          <w:rPr>
            <w:rStyle w:val="TextoNormalCaracter"/>
          </w:rPr>
          <w:t>312/2007</w:t>
        </w:r>
      </w:hyperlink>
      <w:r w:rsidRPr="00CA5193">
        <w:rPr>
          <w:rStyle w:val="TextoNormalCaracter"/>
        </w:rPr>
        <w:t xml:space="preserve">; </w:t>
      </w:r>
      <w:hyperlink w:anchor="AUTO_2007_352" w:history="1">
        <w:r w:rsidRPr="00CA5193">
          <w:rPr>
            <w:rStyle w:val="TextoNormalCaracter"/>
          </w:rPr>
          <w:t>352/2007</w:t>
        </w:r>
      </w:hyperlink>
      <w:r w:rsidRPr="00CA5193">
        <w:rPr>
          <w:rStyle w:val="TextoNormalCaracter"/>
        </w:rPr>
        <w:t>.</w:t>
      </w:r>
    </w:p>
    <w:p w:rsidR="00CA5193" w:rsidRPr="00CA5193" w:rsidRDefault="00CA5193" w:rsidP="00CA5193">
      <w:pPr>
        <w:pStyle w:val="TextoNormalSangraFrancesa"/>
        <w:rPr>
          <w:rStyle w:val="TextoNormalCaracter"/>
        </w:rPr>
      </w:pPr>
      <w:bookmarkStart w:id="1181" w:name="DESCRIPTORALFABETICO407"/>
      <w:r w:rsidRPr="00CA5193">
        <w:rPr>
          <w:rStyle w:val="TextoNormalNegritaCaracter"/>
        </w:rPr>
        <w:t>Término inicial</w:t>
      </w:r>
      <w:bookmarkEnd w:id="1181"/>
      <w:r w:rsidRPr="00CA5193">
        <w:rPr>
          <w:rStyle w:val="TextoNormalCaracter"/>
        </w:rPr>
        <w:t xml:space="preserve">, Sentencia </w:t>
      </w:r>
      <w:hyperlink w:anchor="SENTENCIA_2007_136" w:history="1">
        <w:r w:rsidRPr="00CA5193">
          <w:rPr>
            <w:rStyle w:val="TextoNormalCaracter"/>
          </w:rPr>
          <w:t>136/2007</w:t>
        </w:r>
      </w:hyperlink>
      <w:r w:rsidRPr="00CA5193">
        <w:rPr>
          <w:rStyle w:val="TextoNormalCaracter"/>
        </w:rPr>
        <w:t>, f. 3.</w:t>
      </w:r>
    </w:p>
    <w:p w:rsidR="00CA5193" w:rsidRPr="00CA5193" w:rsidRDefault="00CA5193" w:rsidP="00CA5193">
      <w:pPr>
        <w:pStyle w:val="TextoNormalSangraFrancesa"/>
        <w:rPr>
          <w:rStyle w:val="TextoNormalCaracter"/>
        </w:rPr>
      </w:pPr>
      <w:bookmarkStart w:id="1182" w:name="DESCRIPTORALFABETICO383"/>
      <w:r w:rsidRPr="00CA5193">
        <w:rPr>
          <w:rStyle w:val="TextoNormalNegritaCaracter"/>
        </w:rPr>
        <w:t>Testigos de referencia</w:t>
      </w:r>
      <w:bookmarkEnd w:id="1182"/>
      <w:r w:rsidRPr="00CA5193">
        <w:rPr>
          <w:rStyle w:val="TextoNormalCaracter"/>
        </w:rPr>
        <w:t xml:space="preserve">, Sentencia </w:t>
      </w:r>
      <w:hyperlink w:anchor="SENTENCIA_2007_117" w:history="1">
        <w:r w:rsidRPr="00CA5193">
          <w:rPr>
            <w:rStyle w:val="TextoNormalCaracter"/>
          </w:rPr>
          <w:t>117/2007</w:t>
        </w:r>
      </w:hyperlink>
      <w:r w:rsidRPr="00CA5193">
        <w:rPr>
          <w:rStyle w:val="TextoNormalCaracter"/>
        </w:rPr>
        <w:t>, ff. 3, 5.</w:t>
      </w:r>
    </w:p>
    <w:p w:rsidR="00CA5193" w:rsidRPr="00CA5193" w:rsidRDefault="00CA5193" w:rsidP="00CA5193">
      <w:pPr>
        <w:pStyle w:val="TextoNormalSangraFrancesa"/>
        <w:rPr>
          <w:rStyle w:val="TextoNormalCaracter"/>
        </w:rPr>
      </w:pPr>
      <w:bookmarkStart w:id="1183" w:name="DESCRIPTORALFABETICO332"/>
      <w:r w:rsidRPr="00CA5193">
        <w:rPr>
          <w:rStyle w:val="TextoNormalNegritaCaracter"/>
        </w:rPr>
        <w:t>Tráfico</w:t>
      </w:r>
      <w:bookmarkEnd w:id="1183"/>
      <w:r w:rsidRPr="00CA5193">
        <w:rPr>
          <w:rStyle w:val="TextoNormalCaracter"/>
        </w:rPr>
        <w:t xml:space="preserve">, Sentencia </w:t>
      </w:r>
      <w:hyperlink w:anchor="SENTENCIA_2007_157" w:history="1">
        <w:r w:rsidRPr="00CA5193">
          <w:rPr>
            <w:rStyle w:val="TextoNormalCaracter"/>
          </w:rPr>
          <w:t>157/2007</w:t>
        </w:r>
      </w:hyperlink>
      <w:r w:rsidRPr="00CA5193">
        <w:rPr>
          <w:rStyle w:val="TextoNormalCaracter"/>
        </w:rPr>
        <w:t>, ff. 3, 4.</w:t>
      </w:r>
    </w:p>
    <w:p w:rsidR="00CA5193" w:rsidRPr="00CA5193" w:rsidRDefault="00CA5193" w:rsidP="00CA5193">
      <w:pPr>
        <w:pStyle w:val="TextoNormalSangraFrancesa"/>
        <w:rPr>
          <w:rStyle w:val="TextoNormalCaracter"/>
        </w:rPr>
      </w:pPr>
      <w:bookmarkStart w:id="1184" w:name="DESCRIPTORALFABETICO438"/>
      <w:r w:rsidRPr="00CA5193">
        <w:rPr>
          <w:rStyle w:val="TextoNormalNegritaCaracter"/>
        </w:rPr>
        <w:t>Tramitación urgente del recurso contencioso-electoral</w:t>
      </w:r>
      <w:bookmarkEnd w:id="1184"/>
      <w:r w:rsidRPr="00CA5193">
        <w:rPr>
          <w:rStyle w:val="TextoNormalCaracter"/>
        </w:rPr>
        <w:t xml:space="preserve">, Sentencia </w:t>
      </w:r>
      <w:hyperlink w:anchor="SENTENCIA_2007_110" w:history="1">
        <w:r w:rsidRPr="00CA5193">
          <w:rPr>
            <w:rStyle w:val="TextoNormalCaracter"/>
          </w:rPr>
          <w:t>110/2007</w:t>
        </w:r>
      </w:hyperlink>
      <w:r w:rsidRPr="00CA5193">
        <w:rPr>
          <w:rStyle w:val="TextoNormalCaracter"/>
        </w:rPr>
        <w:t>, f. 6.</w:t>
      </w:r>
    </w:p>
    <w:p w:rsidR="00CA5193" w:rsidRPr="00CA5193" w:rsidRDefault="00CA5193" w:rsidP="00CA5193">
      <w:pPr>
        <w:pStyle w:val="TextoNormalSangraFrancesa"/>
        <w:rPr>
          <w:rStyle w:val="TextoNormalCaracter"/>
        </w:rPr>
      </w:pPr>
      <w:bookmarkStart w:id="1185" w:name="DESCRIPTORALFABETICO178"/>
      <w:r w:rsidRPr="00CA5193">
        <w:rPr>
          <w:rStyle w:val="TextoNormalNegritaCaracter"/>
        </w:rPr>
        <w:t>Trámite de alegaciones en el recurso de amparo</w:t>
      </w:r>
      <w:bookmarkEnd w:id="1185"/>
      <w:r w:rsidRPr="00CA5193">
        <w:rPr>
          <w:rStyle w:val="TextoNormalCaracter"/>
        </w:rPr>
        <w:t xml:space="preserve">, Auto </w:t>
      </w:r>
      <w:hyperlink w:anchor="AUTO_2007_281" w:history="1">
        <w:r w:rsidRPr="00CA5193">
          <w:rPr>
            <w:rStyle w:val="TextoNormalCaracter"/>
          </w:rPr>
          <w:t>281/2007</w:t>
        </w:r>
      </w:hyperlink>
      <w:r w:rsidRPr="00CA5193">
        <w:rPr>
          <w:rStyle w:val="TextoNormalCaracter"/>
        </w:rPr>
        <w:t>.</w:t>
      </w:r>
    </w:p>
    <w:p w:rsidR="00CA5193" w:rsidRPr="00CA5193" w:rsidRDefault="00CA5193" w:rsidP="00CA5193">
      <w:pPr>
        <w:pStyle w:val="TextoNormalSangraFrancesa"/>
        <w:rPr>
          <w:rStyle w:val="TextoNormalCaracter"/>
        </w:rPr>
      </w:pPr>
      <w:bookmarkStart w:id="1186" w:name="DESCRIPTORALFABETICO180"/>
      <w:r w:rsidRPr="00CA5193">
        <w:rPr>
          <w:rStyle w:val="TextoNormalNegritaCaracter"/>
        </w:rPr>
        <w:t>Trámite de alegaciones sobre causas de inadmisibilidad</w:t>
      </w:r>
      <w:bookmarkEnd w:id="1186"/>
      <w:r w:rsidRPr="00CA5193">
        <w:rPr>
          <w:rStyle w:val="TextoNormalCaracter"/>
        </w:rPr>
        <w:t xml:space="preserve">, Auto </w:t>
      </w:r>
      <w:hyperlink w:anchor="AUTO_2007_281" w:history="1">
        <w:r w:rsidRPr="00CA5193">
          <w:rPr>
            <w:rStyle w:val="TextoNormalCaracter"/>
          </w:rPr>
          <w:t>281/2007</w:t>
        </w:r>
      </w:hyperlink>
      <w:r w:rsidRPr="00CA5193">
        <w:rPr>
          <w:rStyle w:val="TextoNormalCaracter"/>
        </w:rPr>
        <w:t>.</w:t>
      </w:r>
    </w:p>
    <w:p w:rsidR="00CA5193" w:rsidRPr="00CA5193" w:rsidRDefault="00CA5193" w:rsidP="00CA5193">
      <w:pPr>
        <w:pStyle w:val="TextoNormalSangraFrancesa"/>
        <w:rPr>
          <w:rStyle w:val="TextoNormalCaracter"/>
        </w:rPr>
      </w:pPr>
      <w:bookmarkStart w:id="1187" w:name="DESCRIPTORALFABETICO148"/>
      <w:r w:rsidRPr="00CA5193">
        <w:rPr>
          <w:rStyle w:val="TextoNormalNegritaCaracter"/>
        </w:rPr>
        <w:t>Trámite de audiencia a las partes defectuoso</w:t>
      </w:r>
      <w:bookmarkEnd w:id="1187"/>
      <w:r w:rsidRPr="00CA5193">
        <w:rPr>
          <w:rStyle w:val="TextoNormalCaracter"/>
        </w:rPr>
        <w:t xml:space="preserve">, Sentencia </w:t>
      </w:r>
      <w:hyperlink w:anchor="SENTENCIA_2007_166" w:history="1">
        <w:r w:rsidRPr="00CA5193">
          <w:rPr>
            <w:rStyle w:val="TextoNormalCaracter"/>
          </w:rPr>
          <w:t>166/2007</w:t>
        </w:r>
      </w:hyperlink>
      <w:r w:rsidRPr="00CA5193">
        <w:rPr>
          <w:rStyle w:val="TextoNormalCaracter"/>
        </w:rPr>
        <w:t>, f. 6.</w:t>
      </w:r>
    </w:p>
    <w:p w:rsidR="00CA5193" w:rsidRPr="00CA5193" w:rsidRDefault="00CA5193" w:rsidP="00CA5193">
      <w:pPr>
        <w:pStyle w:val="TextoNormalSangraFrancesa"/>
        <w:rPr>
          <w:rStyle w:val="TextoNormalCaracter"/>
        </w:rPr>
      </w:pPr>
      <w:bookmarkStart w:id="1188" w:name="DESCRIPTORALFABETICO283"/>
      <w:r w:rsidRPr="00CA5193">
        <w:rPr>
          <w:rStyle w:val="TextoNormalNegritaCaracter"/>
        </w:rPr>
        <w:t>Tratados internacionales</w:t>
      </w:r>
      <w:bookmarkEnd w:id="1188"/>
      <w:r w:rsidRPr="00CA5193">
        <w:rPr>
          <w:rStyle w:val="TextoNormalCaracter"/>
        </w:rPr>
        <w:t xml:space="preserve">, Sentencia </w:t>
      </w:r>
      <w:hyperlink w:anchor="SENTENCIA_2007_164" w:history="1">
        <w:r w:rsidRPr="00CA5193">
          <w:rPr>
            <w:rStyle w:val="TextoNormalCaracter"/>
          </w:rPr>
          <w:t>164/2007</w:t>
        </w:r>
      </w:hyperlink>
      <w:r w:rsidRPr="00CA5193">
        <w:rPr>
          <w:rStyle w:val="TextoNormalCaracter"/>
        </w:rPr>
        <w:t>, f. 1.</w:t>
      </w:r>
    </w:p>
    <w:p w:rsidR="00CA5193" w:rsidRPr="00CA5193" w:rsidRDefault="00CA5193" w:rsidP="00CA5193">
      <w:pPr>
        <w:pStyle w:val="TextoNormalSangraFrancesa"/>
        <w:rPr>
          <w:rStyle w:val="TextoNormalCaracter"/>
        </w:rPr>
      </w:pPr>
      <w:bookmarkStart w:id="1189" w:name="DESCRIPTORALFABETICO38"/>
      <w:r w:rsidRPr="00CA5193">
        <w:rPr>
          <w:rStyle w:val="TextoNormalNegritaCaracter"/>
        </w:rPr>
        <w:t>Tratos inhumanos o degradantes</w:t>
      </w:r>
      <w:bookmarkEnd w:id="1189"/>
      <w:r w:rsidRPr="00CA5193">
        <w:rPr>
          <w:rStyle w:val="TextoNormalCaracter"/>
        </w:rPr>
        <w:t xml:space="preserve">, Sentencia </w:t>
      </w:r>
      <w:hyperlink w:anchor="SENTENCIA_2007_140" w:history="1">
        <w:r w:rsidRPr="00CA5193">
          <w:rPr>
            <w:rStyle w:val="TextoNormalCaracter"/>
          </w:rPr>
          <w:t>140/2007</w:t>
        </w:r>
      </w:hyperlink>
      <w:r w:rsidRPr="00CA5193">
        <w:rPr>
          <w:rStyle w:val="TextoNormalCaracter"/>
        </w:rPr>
        <w:t>, f. 2.</w:t>
      </w:r>
    </w:p>
    <w:p w:rsidR="00CA5193" w:rsidRDefault="00CA5193" w:rsidP="00CA5193">
      <w:pPr>
        <w:pStyle w:val="TextoNormalSangraFrancesa"/>
      </w:pPr>
    </w:p>
    <w:p w:rsidR="00CA5193" w:rsidRDefault="00CA5193" w:rsidP="00CA5193">
      <w:pPr>
        <w:pStyle w:val="TextoNormalSangraFrancesa"/>
      </w:pPr>
    </w:p>
    <w:p w:rsidR="00CA5193" w:rsidRDefault="00CA5193" w:rsidP="00CA5193">
      <w:pPr>
        <w:pStyle w:val="TextoNormalNegritaCentrado"/>
      </w:pPr>
      <w:r>
        <w:t>V</w:t>
      </w:r>
    </w:p>
    <w:p w:rsidR="00CA5193" w:rsidRDefault="00CA5193" w:rsidP="00CA5193">
      <w:pPr>
        <w:pStyle w:val="TextoNormalNegritaCentrado"/>
      </w:pPr>
    </w:p>
    <w:p w:rsidR="00CA5193" w:rsidRDefault="00CA5193" w:rsidP="00CA5193">
      <w:pPr>
        <w:pStyle w:val="TextoNormalNegritaCentrado"/>
      </w:pPr>
    </w:p>
    <w:p w:rsidR="00CA5193" w:rsidRDefault="00CA5193" w:rsidP="00CA5193">
      <w:pPr>
        <w:pStyle w:val="TextoNormalNegritaCentrado"/>
      </w:pPr>
    </w:p>
    <w:p w:rsidR="00CA5193" w:rsidRPr="00CA5193" w:rsidRDefault="00CA5193" w:rsidP="00CA5193">
      <w:pPr>
        <w:pStyle w:val="TextoNormalSangraFrancesa"/>
        <w:rPr>
          <w:rStyle w:val="TextoNormalCaracter"/>
        </w:rPr>
      </w:pPr>
      <w:bookmarkStart w:id="1190" w:name="DESCRIPTORALFABETICO384"/>
      <w:r w:rsidRPr="00CA5193">
        <w:rPr>
          <w:rStyle w:val="TextoNormalNegritaCaracter"/>
        </w:rPr>
        <w:t>Valoración de la prueba</w:t>
      </w:r>
      <w:bookmarkEnd w:id="1190"/>
      <w:r w:rsidRPr="00CA5193">
        <w:rPr>
          <w:rStyle w:val="TextoNormalCaracter"/>
        </w:rPr>
        <w:t xml:space="preserve">, Sentencias </w:t>
      </w:r>
      <w:hyperlink w:anchor="SENTENCIA_2007_110" w:history="1">
        <w:r w:rsidRPr="00CA5193">
          <w:rPr>
            <w:rStyle w:val="TextoNormalCaracter"/>
          </w:rPr>
          <w:t>110/2007</w:t>
        </w:r>
      </w:hyperlink>
      <w:r w:rsidRPr="00CA5193">
        <w:rPr>
          <w:rStyle w:val="TextoNormalCaracter"/>
        </w:rPr>
        <w:t xml:space="preserve">, f. 8; </w:t>
      </w:r>
      <w:hyperlink w:anchor="SENTENCIA_2007_134" w:history="1">
        <w:r w:rsidRPr="00CA5193">
          <w:rPr>
            <w:rStyle w:val="TextoNormalCaracter"/>
          </w:rPr>
          <w:t>134/2007</w:t>
        </w:r>
      </w:hyperlink>
      <w:r w:rsidRPr="00CA5193">
        <w:rPr>
          <w:rStyle w:val="TextoNormalCaracter"/>
        </w:rPr>
        <w:t xml:space="preserve">, ff. 4, 5; </w:t>
      </w:r>
      <w:hyperlink w:anchor="SENTENCIA_2007_137" w:history="1">
        <w:r w:rsidRPr="00CA5193">
          <w:rPr>
            <w:rStyle w:val="TextoNormalCaracter"/>
          </w:rPr>
          <w:t>137/2007</w:t>
        </w:r>
      </w:hyperlink>
      <w:r w:rsidRPr="00CA5193">
        <w:rPr>
          <w:rStyle w:val="TextoNormalCaracter"/>
        </w:rPr>
        <w:t>, f. 3.</w:t>
      </w:r>
    </w:p>
    <w:p w:rsidR="00CA5193" w:rsidRPr="00CA5193" w:rsidRDefault="00CA5193" w:rsidP="00CA5193">
      <w:pPr>
        <w:pStyle w:val="TextoNormalSangraFrancesa"/>
        <w:rPr>
          <w:rStyle w:val="TextoNormalCaracter"/>
        </w:rPr>
      </w:pPr>
      <w:r w:rsidRPr="00CA5193">
        <w:rPr>
          <w:rStyle w:val="TextoNormalCaracter"/>
        </w:rPr>
        <w:t xml:space="preserve">    Auto </w:t>
      </w:r>
      <w:hyperlink w:anchor="AUTO_2007_245" w:history="1">
        <w:r w:rsidRPr="00CA5193">
          <w:rPr>
            <w:rStyle w:val="TextoNormalCaracter"/>
          </w:rPr>
          <w:t>245/2007</w:t>
        </w:r>
      </w:hyperlink>
      <w:r w:rsidRPr="00CA5193">
        <w:rPr>
          <w:rStyle w:val="TextoNormalCaracter"/>
        </w:rPr>
        <w:t>.</w:t>
      </w:r>
    </w:p>
    <w:p w:rsidR="00CA5193" w:rsidRPr="00CA5193" w:rsidRDefault="00CA5193" w:rsidP="00CA5193">
      <w:pPr>
        <w:pStyle w:val="TextoNormalSangraFrancesa"/>
        <w:rPr>
          <w:rStyle w:val="TextoNormalCaracter"/>
        </w:rPr>
      </w:pPr>
      <w:bookmarkStart w:id="1191" w:name="DESCRIPTORALFABETICO387"/>
      <w:r w:rsidRPr="00CA5193">
        <w:rPr>
          <w:rStyle w:val="TextoNormalNegritaCaracter"/>
        </w:rPr>
        <w:t>Valoración de la prueba en segunda instancia</w:t>
      </w:r>
      <w:bookmarkEnd w:id="1191"/>
      <w:r w:rsidRPr="00CA5193">
        <w:rPr>
          <w:rStyle w:val="TextoNormalCaracter"/>
        </w:rPr>
        <w:t xml:space="preserve">, Sentencia </w:t>
      </w:r>
      <w:hyperlink w:anchor="SENTENCIA_2007_164" w:history="1">
        <w:r w:rsidRPr="00CA5193">
          <w:rPr>
            <w:rStyle w:val="TextoNormalCaracter"/>
          </w:rPr>
          <w:t>164/2007</w:t>
        </w:r>
      </w:hyperlink>
      <w:r w:rsidRPr="00CA5193">
        <w:rPr>
          <w:rStyle w:val="TextoNormalCaracter"/>
        </w:rPr>
        <w:t>, ff. 4, 5.</w:t>
      </w:r>
    </w:p>
    <w:p w:rsidR="00CA5193" w:rsidRPr="00CA5193" w:rsidRDefault="00CA5193" w:rsidP="00CA5193">
      <w:pPr>
        <w:pStyle w:val="TextoNormalSangraFrancesa"/>
        <w:rPr>
          <w:rStyle w:val="TextoNormalCaracter"/>
        </w:rPr>
      </w:pPr>
      <w:r w:rsidRPr="00CA5193">
        <w:rPr>
          <w:rStyle w:val="TextoNormalCaracter"/>
        </w:rPr>
        <w:t xml:space="preserve">    Auto </w:t>
      </w:r>
      <w:hyperlink w:anchor="AUTO_2007_269" w:history="1">
        <w:r w:rsidRPr="00CA5193">
          <w:rPr>
            <w:rStyle w:val="TextoNormalCaracter"/>
          </w:rPr>
          <w:t>269/2007</w:t>
        </w:r>
      </w:hyperlink>
      <w:r w:rsidRPr="00CA5193">
        <w:rPr>
          <w:rStyle w:val="TextoNormalCaracter"/>
        </w:rPr>
        <w:t>.</w:t>
      </w:r>
    </w:p>
    <w:p w:rsidR="00CA5193" w:rsidRPr="00CA5193" w:rsidRDefault="00CA5193" w:rsidP="00CA5193">
      <w:pPr>
        <w:pStyle w:val="TextoNormalSangraFrancesa"/>
        <w:rPr>
          <w:rStyle w:val="TextoNormalCaracter"/>
        </w:rPr>
      </w:pPr>
      <w:bookmarkStart w:id="1192" w:name="DESCRIPTORALFABETICO102"/>
      <w:r w:rsidRPr="00CA5193">
        <w:rPr>
          <w:rStyle w:val="TextoNormalNegritaCaracter"/>
        </w:rPr>
        <w:t>Veracidad de la información</w:t>
      </w:r>
      <w:bookmarkEnd w:id="1192"/>
      <w:r w:rsidRPr="00CA5193">
        <w:rPr>
          <w:rStyle w:val="TextoNormalCaracter"/>
        </w:rPr>
        <w:t xml:space="preserve">, Sentencia </w:t>
      </w:r>
      <w:hyperlink w:anchor="SENTENCIA_2007_139" w:history="1">
        <w:r w:rsidRPr="00CA5193">
          <w:rPr>
            <w:rStyle w:val="TextoNormalCaracter"/>
          </w:rPr>
          <w:t>139/2007</w:t>
        </w:r>
      </w:hyperlink>
      <w:r w:rsidRPr="00CA5193">
        <w:rPr>
          <w:rStyle w:val="TextoNormalCaracter"/>
        </w:rPr>
        <w:t>, f. 9.</w:t>
      </w:r>
    </w:p>
    <w:p w:rsidR="00CA5193" w:rsidRPr="00CA5193" w:rsidRDefault="00CA5193" w:rsidP="00CA5193">
      <w:pPr>
        <w:pStyle w:val="TextoNormalSangraFrancesa"/>
        <w:rPr>
          <w:rStyle w:val="TextoNormalCaracter"/>
        </w:rPr>
      </w:pPr>
      <w:bookmarkStart w:id="1193" w:name="DESCRIPTORALFABETICO275"/>
      <w:r w:rsidRPr="00CA5193">
        <w:rPr>
          <w:rStyle w:val="TextoNormalNegritaCaracter"/>
        </w:rPr>
        <w:t>Vertidos</w:t>
      </w:r>
      <w:bookmarkEnd w:id="1193"/>
      <w:r w:rsidRPr="00CA5193">
        <w:rPr>
          <w:rStyle w:val="TextoNormalCaracter"/>
        </w:rPr>
        <w:t xml:space="preserve">, Auto </w:t>
      </w:r>
      <w:hyperlink w:anchor="AUTO_2007_355" w:history="1">
        <w:r w:rsidRPr="00CA5193">
          <w:rPr>
            <w:rStyle w:val="TextoNormalCaracter"/>
          </w:rPr>
          <w:t>355/2007</w:t>
        </w:r>
      </w:hyperlink>
      <w:r w:rsidRPr="00CA5193">
        <w:rPr>
          <w:rStyle w:val="TextoNormalCaracter"/>
        </w:rPr>
        <w:t>.</w:t>
      </w:r>
    </w:p>
    <w:p w:rsidR="00CA5193" w:rsidRPr="00CA5193" w:rsidRDefault="00CA5193" w:rsidP="00CA5193">
      <w:pPr>
        <w:pStyle w:val="TextoNormalSangraFrancesa"/>
        <w:rPr>
          <w:rStyle w:val="TextoNormalCaracter"/>
        </w:rPr>
      </w:pPr>
      <w:bookmarkStart w:id="1194" w:name="DESCRIPTORALFABETICO276"/>
      <w:r w:rsidRPr="00CA5193">
        <w:rPr>
          <w:rStyle w:val="TextoNormalNegritaCaracter"/>
        </w:rPr>
        <w:t>Vertidos contaminantes</w:t>
      </w:r>
      <w:bookmarkEnd w:id="1194"/>
      <w:r w:rsidRPr="00CA5193">
        <w:rPr>
          <w:rStyle w:val="TextoNormalCaracter"/>
        </w:rPr>
        <w:t xml:space="preserve">, Auto </w:t>
      </w:r>
      <w:hyperlink w:anchor="AUTO_2007_355" w:history="1">
        <w:r w:rsidRPr="00CA5193">
          <w:rPr>
            <w:rStyle w:val="TextoNormalCaracter"/>
          </w:rPr>
          <w:t>355/2007</w:t>
        </w:r>
      </w:hyperlink>
      <w:r w:rsidRPr="00CA5193">
        <w:rPr>
          <w:rStyle w:val="TextoNormalCaracter"/>
        </w:rPr>
        <w:t>.</w:t>
      </w:r>
    </w:p>
    <w:p w:rsidR="00CA5193" w:rsidRPr="00CA5193" w:rsidRDefault="00CA5193" w:rsidP="00CA5193">
      <w:pPr>
        <w:pStyle w:val="TextoNormalSangraFrancesa"/>
        <w:rPr>
          <w:rStyle w:val="TextoNormalCaracter"/>
        </w:rPr>
      </w:pPr>
      <w:bookmarkStart w:id="1195" w:name="DESCRIPTORALFABETICO428"/>
      <w:r w:rsidRPr="00CA5193">
        <w:rPr>
          <w:rStyle w:val="TextoNormalNegritaCaracter"/>
        </w:rPr>
        <w:t>Vía procesal procedente</w:t>
      </w:r>
      <w:bookmarkEnd w:id="1195"/>
      <w:r w:rsidRPr="00CA5193">
        <w:rPr>
          <w:rStyle w:val="TextoNormalCaracter"/>
        </w:rPr>
        <w:t xml:space="preserve">, Sentencia </w:t>
      </w:r>
      <w:hyperlink w:anchor="SENTENCIA_2007_112" w:history="1">
        <w:r w:rsidRPr="00CA5193">
          <w:rPr>
            <w:rStyle w:val="TextoNormalCaracter"/>
          </w:rPr>
          <w:t>112/2007</w:t>
        </w:r>
      </w:hyperlink>
      <w:r w:rsidRPr="00CA5193">
        <w:rPr>
          <w:rStyle w:val="TextoNormalCaracter"/>
        </w:rPr>
        <w:t>, ff. 2, 5.</w:t>
      </w:r>
    </w:p>
    <w:p w:rsidR="00CA5193" w:rsidRPr="00CA5193" w:rsidRDefault="00CA5193" w:rsidP="00CA5193">
      <w:pPr>
        <w:pStyle w:val="TextoNormalSangraFrancesa"/>
        <w:rPr>
          <w:rStyle w:val="TextoNormalNegritaCaracter"/>
        </w:rPr>
      </w:pPr>
      <w:r w:rsidRPr="00CA5193">
        <w:rPr>
          <w:rStyle w:val="TextoNormalCursivaCaracter"/>
        </w:rPr>
        <w:t>Vicio de ultra vires</w:t>
      </w:r>
      <w:r>
        <w:t xml:space="preserve"> véase </w:t>
      </w:r>
      <w:hyperlink w:anchor="DESCRIPTORALFABETICO207" w:history="1">
        <w:r w:rsidRPr="00CA5193">
          <w:rPr>
            <w:rStyle w:val="TextoNormalNegritaCaracter"/>
          </w:rPr>
          <w:t>Exceso en el ejercicio de la delegación legislativa</w:t>
        </w:r>
      </w:hyperlink>
    </w:p>
    <w:p w:rsidR="00CA5193" w:rsidRPr="00CA5193" w:rsidRDefault="00CA5193" w:rsidP="00CA5193">
      <w:pPr>
        <w:pStyle w:val="TextoNormalSangraFrancesa"/>
        <w:rPr>
          <w:rStyle w:val="TextoNormalCaracter"/>
        </w:rPr>
      </w:pPr>
      <w:bookmarkStart w:id="1196" w:name="DESCRIPTORALFABETICO15"/>
      <w:r w:rsidRPr="00CA5193">
        <w:rPr>
          <w:rStyle w:val="TextoNormalNegritaCaracter"/>
        </w:rPr>
        <w:t>Vinculación de agrupaciones electorales con partidos políticos ilegalizados</w:t>
      </w:r>
      <w:bookmarkEnd w:id="1196"/>
      <w:r w:rsidRPr="00CA5193">
        <w:rPr>
          <w:rStyle w:val="TextoNormalCaracter"/>
        </w:rPr>
        <w:t xml:space="preserve">, Sentencia </w:t>
      </w:r>
      <w:hyperlink w:anchor="SENTENCIA_2007_110" w:history="1">
        <w:r w:rsidRPr="00CA5193">
          <w:rPr>
            <w:rStyle w:val="TextoNormalCaracter"/>
          </w:rPr>
          <w:t>110/2007</w:t>
        </w:r>
      </w:hyperlink>
      <w:r w:rsidRPr="00CA5193">
        <w:rPr>
          <w:rStyle w:val="TextoNormalCaracter"/>
        </w:rPr>
        <w:t>, ff. 11 a 17.</w:t>
      </w:r>
    </w:p>
    <w:p w:rsidR="00CA5193" w:rsidRPr="00CA5193" w:rsidRDefault="00CA5193" w:rsidP="00CA5193">
      <w:pPr>
        <w:pStyle w:val="TextoNormalSangraFrancesa"/>
        <w:rPr>
          <w:rStyle w:val="TextoNormalCaracter"/>
        </w:rPr>
      </w:pPr>
      <w:bookmarkStart w:id="1197" w:name="DESCRIPTORALFABETICO366"/>
      <w:r w:rsidRPr="00CA5193">
        <w:rPr>
          <w:rStyle w:val="TextoNormalNegritaCaracter"/>
        </w:rPr>
        <w:t>Visionado de grabaciones</w:t>
      </w:r>
      <w:bookmarkEnd w:id="1197"/>
      <w:r w:rsidRPr="00CA5193">
        <w:rPr>
          <w:rStyle w:val="TextoNormalCaracter"/>
        </w:rPr>
        <w:t xml:space="preserve">, Sentencia </w:t>
      </w:r>
      <w:hyperlink w:anchor="SENTENCIA_2007_126" w:history="1">
        <w:r w:rsidRPr="00CA5193">
          <w:rPr>
            <w:rStyle w:val="TextoNormalCaracter"/>
          </w:rPr>
          <w:t>126/2007</w:t>
        </w:r>
      </w:hyperlink>
      <w:r w:rsidRPr="00CA5193">
        <w:rPr>
          <w:rStyle w:val="TextoNormalCaracter"/>
        </w:rPr>
        <w:t>, ff. 2, 3, 5.</w:t>
      </w:r>
    </w:p>
    <w:p w:rsidR="00CA5193" w:rsidRPr="00CA5193" w:rsidRDefault="00CA5193" w:rsidP="00CA5193">
      <w:pPr>
        <w:pStyle w:val="TextoNormalSangraFrancesa"/>
        <w:rPr>
          <w:rStyle w:val="TextoNormalNegritaCaracter"/>
        </w:rPr>
      </w:pPr>
      <w:r w:rsidRPr="00CA5193">
        <w:rPr>
          <w:rStyle w:val="TextoNormalCursivaCaracter"/>
        </w:rPr>
        <w:t>Vista oral</w:t>
      </w:r>
      <w:r>
        <w:t xml:space="preserve"> véase </w:t>
      </w:r>
      <w:hyperlink w:anchor="DESCRIPTORALFABETICO454" w:history="1">
        <w:r w:rsidRPr="00CA5193">
          <w:rPr>
            <w:rStyle w:val="TextoNormalNegritaCaracter"/>
          </w:rPr>
          <w:t>Juicio oral</w:t>
        </w:r>
      </w:hyperlink>
    </w:p>
    <w:p w:rsidR="00CA5193" w:rsidRPr="00CA5193" w:rsidRDefault="00CA5193" w:rsidP="00CA5193">
      <w:pPr>
        <w:pStyle w:val="TextoNormalSangraFrancesa"/>
        <w:rPr>
          <w:rStyle w:val="TextoNormalCaracter"/>
        </w:rPr>
      </w:pPr>
      <w:bookmarkStart w:id="1198" w:name="DESCRIPTORALFABETICO192"/>
      <w:r w:rsidRPr="00CA5193">
        <w:rPr>
          <w:rStyle w:val="TextoNormalNegritaCaracter"/>
        </w:rPr>
        <w:t>Voto particular, formulado uno</w:t>
      </w:r>
      <w:bookmarkEnd w:id="1198"/>
      <w:r w:rsidRPr="00CA5193">
        <w:rPr>
          <w:rStyle w:val="TextoNormalCaracter"/>
        </w:rPr>
        <w:t xml:space="preserve">, Sentencias </w:t>
      </w:r>
      <w:hyperlink w:anchor="SENTENCIA_2007_108" w:history="1">
        <w:r w:rsidRPr="00CA5193">
          <w:rPr>
            <w:rStyle w:val="TextoNormalCaracter"/>
          </w:rPr>
          <w:t>108/2007</w:t>
        </w:r>
      </w:hyperlink>
      <w:r w:rsidRPr="00CA5193">
        <w:rPr>
          <w:rStyle w:val="TextoNormalCaracter"/>
        </w:rPr>
        <w:t xml:space="preserve">; </w:t>
      </w:r>
      <w:hyperlink w:anchor="SENTENCIA_2007_127" w:history="1">
        <w:r w:rsidRPr="00CA5193">
          <w:rPr>
            <w:rStyle w:val="TextoNormalCaracter"/>
          </w:rPr>
          <w:t>127/2007</w:t>
        </w:r>
      </w:hyperlink>
      <w:r w:rsidRPr="00CA5193">
        <w:rPr>
          <w:rStyle w:val="TextoNormalCaracter"/>
        </w:rPr>
        <w:t xml:space="preserve">; </w:t>
      </w:r>
      <w:hyperlink w:anchor="SENTENCIA_2007_128" w:history="1">
        <w:r w:rsidRPr="00CA5193">
          <w:rPr>
            <w:rStyle w:val="TextoNormalCaracter"/>
          </w:rPr>
          <w:t>128/2007</w:t>
        </w:r>
      </w:hyperlink>
      <w:r w:rsidRPr="00CA5193">
        <w:rPr>
          <w:rStyle w:val="TextoNormalCaracter"/>
        </w:rPr>
        <w:t xml:space="preserve">; </w:t>
      </w:r>
      <w:hyperlink w:anchor="SENTENCIA_2007_160" w:history="1">
        <w:r w:rsidRPr="00CA5193">
          <w:rPr>
            <w:rStyle w:val="TextoNormalCaracter"/>
          </w:rPr>
          <w:t>160/2007</w:t>
        </w:r>
      </w:hyperlink>
      <w:r w:rsidRPr="00CA5193">
        <w:rPr>
          <w:rStyle w:val="TextoNormalCaracter"/>
        </w:rPr>
        <w:t xml:space="preserve">; </w:t>
      </w:r>
      <w:hyperlink w:anchor="SENTENCIA_2007_177" w:history="1">
        <w:r w:rsidRPr="00CA5193">
          <w:rPr>
            <w:rStyle w:val="TextoNormalCaracter"/>
          </w:rPr>
          <w:t>177/2007</w:t>
        </w:r>
      </w:hyperlink>
      <w:r w:rsidRPr="00CA5193">
        <w:rPr>
          <w:rStyle w:val="TextoNormalCaracter"/>
        </w:rPr>
        <w:t>.</w:t>
      </w:r>
    </w:p>
    <w:p w:rsidR="00CA5193" w:rsidRPr="00CA5193" w:rsidRDefault="00CA5193" w:rsidP="00CA5193">
      <w:pPr>
        <w:pStyle w:val="TextoNormalSangraFrancesa"/>
        <w:rPr>
          <w:rStyle w:val="TextoNormalCaracter"/>
        </w:rPr>
      </w:pPr>
      <w:r w:rsidRPr="00CA5193">
        <w:rPr>
          <w:rStyle w:val="TextoNormalCaracter"/>
        </w:rPr>
        <w:t xml:space="preserve">    Auto </w:t>
      </w:r>
      <w:hyperlink w:anchor="AUTO_2007_355" w:history="1">
        <w:r w:rsidRPr="00CA5193">
          <w:rPr>
            <w:rStyle w:val="TextoNormalCaracter"/>
          </w:rPr>
          <w:t>355/2007</w:t>
        </w:r>
      </w:hyperlink>
      <w:r w:rsidRPr="00CA5193">
        <w:rPr>
          <w:rStyle w:val="TextoNormalCaracter"/>
        </w:rPr>
        <w:t>.</w:t>
      </w:r>
    </w:p>
    <w:p w:rsidR="00CA5193" w:rsidRPr="00CA5193" w:rsidRDefault="00CA5193" w:rsidP="00CA5193">
      <w:pPr>
        <w:pStyle w:val="TextoNormalSangraFrancesa"/>
        <w:rPr>
          <w:rStyle w:val="TextoNormalCaracter"/>
        </w:rPr>
      </w:pPr>
      <w:bookmarkStart w:id="1199" w:name="DESCRIPTORALFABETICO11"/>
      <w:r w:rsidRPr="00CA5193">
        <w:rPr>
          <w:rStyle w:val="TextoNormalNegritaCaracter"/>
        </w:rPr>
        <w:t>Votos nulos</w:t>
      </w:r>
      <w:bookmarkEnd w:id="1199"/>
      <w:r w:rsidRPr="00CA5193">
        <w:rPr>
          <w:rStyle w:val="TextoNormalCaracter"/>
        </w:rPr>
        <w:t xml:space="preserve">, Sentencias </w:t>
      </w:r>
      <w:hyperlink w:anchor="SENTENCIA_2007_167" w:history="1">
        <w:r w:rsidRPr="00CA5193">
          <w:rPr>
            <w:rStyle w:val="TextoNormalCaracter"/>
          </w:rPr>
          <w:t>167/2007</w:t>
        </w:r>
      </w:hyperlink>
      <w:r w:rsidRPr="00CA5193">
        <w:rPr>
          <w:rStyle w:val="TextoNormalCaracter"/>
        </w:rPr>
        <w:t xml:space="preserve">, f. 8; </w:t>
      </w:r>
      <w:hyperlink w:anchor="SENTENCIA_2007_168" w:history="1">
        <w:r w:rsidRPr="00CA5193">
          <w:rPr>
            <w:rStyle w:val="TextoNormalCaracter"/>
          </w:rPr>
          <w:t>168/2007</w:t>
        </w:r>
      </w:hyperlink>
      <w:r w:rsidRPr="00CA5193">
        <w:rPr>
          <w:rStyle w:val="TextoNormalCaracter"/>
        </w:rPr>
        <w:t xml:space="preserve">, f. 5; </w:t>
      </w:r>
      <w:hyperlink w:anchor="SENTENCIA_2007_169" w:history="1">
        <w:r w:rsidRPr="00CA5193">
          <w:rPr>
            <w:rStyle w:val="TextoNormalCaracter"/>
          </w:rPr>
          <w:t>169/2007</w:t>
        </w:r>
      </w:hyperlink>
      <w:r w:rsidRPr="00CA5193">
        <w:rPr>
          <w:rStyle w:val="TextoNormalCaracter"/>
        </w:rPr>
        <w:t xml:space="preserve">, f. 7; </w:t>
      </w:r>
      <w:hyperlink w:anchor="SENTENCIA_2007_170" w:history="1">
        <w:r w:rsidRPr="00CA5193">
          <w:rPr>
            <w:rStyle w:val="TextoNormalCaracter"/>
          </w:rPr>
          <w:t>170/2007</w:t>
        </w:r>
      </w:hyperlink>
      <w:r w:rsidRPr="00CA5193">
        <w:rPr>
          <w:rStyle w:val="TextoNormalCaracter"/>
        </w:rPr>
        <w:t>, f. 6.</w:t>
      </w:r>
    </w:p>
    <w:p w:rsidR="00CA5193" w:rsidRPr="00CA5193" w:rsidRDefault="00CA5193" w:rsidP="00CA5193">
      <w:pPr>
        <w:pStyle w:val="TextoNormalSangraFrancesa"/>
        <w:rPr>
          <w:rStyle w:val="TextoNormalCaracter"/>
        </w:rPr>
      </w:pPr>
      <w:bookmarkStart w:id="1200" w:name="DESCRIPTORALFABETICO193"/>
      <w:r w:rsidRPr="00CA5193">
        <w:rPr>
          <w:rStyle w:val="TextoNormalNegritaCaracter"/>
        </w:rPr>
        <w:t xml:space="preserve">Votos particulares, formulados dos </w:t>
      </w:r>
      <w:bookmarkEnd w:id="1200"/>
      <w:r w:rsidRPr="00CA5193">
        <w:rPr>
          <w:rStyle w:val="TextoNormalCaracter"/>
        </w:rPr>
        <w:t xml:space="preserve">, Auto </w:t>
      </w:r>
      <w:hyperlink w:anchor="AUTO_2007_289" w:history="1">
        <w:r w:rsidRPr="00CA5193">
          <w:rPr>
            <w:rStyle w:val="TextoNormalCaracter"/>
          </w:rPr>
          <w:t>289/2007</w:t>
        </w:r>
      </w:hyperlink>
      <w:r w:rsidRPr="00CA5193">
        <w:rPr>
          <w:rStyle w:val="TextoNormalCaracter"/>
        </w:rPr>
        <w:t>.</w:t>
      </w:r>
    </w:p>
    <w:p w:rsidR="00CA5193" w:rsidRPr="00CA5193" w:rsidRDefault="00CA5193" w:rsidP="00CA5193">
      <w:pPr>
        <w:pStyle w:val="TextoNormalSangraFrancesa"/>
        <w:rPr>
          <w:rStyle w:val="TextoNormalCaracter"/>
        </w:rPr>
      </w:pPr>
      <w:bookmarkStart w:id="1201" w:name="DESCRIPTORALFABETICO115"/>
      <w:r w:rsidRPr="00CA5193">
        <w:rPr>
          <w:rStyle w:val="TextoNormalNegritaCaracter"/>
        </w:rPr>
        <w:t>Vulneración no acreditada</w:t>
      </w:r>
      <w:bookmarkEnd w:id="1201"/>
      <w:r w:rsidRPr="00CA5193">
        <w:rPr>
          <w:rStyle w:val="TextoNormalCaracter"/>
        </w:rPr>
        <w:t xml:space="preserve">, Sentencia </w:t>
      </w:r>
      <w:hyperlink w:anchor="SENTENCIA_2007_156" w:history="1">
        <w:r w:rsidRPr="00CA5193">
          <w:rPr>
            <w:rStyle w:val="TextoNormalCaracter"/>
          </w:rPr>
          <w:t>156/2007</w:t>
        </w:r>
      </w:hyperlink>
      <w:r w:rsidRPr="00CA5193">
        <w:rPr>
          <w:rStyle w:val="TextoNormalCaracter"/>
        </w:rPr>
        <w:t>, f. 2.</w:t>
      </w:r>
    </w:p>
    <w:p w:rsidR="00CA5193" w:rsidRDefault="00CA5193">
      <w:pPr>
        <w:spacing w:after="160" w:line="259" w:lineRule="auto"/>
        <w:rPr>
          <w:rFonts w:ascii="Times New Roman" w:eastAsia="Times New Roman" w:hAnsi="Times New Roman" w:cs="Times New Roman"/>
          <w:sz w:val="24"/>
          <w:szCs w:val="24"/>
          <w:lang w:eastAsia="es-ES"/>
        </w:rPr>
      </w:pPr>
      <w:r>
        <w:br w:type="page"/>
      </w:r>
    </w:p>
    <w:p w:rsidR="00CA5193" w:rsidRDefault="00CA5193" w:rsidP="00CA5193">
      <w:pPr>
        <w:pStyle w:val="TextoNormalSangraFrancesa"/>
      </w:pPr>
    </w:p>
    <w:p w:rsidR="00C11C9E" w:rsidRDefault="00C11C9E" w:rsidP="00C11C9E">
      <w:pPr>
        <w:pStyle w:val="TextoNormalSangraFrancesa"/>
      </w:pPr>
    </w:p>
    <w:p w:rsidR="00C11C9E" w:rsidRDefault="00C11C9E" w:rsidP="00C11C9E">
      <w:pPr>
        <w:pStyle w:val="TextoNormalSangraFrancesa"/>
      </w:pPr>
    </w:p>
    <w:p w:rsidR="00C11C9E" w:rsidRDefault="00C11C9E" w:rsidP="00C11C9E">
      <w:pPr>
        <w:pStyle w:val="TextoNormalSangraFrancesa"/>
      </w:pPr>
    </w:p>
    <w:p w:rsidR="00C11C9E" w:rsidRDefault="00C11C9E" w:rsidP="00C11C9E">
      <w:pPr>
        <w:pStyle w:val="TextoNormalSangraFrancesa"/>
      </w:pPr>
    </w:p>
    <w:p w:rsidR="00C11C9E" w:rsidRDefault="00C11C9E" w:rsidP="00C11C9E">
      <w:pPr>
        <w:pStyle w:val="TextoNormalSangraFrancesa"/>
      </w:pPr>
    </w:p>
    <w:p w:rsidR="00C11C9E" w:rsidRDefault="00C11C9E" w:rsidP="00C11C9E">
      <w:pPr>
        <w:pStyle w:val="TextoNormalSangraFrancesa"/>
      </w:pPr>
    </w:p>
    <w:p w:rsidR="00C11C9E" w:rsidRDefault="00C11C9E" w:rsidP="00C11C9E">
      <w:pPr>
        <w:pStyle w:val="TextoNormalSangraFrancesa"/>
      </w:pPr>
    </w:p>
    <w:p w:rsidR="00C11C9E" w:rsidRDefault="00C11C9E" w:rsidP="00C11C9E">
      <w:pPr>
        <w:pStyle w:val="Ttulondice"/>
      </w:pPr>
      <w:bookmarkStart w:id="1202" w:name="ACRONIMOS"/>
      <w:r>
        <w:t>8. ABREVIATURAS Y ACRÓNIMOS</w:t>
      </w:r>
    </w:p>
    <w:bookmarkEnd w:id="1202"/>
    <w:p w:rsidR="00C11C9E" w:rsidRDefault="00C11C9E" w:rsidP="00C11C9E">
      <w:pPr>
        <w:pStyle w:val="Ttulondice"/>
      </w:pPr>
    </w:p>
    <w:p w:rsidR="00C11C9E" w:rsidRDefault="00C11C9E" w:rsidP="00C11C9E">
      <w:pPr>
        <w:pStyle w:val="Ttulondice"/>
      </w:pPr>
    </w:p>
    <w:p w:rsidR="00C11C9E" w:rsidRDefault="00C11C9E" w:rsidP="00C11C9E">
      <w:pPr>
        <w:pStyle w:val="Ttulondice"/>
      </w:pPr>
    </w:p>
    <w:p w:rsidR="00C11C9E" w:rsidRDefault="00C11C9E" w:rsidP="00C11C9E">
      <w:pPr>
        <w:pStyle w:val="Ttulondice"/>
      </w:pPr>
    </w:p>
    <w:p w:rsidR="00C11C9E" w:rsidRDefault="00C11C9E" w:rsidP="00C11C9E">
      <w:pPr>
        <w:pStyle w:val="TextoAbreviaturas"/>
      </w:pPr>
      <w:r>
        <w:t>AEAT</w:t>
      </w:r>
      <w:r>
        <w:tab/>
        <w:t>Agencia estatal de la administración tributaria</w:t>
      </w:r>
    </w:p>
    <w:p w:rsidR="00C11C9E" w:rsidRDefault="00C11C9E" w:rsidP="00C11C9E">
      <w:pPr>
        <w:pStyle w:val="TextoAbreviaturas"/>
      </w:pPr>
      <w:r>
        <w:t>ATC</w:t>
      </w:r>
      <w:r>
        <w:tab/>
        <w:t>Auto del Tribunal Constitucional</w:t>
      </w:r>
    </w:p>
    <w:p w:rsidR="00C11C9E" w:rsidRDefault="00C11C9E" w:rsidP="00C11C9E">
      <w:pPr>
        <w:pStyle w:val="TextoAbreviaturas"/>
      </w:pPr>
      <w:r>
        <w:t>AATC</w:t>
      </w:r>
      <w:r>
        <w:tab/>
        <w:t>Autos del Tribunal Constitucional</w:t>
      </w:r>
    </w:p>
    <w:p w:rsidR="00C11C9E" w:rsidRDefault="00C11C9E" w:rsidP="00C11C9E">
      <w:pPr>
        <w:pStyle w:val="TextoAbreviaturas"/>
      </w:pPr>
      <w:r>
        <w:t>BBVA</w:t>
      </w:r>
      <w:r>
        <w:tab/>
        <w:t>Banco Bilbao Vizcaya Argentaria</w:t>
      </w:r>
    </w:p>
    <w:p w:rsidR="00C11C9E" w:rsidRDefault="00C11C9E" w:rsidP="00C11C9E">
      <w:pPr>
        <w:pStyle w:val="TextoAbreviaturas"/>
      </w:pPr>
      <w:r>
        <w:t>BNG</w:t>
      </w:r>
      <w:r>
        <w:tab/>
        <w:t>Bloque Nacionalista Galego</w:t>
      </w:r>
    </w:p>
    <w:p w:rsidR="00C11C9E" w:rsidRDefault="00C11C9E" w:rsidP="00C11C9E">
      <w:pPr>
        <w:pStyle w:val="TextoAbreviaturas"/>
      </w:pPr>
      <w:r>
        <w:t>BOE</w:t>
      </w:r>
      <w:r>
        <w:tab/>
        <w:t>Boletín Oficial del Estado</w:t>
      </w:r>
    </w:p>
    <w:p w:rsidR="00C11C9E" w:rsidRDefault="00C11C9E" w:rsidP="00C11C9E">
      <w:pPr>
        <w:pStyle w:val="TextoAbreviaturas"/>
      </w:pPr>
      <w:r>
        <w:t>CC</w:t>
      </w:r>
      <w:r>
        <w:tab/>
        <w:t>Código civil</w:t>
      </w:r>
    </w:p>
    <w:p w:rsidR="00C11C9E" w:rsidRDefault="00C11C9E" w:rsidP="00C11C9E">
      <w:pPr>
        <w:pStyle w:val="TextoAbreviaturas"/>
      </w:pPr>
      <w:r>
        <w:t>CCOO</w:t>
      </w:r>
      <w:r>
        <w:tab/>
        <w:t>Comisiones Obreras</w:t>
      </w:r>
    </w:p>
    <w:p w:rsidR="00C11C9E" w:rsidRDefault="00C11C9E" w:rsidP="00C11C9E">
      <w:pPr>
        <w:pStyle w:val="TextoAbreviaturas"/>
      </w:pPr>
      <w:r>
        <w:t>CE</w:t>
      </w:r>
      <w:r>
        <w:tab/>
        <w:t>Constitución española</w:t>
      </w:r>
    </w:p>
    <w:p w:rsidR="00C11C9E" w:rsidRDefault="00C11C9E" w:rsidP="00C11C9E">
      <w:pPr>
        <w:pStyle w:val="TextoAbreviaturas"/>
      </w:pPr>
      <w:r>
        <w:t>CEDH</w:t>
      </w:r>
      <w:r>
        <w:tab/>
        <w:t>Convenio europeo para la protección de los derechos humanos y de las libertades fundamentales</w:t>
      </w:r>
    </w:p>
    <w:p w:rsidR="00C11C9E" w:rsidRDefault="00C11C9E" w:rsidP="00C11C9E">
      <w:pPr>
        <w:pStyle w:val="TextoAbreviaturas"/>
      </w:pPr>
      <w:r>
        <w:t>CEE</w:t>
      </w:r>
      <w:r>
        <w:tab/>
        <w:t>Comunidad Económica Europea</w:t>
      </w:r>
    </w:p>
    <w:p w:rsidR="00C11C9E" w:rsidRDefault="00C11C9E" w:rsidP="00C11C9E">
      <w:pPr>
        <w:pStyle w:val="TextoAbreviaturas"/>
      </w:pPr>
      <w:r>
        <w:t>CGPJ</w:t>
      </w:r>
      <w:r>
        <w:tab/>
        <w:t>Consejo General del Poder Judicial</w:t>
      </w:r>
    </w:p>
    <w:p w:rsidR="00C11C9E" w:rsidRDefault="00C11C9E" w:rsidP="00C11C9E">
      <w:pPr>
        <w:pStyle w:val="TextoAbreviaturas"/>
      </w:pPr>
      <w:r>
        <w:t>CGT</w:t>
      </w:r>
      <w:r>
        <w:tab/>
        <w:t>Confederación General de Trabajadores</w:t>
      </w:r>
    </w:p>
    <w:p w:rsidR="00C11C9E" w:rsidRDefault="00C11C9E" w:rsidP="00C11C9E">
      <w:pPr>
        <w:pStyle w:val="TextoAbreviaturas"/>
      </w:pPr>
      <w:r>
        <w:t>CMAC</w:t>
      </w:r>
      <w:r>
        <w:tab/>
        <w:t>Centro de Mediación, Arbitraje y Conciliación</w:t>
      </w:r>
    </w:p>
    <w:p w:rsidR="00C11C9E" w:rsidRDefault="00C11C9E" w:rsidP="00C11C9E">
      <w:pPr>
        <w:pStyle w:val="TextoAbreviaturas"/>
      </w:pPr>
      <w:r>
        <w:t>CP</w:t>
      </w:r>
      <w:r>
        <w:tab/>
        <w:t>Código penal</w:t>
      </w:r>
    </w:p>
    <w:p w:rsidR="00C11C9E" w:rsidRDefault="00C11C9E" w:rsidP="00C11C9E">
      <w:pPr>
        <w:pStyle w:val="TextoAbreviaturas"/>
      </w:pPr>
      <w:r>
        <w:t>EAC</w:t>
      </w:r>
      <w:r>
        <w:tab/>
        <w:t>Estatuto de Autonomía de Cataluña</w:t>
      </w:r>
    </w:p>
    <w:p w:rsidR="00C11C9E" w:rsidRDefault="00C11C9E" w:rsidP="00C11C9E">
      <w:pPr>
        <w:pStyle w:val="TextoAbreviaturas"/>
      </w:pPr>
      <w:r>
        <w:t>EAE</w:t>
      </w:r>
      <w:r>
        <w:tab/>
        <w:t>Estatuto de Autonomía de Extremadura</w:t>
      </w:r>
    </w:p>
    <w:p w:rsidR="00C11C9E" w:rsidRDefault="00C11C9E" w:rsidP="00C11C9E">
      <w:pPr>
        <w:pStyle w:val="TextoAbreviaturas"/>
      </w:pPr>
      <w:r>
        <w:t>ESO</w:t>
      </w:r>
      <w:r>
        <w:tab/>
        <w:t>Enseñanza Secundaria Obligatoria</w:t>
      </w:r>
    </w:p>
    <w:p w:rsidR="00C11C9E" w:rsidRDefault="00C11C9E" w:rsidP="00C11C9E">
      <w:pPr>
        <w:pStyle w:val="TextoAbreviaturas"/>
      </w:pPr>
      <w:r>
        <w:t>ETA</w:t>
      </w:r>
      <w:r>
        <w:tab/>
        <w:t>Euskadi Ta Askatasuna</w:t>
      </w:r>
    </w:p>
    <w:p w:rsidR="00C11C9E" w:rsidRDefault="00C11C9E" w:rsidP="00C11C9E">
      <w:pPr>
        <w:pStyle w:val="TextoAbreviaturas"/>
      </w:pPr>
      <w:r>
        <w:t>FJ</w:t>
      </w:r>
      <w:r>
        <w:tab/>
        <w:t>Fundamento jurídico</w:t>
      </w:r>
    </w:p>
    <w:p w:rsidR="00C11C9E" w:rsidRDefault="00C11C9E" w:rsidP="00C11C9E">
      <w:pPr>
        <w:pStyle w:val="TextoAbreviaturas"/>
      </w:pPr>
      <w:r>
        <w:t>FFJJ</w:t>
      </w:r>
      <w:r>
        <w:tab/>
        <w:t>Fundamentos jurídicos</w:t>
      </w:r>
    </w:p>
    <w:p w:rsidR="00C11C9E" w:rsidRDefault="00C11C9E" w:rsidP="00C11C9E">
      <w:pPr>
        <w:pStyle w:val="TextoAbreviaturas"/>
      </w:pPr>
      <w:r>
        <w:t>FOGASA</w:t>
      </w:r>
      <w:r>
        <w:tab/>
        <w:t>Fondo de Garantía Salarial</w:t>
      </w:r>
    </w:p>
    <w:p w:rsidR="00C11C9E" w:rsidRDefault="00C11C9E" w:rsidP="00C11C9E">
      <w:pPr>
        <w:pStyle w:val="TextoAbreviaturas"/>
      </w:pPr>
      <w:r>
        <w:t>HB</w:t>
      </w:r>
      <w:r>
        <w:tab/>
        <w:t>Herri Batasuna</w:t>
      </w:r>
    </w:p>
    <w:p w:rsidR="00C11C9E" w:rsidRDefault="00C11C9E" w:rsidP="00C11C9E">
      <w:pPr>
        <w:pStyle w:val="TextoAbreviaturas"/>
      </w:pPr>
      <w:r>
        <w:t>INEM</w:t>
      </w:r>
      <w:r>
        <w:tab/>
        <w:t>Instituto Nacional de Empleo</w:t>
      </w:r>
    </w:p>
    <w:p w:rsidR="00C11C9E" w:rsidRDefault="00C11C9E" w:rsidP="00C11C9E">
      <w:pPr>
        <w:pStyle w:val="TextoAbreviaturas"/>
      </w:pPr>
      <w:r>
        <w:t>INSS</w:t>
      </w:r>
      <w:r>
        <w:tab/>
        <w:t>Instituto Nacional de la Seguridad Social</w:t>
      </w:r>
    </w:p>
    <w:p w:rsidR="00C11C9E" w:rsidRDefault="00C11C9E" w:rsidP="00C11C9E">
      <w:pPr>
        <w:pStyle w:val="TextoAbreviaturas"/>
      </w:pPr>
      <w:r>
        <w:t>IRPF</w:t>
      </w:r>
      <w:r>
        <w:tab/>
        <w:t>Impuesto sobre la renta de las personas físicas</w:t>
      </w:r>
    </w:p>
    <w:p w:rsidR="00C11C9E" w:rsidRDefault="00C11C9E" w:rsidP="00C11C9E">
      <w:pPr>
        <w:pStyle w:val="TextoAbreviaturas"/>
      </w:pPr>
      <w:r>
        <w:t>ITP</w:t>
      </w:r>
      <w:r>
        <w:tab/>
        <w:t>Impuesto sobre transmisiones patrimoniales</w:t>
      </w:r>
    </w:p>
    <w:p w:rsidR="00C11C9E" w:rsidRDefault="00C11C9E" w:rsidP="00C11C9E">
      <w:pPr>
        <w:pStyle w:val="TextoAbreviaturas"/>
      </w:pPr>
      <w:r>
        <w:t>IVA</w:t>
      </w:r>
      <w:r>
        <w:tab/>
        <w:t>Impuesto sobre el valor añadido</w:t>
      </w:r>
    </w:p>
    <w:p w:rsidR="00C11C9E" w:rsidRDefault="00C11C9E" w:rsidP="00C11C9E">
      <w:pPr>
        <w:pStyle w:val="TextoAbreviaturas"/>
      </w:pPr>
      <w:r>
        <w:t>LAJG</w:t>
      </w:r>
      <w:r>
        <w:tab/>
        <w:t>Ley de asistencia jurídica gratuita</w:t>
      </w:r>
    </w:p>
    <w:p w:rsidR="00C11C9E" w:rsidRDefault="00C11C9E" w:rsidP="00C11C9E">
      <w:pPr>
        <w:pStyle w:val="TextoAbreviaturas"/>
      </w:pPr>
      <w:r>
        <w:t>LBRL</w:t>
      </w:r>
      <w:r>
        <w:tab/>
        <w:t>Ley reguladora de las bases de régimen local</w:t>
      </w:r>
    </w:p>
    <w:p w:rsidR="00C11C9E" w:rsidRDefault="00C11C9E" w:rsidP="00C11C9E">
      <w:pPr>
        <w:pStyle w:val="TextoAbreviaturas"/>
      </w:pPr>
      <w:r>
        <w:t>LEC</w:t>
      </w:r>
      <w:r>
        <w:tab/>
        <w:t>Ley de enjuiciamiento civil</w:t>
      </w:r>
    </w:p>
    <w:p w:rsidR="00C11C9E" w:rsidRDefault="00C11C9E" w:rsidP="00C11C9E">
      <w:pPr>
        <w:pStyle w:val="TextoAbreviaturas"/>
      </w:pPr>
      <w:r>
        <w:lastRenderedPageBreak/>
        <w:t>LECrim</w:t>
      </w:r>
      <w:r>
        <w:tab/>
        <w:t>Ley de enjuiciamiento criminal</w:t>
      </w:r>
    </w:p>
    <w:p w:rsidR="00C11C9E" w:rsidRDefault="00C11C9E" w:rsidP="00C11C9E">
      <w:pPr>
        <w:pStyle w:val="TextoAbreviaturas"/>
      </w:pPr>
      <w:r>
        <w:t>LET</w:t>
      </w:r>
      <w:r>
        <w:tab/>
        <w:t>Ley del estatuto de los trabajadores</w:t>
      </w:r>
    </w:p>
    <w:p w:rsidR="00C11C9E" w:rsidRDefault="00C11C9E" w:rsidP="00C11C9E">
      <w:pPr>
        <w:pStyle w:val="TextoAbreviaturas"/>
      </w:pPr>
      <w:r>
        <w:t>LGSS</w:t>
      </w:r>
      <w:r>
        <w:tab/>
        <w:t>Ley general de la Seguridad Social</w:t>
      </w:r>
    </w:p>
    <w:p w:rsidR="00C11C9E" w:rsidRDefault="00C11C9E" w:rsidP="00C11C9E">
      <w:pPr>
        <w:pStyle w:val="TextoAbreviaturas"/>
      </w:pPr>
      <w:r>
        <w:t>LGT</w:t>
      </w:r>
      <w:r>
        <w:tab/>
        <w:t>Ley general tributaria</w:t>
      </w:r>
    </w:p>
    <w:p w:rsidR="00C11C9E" w:rsidRDefault="00C11C9E" w:rsidP="00C11C9E">
      <w:pPr>
        <w:pStyle w:val="TextoAbreviaturas"/>
      </w:pPr>
      <w:r>
        <w:t>LIVA</w:t>
      </w:r>
      <w:r>
        <w:tab/>
        <w:t>Ley del impuesto sobre el valor añadido</w:t>
      </w:r>
    </w:p>
    <w:p w:rsidR="00C11C9E" w:rsidRDefault="00C11C9E" w:rsidP="00C11C9E">
      <w:pPr>
        <w:pStyle w:val="TextoAbreviaturas"/>
      </w:pPr>
      <w:r>
        <w:t>LJCA</w:t>
      </w:r>
      <w:r>
        <w:tab/>
        <w:t>Ley reguladora de la jurisdicción contencioso-administrativa</w:t>
      </w:r>
    </w:p>
    <w:p w:rsidR="00C11C9E" w:rsidRDefault="00C11C9E" w:rsidP="00C11C9E">
      <w:pPr>
        <w:pStyle w:val="TextoAbreviaturas"/>
      </w:pPr>
      <w:r>
        <w:t>LODE</w:t>
      </w:r>
      <w:r>
        <w:tab/>
        <w:t>Ley Orgánica del derecho a la educación</w:t>
      </w:r>
    </w:p>
    <w:p w:rsidR="00C11C9E" w:rsidRDefault="00C11C9E" w:rsidP="00C11C9E">
      <w:pPr>
        <w:pStyle w:val="TextoAbreviaturas"/>
      </w:pPr>
      <w:r>
        <w:t>LOFCA</w:t>
      </w:r>
      <w:r>
        <w:tab/>
        <w:t>Ley Orgánica de financiación de las Comunidades Autónomas</w:t>
      </w:r>
    </w:p>
    <w:p w:rsidR="00C11C9E" w:rsidRDefault="00C11C9E" w:rsidP="00C11C9E">
      <w:pPr>
        <w:pStyle w:val="TextoAbreviaturas"/>
      </w:pPr>
      <w:r>
        <w:t>LOGP</w:t>
      </w:r>
      <w:r>
        <w:tab/>
        <w:t>Ley Orgánica general penitenciaria</w:t>
      </w:r>
    </w:p>
    <w:p w:rsidR="00C11C9E" w:rsidRDefault="00C11C9E" w:rsidP="00C11C9E">
      <w:pPr>
        <w:pStyle w:val="TextoAbreviaturas"/>
      </w:pPr>
      <w:r>
        <w:t>LOGSE</w:t>
      </w:r>
      <w:r>
        <w:tab/>
        <w:t>Ley Orgánica de ordenación general del sistema educativo</w:t>
      </w:r>
    </w:p>
    <w:p w:rsidR="00C11C9E" w:rsidRDefault="00C11C9E" w:rsidP="00C11C9E">
      <w:pPr>
        <w:pStyle w:val="TextoAbreviaturas"/>
      </w:pPr>
      <w:r>
        <w:t>LOHC</w:t>
      </w:r>
      <w:r>
        <w:tab/>
        <w:t>Ley Orgánica de regulación del procedimiento de habeas corpus</w:t>
      </w:r>
    </w:p>
    <w:p w:rsidR="00C11C9E" w:rsidRDefault="00C11C9E" w:rsidP="00C11C9E">
      <w:pPr>
        <w:pStyle w:val="TextoAbreviaturas"/>
      </w:pPr>
      <w:r>
        <w:t>LOLR</w:t>
      </w:r>
      <w:r>
        <w:tab/>
        <w:t>Ley Orgánica de libertad religiosa</w:t>
      </w:r>
    </w:p>
    <w:p w:rsidR="00C11C9E" w:rsidRDefault="00C11C9E" w:rsidP="00C11C9E">
      <w:pPr>
        <w:pStyle w:val="TextoAbreviaturas"/>
      </w:pPr>
      <w:r>
        <w:t>LOPJ</w:t>
      </w:r>
      <w:r>
        <w:tab/>
        <w:t>Ley Orgánica del Poder Judicial</w:t>
      </w:r>
    </w:p>
    <w:p w:rsidR="00C11C9E" w:rsidRDefault="00C11C9E" w:rsidP="00C11C9E">
      <w:pPr>
        <w:pStyle w:val="TextoAbreviaturas"/>
      </w:pPr>
      <w:r>
        <w:t>LOPP</w:t>
      </w:r>
      <w:r>
        <w:tab/>
        <w:t>Ley Orgánica de partidos políticos</w:t>
      </w:r>
    </w:p>
    <w:p w:rsidR="00C11C9E" w:rsidRDefault="00C11C9E" w:rsidP="00C11C9E">
      <w:pPr>
        <w:pStyle w:val="TextoAbreviaturas"/>
      </w:pPr>
      <w:r>
        <w:t>LOREG</w:t>
      </w:r>
      <w:r>
        <w:tab/>
        <w:t>Ley Orgánica del régimen electoral general</w:t>
      </w:r>
    </w:p>
    <w:p w:rsidR="00C11C9E" w:rsidRDefault="00C11C9E" w:rsidP="00C11C9E">
      <w:pPr>
        <w:pStyle w:val="TextoAbreviaturas"/>
      </w:pPr>
      <w:r>
        <w:t>LORTAD</w:t>
      </w:r>
      <w:r>
        <w:tab/>
        <w:t>Ley Orgánica de regulación del tratamiento automatizado de los datos personales</w:t>
      </w:r>
    </w:p>
    <w:p w:rsidR="00C11C9E" w:rsidRDefault="00C11C9E" w:rsidP="00C11C9E">
      <w:pPr>
        <w:pStyle w:val="TextoAbreviaturas"/>
      </w:pPr>
      <w:r>
        <w:t>LOTC</w:t>
      </w:r>
      <w:r>
        <w:tab/>
        <w:t>Ley Orgánica del Tribunal Constitucional</w:t>
      </w:r>
    </w:p>
    <w:p w:rsidR="00C11C9E" w:rsidRDefault="00C11C9E" w:rsidP="00C11C9E">
      <w:pPr>
        <w:pStyle w:val="TextoAbreviaturas"/>
      </w:pPr>
      <w:r>
        <w:t>LOTJ</w:t>
      </w:r>
      <w:r>
        <w:tab/>
        <w:t>Ley Orgánica del Tribunal del Jurado</w:t>
      </w:r>
    </w:p>
    <w:p w:rsidR="00C11C9E" w:rsidRDefault="00C11C9E" w:rsidP="00C11C9E">
      <w:pPr>
        <w:pStyle w:val="TextoAbreviaturas"/>
      </w:pPr>
      <w:r>
        <w:t>LPA</w:t>
      </w:r>
      <w:r>
        <w:tab/>
        <w:t>Ley de procedimiento administrativo</w:t>
      </w:r>
    </w:p>
    <w:p w:rsidR="00C11C9E" w:rsidRDefault="00C11C9E" w:rsidP="00C11C9E">
      <w:pPr>
        <w:pStyle w:val="TextoAbreviaturas"/>
      </w:pPr>
      <w:r>
        <w:t>LPL</w:t>
      </w:r>
      <w:r>
        <w:tab/>
        <w:t>Ley de procedimiento laboral</w:t>
      </w:r>
    </w:p>
    <w:p w:rsidR="00C11C9E" w:rsidRDefault="00C11C9E" w:rsidP="00C11C9E">
      <w:pPr>
        <w:pStyle w:val="TextoAbreviaturas"/>
      </w:pPr>
      <w:r>
        <w:t>PIDCP</w:t>
      </w:r>
      <w:r>
        <w:tab/>
        <w:t>Pacto internacional de derechos civiles y políticos</w:t>
      </w:r>
    </w:p>
    <w:p w:rsidR="00C11C9E" w:rsidRDefault="00C11C9E" w:rsidP="00C11C9E">
      <w:pPr>
        <w:pStyle w:val="TextoAbreviaturas"/>
      </w:pPr>
      <w:r>
        <w:t>PP</w:t>
      </w:r>
      <w:r>
        <w:tab/>
        <w:t>Partido Popular</w:t>
      </w:r>
    </w:p>
    <w:p w:rsidR="00C11C9E" w:rsidRDefault="00C11C9E" w:rsidP="00C11C9E">
      <w:pPr>
        <w:pStyle w:val="TextoAbreviaturas"/>
      </w:pPr>
      <w:r>
        <w:t>PSOE</w:t>
      </w:r>
      <w:r>
        <w:tab/>
        <w:t>Partido Socialista Obrero Español</w:t>
      </w:r>
    </w:p>
    <w:p w:rsidR="00C11C9E" w:rsidRDefault="00C11C9E" w:rsidP="00C11C9E">
      <w:pPr>
        <w:pStyle w:val="TextoAbreviaturas"/>
      </w:pPr>
      <w:r>
        <w:t>RCD</w:t>
      </w:r>
      <w:r>
        <w:tab/>
        <w:t>Reglamento del Congreso de los Diputados</w:t>
      </w:r>
    </w:p>
    <w:p w:rsidR="00C11C9E" w:rsidRDefault="00C11C9E" w:rsidP="00C11C9E">
      <w:pPr>
        <w:pStyle w:val="TextoAbreviaturas"/>
      </w:pPr>
      <w:r>
        <w:t>RGR</w:t>
      </w:r>
      <w:r>
        <w:tab/>
        <w:t>Reglamento general de recaudación</w:t>
      </w:r>
    </w:p>
    <w:p w:rsidR="00C11C9E" w:rsidRDefault="00C11C9E" w:rsidP="00C11C9E">
      <w:pPr>
        <w:pStyle w:val="TextoAbreviaturas"/>
      </w:pPr>
      <w:r>
        <w:t>RP</w:t>
      </w:r>
      <w:r>
        <w:tab/>
        <w:t>Reglamento penitenciario</w:t>
      </w:r>
    </w:p>
    <w:p w:rsidR="00C11C9E" w:rsidRDefault="00C11C9E" w:rsidP="00C11C9E">
      <w:pPr>
        <w:pStyle w:val="TextoAbreviaturas"/>
      </w:pPr>
      <w:r>
        <w:t>RPT</w:t>
      </w:r>
      <w:r>
        <w:tab/>
        <w:t>Relación de puestos de trabajo</w:t>
      </w:r>
    </w:p>
    <w:p w:rsidR="00C11C9E" w:rsidRDefault="00C11C9E" w:rsidP="00C11C9E">
      <w:pPr>
        <w:pStyle w:val="TextoAbreviaturas"/>
      </w:pPr>
      <w:r>
        <w:t>RTVE</w:t>
      </w:r>
      <w:r>
        <w:tab/>
        <w:t>Radio Televisión Española</w:t>
      </w:r>
    </w:p>
    <w:p w:rsidR="00C11C9E" w:rsidRDefault="00C11C9E" w:rsidP="00C11C9E">
      <w:pPr>
        <w:pStyle w:val="TextoAbreviaturas"/>
      </w:pPr>
      <w:r>
        <w:t>SAS</w:t>
      </w:r>
      <w:r>
        <w:tab/>
        <w:t>Servicio Andaluz de Salud</w:t>
      </w:r>
    </w:p>
    <w:p w:rsidR="00C11C9E" w:rsidRDefault="00C11C9E" w:rsidP="00C11C9E">
      <w:pPr>
        <w:pStyle w:val="TextoAbreviaturas"/>
      </w:pPr>
      <w:r>
        <w:t>STC</w:t>
      </w:r>
      <w:r>
        <w:tab/>
        <w:t>Sentencia del Tribunal Constitucional</w:t>
      </w:r>
    </w:p>
    <w:p w:rsidR="00C11C9E" w:rsidRDefault="00C11C9E" w:rsidP="00C11C9E">
      <w:pPr>
        <w:pStyle w:val="TextoAbreviaturas"/>
      </w:pPr>
      <w:r>
        <w:t>SSTC</w:t>
      </w:r>
      <w:r>
        <w:tab/>
        <w:t>Sentencias del Tribunal Constitucional</w:t>
      </w:r>
    </w:p>
    <w:p w:rsidR="00C11C9E" w:rsidRDefault="00C11C9E" w:rsidP="00C11C9E">
      <w:pPr>
        <w:pStyle w:val="TextoAbreviaturas"/>
      </w:pPr>
      <w:r>
        <w:t>STEDH</w:t>
      </w:r>
      <w:r>
        <w:tab/>
        <w:t>Sentencia del Tribunal Europeo de Derechos Humanos</w:t>
      </w:r>
    </w:p>
    <w:p w:rsidR="00C11C9E" w:rsidRDefault="00C11C9E" w:rsidP="00C11C9E">
      <w:pPr>
        <w:pStyle w:val="TextoAbreviaturas"/>
      </w:pPr>
      <w:r>
        <w:t>SSTEDH</w:t>
      </w:r>
      <w:r>
        <w:tab/>
        <w:t>Sentencias del Tribunal Europeo de Derechos Humanos</w:t>
      </w:r>
    </w:p>
    <w:p w:rsidR="00C11C9E" w:rsidRDefault="00C11C9E" w:rsidP="00C11C9E">
      <w:pPr>
        <w:pStyle w:val="TextoAbreviaturas"/>
      </w:pPr>
      <w:r>
        <w:t>STJCE</w:t>
      </w:r>
      <w:r>
        <w:tab/>
        <w:t>Sentencia del Tribunal de Justicia de las Comunidades Europeas</w:t>
      </w:r>
    </w:p>
    <w:p w:rsidR="00C11C9E" w:rsidRDefault="00C11C9E" w:rsidP="00C11C9E">
      <w:pPr>
        <w:pStyle w:val="TextoAbreviaturas"/>
      </w:pPr>
      <w:r>
        <w:t>STS</w:t>
      </w:r>
      <w:r>
        <w:tab/>
        <w:t>Sentencia del Tribunal Supremo</w:t>
      </w:r>
    </w:p>
    <w:p w:rsidR="00C11C9E" w:rsidRDefault="00C11C9E" w:rsidP="00C11C9E">
      <w:pPr>
        <w:pStyle w:val="TextoAbreviaturas"/>
      </w:pPr>
      <w:r>
        <w:t>SSTS</w:t>
      </w:r>
      <w:r>
        <w:tab/>
        <w:t>Sentencias del Tribunal Supremo</w:t>
      </w:r>
    </w:p>
    <w:p w:rsidR="00C11C9E" w:rsidRDefault="00C11C9E" w:rsidP="00C11C9E">
      <w:pPr>
        <w:pStyle w:val="TextoAbreviaturas"/>
      </w:pPr>
      <w:r>
        <w:t>TCE</w:t>
      </w:r>
      <w:r>
        <w:tab/>
        <w:t>Tratado constitutivo de la Comunidad Europea</w:t>
      </w:r>
    </w:p>
    <w:p w:rsidR="00C11C9E" w:rsidRDefault="00C11C9E" w:rsidP="00C11C9E">
      <w:pPr>
        <w:pStyle w:val="TextoAbreviaturas"/>
      </w:pPr>
      <w:r>
        <w:t>TGSS</w:t>
      </w:r>
      <w:r>
        <w:tab/>
        <w:t>Tesorería General de la Seguridad Social</w:t>
      </w:r>
    </w:p>
    <w:p w:rsidR="00C11C9E" w:rsidRDefault="00C11C9E" w:rsidP="00C11C9E">
      <w:pPr>
        <w:pStyle w:val="TextoAbreviaturas"/>
      </w:pPr>
      <w:r>
        <w:t>TUE</w:t>
      </w:r>
      <w:r>
        <w:tab/>
        <w:t>Tratado de la Unión Europea</w:t>
      </w:r>
    </w:p>
    <w:p w:rsidR="00C11C9E" w:rsidRDefault="00C11C9E" w:rsidP="00C11C9E">
      <w:pPr>
        <w:pStyle w:val="TextoAbreviaturas"/>
      </w:pPr>
      <w:r>
        <w:t>UGT</w:t>
      </w:r>
      <w:r>
        <w:tab/>
        <w:t>Unión General de Trabajadores</w:t>
      </w:r>
    </w:p>
    <w:p w:rsidR="00C11C9E" w:rsidRDefault="00C11C9E" w:rsidP="00C11C9E">
      <w:pPr>
        <w:pStyle w:val="TextoAbreviaturas"/>
      </w:pPr>
    </w:p>
    <w:sectPr w:rsidR="00C11C9E" w:rsidSect="005E2304">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772" w:rsidRDefault="008B3772" w:rsidP="00DE14C9">
      <w:pPr>
        <w:spacing w:after="0" w:line="240" w:lineRule="auto"/>
      </w:pPr>
      <w:r>
        <w:separator/>
      </w:r>
    </w:p>
  </w:endnote>
  <w:endnote w:type="continuationSeparator" w:id="0">
    <w:p w:rsidR="008B3772" w:rsidRDefault="008B3772" w:rsidP="00DE1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304" w:rsidRDefault="005E2304" w:rsidP="005E230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93288">
      <w:rPr>
        <w:rStyle w:val="Nmerodepgina"/>
        <w:noProof/>
      </w:rPr>
      <w:t>1571</w:t>
    </w:r>
    <w:r>
      <w:rPr>
        <w:rStyle w:val="Nmerodepgina"/>
      </w:rPr>
      <w:fldChar w:fldCharType="end"/>
    </w:r>
  </w:p>
  <w:p w:rsidR="008B3772" w:rsidRDefault="008B3772" w:rsidP="005E230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304" w:rsidRDefault="005E2304" w:rsidP="005E230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93288">
      <w:rPr>
        <w:rStyle w:val="Nmerodepgina"/>
        <w:noProof/>
      </w:rPr>
      <w:t>1572</w:t>
    </w:r>
    <w:r>
      <w:rPr>
        <w:rStyle w:val="Nmerodepgina"/>
      </w:rPr>
      <w:fldChar w:fldCharType="end"/>
    </w:r>
  </w:p>
  <w:p w:rsidR="008B3772" w:rsidRDefault="008B3772" w:rsidP="005E2304">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772" w:rsidRDefault="008B377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772" w:rsidRDefault="008B3772" w:rsidP="00DE14C9">
      <w:pPr>
        <w:spacing w:after="0" w:line="240" w:lineRule="auto"/>
      </w:pPr>
      <w:r>
        <w:separator/>
      </w:r>
    </w:p>
  </w:footnote>
  <w:footnote w:type="continuationSeparator" w:id="0">
    <w:p w:rsidR="008B3772" w:rsidRDefault="008B3772" w:rsidP="00DE14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772" w:rsidRDefault="008B377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772" w:rsidRDefault="005E2304" w:rsidP="005E2304">
    <w:pPr>
      <w:pStyle w:val="Cabecera"/>
    </w:pPr>
    <w:r>
      <w:t>JURISPRUDENCIA CONSTITUCIONAL - Tomo: mayo a agosto 2007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772" w:rsidRDefault="008B377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019"/>
    <w:rsid w:val="00032408"/>
    <w:rsid w:val="00054F99"/>
    <w:rsid w:val="00072495"/>
    <w:rsid w:val="001C20A5"/>
    <w:rsid w:val="00375206"/>
    <w:rsid w:val="00505B21"/>
    <w:rsid w:val="00512048"/>
    <w:rsid w:val="00562F48"/>
    <w:rsid w:val="005E2304"/>
    <w:rsid w:val="00600236"/>
    <w:rsid w:val="0075235A"/>
    <w:rsid w:val="007E03FB"/>
    <w:rsid w:val="0081432B"/>
    <w:rsid w:val="008B3772"/>
    <w:rsid w:val="00993288"/>
    <w:rsid w:val="00A860DC"/>
    <w:rsid w:val="00AB1B1B"/>
    <w:rsid w:val="00AF2019"/>
    <w:rsid w:val="00B40A50"/>
    <w:rsid w:val="00B46C58"/>
    <w:rsid w:val="00C11C9E"/>
    <w:rsid w:val="00C7232C"/>
    <w:rsid w:val="00CA5193"/>
    <w:rsid w:val="00CD3611"/>
    <w:rsid w:val="00D42DC0"/>
    <w:rsid w:val="00D50FAE"/>
    <w:rsid w:val="00DD1965"/>
    <w:rsid w:val="00DE14C9"/>
    <w:rsid w:val="00F261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62DDE637-62E9-4528-8D40-6027C2DB9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019"/>
    <w:pPr>
      <w:spacing w:after="200" w:line="276" w:lineRule="auto"/>
    </w:pPr>
  </w:style>
  <w:style w:type="paragraph" w:styleId="Ttulo1">
    <w:name w:val="heading 1"/>
    <w:basedOn w:val="Normal"/>
    <w:next w:val="Normal"/>
    <w:link w:val="Ttulo1Car"/>
    <w:uiPriority w:val="9"/>
    <w:rsid w:val="00AF2019"/>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AF2019"/>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AF2019"/>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AF2019"/>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AF2019"/>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AF2019"/>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2019"/>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AF2019"/>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AF2019"/>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AF201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AF201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AF2019"/>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AF2019"/>
    <w:pPr>
      <w:spacing w:after="0" w:line="240" w:lineRule="auto"/>
    </w:pPr>
  </w:style>
  <w:style w:type="paragraph" w:styleId="Textocomentario">
    <w:name w:val="annotation text"/>
    <w:basedOn w:val="Normal"/>
    <w:link w:val="TextocomentarioCar"/>
    <w:uiPriority w:val="99"/>
    <w:semiHidden/>
    <w:rsid w:val="00AF2019"/>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AF2019"/>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AF2019"/>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AF2019"/>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AF2019"/>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AF2019"/>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AF2019"/>
    <w:rPr>
      <w:rFonts w:ascii="Times New Roman" w:hAnsi="Times New Roman"/>
      <w:i w:val="0"/>
      <w:sz w:val="24"/>
    </w:rPr>
  </w:style>
  <w:style w:type="character" w:customStyle="1" w:styleId="TtuloBOECar">
    <w:name w:val="Título BOE Car"/>
    <w:basedOn w:val="Fuentedeprrafopredeter"/>
    <w:link w:val="TtuloBOE"/>
    <w:rsid w:val="00AF2019"/>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AF2019"/>
    <w:rPr>
      <w:rFonts w:ascii="Times New Roman" w:hAnsi="Times New Roman"/>
      <w:i/>
      <w:sz w:val="24"/>
    </w:rPr>
  </w:style>
  <w:style w:type="paragraph" w:customStyle="1" w:styleId="Extracto">
    <w:name w:val="Extracto"/>
    <w:basedOn w:val="Normal"/>
    <w:link w:val="ExtractoCar"/>
    <w:qFormat/>
    <w:rsid w:val="00AF2019"/>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AF2019"/>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AF2019"/>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AF2019"/>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AF2019"/>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AF2019"/>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AF2019"/>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AF2019"/>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AF2019"/>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AF2019"/>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AF2019"/>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AF2019"/>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AF2019"/>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AF2019"/>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AF2019"/>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AF2019"/>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AF2019"/>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AF2019"/>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AF2019"/>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AF2019"/>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AF2019"/>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AF2019"/>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AF2019"/>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AF2019"/>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AF2019"/>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AF2019"/>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AF2019"/>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AF2019"/>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AF2019"/>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AF2019"/>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AF2019"/>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AF2019"/>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AF2019"/>
  </w:style>
  <w:style w:type="paragraph" w:customStyle="1" w:styleId="SntesisAnaltica">
    <w:name w:val="Síntesis Analítica"/>
    <w:basedOn w:val="ParrafoNormal"/>
    <w:link w:val="SntesisAnalticaCar"/>
    <w:qFormat/>
    <w:rsid w:val="00AF2019"/>
    <w:rPr>
      <w:i/>
    </w:rPr>
  </w:style>
  <w:style w:type="character" w:customStyle="1" w:styleId="ParrafoNormalCar">
    <w:name w:val="Parrafo Normal Car"/>
    <w:basedOn w:val="Fuentedeprrafopredeter"/>
    <w:link w:val="ParrafoNormal"/>
    <w:rsid w:val="00AF2019"/>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AF2019"/>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AF2019"/>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AF2019"/>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AF2019"/>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AF2019"/>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AF2019"/>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AF2019"/>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AF2019"/>
    <w:rPr>
      <w:rFonts w:ascii="Tahoma" w:eastAsia="Times New Roman" w:hAnsi="Tahoma" w:cs="Tahoma"/>
      <w:sz w:val="16"/>
      <w:szCs w:val="16"/>
      <w:lang w:eastAsia="es-ES"/>
    </w:rPr>
  </w:style>
  <w:style w:type="paragraph" w:customStyle="1" w:styleId="Portada1">
    <w:name w:val="Portada 1"/>
    <w:basedOn w:val="Normal"/>
    <w:link w:val="Portada1Car"/>
    <w:qFormat/>
    <w:rsid w:val="00AF2019"/>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AF2019"/>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AF2019"/>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AF2019"/>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AF2019"/>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AF2019"/>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AF2019"/>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AF2019"/>
    <w:rPr>
      <w:rFonts w:ascii="Times New Roman" w:hAnsi="Times New Roman"/>
      <w:sz w:val="24"/>
    </w:rPr>
  </w:style>
  <w:style w:type="paragraph" w:customStyle="1" w:styleId="Prueba">
    <w:name w:val="Prueba"/>
    <w:basedOn w:val="Normal"/>
    <w:link w:val="PruebaCar"/>
    <w:qFormat/>
    <w:rsid w:val="00AF2019"/>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AF2019"/>
    <w:rPr>
      <w:rFonts w:ascii="Times New Roman" w:hAnsi="Times New Roman" w:cs="Times New Roman"/>
      <w:sz w:val="24"/>
      <w:szCs w:val="24"/>
    </w:rPr>
  </w:style>
  <w:style w:type="paragraph" w:customStyle="1" w:styleId="Paginas">
    <w:name w:val="Paginas"/>
    <w:basedOn w:val="Prueba"/>
    <w:link w:val="PaginasCar"/>
    <w:qFormat/>
    <w:rsid w:val="00AF2019"/>
  </w:style>
  <w:style w:type="character" w:customStyle="1" w:styleId="PaginasCar">
    <w:name w:val="Paginas Car"/>
    <w:basedOn w:val="PruebaCar"/>
    <w:link w:val="Paginas"/>
    <w:rsid w:val="00AF2019"/>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AF2019"/>
    <w:pPr>
      <w:ind w:left="568" w:hanging="284"/>
    </w:pPr>
  </w:style>
  <w:style w:type="paragraph" w:customStyle="1" w:styleId="SangriaIzquierdaArticulo">
    <w:name w:val="Sangria Izquierda Articulo"/>
    <w:basedOn w:val="SangriaFrancesaArticulo"/>
    <w:link w:val="SangriaIzquierdaArticuloCar"/>
    <w:qFormat/>
    <w:rsid w:val="00AF2019"/>
    <w:pPr>
      <w:ind w:firstLine="0"/>
    </w:pPr>
  </w:style>
  <w:style w:type="character" w:customStyle="1" w:styleId="SangriaFrancesaArticuloCar">
    <w:name w:val="Sangria Francesa Articulo Car"/>
    <w:basedOn w:val="ParrafoNormalCar"/>
    <w:link w:val="SangriaFrancesaArticulo"/>
    <w:rsid w:val="00AF2019"/>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AF2019"/>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AF2019"/>
    <w:pPr>
      <w:tabs>
        <w:tab w:val="left" w:pos="1134"/>
      </w:tabs>
      <w:ind w:left="-567"/>
    </w:pPr>
  </w:style>
  <w:style w:type="character" w:customStyle="1" w:styleId="DescriptoresJerarquicoNegritaCar">
    <w:name w:val="Descriptores Jerarquico Negrita Car"/>
    <w:basedOn w:val="TextoNormalNegritaCar"/>
    <w:link w:val="DescriptoresJerarquicoNegrita"/>
    <w:rsid w:val="00AF2019"/>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AF2019"/>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AF2019"/>
    <w:rPr>
      <w:rFonts w:ascii="Times New Roman" w:hAnsi="Times New Roman"/>
      <w:b/>
      <w:i/>
      <w:sz w:val="24"/>
    </w:rPr>
  </w:style>
  <w:style w:type="paragraph" w:customStyle="1" w:styleId="EntradandiceSumario">
    <w:name w:val="Entrada Índice Sumario"/>
    <w:basedOn w:val="EntradandiceSentencia"/>
    <w:qFormat/>
    <w:rsid w:val="00AF2019"/>
    <w:pPr>
      <w:tabs>
        <w:tab w:val="clear" w:pos="8080"/>
        <w:tab w:val="right" w:leader="dot" w:pos="7371"/>
      </w:tabs>
      <w:spacing w:line="260" w:lineRule="exact"/>
      <w:ind w:right="0"/>
    </w:pPr>
  </w:style>
  <w:style w:type="paragraph" w:customStyle="1" w:styleId="FechasPortadaGaceta">
    <w:name w:val="Fechas Portada Gaceta"/>
    <w:basedOn w:val="Normal"/>
    <w:qFormat/>
    <w:rsid w:val="00AF2019"/>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AF2019"/>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AF2019"/>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AF2019"/>
    <w:rPr>
      <w:rFonts w:ascii="Times New Roman" w:hAnsi="Times New Roman"/>
      <w:color w:val="A7599E"/>
      <w:sz w:val="24"/>
    </w:rPr>
  </w:style>
  <w:style w:type="character" w:customStyle="1" w:styleId="SntesisAnalticaTtulo">
    <w:name w:val="Síntesis Analítica Título"/>
    <w:basedOn w:val="SntesisDescriptivaTtulo"/>
    <w:uiPriority w:val="1"/>
    <w:qFormat/>
    <w:rsid w:val="00AF2019"/>
    <w:rPr>
      <w:rFonts w:ascii="Times New Roman" w:hAnsi="Times New Roman"/>
      <w:i w:val="0"/>
      <w:color w:val="A7599E"/>
      <w:sz w:val="24"/>
    </w:rPr>
  </w:style>
  <w:style w:type="paragraph" w:customStyle="1" w:styleId="CabeceraGaceta">
    <w:name w:val="Cabecera Gaceta"/>
    <w:next w:val="Normal"/>
    <w:link w:val="CabeceraGacetaCar"/>
    <w:qFormat/>
    <w:rsid w:val="00AF2019"/>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AF2019"/>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AF2019"/>
    <w:pPr>
      <w:spacing w:after="1800"/>
    </w:pPr>
  </w:style>
  <w:style w:type="character" w:styleId="nfasis">
    <w:name w:val="Emphasis"/>
    <w:basedOn w:val="Fuentedeprrafopredeter"/>
    <w:uiPriority w:val="20"/>
    <w:qFormat/>
    <w:rsid w:val="00AF2019"/>
    <w:rPr>
      <w:i/>
      <w:iCs/>
    </w:rPr>
  </w:style>
  <w:style w:type="character" w:styleId="Hipervnculo">
    <w:name w:val="Hyperlink"/>
    <w:basedOn w:val="Fuentedeprrafopredeter"/>
    <w:uiPriority w:val="99"/>
    <w:unhideWhenUsed/>
    <w:rsid w:val="00AF2019"/>
    <w:rPr>
      <w:b w:val="0"/>
      <w:color w:val="000000" w:themeColor="text1"/>
      <w:u w:val="none"/>
    </w:rPr>
  </w:style>
  <w:style w:type="paragraph" w:customStyle="1" w:styleId="SntesisDescriptivaConSeparacion">
    <w:name w:val="Síntesis Descriptiva Con Separacion"/>
    <w:basedOn w:val="SntesisDescriptiva"/>
    <w:qFormat/>
    <w:rsid w:val="00AF2019"/>
    <w:pPr>
      <w:spacing w:after="600"/>
    </w:pPr>
  </w:style>
  <w:style w:type="paragraph" w:customStyle="1" w:styleId="SntesisAnalticaConSeparacin">
    <w:name w:val="Síntesis Analítica Con Separación"/>
    <w:basedOn w:val="SntesisAnaltica"/>
    <w:qFormat/>
    <w:rsid w:val="00AF2019"/>
    <w:pPr>
      <w:spacing w:after="600"/>
    </w:pPr>
  </w:style>
  <w:style w:type="paragraph" w:customStyle="1" w:styleId="TtuloListado">
    <w:name w:val="Título Listado"/>
    <w:basedOn w:val="TextoNormal"/>
    <w:qFormat/>
    <w:rsid w:val="00AF2019"/>
    <w:pPr>
      <w:spacing w:line="360" w:lineRule="auto"/>
      <w:jc w:val="center"/>
    </w:pPr>
    <w:rPr>
      <w:b/>
      <w:u w:val="single"/>
    </w:rPr>
  </w:style>
  <w:style w:type="paragraph" w:customStyle="1" w:styleId="TextoNormalCentradoCursiva">
    <w:name w:val="Texto Normal Centrado Cursiva"/>
    <w:basedOn w:val="TextoNormalCentrado"/>
    <w:qFormat/>
    <w:rsid w:val="00AF2019"/>
    <w:rPr>
      <w:i/>
    </w:rPr>
  </w:style>
  <w:style w:type="paragraph" w:customStyle="1" w:styleId="TextoConBorde">
    <w:name w:val="Texto Con Borde"/>
    <w:qFormat/>
    <w:rsid w:val="00AF2019"/>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AF2019"/>
    <w:rPr>
      <w:sz w:val="148"/>
    </w:rPr>
  </w:style>
  <w:style w:type="paragraph" w:customStyle="1" w:styleId="TextoNormalNegritaCentradoSubrayado">
    <w:name w:val="Texto Normal Negrita Centrado Subrayado"/>
    <w:basedOn w:val="TextoNormalNegritaCentrado"/>
    <w:qFormat/>
    <w:rsid w:val="00AF2019"/>
    <w:rPr>
      <w:sz w:val="28"/>
      <w:u w:val="single"/>
    </w:rPr>
  </w:style>
  <w:style w:type="paragraph" w:customStyle="1" w:styleId="TextoIndiceNivel2">
    <w:name w:val="TextoIndice Nivel2"/>
    <w:basedOn w:val="TextoNormalNegritaCentrado"/>
    <w:qFormat/>
    <w:rsid w:val="00AF2019"/>
    <w:rPr>
      <w:sz w:val="36"/>
    </w:rPr>
  </w:style>
  <w:style w:type="character" w:customStyle="1" w:styleId="TextoNormalNegritaCentradoSombreado">
    <w:name w:val="Texto Normal Negrita Centrado Sombreado"/>
    <w:basedOn w:val="TextoNormalNegritaCaracter"/>
    <w:uiPriority w:val="1"/>
    <w:qFormat/>
    <w:rsid w:val="00AF2019"/>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AF2019"/>
    <w:rPr>
      <w:sz w:val="26"/>
    </w:rPr>
  </w:style>
  <w:style w:type="character" w:customStyle="1" w:styleId="ndiceJerrquicoDescriptor">
    <w:name w:val="Índice Jerárquico Descriptor"/>
    <w:basedOn w:val="TextoNormalCar"/>
    <w:uiPriority w:val="1"/>
    <w:qFormat/>
    <w:rsid w:val="00AF2019"/>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AF2019"/>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AF2019"/>
    <w:pPr>
      <w:ind w:left="0"/>
    </w:pPr>
    <w:rPr>
      <w:sz w:val="28"/>
    </w:rPr>
  </w:style>
  <w:style w:type="character" w:styleId="Hipervnculovisitado">
    <w:name w:val="FollowedHyperlink"/>
    <w:basedOn w:val="Fuentedeprrafopredeter"/>
    <w:uiPriority w:val="99"/>
    <w:semiHidden/>
    <w:unhideWhenUsed/>
    <w:rsid w:val="00AF2019"/>
    <w:rPr>
      <w:color w:val="auto"/>
      <w:u w:val="none"/>
    </w:rPr>
  </w:style>
  <w:style w:type="paragraph" w:customStyle="1" w:styleId="EntradandiceSumarioNivel2">
    <w:name w:val="Entrada Índice Sumario Nivel2"/>
    <w:basedOn w:val="EntradandiceSumario"/>
    <w:qFormat/>
    <w:rsid w:val="00AF2019"/>
    <w:pPr>
      <w:spacing w:line="240" w:lineRule="exact"/>
      <w:ind w:firstLine="113"/>
    </w:pPr>
    <w:rPr>
      <w:sz w:val="23"/>
    </w:rPr>
  </w:style>
  <w:style w:type="paragraph" w:customStyle="1" w:styleId="TtuloSumariondices">
    <w:name w:val="Título Sumario Índices"/>
    <w:basedOn w:val="TextoNormal"/>
    <w:qFormat/>
    <w:rsid w:val="00AF2019"/>
    <w:pPr>
      <w:ind w:firstLine="0"/>
      <w:jc w:val="center"/>
    </w:pPr>
    <w:rPr>
      <w:sz w:val="32"/>
    </w:rPr>
  </w:style>
  <w:style w:type="paragraph" w:styleId="Cierre">
    <w:name w:val="Closing"/>
    <w:basedOn w:val="Normal"/>
    <w:link w:val="CierreCar"/>
    <w:uiPriority w:val="99"/>
    <w:unhideWhenUsed/>
    <w:rsid w:val="00AF2019"/>
    <w:pPr>
      <w:spacing w:after="0" w:line="240" w:lineRule="auto"/>
      <w:ind w:left="4252"/>
    </w:pPr>
  </w:style>
  <w:style w:type="character" w:customStyle="1" w:styleId="CierreCar">
    <w:name w:val="Cierre Car"/>
    <w:basedOn w:val="Fuentedeprrafopredeter"/>
    <w:link w:val="Cierre"/>
    <w:uiPriority w:val="99"/>
    <w:rsid w:val="00AF2019"/>
  </w:style>
  <w:style w:type="paragraph" w:styleId="Cita">
    <w:name w:val="Quote"/>
    <w:basedOn w:val="Normal"/>
    <w:next w:val="Normal"/>
    <w:link w:val="CitaCar"/>
    <w:uiPriority w:val="29"/>
    <w:qFormat/>
    <w:rsid w:val="00AF2019"/>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AF2019"/>
    <w:rPr>
      <w:i/>
      <w:iCs/>
      <w:color w:val="404040" w:themeColor="text1" w:themeTint="BF"/>
    </w:rPr>
  </w:style>
  <w:style w:type="paragraph" w:customStyle="1" w:styleId="Cabecera">
    <w:name w:val="Cabecera"/>
    <w:link w:val="CabeceraCar"/>
    <w:qFormat/>
    <w:rsid w:val="00AF2019"/>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AF2019"/>
    <w:rPr>
      <w:rFonts w:ascii="Arial" w:hAnsi="Arial"/>
      <w:b/>
      <w:iCs/>
      <w:color w:val="538135"/>
      <w:sz w:val="20"/>
    </w:rPr>
  </w:style>
  <w:style w:type="paragraph" w:customStyle="1" w:styleId="TtuloSumarioResoluciones">
    <w:name w:val="Título Sumario Resoluciones"/>
    <w:basedOn w:val="TextoNormal"/>
    <w:link w:val="TtuloSumarioResolucionesCar"/>
    <w:qFormat/>
    <w:rsid w:val="00AF2019"/>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AF2019"/>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AF2019"/>
    <w:rPr>
      <w:rFonts w:ascii="Times New Roman" w:hAnsi="Times New Roman"/>
      <w:b/>
      <w:color w:val="538135"/>
      <w:sz w:val="32"/>
    </w:rPr>
  </w:style>
  <w:style w:type="paragraph" w:styleId="Encabezado">
    <w:name w:val="header"/>
    <w:basedOn w:val="Normal"/>
    <w:link w:val="EncabezadoCar"/>
    <w:uiPriority w:val="99"/>
    <w:unhideWhenUsed/>
    <w:rsid w:val="00DE14C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E14C9"/>
  </w:style>
  <w:style w:type="paragraph" w:styleId="Piedepgina">
    <w:name w:val="footer"/>
    <w:basedOn w:val="Normal"/>
    <w:link w:val="PiedepginaCar"/>
    <w:uiPriority w:val="99"/>
    <w:unhideWhenUsed/>
    <w:rsid w:val="00DE14C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E14C9"/>
  </w:style>
  <w:style w:type="character" w:styleId="Nmerodepgina">
    <w:name w:val="page number"/>
    <w:basedOn w:val="Fuentedeprrafopredeter"/>
    <w:uiPriority w:val="99"/>
    <w:semiHidden/>
    <w:unhideWhenUsed/>
    <w:rsid w:val="005E2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6</Pages>
  <Words>778863</Words>
  <Characters>4283750</Characters>
  <Application>Microsoft Office Word</Application>
  <DocSecurity>0</DocSecurity>
  <Lines>35697</Lines>
  <Paragraphs>10105</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5052508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28</cp:revision>
  <cp:lastPrinted>2019-03-08T08:27:00Z</cp:lastPrinted>
  <dcterms:created xsi:type="dcterms:W3CDTF">2017-03-27T11:46:00Z</dcterms:created>
  <dcterms:modified xsi:type="dcterms:W3CDTF">2019-03-08T08:28:00Z</dcterms:modified>
</cp:coreProperties>
</file>